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beforeLines="0" w:afterLine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rPr>
        <w:t>府谷县烟草制品零售点合理布局规定（</w:t>
      </w:r>
      <w:r>
        <w:rPr>
          <w:rFonts w:hint="eastAsia" w:ascii="黑体" w:hAnsi="黑体" w:eastAsia="黑体" w:cs="黑体"/>
          <w:bCs/>
          <w:color w:val="000000"/>
          <w:kern w:val="0"/>
          <w:sz w:val="44"/>
          <w:szCs w:val="44"/>
          <w:lang w:val="en-US" w:eastAsia="zh-CN"/>
        </w:rPr>
        <w:t>草案</w:t>
      </w:r>
      <w:r>
        <w:rPr>
          <w:rFonts w:hint="eastAsia" w:ascii="黑体" w:hAnsi="黑体" w:eastAsia="黑体" w:cs="黑体"/>
          <w:bCs/>
          <w:color w:val="000000"/>
          <w:kern w:val="0"/>
          <w:sz w:val="44"/>
          <w:szCs w:val="44"/>
        </w:rPr>
        <w:t>）</w:t>
      </w:r>
    </w:p>
    <w:p>
      <w:pPr>
        <w:spacing w:line="600" w:lineRule="exact"/>
        <w:rPr>
          <w:rFonts w:ascii="仿宋_GB2312" w:hAnsi="宋体"/>
          <w:b/>
          <w:color w:val="000000"/>
        </w:rPr>
      </w:pPr>
    </w:p>
    <w:p>
      <w:pPr>
        <w:keepNext w:val="0"/>
        <w:keepLines w:val="0"/>
        <w:pageBreakBefore w:val="0"/>
        <w:kinsoku/>
        <w:wordWrap/>
        <w:overflowPunct/>
        <w:topLinePunct w:val="0"/>
        <w:bidi w:val="0"/>
        <w:snapToGrid/>
        <w:spacing w:line="600" w:lineRule="exact"/>
        <w:jc w:val="center"/>
        <w:textAlignment w:val="auto"/>
        <w:rPr>
          <w:rFonts w:ascii="黑体" w:hAnsi="黑体" w:eastAsia="黑体"/>
        </w:rPr>
      </w:pPr>
      <w:r>
        <w:rPr>
          <w:rFonts w:hint="eastAsia" w:ascii="黑体" w:hAnsi="黑体" w:eastAsia="黑体"/>
        </w:rPr>
        <w:t>第一章  总则</w:t>
      </w:r>
    </w:p>
    <w:p>
      <w:pPr>
        <w:keepNext w:val="0"/>
        <w:keepLines w:val="0"/>
        <w:pageBreakBefore w:val="0"/>
        <w:kinsoku/>
        <w:wordWrap/>
        <w:overflowPunct/>
        <w:topLinePunct w:val="0"/>
        <w:bidi w:val="0"/>
        <w:snapToGrid/>
        <w:spacing w:line="600" w:lineRule="exact"/>
        <w:jc w:val="center"/>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highlight w:val="none"/>
          <w:lang w:val="en-US" w:eastAsia="zh-CN"/>
        </w:rPr>
      </w:pPr>
      <w:r>
        <w:rPr>
          <w:rFonts w:ascii="仿宋" w:hAnsi="仿宋" w:eastAsia="仿宋"/>
          <w:b/>
        </w:rPr>
        <w:t>第一条</w:t>
      </w:r>
      <w:r>
        <w:rPr>
          <w:rFonts w:hint="eastAsia" w:ascii="仿宋" w:hAnsi="仿宋" w:eastAsia="仿宋"/>
          <w:b/>
          <w:lang w:val="en-US" w:eastAsia="zh-CN"/>
        </w:rPr>
        <w:t xml:space="preserve"> </w:t>
      </w:r>
      <w:r>
        <w:rPr>
          <w:rFonts w:hint="eastAsia" w:ascii="仿宋_GB2312" w:eastAsia="仿宋_GB2312"/>
          <w:color w:val="auto"/>
          <w:sz w:val="32"/>
          <w:szCs w:val="32"/>
          <w:highlight w:val="none"/>
          <w:lang w:val="en-US" w:eastAsia="zh-CN"/>
        </w:rPr>
        <w:t>为</w:t>
      </w:r>
      <w:r>
        <w:rPr>
          <w:rFonts w:hint="eastAsia" w:ascii="仿宋_GB2312"/>
          <w:color w:val="auto"/>
          <w:sz w:val="32"/>
          <w:szCs w:val="32"/>
          <w:highlight w:val="none"/>
          <w:lang w:val="en-US" w:eastAsia="zh-CN"/>
        </w:rPr>
        <w:t>了</w:t>
      </w:r>
      <w:r>
        <w:rPr>
          <w:rFonts w:hint="eastAsia" w:ascii="仿宋_GB2312" w:eastAsia="仿宋_GB2312"/>
          <w:color w:val="auto"/>
          <w:sz w:val="32"/>
          <w:szCs w:val="32"/>
          <w:highlight w:val="none"/>
          <w:lang w:val="en-US" w:eastAsia="zh-CN"/>
        </w:rPr>
        <w:t>维护烟草专卖制度，规范烟草制品零售市场秩序，合理配置烟草制品零售点市场资源，促进烟草市场健康发展，保障国家利益，维护烟草制品零售经营者、消费者和未成年人的合法权益，根据《中华人民共和国行政许可法》、《中华人民共和国未成年人保护法》、《中华人民共和国烟草专卖法》、《中华人民共和国烟草专卖法实施条例》、《烟草专卖许可证管理办法》、《烟草专卖许可证管理办法实施细则》等法律法规规章和规范性文件，结合本辖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rPr>
      </w:pPr>
      <w:r>
        <w:rPr>
          <w:rFonts w:hint="eastAsia" w:ascii="仿宋" w:hAnsi="仿宋" w:eastAsia="仿宋"/>
          <w:b/>
        </w:rPr>
        <w:t>第二条</w:t>
      </w:r>
      <w:r>
        <w:rPr>
          <w:rFonts w:hint="eastAsia" w:ascii="仿宋" w:hAnsi="仿宋" w:eastAsia="仿宋"/>
          <w:b/>
          <w:lang w:val="en-US" w:eastAsia="zh-CN"/>
        </w:rPr>
        <w:t xml:space="preserve"> </w:t>
      </w:r>
      <w:r>
        <w:rPr>
          <w:rFonts w:hint="eastAsia" w:ascii="仿宋_GB2312" w:eastAsia="仿宋_GB2312"/>
          <w:color w:val="auto"/>
          <w:sz w:val="32"/>
          <w:szCs w:val="32"/>
          <w:highlight w:val="none"/>
          <w:lang w:val="en-US" w:eastAsia="zh-CN"/>
        </w:rPr>
        <w:t>本规定适用于府谷县行政区域范围内烟草制品零售点的布局管理。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rPr>
      </w:pPr>
      <w:r>
        <w:rPr>
          <w:rFonts w:hint="eastAsia" w:ascii="仿宋" w:hAnsi="仿宋" w:eastAsia="仿宋"/>
          <w:b/>
        </w:rPr>
        <w:t>第三条</w:t>
      </w:r>
      <w:r>
        <w:rPr>
          <w:rFonts w:hint="eastAsia" w:ascii="仿宋" w:hAnsi="仿宋" w:eastAsia="仿宋"/>
          <w:b/>
          <w:lang w:val="en-US" w:eastAsia="zh-CN"/>
        </w:rPr>
        <w:t xml:space="preserve"> </w:t>
      </w:r>
      <w:r>
        <w:rPr>
          <w:rFonts w:hint="eastAsia" w:ascii="仿宋_GB2312" w:eastAsia="仿宋_GB2312"/>
          <w:color w:val="auto"/>
          <w:sz w:val="32"/>
          <w:szCs w:val="32"/>
          <w:highlight w:val="none"/>
          <w:lang w:val="en-US" w:eastAsia="zh-CN"/>
        </w:rPr>
        <w:t>本规定所称烟草制品零售点（以下简称零售点）是指依法取得烟草专卖零售许可证的公民、法人或者其他组织从事烟草制品零售业务的经营场所。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rPr>
      </w:pPr>
      <w:r>
        <w:rPr>
          <w:rFonts w:hint="eastAsia" w:ascii="仿宋" w:hAnsi="仿宋" w:eastAsia="仿宋"/>
          <w:b/>
        </w:rPr>
        <w:t>第四条</w:t>
      </w:r>
      <w:r>
        <w:rPr>
          <w:rFonts w:hint="eastAsia" w:ascii="仿宋" w:hAnsi="仿宋" w:eastAsia="仿宋"/>
          <w:b/>
          <w:lang w:val="en-US" w:eastAsia="zh-CN"/>
        </w:rPr>
        <w:t xml:space="preserve"> </w:t>
      </w:r>
      <w:r>
        <w:rPr>
          <w:rFonts w:hint="eastAsia" w:ascii="仿宋_GB2312" w:eastAsia="仿宋_GB2312"/>
          <w:color w:val="auto"/>
          <w:sz w:val="32"/>
          <w:szCs w:val="32"/>
          <w:highlight w:val="none"/>
          <w:lang w:val="en-US" w:eastAsia="zh-CN"/>
        </w:rPr>
        <w:t>本规定所称的合理布局是遵循依法依规、尊重市场，综合考虑辖区内的人口</w:t>
      </w:r>
      <w:r>
        <w:rPr>
          <w:rFonts w:hint="eastAsia" w:ascii="仿宋_GB2312"/>
          <w:color w:val="auto"/>
          <w:sz w:val="32"/>
          <w:szCs w:val="32"/>
          <w:highlight w:val="none"/>
          <w:lang w:val="en-US" w:eastAsia="zh-CN"/>
        </w:rPr>
        <w:t>数量</w:t>
      </w:r>
      <w:r>
        <w:rPr>
          <w:rFonts w:hint="eastAsia" w:ascii="仿宋_GB2312" w:eastAsia="仿宋_GB2312"/>
          <w:color w:val="auto"/>
          <w:sz w:val="32"/>
          <w:szCs w:val="32"/>
          <w:highlight w:val="none"/>
          <w:lang w:val="en-US" w:eastAsia="zh-CN"/>
        </w:rPr>
        <w:t>、地理</w:t>
      </w:r>
      <w:r>
        <w:rPr>
          <w:rFonts w:hint="eastAsia" w:ascii="仿宋_GB2312"/>
          <w:color w:val="auto"/>
          <w:sz w:val="32"/>
          <w:szCs w:val="32"/>
          <w:highlight w:val="none"/>
          <w:lang w:val="en-US" w:eastAsia="zh-CN"/>
        </w:rPr>
        <w:t>条件</w:t>
      </w:r>
      <w:r>
        <w:rPr>
          <w:rFonts w:hint="eastAsia" w:ascii="仿宋_GB2312" w:eastAsia="仿宋_GB2312"/>
          <w:color w:val="auto"/>
          <w:sz w:val="32"/>
          <w:szCs w:val="32"/>
          <w:highlight w:val="none"/>
          <w:lang w:val="en-US" w:eastAsia="zh-CN"/>
        </w:rPr>
        <w:t>、经济发展水平、交通状况、消费需求等因素</w:t>
      </w:r>
      <w:r>
        <w:rPr>
          <w:rFonts w:hint="eastAsia" w:ascii="仿宋_GB2312"/>
          <w:color w:val="auto"/>
          <w:sz w:val="32"/>
          <w:szCs w:val="32"/>
          <w:highlight w:val="none"/>
          <w:lang w:val="en-US" w:eastAsia="zh-CN"/>
        </w:rPr>
        <w:t>管理</w:t>
      </w:r>
      <w:r>
        <w:rPr>
          <w:rFonts w:hint="eastAsia" w:ascii="仿宋_GB2312" w:eastAsia="仿宋_GB2312"/>
          <w:color w:val="auto"/>
          <w:sz w:val="32"/>
          <w:szCs w:val="32"/>
          <w:highlight w:val="none"/>
          <w:lang w:val="en-US" w:eastAsia="zh-CN"/>
        </w:rPr>
        <w:t>，按需设置烟草制品零售点布局规划。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rPr>
      </w:pPr>
      <w:r>
        <w:rPr>
          <w:rFonts w:hint="eastAsia" w:ascii="黑体" w:hAnsi="黑体" w:eastAsia="黑体"/>
        </w:rPr>
        <w:t>第二章  基本原则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制定烟草制品零售点合理布局遵循以下原则：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楷体_GB2312" w:hAnsi="宋体" w:eastAsia="楷体_GB2312"/>
          <w:color w:val="auto"/>
          <w:sz w:val="32"/>
          <w:szCs w:val="32"/>
          <w:highlight w:val="none"/>
        </w:rPr>
      </w:pPr>
      <w:r>
        <w:rPr>
          <w:rFonts w:hint="eastAsia" w:ascii="楷体_GB2312" w:hAnsi="宋体" w:eastAsia="楷体_GB2312"/>
          <w:color w:val="auto"/>
          <w:sz w:val="32"/>
          <w:szCs w:val="32"/>
          <w:highlight w:val="none"/>
        </w:rPr>
        <w:t>（一）依法行政原则。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zh-CN" w:eastAsia="zh-CN"/>
        </w:rPr>
        <w:t>零售点合理布局规定以法律法规规章和国家烟草专卖局规范性文件为依据，保证符合法定条件的行政相对人有依法取得烟草专卖零售许可证的平等权利。零售点布局经过深入调研，广泛听取意见，依法履行听证、备案等程序，按照相关规定及时公示，并向社会公布，其执行情况接受社会监督，做到公开、公平、公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楷体_GB2312" w:hAnsi="宋体" w:eastAsia="楷体_GB2312"/>
          <w:color w:val="auto"/>
          <w:sz w:val="32"/>
          <w:szCs w:val="32"/>
          <w:highlight w:val="none"/>
        </w:rPr>
      </w:pPr>
      <w:r>
        <w:rPr>
          <w:rFonts w:hint="eastAsia" w:ascii="楷体_GB2312" w:hAnsi="宋体" w:eastAsia="楷体_GB2312"/>
          <w:color w:val="auto"/>
          <w:sz w:val="32"/>
          <w:szCs w:val="32"/>
          <w:highlight w:val="none"/>
        </w:rPr>
        <w:t>（二）科学</w:t>
      </w:r>
      <w:r>
        <w:rPr>
          <w:rFonts w:hint="eastAsia" w:ascii="楷体_GB2312" w:hAnsi="宋体" w:eastAsia="楷体_GB2312"/>
          <w:color w:val="auto"/>
          <w:sz w:val="32"/>
          <w:szCs w:val="32"/>
          <w:highlight w:val="none"/>
          <w:lang w:eastAsia="zh-CN"/>
        </w:rPr>
        <w:t>规定</w:t>
      </w:r>
      <w:r>
        <w:rPr>
          <w:rFonts w:hint="eastAsia" w:ascii="楷体_GB2312" w:hAnsi="宋体" w:eastAsia="楷体_GB2312"/>
          <w:color w:val="auto"/>
          <w:sz w:val="32"/>
          <w:szCs w:val="32"/>
          <w:highlight w:val="none"/>
        </w:rPr>
        <w:t>原则。</w:t>
      </w:r>
    </w:p>
    <w:p>
      <w:pPr>
        <w:keepNext w:val="0"/>
        <w:keepLines w:val="0"/>
        <w:pageBreakBefore w:val="0"/>
        <w:widowControl w:val="0"/>
        <w:kinsoku/>
        <w:wordWrap/>
        <w:overflowPunct/>
        <w:topLinePunct w:val="0"/>
        <w:bidi w:val="0"/>
        <w:snapToGrid/>
        <w:spacing w:line="600" w:lineRule="exact"/>
        <w:ind w:firstLine="640" w:firstLineChars="200"/>
        <w:contextualSpacing/>
        <w:textAlignment w:val="auto"/>
        <w:rPr>
          <w:rFonts w:ascii="仿宋_GB2312" w:hAnsi="宋体" w:eastAsia="仿宋_GB2312"/>
          <w:color w:val="auto"/>
          <w:sz w:val="32"/>
          <w:szCs w:val="32"/>
          <w:highlight w:val="none"/>
        </w:rPr>
      </w:pPr>
      <w:r>
        <w:rPr>
          <w:rFonts w:hint="eastAsia" w:ascii="仿宋_GB2312" w:eastAsia="仿宋_GB2312"/>
          <w:color w:val="auto"/>
          <w:sz w:val="32"/>
          <w:szCs w:val="32"/>
          <w:highlight w:val="none"/>
          <w:lang w:val="zh-CN" w:eastAsia="zh-CN"/>
        </w:rPr>
        <w:t>零售点合理布局规定以最小市场单元为基准，量化分析单元内与烟草制品零售相关的人口数量、地理位置、交通状况、经济发展水平、消费需求等因素，尊重客观事实，遵循市场规律，预测发展趋势，合理测算最小市场单元内零售点的数量范围与间距标准，既便于消费者购买，又保护零售户的经营利益，</w:t>
      </w:r>
      <w:r>
        <w:rPr>
          <w:rFonts w:hint="eastAsia" w:ascii="仿宋_GB2312" w:eastAsia="仿宋_GB2312"/>
          <w:color w:val="auto"/>
          <w:sz w:val="32"/>
          <w:szCs w:val="32"/>
          <w:highlight w:val="none"/>
          <w:lang w:val="en-US" w:eastAsia="zh-CN"/>
        </w:rPr>
        <w:t>防止零售点之间无序竞争</w:t>
      </w:r>
      <w:r>
        <w:rPr>
          <w:rFonts w:hint="eastAsia" w:ascii="仿宋_GB2312" w:eastAsia="仿宋_GB2312"/>
          <w:color w:val="auto"/>
          <w:sz w:val="32"/>
          <w:szCs w:val="32"/>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olor w:val="auto"/>
          <w:sz w:val="32"/>
          <w:szCs w:val="32"/>
          <w:highlight w:val="none"/>
          <w:lang w:val="zh-CN"/>
        </w:rPr>
      </w:pPr>
      <w:r>
        <w:rPr>
          <w:rFonts w:hint="eastAsia" w:ascii="楷体_GB2312" w:eastAsia="楷体_GB2312"/>
          <w:color w:val="auto"/>
          <w:sz w:val="32"/>
          <w:szCs w:val="32"/>
          <w:highlight w:val="none"/>
          <w:lang w:val="zh-CN"/>
        </w:rPr>
        <w:t>（三）服务社会原则。</w:t>
      </w:r>
    </w:p>
    <w:p>
      <w:pPr>
        <w:keepNext w:val="0"/>
        <w:keepLines w:val="0"/>
        <w:pageBreakBefore w:val="0"/>
        <w:widowControl w:val="0"/>
        <w:kinsoku/>
        <w:wordWrap/>
        <w:overflowPunct/>
        <w:topLinePunct w:val="0"/>
        <w:bidi w:val="0"/>
        <w:snapToGrid/>
        <w:spacing w:line="600" w:lineRule="exact"/>
        <w:ind w:firstLine="640" w:firstLineChars="200"/>
        <w:contextualSpacing/>
        <w:textAlignment w:val="auto"/>
        <w:rPr>
          <w:rFonts w:hint="eastAsia" w:ascii="仿宋" w:hAnsi="仿宋" w:eastAsia="仿宋" w:cs="仿宋"/>
          <w:color w:val="auto"/>
          <w:sz w:val="32"/>
          <w:szCs w:val="32"/>
          <w:highlight w:val="none"/>
          <w:lang w:val="zh-CN" w:eastAsia="zh-CN"/>
        </w:rPr>
      </w:pPr>
      <w:r>
        <w:rPr>
          <w:rFonts w:hint="eastAsia" w:ascii="仿宋_GB2312" w:eastAsia="仿宋_GB2312"/>
          <w:color w:val="auto"/>
          <w:sz w:val="32"/>
          <w:szCs w:val="32"/>
          <w:highlight w:val="none"/>
          <w:lang w:val="zh-CN" w:eastAsia="zh-CN"/>
        </w:rPr>
        <w:t>零售点合理布局规定</w:t>
      </w:r>
      <w:r>
        <w:rPr>
          <w:rFonts w:hint="eastAsia" w:ascii="仿宋_GB2312" w:eastAsia="仿宋_GB2312"/>
          <w:color w:val="auto"/>
          <w:sz w:val="32"/>
          <w:szCs w:val="32"/>
          <w:highlight w:val="none"/>
          <w:lang w:val="en-US" w:eastAsia="zh-CN"/>
        </w:rPr>
        <w:t>关系公共利益，</w:t>
      </w:r>
      <w:r>
        <w:rPr>
          <w:rFonts w:hint="eastAsia" w:ascii="仿宋_GB2312" w:eastAsia="仿宋_GB2312"/>
          <w:color w:val="auto"/>
          <w:sz w:val="32"/>
          <w:szCs w:val="32"/>
          <w:highlight w:val="none"/>
          <w:lang w:val="zh-CN" w:eastAsia="zh-CN"/>
        </w:rPr>
        <w:t>以服务社会为主，统筹考虑控烟履约、未成年人保护、便利消费者和零售户经营利益等因素，</w:t>
      </w:r>
      <w:r>
        <w:rPr>
          <w:rFonts w:hint="eastAsia" w:ascii="仿宋_GB2312" w:eastAsia="仿宋_GB2312"/>
          <w:color w:val="auto"/>
          <w:sz w:val="32"/>
          <w:szCs w:val="32"/>
          <w:highlight w:val="none"/>
          <w:lang w:val="en-US" w:eastAsia="zh-CN"/>
        </w:rPr>
        <w:t>服务消费者，稳定市场</w:t>
      </w:r>
      <w:r>
        <w:rPr>
          <w:rFonts w:hint="eastAsia" w:ascii="仿宋_GB2312" w:eastAsia="仿宋_GB2312"/>
          <w:color w:val="auto"/>
          <w:sz w:val="32"/>
          <w:szCs w:val="32"/>
          <w:highlight w:val="none"/>
          <w:lang w:val="zh-CN" w:eastAsia="zh-CN"/>
        </w:rPr>
        <w:t>，对社会弱势群体予以</w:t>
      </w:r>
      <w:r>
        <w:rPr>
          <w:rFonts w:hint="eastAsia" w:ascii="仿宋_GB2312" w:eastAsia="仿宋_GB2312"/>
          <w:color w:val="auto"/>
          <w:sz w:val="32"/>
          <w:szCs w:val="32"/>
          <w:highlight w:val="none"/>
          <w:lang w:val="en-US" w:eastAsia="zh-CN"/>
        </w:rPr>
        <w:t>一定的政策倾斜，</w:t>
      </w:r>
      <w:r>
        <w:rPr>
          <w:rFonts w:hint="eastAsia" w:ascii="仿宋_GB2312" w:eastAsia="仿宋_GB2312"/>
          <w:color w:val="auto"/>
          <w:sz w:val="32"/>
          <w:szCs w:val="32"/>
          <w:highlight w:val="none"/>
          <w:lang w:val="zh-CN" w:eastAsia="zh-CN"/>
        </w:rPr>
        <w:t>不断提升行政服务效能。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楷体_GB2312" w:eastAsia="楷体_GB2312"/>
          <w:color w:val="auto"/>
          <w:sz w:val="32"/>
          <w:szCs w:val="32"/>
          <w:highlight w:val="none"/>
          <w:lang w:val="zh-CN"/>
        </w:rPr>
      </w:pPr>
      <w:r>
        <w:rPr>
          <w:rFonts w:hint="eastAsia" w:ascii="楷体_GB2312" w:eastAsia="楷体_GB2312"/>
          <w:color w:val="auto"/>
          <w:sz w:val="32"/>
          <w:szCs w:val="32"/>
          <w:highlight w:val="none"/>
          <w:lang w:val="zh-CN"/>
        </w:rPr>
        <w:t>（四）均衡发展原则。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zh-CN" w:eastAsia="zh-CN"/>
        </w:rPr>
        <w:t>零售点合理布局规定体现前瞻性，坚持均衡发展，保持零售点数量与</w:t>
      </w:r>
      <w:r>
        <w:rPr>
          <w:rFonts w:hint="eastAsia" w:ascii="仿宋_GB2312" w:eastAsia="仿宋_GB2312"/>
          <w:color w:val="auto"/>
          <w:sz w:val="32"/>
          <w:szCs w:val="32"/>
          <w:highlight w:val="none"/>
          <w:lang w:val="en-US" w:eastAsia="zh-CN"/>
        </w:rPr>
        <w:t>市场需求</w:t>
      </w:r>
      <w:r>
        <w:rPr>
          <w:rFonts w:hint="eastAsia" w:ascii="仿宋_GB2312" w:eastAsia="仿宋_GB2312"/>
          <w:color w:val="auto"/>
          <w:sz w:val="32"/>
          <w:szCs w:val="32"/>
          <w:highlight w:val="none"/>
          <w:lang w:val="zh-CN" w:eastAsia="zh-CN"/>
        </w:rPr>
        <w:t>相适应、零售点分布与卷烟市场区位相</w:t>
      </w:r>
      <w:r>
        <w:rPr>
          <w:rFonts w:hint="eastAsia" w:ascii="仿宋_GB2312" w:eastAsia="仿宋_GB2312"/>
          <w:color w:val="auto"/>
          <w:sz w:val="32"/>
          <w:szCs w:val="32"/>
          <w:highlight w:val="none"/>
          <w:lang w:val="en-US" w:eastAsia="zh-CN"/>
        </w:rPr>
        <w:t>匹配</w:t>
      </w:r>
      <w:r>
        <w:rPr>
          <w:rFonts w:hint="eastAsia" w:ascii="仿宋_GB2312" w:eastAsia="仿宋_GB2312"/>
          <w:color w:val="auto"/>
          <w:sz w:val="32"/>
          <w:szCs w:val="32"/>
          <w:highlight w:val="none"/>
          <w:lang w:val="zh-CN" w:eastAsia="zh-CN"/>
        </w:rPr>
        <w:t>，维持零售户数量的合理稳定。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_GB2312" w:hAnsi="宋体"/>
          <w:b/>
          <w:bCs/>
          <w:color w:val="auto"/>
          <w:sz w:val="32"/>
          <w:szCs w:val="32"/>
          <w:highlight w:val="none"/>
          <w:lang w:val="en-US" w:eastAsia="zh-CN"/>
        </w:rPr>
        <w:t>第六条</w:t>
      </w:r>
      <w:r>
        <w:rPr>
          <w:rFonts w:hint="eastAsia" w:ascii="仿宋_GB2312" w:hAnsi="宋体"/>
          <w:color w:val="auto"/>
          <w:sz w:val="32"/>
          <w:szCs w:val="32"/>
          <w:highlight w:val="none"/>
          <w:lang w:val="en-US" w:eastAsia="zh-CN"/>
        </w:rPr>
        <w:t xml:space="preserve"> </w:t>
      </w:r>
      <w:r>
        <w:rPr>
          <w:rFonts w:hint="eastAsia" w:ascii="仿宋_GB2312" w:eastAsia="仿宋_GB2312"/>
          <w:color w:val="auto"/>
          <w:sz w:val="32"/>
          <w:szCs w:val="32"/>
          <w:highlight w:val="none"/>
          <w:lang w:val="zh-CN" w:eastAsia="zh-CN"/>
        </w:rPr>
        <w:t>零售点合理布局实行定期评价、</w:t>
      </w:r>
      <w:r>
        <w:rPr>
          <w:rFonts w:hint="eastAsia" w:ascii="仿宋_GB2312" w:eastAsia="仿宋_GB2312"/>
          <w:color w:val="auto"/>
          <w:sz w:val="32"/>
          <w:szCs w:val="32"/>
          <w:highlight w:val="none"/>
          <w:lang w:val="en-US" w:eastAsia="zh-CN"/>
        </w:rPr>
        <w:t>视市场需求状态变化情况进行</w:t>
      </w:r>
      <w:r>
        <w:rPr>
          <w:rFonts w:hint="eastAsia" w:ascii="仿宋_GB2312" w:eastAsia="仿宋_GB2312"/>
          <w:color w:val="auto"/>
          <w:sz w:val="32"/>
          <w:szCs w:val="32"/>
          <w:highlight w:val="none"/>
          <w:lang w:val="zh-CN" w:eastAsia="zh-CN"/>
        </w:rPr>
        <w:t>动态管理,动态调整最小市场单元内零售点数量，经法定程序发布后实施，新标准发布实施后旧标准自动废止。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宋体" w:eastAsia="仿宋_GB2312"/>
          <w:color w:val="auto"/>
          <w:sz w:val="32"/>
          <w:szCs w:val="32"/>
          <w:highlight w:val="none"/>
        </w:rPr>
      </w:pPr>
    </w:p>
    <w:p>
      <w:pPr>
        <w:keepNext w:val="0"/>
        <w:keepLines w:val="0"/>
        <w:pageBreakBefore w:val="0"/>
        <w:kinsoku/>
        <w:wordWrap/>
        <w:overflowPunct/>
        <w:topLinePunct w:val="0"/>
        <w:bidi w:val="0"/>
        <w:snapToGrid/>
        <w:spacing w:line="600" w:lineRule="exact"/>
        <w:jc w:val="center"/>
        <w:textAlignment w:val="auto"/>
        <w:rPr>
          <w:rFonts w:hint="default" w:ascii="黑体" w:hAnsi="黑体" w:eastAsia="黑体"/>
          <w:lang w:val="en-US"/>
        </w:rPr>
      </w:pPr>
      <w:r>
        <w:rPr>
          <w:rFonts w:hint="eastAsia" w:ascii="黑体" w:hAnsi="黑体" w:eastAsia="黑体"/>
          <w:lang w:val="en-US" w:eastAsia="zh-CN"/>
        </w:rPr>
        <w:t>第三章 合理布局设置</w:t>
      </w:r>
    </w:p>
    <w:p>
      <w:pPr>
        <w:keepNext w:val="0"/>
        <w:keepLines w:val="0"/>
        <w:pageBreakBefore w:val="0"/>
        <w:numPr>
          <w:ilvl w:val="0"/>
          <w:numId w:val="0"/>
        </w:numPr>
        <w:kinsoku/>
        <w:wordWrap/>
        <w:overflowPunct/>
        <w:topLinePunct w:val="0"/>
        <w:bidi w:val="0"/>
        <w:snapToGrid/>
        <w:spacing w:line="600" w:lineRule="exact"/>
        <w:jc w:val="both"/>
        <w:textAlignment w:val="auto"/>
        <w:rPr>
          <w:rFonts w:hint="eastAsia" w:ascii="黑体" w:hAnsi="黑体" w:eastAsia="黑体"/>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color w:val="auto"/>
          <w:sz w:val="32"/>
          <w:szCs w:val="32"/>
          <w:highlight w:val="none"/>
          <w:lang w:val="en-US" w:eastAsia="zh-CN"/>
        </w:rPr>
      </w:pPr>
      <w:r>
        <w:rPr>
          <w:rFonts w:hint="eastAsia" w:ascii="仿宋_GB2312"/>
          <w:b/>
          <w:bCs/>
          <w:color w:val="auto"/>
          <w:sz w:val="32"/>
          <w:szCs w:val="32"/>
          <w:highlight w:val="none"/>
          <w:lang w:val="en-US" w:eastAsia="zh-CN"/>
        </w:rPr>
        <w:t>第七条</w:t>
      </w:r>
      <w:r>
        <w:rPr>
          <w:rFonts w:hint="eastAsia" w:ascii="仿宋_GB2312"/>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本规定合理布局采用距离调控、总量调控和“总量+距离”控制的模式。</w:t>
      </w:r>
    </w:p>
    <w:p>
      <w:pPr>
        <w:keepNext w:val="0"/>
        <w:keepLines w:val="0"/>
        <w:pageBreakBefore w:val="0"/>
        <w:kinsoku/>
        <w:wordWrap/>
        <w:overflowPunct/>
        <w:topLinePunct w:val="0"/>
        <w:bidi w:val="0"/>
        <w:snapToGrid/>
        <w:spacing w:line="60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距离控制指采取该控</w:t>
      </w:r>
      <w:r>
        <w:rPr>
          <w:rFonts w:hint="eastAsia" w:ascii="仿宋_GB2312" w:eastAsia="仿宋_GB2312"/>
          <w:color w:val="auto"/>
          <w:sz w:val="32"/>
          <w:szCs w:val="32"/>
          <w:highlight w:val="none"/>
          <w:lang w:val="en-US" w:eastAsia="zh-CN"/>
        </w:rPr>
        <w:t>制方式区域内的新办申请或重新申领申请零售点与已</w:t>
      </w:r>
      <w:r>
        <w:rPr>
          <w:rFonts w:hint="eastAsia" w:ascii="仿宋_GB2312"/>
          <w:color w:val="auto"/>
          <w:sz w:val="32"/>
          <w:szCs w:val="32"/>
          <w:highlight w:val="none"/>
          <w:lang w:val="en-US" w:eastAsia="zh-CN"/>
        </w:rPr>
        <w:t>有的零售点之间应符合规定的距离标准，距离调控模式适用于城区、乡镇街道可直接测量空间距离的地域。</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总量控制指</w:t>
      </w:r>
      <w:r>
        <w:rPr>
          <w:rFonts w:hint="eastAsia" w:ascii="仿宋_GB2312"/>
          <w:color w:val="auto"/>
          <w:sz w:val="32"/>
          <w:szCs w:val="32"/>
          <w:highlight w:val="none"/>
          <w:lang w:val="en-US" w:eastAsia="zh-CN"/>
        </w:rPr>
        <w:t>在</w:t>
      </w:r>
      <w:r>
        <w:rPr>
          <w:rFonts w:hint="eastAsia" w:ascii="仿宋_GB2312" w:eastAsia="仿宋_GB2312"/>
          <w:color w:val="auto"/>
          <w:sz w:val="32"/>
          <w:szCs w:val="32"/>
          <w:highlight w:val="none"/>
          <w:lang w:val="en-US" w:eastAsia="zh-CN"/>
        </w:rPr>
        <w:t>该控制方式区域内的持证户不得超过规定的持证总量</w:t>
      </w:r>
      <w:r>
        <w:rPr>
          <w:rFonts w:hint="eastAsia" w:ascii="仿宋_GB2312"/>
          <w:color w:val="auto"/>
          <w:sz w:val="32"/>
          <w:szCs w:val="32"/>
          <w:highlight w:val="none"/>
          <w:lang w:val="en-US" w:eastAsia="zh-CN"/>
        </w:rPr>
        <w:t>，适用于区域单元，相对封闭对内营业定位明确，功能性突出的区域。</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楷体_GB2312" w:hAnsi="宋体" w:eastAsia="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w:t>
      </w:r>
      <w:r>
        <w:rPr>
          <w:rFonts w:hint="eastAsia" w:ascii="楷体_GB2312" w:hAnsi="宋体" w:eastAsia="楷体_GB2312"/>
          <w:color w:val="auto"/>
          <w:sz w:val="32"/>
          <w:szCs w:val="32"/>
          <w:highlight w:val="none"/>
        </w:rPr>
        <w:t>市场单元划分</w:t>
      </w:r>
    </w:p>
    <w:p>
      <w:pPr>
        <w:keepNext w:val="0"/>
        <w:keepLines w:val="0"/>
        <w:pageBreakBefore w:val="0"/>
        <w:kinsoku/>
        <w:wordWrap/>
        <w:overflowPunct/>
        <w:topLinePunct w:val="0"/>
        <w:bidi w:val="0"/>
        <w:snapToGrid/>
        <w:spacing w:line="600" w:lineRule="exact"/>
        <w:ind w:firstLine="640" w:firstLineChars="200"/>
        <w:contextualSpacing/>
        <w:textAlignment w:val="auto"/>
        <w:rPr>
          <w:rFonts w:hint="eastAsia" w:ascii="仿宋_GB2312" w:hAnsi="华文仿宋" w:eastAsia="仿宋_GB2312"/>
          <w:color w:val="auto"/>
          <w:sz w:val="32"/>
          <w:szCs w:val="32"/>
          <w:highlight w:val="yellow"/>
          <w:lang w:eastAsia="zh-CN"/>
        </w:rPr>
      </w:pPr>
      <w:r>
        <w:rPr>
          <w:rFonts w:hint="eastAsia" w:ascii="仿宋_GB2312" w:hAnsi="华文仿宋"/>
          <w:color w:val="auto"/>
          <w:sz w:val="32"/>
          <w:szCs w:val="32"/>
          <w:highlight w:val="none"/>
          <w:lang w:val="en-US" w:eastAsia="zh-CN"/>
        </w:rPr>
        <w:t>府谷县</w:t>
      </w:r>
      <w:r>
        <w:rPr>
          <w:rFonts w:hint="eastAsia" w:ascii="仿宋_GB2312" w:hAnsi="华文仿宋" w:eastAsia="仿宋_GB2312"/>
          <w:color w:val="auto"/>
          <w:sz w:val="32"/>
          <w:szCs w:val="32"/>
          <w:highlight w:val="none"/>
        </w:rPr>
        <w:t>依据</w:t>
      </w:r>
      <w:r>
        <w:rPr>
          <w:rFonts w:hint="eastAsia" w:ascii="仿宋_GB2312" w:hAnsi="华文仿宋"/>
          <w:color w:val="auto"/>
          <w:sz w:val="32"/>
          <w:szCs w:val="32"/>
          <w:highlight w:val="none"/>
          <w:lang w:val="en-US" w:eastAsia="zh-CN"/>
        </w:rPr>
        <w:t>自然行政区域和经济功能区、道路交通状况将烟草制品零售市场按照地域依次分为城镇、工业园区、乡村、集贸四级单元，共16个单元；</w:t>
      </w:r>
      <w:r>
        <w:rPr>
          <w:rFonts w:hint="eastAsia" w:ascii="仿宋_GB2312" w:hAnsi="华文仿宋" w:eastAsia="仿宋_GB2312"/>
          <w:color w:val="auto"/>
          <w:sz w:val="32"/>
          <w:szCs w:val="32"/>
          <w:highlight w:val="none"/>
          <w:lang w:eastAsia="zh-CN"/>
        </w:rPr>
        <w:t>网格</w:t>
      </w:r>
      <w:r>
        <w:rPr>
          <w:rFonts w:hint="eastAsia" w:ascii="仿宋_GB2312" w:hAnsi="华文仿宋" w:eastAsia="仿宋_GB2312"/>
          <w:color w:val="auto"/>
          <w:sz w:val="32"/>
          <w:szCs w:val="32"/>
          <w:highlight w:val="none"/>
        </w:rPr>
        <w:t>单元作为零售点布局控制基础单元，结合商圈、市场、路段、居民区等特点，形成</w:t>
      </w:r>
      <w:r>
        <w:rPr>
          <w:rFonts w:hint="eastAsia" w:ascii="仿宋_GB2312" w:hAnsi="华文仿宋"/>
          <w:color w:val="auto"/>
          <w:sz w:val="32"/>
          <w:szCs w:val="32"/>
          <w:highlight w:val="none"/>
          <w:lang w:val="en-US" w:eastAsia="zh-CN"/>
        </w:rPr>
        <w:t>细分</w:t>
      </w:r>
      <w:r>
        <w:rPr>
          <w:rFonts w:hint="eastAsia" w:ascii="仿宋_GB2312" w:hAnsi="华文仿宋" w:eastAsia="仿宋_GB2312"/>
          <w:color w:val="auto"/>
          <w:sz w:val="32"/>
          <w:szCs w:val="32"/>
          <w:highlight w:val="none"/>
        </w:rPr>
        <w:t>市场</w:t>
      </w:r>
      <w:r>
        <w:rPr>
          <w:rFonts w:hint="eastAsia" w:ascii="仿宋_GB2312" w:hAnsi="华文仿宋"/>
          <w:color w:val="auto"/>
          <w:sz w:val="32"/>
          <w:szCs w:val="32"/>
          <w:highlight w:val="none"/>
          <w:lang w:val="en-US" w:eastAsia="zh-CN"/>
        </w:rPr>
        <w:t>网格。</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楷体_GB2312" w:hAnsi="宋体" w:eastAsia="楷体_GB2312"/>
          <w:color w:val="auto"/>
          <w:sz w:val="32"/>
          <w:szCs w:val="32"/>
          <w:highlight w:val="none"/>
        </w:rPr>
      </w:pPr>
      <w:r>
        <w:rPr>
          <w:rFonts w:hint="eastAsia" w:ascii="楷体_GB2312" w:hAnsi="宋体" w:eastAsia="楷体_GB2312"/>
          <w:color w:val="auto"/>
          <w:sz w:val="32"/>
          <w:szCs w:val="32"/>
          <w:highlight w:val="none"/>
        </w:rPr>
        <w:t>（二）零售点布局模式</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针对不同</w:t>
      </w:r>
      <w:r>
        <w:rPr>
          <w:rFonts w:hint="eastAsia" w:ascii="仿宋_GB2312" w:hAnsi="华文仿宋"/>
          <w:color w:val="auto"/>
          <w:sz w:val="32"/>
          <w:szCs w:val="32"/>
          <w:highlight w:val="none"/>
          <w:lang w:val="en-US" w:eastAsia="zh-CN"/>
        </w:rPr>
        <w:t>类型市场单元</w:t>
      </w:r>
      <w:r>
        <w:rPr>
          <w:rFonts w:hint="eastAsia" w:ascii="仿宋_GB2312" w:hAnsi="华文仿宋" w:eastAsia="仿宋_GB2312"/>
          <w:color w:val="auto"/>
          <w:sz w:val="32"/>
          <w:szCs w:val="32"/>
          <w:highlight w:val="none"/>
        </w:rPr>
        <w:t>，组合运用数量、间距</w:t>
      </w:r>
      <w:r>
        <w:rPr>
          <w:rFonts w:hint="eastAsia" w:ascii="仿宋_GB2312" w:hAnsi="华文仿宋"/>
          <w:color w:val="auto"/>
          <w:sz w:val="32"/>
          <w:szCs w:val="32"/>
          <w:highlight w:val="none"/>
          <w:lang w:val="en-US" w:eastAsia="zh-CN"/>
        </w:rPr>
        <w:t>布局模式，城镇距离布局按照不低于25米直线距离一户，农村直线距离不低于25米设置一户。</w:t>
      </w:r>
    </w:p>
    <w:p>
      <w:pPr>
        <w:keepNext w:val="0"/>
        <w:keepLines w:val="0"/>
        <w:pageBreakBefore w:val="0"/>
        <w:kinsoku/>
        <w:wordWrap/>
        <w:overflowPunct/>
        <w:topLinePunct w:val="0"/>
        <w:bidi w:val="0"/>
        <w:snapToGrid/>
        <w:spacing w:line="600" w:lineRule="exact"/>
        <w:ind w:firstLine="640" w:firstLineChars="200"/>
        <w:contextualSpacing/>
        <w:textAlignment w:val="auto"/>
        <w:rPr>
          <w:rFonts w:ascii="楷体_GB2312" w:hAnsi="宋体" w:eastAsia="楷体_GB2312"/>
          <w:color w:val="auto"/>
          <w:sz w:val="32"/>
          <w:szCs w:val="32"/>
          <w:highlight w:val="none"/>
        </w:rPr>
      </w:pPr>
      <w:r>
        <w:rPr>
          <w:rFonts w:hint="eastAsia" w:ascii="楷体_GB2312" w:hAnsi="宋体" w:eastAsia="楷体_GB2312"/>
          <w:color w:val="auto"/>
          <w:sz w:val="32"/>
          <w:szCs w:val="32"/>
          <w:highlight w:val="none"/>
        </w:rPr>
        <w:t>（三）零售点</w:t>
      </w:r>
      <w:r>
        <w:rPr>
          <w:rFonts w:hint="eastAsia" w:ascii="楷体_GB2312" w:hAnsi="宋体" w:eastAsia="楷体_GB2312"/>
          <w:color w:val="auto"/>
          <w:sz w:val="32"/>
          <w:szCs w:val="32"/>
          <w:highlight w:val="none"/>
          <w:lang w:val="en-US" w:eastAsia="zh-CN"/>
        </w:rPr>
        <w:t>布局</w:t>
      </w:r>
      <w:r>
        <w:rPr>
          <w:rFonts w:hint="eastAsia" w:ascii="楷体_GB2312" w:hAnsi="宋体" w:eastAsia="楷体_GB2312"/>
          <w:color w:val="auto"/>
          <w:sz w:val="32"/>
          <w:szCs w:val="32"/>
          <w:highlight w:val="none"/>
        </w:rPr>
        <w:t>数量</w:t>
      </w:r>
    </w:p>
    <w:p>
      <w:pPr>
        <w:keepNext w:val="0"/>
        <w:keepLines w:val="0"/>
        <w:pageBreakBefore w:val="0"/>
        <w:kinsoku/>
        <w:wordWrap/>
        <w:overflowPunct/>
        <w:topLinePunct w:val="0"/>
        <w:bidi w:val="0"/>
        <w:snapToGrid/>
        <w:spacing w:line="600" w:lineRule="exact"/>
        <w:ind w:firstLine="640" w:firstLineChars="200"/>
        <w:contextualSpacing/>
        <w:textAlignment w:val="auto"/>
        <w:rPr>
          <w:rFonts w:hint="eastAsia" w:ascii="仿宋_GB2312" w:hAnsi="华文仿宋" w:eastAsia="仿宋_GB2312"/>
          <w:color w:val="auto"/>
          <w:sz w:val="32"/>
          <w:szCs w:val="32"/>
          <w:highlight w:val="none"/>
        </w:rPr>
      </w:pPr>
      <w:r>
        <w:rPr>
          <w:rFonts w:hint="eastAsia" w:ascii="仿宋_GB2312" w:hAnsi="华文仿宋"/>
          <w:color w:val="auto"/>
          <w:sz w:val="32"/>
          <w:szCs w:val="32"/>
          <w:highlight w:val="none"/>
          <w:lang w:val="en-US" w:eastAsia="zh-CN"/>
        </w:rPr>
        <w:t>单元网格</w:t>
      </w:r>
      <w:r>
        <w:rPr>
          <w:rFonts w:hint="eastAsia" w:ascii="仿宋_GB2312" w:hAnsi="华文仿宋" w:eastAsia="仿宋_GB2312"/>
          <w:color w:val="auto"/>
          <w:sz w:val="32"/>
          <w:szCs w:val="32"/>
          <w:highlight w:val="none"/>
        </w:rPr>
        <w:t>内零售点数量</w:t>
      </w:r>
      <w:r>
        <w:rPr>
          <w:rFonts w:hint="eastAsia" w:ascii="仿宋_GB2312" w:hAnsi="华文仿宋"/>
          <w:color w:val="auto"/>
          <w:sz w:val="32"/>
          <w:szCs w:val="32"/>
          <w:highlight w:val="none"/>
          <w:lang w:val="en-US" w:eastAsia="zh-CN"/>
        </w:rPr>
        <w:t>规划</w:t>
      </w:r>
      <w:r>
        <w:rPr>
          <w:rFonts w:hint="eastAsia" w:ascii="仿宋_GB2312" w:hAnsi="华文仿宋" w:eastAsia="仿宋_GB2312"/>
          <w:color w:val="auto"/>
          <w:sz w:val="32"/>
          <w:szCs w:val="32"/>
          <w:highlight w:val="none"/>
        </w:rPr>
        <w:t>由</w:t>
      </w:r>
      <w:r>
        <w:rPr>
          <w:rFonts w:hint="eastAsia" w:ascii="仿宋_GB2312" w:hAnsi="华文仿宋"/>
          <w:color w:val="auto"/>
          <w:sz w:val="32"/>
          <w:szCs w:val="32"/>
          <w:highlight w:val="none"/>
          <w:lang w:val="en-US" w:eastAsia="zh-CN"/>
        </w:rPr>
        <w:t>府谷</w:t>
      </w:r>
      <w:r>
        <w:rPr>
          <w:rFonts w:hint="eastAsia" w:ascii="仿宋_GB2312" w:hAnsi="华文仿宋" w:eastAsia="仿宋_GB2312"/>
          <w:color w:val="auto"/>
          <w:sz w:val="32"/>
          <w:szCs w:val="32"/>
          <w:highlight w:val="none"/>
          <w:lang w:eastAsia="zh-CN"/>
        </w:rPr>
        <w:t>县</w:t>
      </w:r>
      <w:r>
        <w:rPr>
          <w:rFonts w:hint="eastAsia" w:ascii="仿宋_GB2312" w:hAnsi="华文仿宋" w:eastAsia="仿宋_GB2312"/>
          <w:color w:val="auto"/>
          <w:sz w:val="32"/>
          <w:szCs w:val="32"/>
          <w:highlight w:val="none"/>
        </w:rPr>
        <w:t>烟草专卖局根据地理位置、经济发展、人口数量、消费需求等因素确定。</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华文仿宋"/>
          <w:color w:val="auto"/>
          <w:sz w:val="32"/>
          <w:szCs w:val="32"/>
          <w:highlight w:val="none"/>
          <w:lang w:val="en-US" w:eastAsia="zh-CN"/>
        </w:rPr>
      </w:pPr>
      <w:r>
        <w:rPr>
          <w:rFonts w:hint="eastAsia" w:ascii="仿宋" w:hAnsi="仿宋" w:eastAsia="仿宋"/>
        </w:rPr>
        <w:t>如区域拟增零售点数量为负数，则说明该区域零售点布局已满</w:t>
      </w:r>
      <w:r>
        <w:rPr>
          <w:rFonts w:hint="eastAsia" w:ascii="仿宋" w:hAnsi="仿宋" w:eastAsia="仿宋"/>
          <w:lang w:eastAsia="zh-CN"/>
        </w:rPr>
        <w:t>，</w:t>
      </w:r>
      <w:r>
        <w:rPr>
          <w:rFonts w:hint="eastAsia" w:ascii="仿宋" w:hAnsi="仿宋" w:eastAsia="仿宋"/>
        </w:rPr>
        <w:t>将不再新增零售点</w:t>
      </w:r>
      <w:r>
        <w:rPr>
          <w:rFonts w:hint="eastAsia" w:ascii="仿宋" w:hAnsi="仿宋" w:eastAsia="仿宋"/>
          <w:lang w:eastAsia="zh-CN"/>
        </w:rPr>
        <w:t>。</w:t>
      </w:r>
      <w:r>
        <w:rPr>
          <w:rFonts w:hint="eastAsia" w:ascii="仿宋" w:hAnsi="仿宋" w:eastAsia="仿宋"/>
          <w:lang w:val="en-US" w:eastAsia="zh-CN"/>
        </w:rPr>
        <w:t>总体规划，总量控制，保持动态</w:t>
      </w:r>
      <w:r>
        <w:rPr>
          <w:rFonts w:hint="eastAsia" w:ascii="仿宋" w:hAnsi="仿宋" w:eastAsia="仿宋"/>
          <w:highlight w:val="none"/>
          <w:lang w:val="en-US" w:eastAsia="zh-CN"/>
        </w:rPr>
        <w:t>调整，</w:t>
      </w:r>
      <w:r>
        <w:rPr>
          <w:rFonts w:hint="eastAsia" w:ascii="仿宋_GB2312" w:hAnsi="华文仿宋" w:eastAsia="仿宋_GB2312"/>
          <w:color w:val="auto"/>
          <w:sz w:val="32"/>
          <w:szCs w:val="32"/>
          <w:highlight w:val="none"/>
        </w:rPr>
        <w:t>实行</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退一</w:t>
      </w:r>
      <w:r>
        <w:rPr>
          <w:rFonts w:hint="eastAsia" w:ascii="仿宋_GB2312" w:hAnsi="华文仿宋" w:eastAsia="仿宋_GB2312"/>
          <w:color w:val="auto"/>
          <w:sz w:val="32"/>
          <w:szCs w:val="32"/>
          <w:highlight w:val="none"/>
          <w:lang w:val="en-US" w:eastAsia="zh-CN"/>
        </w:rPr>
        <w:t>进</w:t>
      </w:r>
      <w:r>
        <w:rPr>
          <w:rFonts w:hint="eastAsia" w:ascii="仿宋_GB2312" w:hAnsi="华文仿宋" w:eastAsia="仿宋_GB2312"/>
          <w:color w:val="auto"/>
          <w:sz w:val="32"/>
          <w:szCs w:val="32"/>
          <w:highlight w:val="none"/>
        </w:rPr>
        <w:t>一</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，逐步调整优化</w:t>
      </w:r>
      <w:r>
        <w:rPr>
          <w:rFonts w:hint="eastAsia" w:ascii="仿宋_GB2312" w:hAnsi="华文仿宋"/>
          <w:color w:val="auto"/>
          <w:sz w:val="32"/>
          <w:szCs w:val="32"/>
          <w:highlight w:val="none"/>
          <w:lang w:val="en-US" w:eastAsia="zh-CN"/>
        </w:rPr>
        <w:t>布局。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华文仿宋"/>
          <w:b w:val="0"/>
          <w:bCs w:val="0"/>
          <w:color w:val="auto"/>
          <w:sz w:val="32"/>
          <w:szCs w:val="32"/>
          <w:highlight w:val="none"/>
          <w:lang w:val="en-US" w:eastAsia="zh-CN"/>
        </w:rPr>
      </w:pPr>
      <w:r>
        <w:rPr>
          <w:rFonts w:hint="eastAsia" w:ascii="仿宋_GB2312" w:hAnsi="华文仿宋"/>
          <w:b/>
          <w:bCs/>
          <w:color w:val="auto"/>
          <w:sz w:val="32"/>
          <w:szCs w:val="32"/>
          <w:highlight w:val="none"/>
          <w:lang w:val="en-US" w:eastAsia="zh-CN"/>
        </w:rPr>
        <w:t>第八条</w:t>
      </w:r>
      <w:r>
        <w:rPr>
          <w:rFonts w:hint="eastAsia" w:ascii="仿宋_GB2312" w:hAnsi="华文仿宋"/>
          <w:b w:val="0"/>
          <w:bCs w:val="0"/>
          <w:color w:val="auto"/>
          <w:sz w:val="32"/>
          <w:szCs w:val="32"/>
          <w:highlight w:val="none"/>
          <w:lang w:val="en-US" w:eastAsia="zh-CN"/>
        </w:rPr>
        <w:t xml:space="preserve"> 社会特殊群体</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属于下列社会特殊群体，本人（或直系亲属）从事烟草制品零售业务且确属家庭经济困难（相关部门出具书面证明材料）的，其首次办理烟草专卖零售许可证时，不受本规定零售点合理布局数量限制，间距标准按一般零售户布局规划间距的50%执行：</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1.具有以下级别的残疾人员：</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（1）视力残疾：一级盲、二级盲</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（2）听力残疾：一、二、三级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（3）言语残疾：一、二、三级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（4）肢体残疾：重度（一级）、中度（二级）</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2.军烈属（持烈士证的父母、配偶、子女，仅限一名成员，凭烈士证和相关证明材料）；</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3.退役军人（持有转业或退伍军人证件，以转业、退伍军人证颁发日期为准，两年内有效）；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4.国家明文给予政策扶持，属地烟草专卖行政主管部门根据本地实际，经集体研究，认为可以扶持照顾的对象。</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第九条 </w:t>
      </w:r>
      <w:r>
        <w:rPr>
          <w:rFonts w:hint="eastAsia" w:ascii="仿宋_GB2312" w:hAnsi="仿宋_GB2312" w:eastAsia="仿宋_GB2312" w:cs="仿宋_GB2312"/>
          <w:color w:val="auto"/>
          <w:sz w:val="32"/>
          <w:szCs w:val="32"/>
          <w:highlight w:val="none"/>
          <w:lang w:val="en-US" w:eastAsia="zh-CN"/>
        </w:rPr>
        <w:t>有下列情形之一的，依法不予放宽办证条件：</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1.有固定职业及稳定收入来源的；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2.享受退休、退职、退养待遇具有稳定生活保障的；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3.非本人或直系亲属（仅限配偶、父母、子女或法定监护人）经营的；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4.较低级别的视力残疾、听力残疾、言语残疾和肢体残疾且可以从事一般社会工作的；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5.已在本行政区域或在市县内享受过一次放宽办证政策的；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6.法律法规及其他规范性文件规定的不予放宽的情形。</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eastAsia="仿宋_GB2312"/>
          <w:color w:val="auto"/>
          <w:sz w:val="32"/>
          <w:szCs w:val="32"/>
          <w:highlight w:val="none"/>
          <w:lang w:eastAsia="zh-CN"/>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条</w:t>
      </w:r>
      <w:r>
        <w:rPr>
          <w:rFonts w:hint="eastAsia" w:ascii="黑体" w:hAnsi="黑体" w:eastAsia="黑体" w:cs="黑体"/>
          <w:color w:val="auto"/>
          <w:sz w:val="32"/>
          <w:szCs w:val="32"/>
          <w:highlight w:val="none"/>
        </w:rPr>
        <w:t xml:space="preserve"> </w:t>
      </w:r>
      <w:r>
        <w:rPr>
          <w:rFonts w:hint="eastAsia" w:ascii="仿宋_GB2312" w:eastAsia="仿宋_GB2312"/>
          <w:color w:val="auto"/>
          <w:sz w:val="32"/>
          <w:szCs w:val="32"/>
          <w:highlight w:val="none"/>
          <w:lang w:eastAsia="zh-CN"/>
        </w:rPr>
        <w:t>有下列情形之一的，</w:t>
      </w:r>
      <w:r>
        <w:rPr>
          <w:rFonts w:hint="eastAsia" w:ascii="仿宋_GB2312" w:eastAsia="仿宋_GB2312"/>
          <w:color w:val="auto"/>
          <w:sz w:val="32"/>
          <w:szCs w:val="32"/>
          <w:highlight w:val="none"/>
        </w:rPr>
        <w:t>依法不予核发烟草专卖零售许可证</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 w:eastAsia="楷体_GB2312" w:cs="楷体"/>
          <w:color w:val="auto"/>
          <w:sz w:val="32"/>
          <w:szCs w:val="32"/>
          <w:highlight w:val="none"/>
          <w:lang w:val="zh-CN"/>
        </w:rPr>
      </w:pPr>
      <w:r>
        <w:rPr>
          <w:rFonts w:hint="eastAsia" w:ascii="楷体_GB2312" w:hAnsi="楷体" w:eastAsia="楷体_GB2312" w:cs="楷体"/>
          <w:color w:val="auto"/>
          <w:sz w:val="32"/>
          <w:szCs w:val="32"/>
          <w:highlight w:val="none"/>
          <w:lang w:val="zh-CN"/>
        </w:rPr>
        <w:t>一、申请主体资格方面</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（一）无民事行为能力人及限制民事行为能力人；</w:t>
      </w:r>
    </w:p>
    <w:p>
      <w:pPr>
        <w:keepNext w:val="0"/>
        <w:keepLines w:val="0"/>
        <w:pageBreakBefore w:val="0"/>
        <w:kinsoku/>
        <w:wordWrap/>
        <w:overflowPunct/>
        <w:topLinePunct w:val="0"/>
        <w:bidi w:val="0"/>
        <w:snapToGrid/>
        <w:spacing w:line="600" w:lineRule="exact"/>
        <w:ind w:firstLine="620" w:firstLineChars="200"/>
        <w:jc w:val="left"/>
        <w:textAlignment w:val="auto"/>
        <w:rPr>
          <w:highlight w:val="none"/>
        </w:rPr>
      </w:pPr>
      <w:r>
        <w:rPr>
          <w:rFonts w:hint="eastAsia" w:ascii="仿宋_GB2312" w:eastAsia="仿宋_GB2312" w:cs="仿宋_GB2312"/>
          <w:color w:val="000000"/>
          <w:sz w:val="31"/>
          <w:szCs w:val="31"/>
          <w:highlight w:val="none"/>
          <w:lang w:eastAsia="zh-CN"/>
        </w:rPr>
        <w:t>（</w:t>
      </w:r>
      <w:r>
        <w:rPr>
          <w:rFonts w:hint="eastAsia" w:ascii="仿宋_GB2312" w:eastAsia="仿宋_GB2312" w:cs="仿宋_GB2312"/>
          <w:color w:val="000000"/>
          <w:sz w:val="31"/>
          <w:szCs w:val="31"/>
          <w:highlight w:val="none"/>
          <w:lang w:val="en-US" w:eastAsia="zh-CN"/>
        </w:rPr>
        <w:t>二</w:t>
      </w:r>
      <w:r>
        <w:rPr>
          <w:rFonts w:hint="eastAsia" w:ascii="仿宋_GB2312" w:eastAsia="仿宋_GB2312" w:cs="仿宋_GB2312"/>
          <w:color w:val="000000"/>
          <w:sz w:val="31"/>
          <w:szCs w:val="31"/>
          <w:highlight w:val="none"/>
          <w:lang w:eastAsia="zh-CN"/>
        </w:rPr>
        <w:t>）</w:t>
      </w:r>
      <w:r>
        <w:rPr>
          <w:rFonts w:hint="eastAsia" w:ascii="仿宋_GB2312" w:eastAsia="仿宋_GB2312" w:cs="仿宋_GB2312"/>
          <w:color w:val="000000"/>
          <w:sz w:val="31"/>
          <w:szCs w:val="31"/>
          <w:highlight w:val="none"/>
        </w:rPr>
        <w:t>残疾人中智力残疾以及精神残疾为限制民事行为能力人或无民事行为能力人的，不能从事卷烟零售业务，不具备持证资格</w:t>
      </w:r>
      <w:r>
        <w:rPr>
          <w:rFonts w:hint="eastAsia" w:ascii="仿宋_GB2312" w:eastAsia="仿宋_GB2312" w:cs="仿宋_GB2312"/>
          <w:color w:val="000000"/>
          <w:sz w:val="31"/>
          <w:szCs w:val="31"/>
          <w:highlight w:val="none"/>
          <w:lang w:val="en-US" w:eastAsia="zh-CN"/>
        </w:rPr>
        <w:t>的；</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yellow"/>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）外商投资</w:t>
      </w:r>
      <w:r>
        <w:rPr>
          <w:rFonts w:hint="eastAsia" w:ascii="仿宋_GB2312"/>
          <w:color w:val="auto"/>
          <w:sz w:val="32"/>
          <w:szCs w:val="32"/>
          <w:highlight w:val="none"/>
          <w:lang w:eastAsia="zh-CN"/>
        </w:rPr>
        <w:t>的</w:t>
      </w:r>
      <w:r>
        <w:rPr>
          <w:rFonts w:hint="eastAsia" w:ascii="仿宋_GB2312" w:eastAsia="仿宋_GB2312"/>
          <w:color w:val="auto"/>
          <w:sz w:val="32"/>
          <w:szCs w:val="32"/>
          <w:highlight w:val="none"/>
        </w:rPr>
        <w:t>商业企业或者个体工商户，或者外商投资的商业企业或者个体工商户以特许</w:t>
      </w:r>
      <w:r>
        <w:rPr>
          <w:rFonts w:hint="eastAsia" w:ascii="仿宋_GB2312"/>
          <w:color w:val="auto"/>
          <w:sz w:val="32"/>
          <w:szCs w:val="32"/>
          <w:highlight w:val="none"/>
          <w:lang w:eastAsia="zh-CN"/>
        </w:rPr>
        <w:t>、</w:t>
      </w:r>
      <w:r>
        <w:rPr>
          <w:rFonts w:hint="eastAsia" w:ascii="仿宋_GB2312" w:eastAsia="仿宋_GB2312"/>
          <w:color w:val="auto"/>
          <w:sz w:val="32"/>
          <w:szCs w:val="32"/>
          <w:highlight w:val="none"/>
        </w:rPr>
        <w:t>吸纳加盟店及其他再投资等形式变相从事烟草专卖品经营业务的；</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）因申请人隐瞒有关情况或者提供虚假材料，烟草专卖行政主管部门作出不予受理或者不予发证决定后，申请人一年内再次提出申请的；</w:t>
      </w:r>
    </w:p>
    <w:p>
      <w:pPr>
        <w:keepNext w:val="0"/>
        <w:keepLines w:val="0"/>
        <w:pageBreakBefore w:val="0"/>
        <w:widowControl/>
        <w:suppressLineNumbers w:val="0"/>
        <w:kinsoku/>
        <w:wordWrap/>
        <w:overflowPunct/>
        <w:topLinePunct w:val="0"/>
        <w:bidi w:val="0"/>
        <w:snapToGrid/>
        <w:spacing w:line="600" w:lineRule="exact"/>
        <w:ind w:firstLine="620" w:firstLineChars="200"/>
        <w:jc w:val="left"/>
        <w:textAlignment w:val="auto"/>
        <w:rPr>
          <w:rFonts w:hint="eastAsia" w:ascii="仿宋_GB2312" w:eastAsia="仿宋_GB2312"/>
          <w:color w:val="auto"/>
          <w:sz w:val="32"/>
          <w:szCs w:val="32"/>
          <w:highlight w:val="none"/>
          <w:lang w:eastAsia="zh-CN"/>
        </w:rPr>
      </w:pPr>
      <w:r>
        <w:rPr>
          <w:rFonts w:hint="eastAsia" w:ascii="仿宋_GB2312" w:hAnsi="宋体" w:eastAsia="仿宋_GB2312" w:cs="仿宋_GB2312"/>
          <w:color w:val="000000"/>
          <w:kern w:val="0"/>
          <w:sz w:val="31"/>
          <w:szCs w:val="31"/>
          <w:highlight w:val="none"/>
          <w:lang w:val="en-US" w:eastAsia="zh-CN" w:bidi="ar"/>
        </w:rPr>
        <w:t>（五）申请人提供虚假残疾人证明材料办理烟草专卖零售许可证的。根据《烟草专卖许可证管理办法》第四十六条、第五十五条的规定，通过提供虚假残疾人证明材料办理烟草专卖零售许可证的，应当不予发证，已经取得许可证的，应当予以撤销并收回烟草专卖零售许可证；</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）申请人以欺骗、贿赂等不正当手段取得的烟草专卖零售许可证被撤销后，申请人三年内再次提出申请的；</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）未领取烟草专卖零售许可证经营烟草制品业务，并且一年内被执法机关处罚两次以上，在三年内申请领取烟草专卖零售许可证的；</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八</w:t>
      </w:r>
      <w:r>
        <w:rPr>
          <w:rFonts w:hint="eastAsia" w:ascii="仿宋_GB2312" w:eastAsia="仿宋_GB2312"/>
          <w:color w:val="auto"/>
          <w:sz w:val="32"/>
          <w:szCs w:val="32"/>
          <w:highlight w:val="none"/>
        </w:rPr>
        <w:t xml:space="preserve">）取消从事烟草专卖业务资格不满三年的； </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九</w:t>
      </w:r>
      <w:r>
        <w:rPr>
          <w:rFonts w:hint="eastAsia" w:ascii="仿宋_GB2312" w:eastAsia="仿宋_GB2312"/>
          <w:color w:val="auto"/>
          <w:sz w:val="32"/>
          <w:szCs w:val="32"/>
          <w:highlight w:val="none"/>
        </w:rPr>
        <w:t>）未取得工商营业执照的；</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）进入国家企业信用信息公示系统违法失信黑名单的；</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十一</w:t>
      </w:r>
      <w:r>
        <w:rPr>
          <w:rFonts w:hint="eastAsia" w:ascii="仿宋_GB2312" w:eastAsia="仿宋_GB2312"/>
          <w:color w:val="auto"/>
          <w:sz w:val="32"/>
          <w:szCs w:val="32"/>
          <w:highlight w:val="none"/>
        </w:rPr>
        <w:t>）未领取烟草专卖零售许可证经营烟草制品业务被追究刑事责任，在3年内申请领取烟草专卖零售许可证的。</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 w:eastAsia="楷体_GB2312" w:cs="楷体"/>
          <w:color w:val="auto"/>
          <w:sz w:val="32"/>
          <w:szCs w:val="32"/>
          <w:highlight w:val="none"/>
          <w:lang w:val="zh-CN"/>
        </w:rPr>
      </w:pPr>
      <w:r>
        <w:rPr>
          <w:rFonts w:hint="eastAsia" w:ascii="楷体_GB2312" w:hAnsi="楷体" w:eastAsia="楷体_GB2312" w:cs="楷体"/>
          <w:color w:val="auto"/>
          <w:sz w:val="32"/>
          <w:szCs w:val="32"/>
          <w:highlight w:val="none"/>
          <w:lang w:val="zh-CN"/>
        </w:rPr>
        <w:t>二、经营场所方面</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（一）无固定经营场所的，</w:t>
      </w:r>
      <w:r>
        <w:rPr>
          <w:rFonts w:hint="eastAsia" w:ascii="仿宋_GB2312" w:eastAsia="仿宋_GB2312"/>
          <w:color w:val="auto"/>
          <w:sz w:val="32"/>
          <w:szCs w:val="32"/>
          <w:highlight w:val="none"/>
          <w:lang w:val="zh-CN"/>
        </w:rPr>
        <w:t>如</w:t>
      </w:r>
      <w:r>
        <w:rPr>
          <w:rFonts w:hint="eastAsia" w:ascii="仿宋_GB2312" w:eastAsia="仿宋_GB2312"/>
          <w:color w:val="auto"/>
          <w:sz w:val="32"/>
          <w:szCs w:val="32"/>
          <w:highlight w:val="none"/>
        </w:rPr>
        <w:t xml:space="preserve">流动摊点（车、棚）、简易搭盖、活动板房、违章建筑、临时建筑、待拆建筑、集装箱屋、报刊亭、电话亭、危房以及尚未竣工或未交付使用的场所等； </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val="zh-CN"/>
        </w:rPr>
        <w:t>无与住所相独立的固定经营场所，如</w:t>
      </w:r>
      <w:r>
        <w:rPr>
          <w:rFonts w:hint="eastAsia" w:ascii="仿宋_GB2312" w:eastAsia="仿宋_GB2312"/>
          <w:color w:val="auto"/>
          <w:sz w:val="32"/>
          <w:szCs w:val="32"/>
          <w:highlight w:val="none"/>
        </w:rPr>
        <w:t>住宅公寓、办公场所、仓库、生活住所的车库、地下室、储藏室以及地面二层及以上未对消费者全开放的场所等</w:t>
      </w:r>
      <w:r>
        <w:rPr>
          <w:rFonts w:hint="eastAsia" w:ascii="仿宋_GB2312" w:eastAsia="仿宋_GB2312"/>
          <w:color w:val="auto"/>
          <w:sz w:val="32"/>
          <w:szCs w:val="32"/>
          <w:highlight w:val="none"/>
          <w:lang w:val="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（三）经营场所存在安全隐患，且不具备安全措施保障，不适宜经营烟草制品的，如</w:t>
      </w:r>
      <w:r>
        <w:rPr>
          <w:rFonts w:hint="eastAsia" w:ascii="仿宋_GB2312" w:eastAsia="仿宋_GB2312"/>
          <w:color w:val="auto"/>
          <w:sz w:val="32"/>
          <w:szCs w:val="32"/>
          <w:highlight w:val="none"/>
          <w:lang w:eastAsia="zh-CN"/>
        </w:rPr>
        <w:t>主营业务为</w:t>
      </w:r>
      <w:r>
        <w:rPr>
          <w:rFonts w:hint="eastAsia" w:ascii="仿宋_GB2312" w:hAnsi="仿宋_GB2312" w:eastAsia="仿宋_GB2312" w:cs="仿宋_GB2312"/>
          <w:color w:val="auto"/>
          <w:sz w:val="32"/>
          <w:szCs w:val="32"/>
          <w:highlight w:val="none"/>
        </w:rPr>
        <w:t>美容、化工、农药、化肥、鞭炮、燃气</w:t>
      </w:r>
      <w:r>
        <w:rPr>
          <w:rFonts w:hint="eastAsia" w:ascii="仿宋_GB2312" w:hAnsi="仿宋_GB2312" w:eastAsia="仿宋_GB2312" w:cs="仿宋_GB2312"/>
          <w:color w:val="auto"/>
          <w:sz w:val="32"/>
          <w:szCs w:val="32"/>
          <w:highlight w:val="none"/>
          <w:lang w:eastAsia="zh-CN"/>
        </w:rPr>
        <w:t>或</w:t>
      </w:r>
      <w:r>
        <w:rPr>
          <w:rFonts w:hint="eastAsia" w:ascii="仿宋_GB2312" w:eastAsia="仿宋_GB2312"/>
          <w:color w:val="auto"/>
          <w:sz w:val="32"/>
          <w:szCs w:val="32"/>
          <w:highlight w:val="none"/>
        </w:rPr>
        <w:t>生产、销售、经营、储存有毒有害、易挥发类物质、易燃易爆等，不符合食品安全标准，容易造成卷烟污染的。</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 w:eastAsia="楷体_GB2312" w:cs="楷体"/>
          <w:color w:val="auto"/>
          <w:sz w:val="32"/>
          <w:szCs w:val="32"/>
          <w:highlight w:val="none"/>
          <w:lang w:val="zh-CN"/>
        </w:rPr>
      </w:pPr>
      <w:r>
        <w:rPr>
          <w:rFonts w:hint="eastAsia" w:ascii="楷体_GB2312" w:hAnsi="楷体" w:eastAsia="楷体_GB2312" w:cs="楷体"/>
          <w:color w:val="auto"/>
          <w:sz w:val="32"/>
          <w:szCs w:val="32"/>
          <w:highlight w:val="none"/>
          <w:lang w:val="zh-CN"/>
        </w:rPr>
        <w:t>三、经营模式方面</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val="zh-CN"/>
        </w:rPr>
        <w:t>利用</w:t>
      </w:r>
      <w:r>
        <w:rPr>
          <w:rFonts w:hint="eastAsia" w:ascii="仿宋_GB2312" w:eastAsia="仿宋_GB2312"/>
          <w:color w:val="auto"/>
          <w:sz w:val="32"/>
          <w:szCs w:val="32"/>
          <w:highlight w:val="none"/>
        </w:rPr>
        <w:t>自动售货机</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柜</w:t>
      </w:r>
      <w:r>
        <w:rPr>
          <w:rFonts w:hint="eastAsia" w:ascii="仿宋_GB2312"/>
          <w:color w:val="auto"/>
          <w:sz w:val="32"/>
          <w:szCs w:val="32"/>
          <w:highlight w:val="none"/>
          <w:lang w:eastAsia="zh-CN"/>
        </w:rPr>
        <w:t>）</w:t>
      </w:r>
      <w:r>
        <w:rPr>
          <w:rFonts w:hint="eastAsia" w:ascii="仿宋_GB2312" w:eastAsia="仿宋_GB2312"/>
          <w:color w:val="auto"/>
          <w:sz w:val="32"/>
          <w:szCs w:val="32"/>
          <w:highlight w:val="none"/>
        </w:rPr>
        <w:t>、电玩游戏机及</w:t>
      </w:r>
      <w:r>
        <w:rPr>
          <w:rFonts w:hint="eastAsia" w:ascii="仿宋_GB2312" w:eastAsia="仿宋_GB2312"/>
          <w:color w:val="auto"/>
          <w:sz w:val="32"/>
          <w:szCs w:val="32"/>
          <w:highlight w:val="none"/>
          <w:lang w:val="zh-CN"/>
        </w:rPr>
        <w:t>无人超市或者其他自动</w:t>
      </w:r>
      <w:r>
        <w:rPr>
          <w:rFonts w:hint="eastAsia" w:ascii="仿宋_GB2312" w:eastAsia="仿宋_GB2312"/>
          <w:color w:val="auto"/>
          <w:sz w:val="32"/>
          <w:szCs w:val="32"/>
          <w:highlight w:val="none"/>
        </w:rPr>
        <w:t xml:space="preserve">售货形式的； </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（二）利用信息网络</w:t>
      </w:r>
      <w:r>
        <w:rPr>
          <w:rFonts w:hint="eastAsia" w:ascii="仿宋_GB2312"/>
          <w:color w:val="auto"/>
          <w:sz w:val="32"/>
          <w:szCs w:val="32"/>
          <w:highlight w:val="none"/>
          <w:lang w:val="en-US" w:eastAsia="zh-CN"/>
        </w:rPr>
        <w:t>经营</w:t>
      </w:r>
      <w:r>
        <w:rPr>
          <w:rFonts w:hint="eastAsia" w:ascii="仿宋_GB2312" w:eastAsia="仿宋_GB2312"/>
          <w:color w:val="auto"/>
          <w:sz w:val="32"/>
          <w:szCs w:val="32"/>
          <w:highlight w:val="none"/>
        </w:rPr>
        <w:t>烟草制品的</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s="宋体" w:hAnsiTheme="minorEastAsia"/>
          <w:bCs/>
          <w:color w:val="auto"/>
          <w:sz w:val="32"/>
          <w:szCs w:val="32"/>
          <w:highlight w:val="none"/>
        </w:rPr>
        <w:t>主营业务为通信器材、电子商品、汽车维修、美容美甲、保健按摩、药妆医械、文化体育、书报杂志、音像器乐、复印照相、彩票书店、网吧、歌舞酒吧、棋牌茶楼、餐饮小吃、蛋糕烘焙、粮油散酒、花卉水果、仪器珠宝、床上用品、服饰箱包、车贸服务、修理加工、寄递配送、中介劳服、旅行服务、婚丧祭祀、金融证券、农具农资、农畜养殖、渔具水产、宠物医服、家电家具、五金建材、装饰装潢等专业性较强，与烟草制品零售业务没有直接或者间接互补营销关系的业态类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hAnsi="楷体" w:eastAsia="楷体_GB2312" w:cs="楷体"/>
          <w:color w:val="auto"/>
          <w:sz w:val="32"/>
          <w:szCs w:val="32"/>
          <w:highlight w:val="none"/>
          <w:lang w:val="zh-CN"/>
        </w:rPr>
      </w:pPr>
      <w:r>
        <w:rPr>
          <w:rFonts w:hint="eastAsia" w:ascii="楷体_GB2312" w:hAnsi="楷体" w:eastAsia="楷体_GB2312" w:cs="楷体"/>
          <w:color w:val="auto"/>
          <w:sz w:val="32"/>
          <w:szCs w:val="32"/>
          <w:highlight w:val="none"/>
          <w:lang w:val="zh-CN"/>
        </w:rPr>
        <w:t>四、特殊区域方面</w:t>
      </w:r>
    </w:p>
    <w:p>
      <w:pPr>
        <w:pStyle w:val="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（一）幼儿园、中小学校内部；</w:t>
      </w:r>
    </w:p>
    <w:p>
      <w:pPr>
        <w:pStyle w:val="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（二）城区中小学校、幼儿园与</w:t>
      </w:r>
      <w:r>
        <w:rPr>
          <w:rFonts w:hint="eastAsia" w:ascii="仿宋_GB2312" w:eastAsia="仿宋_GB2312"/>
          <w:color w:val="auto"/>
          <w:sz w:val="32"/>
          <w:szCs w:val="32"/>
          <w:highlight w:val="none"/>
          <w:lang w:val="en-US" w:eastAsia="zh-CN"/>
        </w:rPr>
        <w:t>烟草制品零售</w:t>
      </w:r>
      <w:r>
        <w:rPr>
          <w:rFonts w:hint="eastAsia" w:ascii="仿宋_GB2312" w:eastAsia="仿宋_GB2312"/>
          <w:color w:val="auto"/>
          <w:sz w:val="32"/>
          <w:szCs w:val="32"/>
          <w:highlight w:val="none"/>
        </w:rPr>
        <w:t>点的距离不得低于</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米,乡镇中小学校、幼儿园与</w:t>
      </w:r>
      <w:r>
        <w:rPr>
          <w:rFonts w:hint="eastAsia" w:ascii="仿宋_GB2312" w:eastAsia="仿宋_GB2312"/>
          <w:color w:val="auto"/>
          <w:sz w:val="32"/>
          <w:szCs w:val="32"/>
          <w:highlight w:val="none"/>
          <w:lang w:val="en-US" w:eastAsia="zh-CN"/>
        </w:rPr>
        <w:t>烟草制品零售</w:t>
      </w:r>
      <w:r>
        <w:rPr>
          <w:rFonts w:hint="eastAsia" w:ascii="仿宋_GB2312" w:eastAsia="仿宋_GB2312"/>
          <w:color w:val="auto"/>
          <w:sz w:val="32"/>
          <w:szCs w:val="32"/>
          <w:highlight w:val="none"/>
        </w:rPr>
        <w:t>点的距离不得低于</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测量方法为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以幼儿园、中小学校日常可通行的出入口中间点为圆心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米、</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米为半径的距离</w:t>
      </w:r>
      <w:r>
        <w:rPr>
          <w:rFonts w:hint="eastAsia" w:ascii="仿宋_GB2312" w:eastAsia="仿宋_GB2312"/>
          <w:color w:val="auto"/>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以未成年人为服务对象的经营场所内部</w:t>
      </w:r>
      <w:r>
        <w:rPr>
          <w:rFonts w:hint="eastAsia" w:ascii="仿宋_GB2312" w:hAnsi="仿宋_GB2312" w:eastAsia="仿宋_GB2312" w:cs="仿宋_GB2312"/>
          <w:color w:val="auto"/>
          <w:sz w:val="32"/>
          <w:szCs w:val="32"/>
          <w:highlight w:val="none"/>
          <w:lang w:eastAsia="zh-CN"/>
        </w:rPr>
        <w:t>，如：</w:t>
      </w:r>
      <w:r>
        <w:rPr>
          <w:rFonts w:hint="eastAsia" w:ascii="仿宋_GB2312" w:hAnsi="仿宋" w:eastAsia="仿宋_GB2312" w:cs="仿宋"/>
          <w:color w:val="auto"/>
          <w:sz w:val="32"/>
          <w:szCs w:val="32"/>
          <w:highlight w:val="none"/>
        </w:rPr>
        <w:t>托幼机构、少年宫</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（四）公安消防、文化稽查、卫生监督等政府相关部门规定的不适宜经营卷烟的场所，如</w:t>
      </w:r>
      <w:r>
        <w:rPr>
          <w:rFonts w:hint="eastAsia" w:ascii="仿宋_GB2312"/>
          <w:color w:val="auto"/>
          <w:sz w:val="32"/>
          <w:szCs w:val="32"/>
          <w:highlight w:val="none"/>
          <w:lang w:eastAsia="zh-CN"/>
        </w:rPr>
        <w:t>：</w:t>
      </w:r>
      <w:r>
        <w:rPr>
          <w:rFonts w:hint="eastAsia" w:ascii="仿宋_GB2312" w:eastAsia="仿宋_GB2312"/>
          <w:color w:val="auto"/>
          <w:sz w:val="32"/>
          <w:szCs w:val="32"/>
          <w:highlight w:val="none"/>
        </w:rPr>
        <w:t>网吧、游戏厅、医疗卫生机构内部</w:t>
      </w:r>
      <w:r>
        <w:rPr>
          <w:rFonts w:hint="eastAsia" w:ascii="仿宋_GB2312" w:eastAsia="仿宋_GB2312"/>
          <w:color w:val="auto"/>
          <w:sz w:val="32"/>
          <w:szCs w:val="32"/>
          <w:highlight w:val="none"/>
          <w:lang w:eastAsia="zh-CN"/>
        </w:rPr>
        <w:t>、</w:t>
      </w:r>
      <w:r>
        <w:rPr>
          <w:rFonts w:hint="eastAsia" w:ascii="仿宋_GB2312" w:hAnsi="仿宋" w:eastAsia="仿宋_GB2312" w:cs="仿宋"/>
          <w:color w:val="auto"/>
          <w:sz w:val="32"/>
          <w:szCs w:val="32"/>
          <w:highlight w:val="none"/>
        </w:rPr>
        <w:t>社会福利机构和图书馆（室）、科技馆（宫）、美术馆</w:t>
      </w:r>
      <w:r>
        <w:rPr>
          <w:rFonts w:hint="eastAsia" w:ascii="仿宋_GB2312" w:eastAsia="仿宋_GB2312"/>
          <w:color w:val="auto"/>
          <w:sz w:val="32"/>
          <w:szCs w:val="32"/>
          <w:highlight w:val="none"/>
        </w:rPr>
        <w:t>等；</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（五）党政机关内部；</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（六）政府明令禁止经营卷烟类商品的区域；</w:t>
      </w:r>
    </w:p>
    <w:p>
      <w:pPr>
        <w:keepNext w:val="0"/>
        <w:keepLines w:val="0"/>
        <w:pageBreakBefore w:val="0"/>
        <w:kinsoku/>
        <w:wordWrap/>
        <w:overflowPunct/>
        <w:topLinePunct w:val="0"/>
        <w:bidi w:val="0"/>
        <w:snapToGrid/>
        <w:spacing w:line="60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（七）</w:t>
      </w:r>
      <w:r>
        <w:rPr>
          <w:rFonts w:hint="eastAsia" w:ascii="仿宋_GB2312" w:eastAsia="仿宋_GB2312"/>
          <w:color w:val="auto"/>
          <w:sz w:val="32"/>
          <w:szCs w:val="32"/>
          <w:highlight w:val="none"/>
          <w:lang w:val="zh-CN"/>
        </w:rPr>
        <w:t>违章建筑或</w:t>
      </w:r>
      <w:r>
        <w:rPr>
          <w:rFonts w:hint="eastAsia" w:ascii="仿宋_GB2312" w:eastAsia="仿宋_GB2312"/>
          <w:color w:val="auto"/>
          <w:sz w:val="32"/>
          <w:szCs w:val="32"/>
          <w:highlight w:val="none"/>
        </w:rPr>
        <w:t>在政府城市建设、</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highlight w:val="none"/>
        </w:rPr>
        <w:t>拆迁或有关执法机关查封范围内的经营场所（以相关文件、通知为准）；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（八）法律、法规、规章规定的不予发放烟草专卖零售许可证的其他情形。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条</w:t>
      </w:r>
      <w:r>
        <w:rPr>
          <w:rFonts w:hint="eastAsia" w:ascii="黑体" w:hAnsi="黑体" w:eastAsia="黑体"/>
          <w:color w:val="auto"/>
          <w:sz w:val="32"/>
          <w:szCs w:val="32"/>
          <w:highlight w:val="none"/>
        </w:rPr>
        <w:t xml:space="preserve"> </w:t>
      </w:r>
      <w:r>
        <w:rPr>
          <w:rFonts w:hint="eastAsia" w:ascii="仿宋_GB2312" w:hAnsi="仿宋_GB2312" w:eastAsia="仿宋_GB2312" w:cs="仿宋_GB2312"/>
          <w:color w:val="auto"/>
          <w:sz w:val="32"/>
          <w:szCs w:val="32"/>
          <w:highlight w:val="none"/>
        </w:rPr>
        <w:t>已取得烟草专卖零售许可证的单位或个人在许可证有效期内经营地址发生变化（除第</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条规定外），重新申领烟草专卖零售许可证，其布局应符合本规定。</w:t>
      </w:r>
    </w:p>
    <w:p>
      <w:pPr>
        <w:pStyle w:val="2"/>
        <w:keepNext w:val="0"/>
        <w:keepLines w:val="0"/>
        <w:pageBreakBefore w:val="0"/>
        <w:widowControl/>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numPr>
          <w:ilvl w:val="0"/>
          <w:numId w:val="1"/>
        </w:numPr>
        <w:kinsoku/>
        <w:wordWrap/>
        <w:overflowPunct/>
        <w:topLinePunct w:val="0"/>
        <w:bidi w:val="0"/>
        <w:snapToGrid/>
        <w:spacing w:line="600" w:lineRule="exact"/>
        <w:ind w:left="3520" w:leftChars="0" w:firstLine="0" w:firstLineChars="0"/>
        <w:textAlignment w:val="auto"/>
        <w:rPr>
          <w:rFonts w:hint="eastAsia" w:ascii="黑体" w:hAnsi="黑体" w:eastAsia="黑体"/>
          <w:lang w:val="en-US" w:eastAsia="zh-CN"/>
        </w:rPr>
      </w:pPr>
      <w:r>
        <w:rPr>
          <w:rFonts w:hint="eastAsia" w:ascii="黑体" w:hAnsi="黑体" w:eastAsia="黑体"/>
          <w:lang w:val="en-US" w:eastAsia="zh-CN"/>
        </w:rPr>
        <w:t>附则</w:t>
      </w:r>
    </w:p>
    <w:p>
      <w:pPr>
        <w:keepNext w:val="0"/>
        <w:keepLines w:val="0"/>
        <w:pageBreakBefore w:val="0"/>
        <w:numPr>
          <w:ilvl w:val="0"/>
          <w:numId w:val="0"/>
        </w:numPr>
        <w:kinsoku/>
        <w:wordWrap/>
        <w:overflowPunct/>
        <w:topLinePunct w:val="0"/>
        <w:bidi w:val="0"/>
        <w:snapToGrid/>
        <w:spacing w:line="600" w:lineRule="exact"/>
        <w:textAlignment w:val="auto"/>
        <w:rPr>
          <w:rFonts w:hint="eastAsia" w:ascii="黑体" w:hAnsi="黑体" w:eastAsia="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条</w:t>
      </w:r>
      <w:r>
        <w:rPr>
          <w:rFonts w:hint="eastAsia" w:ascii="仿宋_GB2312" w:hAnsi="宋体" w:eastAsia="仿宋_GB2312"/>
          <w:color w:val="auto"/>
          <w:sz w:val="32"/>
          <w:szCs w:val="32"/>
          <w:highlight w:val="none"/>
        </w:rPr>
        <w:t xml:space="preserve"> 经营场所条件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有与住所相独立的固定经营场所，有指向明确且唯一性的门牌、地址或者方位表述，具备经营卷烟零售相适应的存储条件，经营场所内其它区域视为辅助经营场所，属监管范围。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申请人堆放烟草制品等相关货物的储藏室、仓库与经营门店相分离的，视为经营场所的附属仓库，属监管范围。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与住所相独立”是指经营场所与生活区域相独立，可对消费者全开放（店铺处于完全开放状态，消费者和行政监管部门可不受限进出），不包含住宅公寓、办公场所、仓库、生活住所的车库、地下室、储藏室以及地面二层及以上未对消费者全开放的场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固定经营场所”由砖、木、钢、混等材料建成的封闭且不可移动、具备实物商品展示的经营设施、条件的场所，不包括流动摊点（车、棚）、简易搭盖、活动板房、违章建筑、临时建筑、待拆建筑、集装箱屋、报刊亭、电话亭、危房以及尚未竣工或未交付使用的场所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“经营场所”指具备对外经营烟草制品的基本设施和条件，如店招、货架、柜台等，不包含无实际烟草制品展卖的场所。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条</w:t>
      </w:r>
      <w:r>
        <w:rPr>
          <w:rFonts w:hint="eastAsia" w:ascii="仿宋_GB2312" w:hAnsi="华文中宋" w:eastAsia="仿宋_GB2312"/>
          <w:color w:val="auto"/>
          <w:sz w:val="32"/>
          <w:szCs w:val="32"/>
          <w:highlight w:val="none"/>
        </w:rPr>
        <w:t xml:space="preserve"> 本规定不溯及</w:t>
      </w:r>
      <w:r>
        <w:rPr>
          <w:rFonts w:hint="eastAsia" w:ascii="仿宋_GB2312" w:eastAsia="仿宋_GB2312"/>
          <w:color w:val="auto"/>
          <w:sz w:val="32"/>
          <w:szCs w:val="32"/>
          <w:highlight w:val="none"/>
        </w:rPr>
        <w:t>已合法持有烟草专卖零售许可证的零售户，但属于经营场所基于安全因素和幼儿园、中小学周边等特殊区域不予发放零售许可证情形的，许可证有效期届满后不予延续。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华文仿宋" w:eastAsia="仿宋_GB2312"/>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条</w:t>
      </w:r>
      <w:r>
        <w:rPr>
          <w:rFonts w:hint="eastAsia" w:ascii="黑体" w:hAnsi="黑体" w:eastAsia="黑体"/>
          <w:color w:val="auto"/>
          <w:sz w:val="32"/>
          <w:szCs w:val="32"/>
          <w:highlight w:val="none"/>
        </w:rPr>
        <w:t xml:space="preserve"> </w:t>
      </w:r>
      <w:r>
        <w:rPr>
          <w:rFonts w:hint="eastAsia" w:ascii="仿宋_GB2312" w:hAnsi="华文仿宋" w:eastAsia="仿宋_GB2312"/>
          <w:color w:val="auto"/>
          <w:sz w:val="32"/>
          <w:szCs w:val="32"/>
          <w:highlight w:val="none"/>
        </w:rPr>
        <w:t>本规定所称中小学校为《烟草专卖许可证管理办法实施细则》第七十六条所规定的“普通中小学、特殊教育学校、中等职业学校、专门学校。”所称幼儿园为依法取得教育部门办园许可证的幼儿园。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_GB2312" w:cs="仿宋"/>
          <w:b/>
          <w:bCs/>
          <w:color w:val="auto"/>
          <w:sz w:val="32"/>
          <w:szCs w:val="32"/>
          <w:highlight w:val="none"/>
          <w:lang w:val="en-US" w:eastAsia="zh-CN"/>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_GB2312" w:eastAsia="仿宋_GB2312"/>
          <w:color w:val="auto"/>
          <w:sz w:val="32"/>
          <w:szCs w:val="32"/>
          <w:highlight w:val="none"/>
        </w:rPr>
        <w:t>本规定所称</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距离</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是指两个零售点经营场所营业大门中心点之间的距离。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条</w:t>
      </w:r>
      <w:r>
        <w:rPr>
          <w:rFonts w:hint="eastAsia" w:ascii="黑体" w:hAnsi="黑体" w:eastAsia="黑体"/>
          <w:color w:val="auto"/>
          <w:sz w:val="32"/>
          <w:szCs w:val="32"/>
          <w:highlight w:val="none"/>
        </w:rPr>
        <w:t xml:space="preserve"> </w:t>
      </w:r>
      <w:r>
        <w:rPr>
          <w:rFonts w:hint="eastAsia" w:ascii="仿宋_GB2312" w:eastAsia="仿宋_GB2312"/>
          <w:color w:val="auto"/>
          <w:sz w:val="32"/>
          <w:szCs w:val="32"/>
          <w:highlight w:val="none"/>
        </w:rPr>
        <w:t>本规定所称“以上”“以内”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不低于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不少于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包</w:t>
      </w:r>
      <w:r>
        <w:rPr>
          <w:rFonts w:hint="eastAsia" w:ascii="仿宋_GB2312"/>
          <w:color w:val="auto"/>
          <w:sz w:val="32"/>
          <w:szCs w:val="32"/>
          <w:highlight w:val="none"/>
          <w:lang w:val="en-US" w:eastAsia="zh-CN"/>
        </w:rPr>
        <w:t>含</w:t>
      </w:r>
      <w:r>
        <w:rPr>
          <w:rFonts w:hint="eastAsia" w:ascii="仿宋_GB2312" w:eastAsia="仿宋_GB2312"/>
          <w:color w:val="auto"/>
          <w:sz w:val="32"/>
          <w:szCs w:val="32"/>
          <w:highlight w:val="none"/>
        </w:rPr>
        <w:t>本数。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ascii="仿宋_GB2312" w:eastAsia="仿宋_GB2312"/>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 w:hAnsi="仿宋" w:eastAsia="仿宋" w:cs="仿宋"/>
          <w:b w:val="0"/>
          <w:bCs w:val="0"/>
          <w:color w:val="auto"/>
          <w:sz w:val="32"/>
          <w:szCs w:val="32"/>
          <w:highlight w:val="none"/>
          <w:lang w:eastAsia="zh-CN"/>
        </w:rPr>
        <w:t>《</w:t>
      </w:r>
      <w:r>
        <w:rPr>
          <w:rFonts w:hint="eastAsia" w:ascii="仿宋" w:hAnsi="仿宋" w:eastAsia="仿宋"/>
        </w:rPr>
        <w:t>府谷县烟草制品零售点合理布局规定》实施后，如果与相关法律法规抵触的，以法律规定为准；根据社会经济发展状况、城市扩建等情况的变化，需要对相关规定和条款进行修改或者重新规定时，将按有关规定修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华文中宋" w:eastAsia="仿宋_GB2312"/>
          <w:color w:val="auto"/>
          <w:sz w:val="32"/>
          <w:szCs w:val="32"/>
          <w:highlight w:val="none"/>
          <w:lang w:eastAsia="zh-CN"/>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rPr>
        <w:t>本规定由府谷县烟草专卖局负责解释。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olor w:val="auto"/>
          <w:sz w:val="32"/>
          <w:szCs w:val="32"/>
          <w:highlight w:val="none"/>
          <w:lang w:val="zh-CN"/>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条</w:t>
      </w:r>
      <w:r>
        <w:rPr>
          <w:rFonts w:hint="eastAsia" w:ascii="黑体" w:hAnsi="黑体" w:eastAsia="黑体"/>
          <w:color w:val="auto"/>
          <w:sz w:val="32"/>
          <w:szCs w:val="32"/>
          <w:highlight w:val="none"/>
        </w:rPr>
        <w:t xml:space="preserve"> </w:t>
      </w:r>
      <w:r>
        <w:rPr>
          <w:rFonts w:hint="eastAsia" w:ascii="仿宋_GB2312" w:hAnsi="宋体" w:eastAsia="仿宋_GB2312"/>
          <w:color w:val="auto"/>
          <w:sz w:val="32"/>
          <w:szCs w:val="32"/>
          <w:highlight w:val="none"/>
        </w:rPr>
        <w:t>本规定自20</w:t>
      </w:r>
      <w:r>
        <w:rPr>
          <w:rFonts w:ascii="仿宋_GB2312" w:hAnsi="宋体" w:eastAsia="仿宋_GB2312"/>
          <w:color w:val="auto"/>
          <w:sz w:val="32"/>
          <w:szCs w:val="32"/>
          <w:highlight w:val="none"/>
        </w:rPr>
        <w:t>2</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年</w:t>
      </w:r>
      <w:r>
        <w:rPr>
          <w:rFonts w:hint="eastAsia" w:ascii="仿宋_GB2312" w:hAnsi="宋体"/>
          <w:color w:val="auto"/>
          <w:sz w:val="32"/>
          <w:szCs w:val="32"/>
          <w:highlight w:val="none"/>
          <w:lang w:val="en-US" w:eastAsia="zh-CN"/>
        </w:rPr>
        <w:t>XX</w:t>
      </w:r>
      <w:r>
        <w:rPr>
          <w:rFonts w:hint="eastAsia" w:ascii="仿宋_GB2312" w:hAnsi="宋体" w:eastAsia="仿宋_GB2312"/>
          <w:color w:val="auto"/>
          <w:sz w:val="32"/>
          <w:szCs w:val="32"/>
          <w:highlight w:val="none"/>
        </w:rPr>
        <w:t>月</w:t>
      </w:r>
      <w:r>
        <w:rPr>
          <w:rFonts w:hint="eastAsia" w:ascii="仿宋_GB2312" w:hAnsi="宋体"/>
          <w:color w:val="auto"/>
          <w:sz w:val="32"/>
          <w:szCs w:val="32"/>
          <w:highlight w:val="none"/>
          <w:lang w:val="en-US" w:eastAsia="zh-CN"/>
        </w:rPr>
        <w:t>XX</w:t>
      </w:r>
      <w:r>
        <w:rPr>
          <w:rFonts w:hint="eastAsia" w:ascii="仿宋_GB2312" w:hAnsi="宋体" w:eastAsia="仿宋_GB2312"/>
          <w:color w:val="auto"/>
          <w:sz w:val="32"/>
          <w:szCs w:val="32"/>
          <w:highlight w:val="none"/>
        </w:rPr>
        <w:t>日起实施</w:t>
      </w:r>
      <w:r>
        <w:rPr>
          <w:rFonts w:hint="eastAsia" w:ascii="仿宋_GB2312" w:hAnsi="宋体" w:eastAsia="仿宋_GB2312"/>
          <w:color w:val="auto"/>
          <w:sz w:val="32"/>
          <w:szCs w:val="32"/>
          <w:highlight w:val="none"/>
          <w:lang w:eastAsia="zh-CN"/>
        </w:rPr>
        <w:t>，</w:t>
      </w:r>
      <w:r>
        <w:rPr>
          <w:rFonts w:hint="eastAsia" w:ascii="仿宋_GB2312" w:hAnsi="宋体"/>
          <w:color w:val="auto"/>
          <w:sz w:val="32"/>
          <w:szCs w:val="32"/>
          <w:highlight w:val="none"/>
          <w:lang w:val="en-US" w:eastAsia="zh-CN"/>
        </w:rPr>
        <w:t>原制定</w:t>
      </w:r>
      <w:r>
        <w:rPr>
          <w:rFonts w:hint="eastAsia" w:ascii="仿宋_GB2312" w:hAnsi="仿宋" w:eastAsia="仿宋_GB2312"/>
          <w:color w:val="auto"/>
          <w:kern w:val="0"/>
          <w:sz w:val="32"/>
          <w:szCs w:val="32"/>
          <w:highlight w:val="none"/>
          <w:lang w:val="zh-CN"/>
        </w:rPr>
        <w:t>的《</w:t>
      </w:r>
      <w:r>
        <w:rPr>
          <w:rFonts w:hint="eastAsia" w:ascii="仿宋_GB2312" w:hAnsi="仿宋"/>
          <w:color w:val="auto"/>
          <w:kern w:val="0"/>
          <w:sz w:val="32"/>
          <w:szCs w:val="32"/>
          <w:highlight w:val="none"/>
          <w:lang w:val="en-US" w:eastAsia="zh-CN"/>
        </w:rPr>
        <w:t>府谷</w:t>
      </w:r>
      <w:r>
        <w:rPr>
          <w:rFonts w:hint="eastAsia" w:ascii="仿宋_GB2312" w:hAnsi="仿宋" w:eastAsia="仿宋_GB2312"/>
          <w:color w:val="auto"/>
          <w:kern w:val="0"/>
          <w:sz w:val="32"/>
          <w:szCs w:val="32"/>
          <w:highlight w:val="none"/>
          <w:lang w:val="zh-CN"/>
        </w:rPr>
        <w:t>县</w:t>
      </w:r>
      <w:r>
        <w:rPr>
          <w:rFonts w:hint="eastAsia" w:ascii="仿宋_GB2312" w:hAnsi="仿宋" w:eastAsia="仿宋_GB2312"/>
          <w:color w:val="auto"/>
          <w:kern w:val="0"/>
          <w:sz w:val="32"/>
          <w:szCs w:val="32"/>
          <w:highlight w:val="none"/>
          <w:lang w:val="en-US" w:eastAsia="zh-CN"/>
        </w:rPr>
        <w:t>烟草制品</w:t>
      </w:r>
      <w:r>
        <w:rPr>
          <w:rFonts w:hint="eastAsia" w:ascii="仿宋_GB2312" w:hAnsi="仿宋" w:eastAsia="仿宋_GB2312"/>
          <w:color w:val="auto"/>
          <w:kern w:val="0"/>
          <w:sz w:val="32"/>
          <w:szCs w:val="32"/>
          <w:highlight w:val="none"/>
          <w:lang w:val="zh-CN"/>
        </w:rPr>
        <w:t>零售点合理布局规定》同时废止</w:t>
      </w:r>
      <w:r>
        <w:rPr>
          <w:rFonts w:hint="eastAsia" w:ascii="仿宋_GB2312" w:hAnsi="仿宋" w:eastAsia="仿宋_GB2312"/>
          <w:color w:val="auto"/>
          <w:sz w:val="32"/>
          <w:szCs w:val="32"/>
          <w:highlight w:val="none"/>
          <w:lang w:val="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9EAF7"/>
    <w:multiLevelType w:val="singleLevel"/>
    <w:tmpl w:val="9C49EAF7"/>
    <w:lvl w:ilvl="0" w:tentative="0">
      <w:start w:val="4"/>
      <w:numFmt w:val="chineseCounting"/>
      <w:suff w:val="space"/>
      <w:lvlText w:val="第%1章"/>
      <w:lvlJc w:val="left"/>
      <w:pPr>
        <w:ind w:left="35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NzVkNzM4ZGI4ODA5MWE3ODA4N2M0YzE5MmU4ZTEifQ=="/>
  </w:docVars>
  <w:rsids>
    <w:rsidRoot w:val="75547FB1"/>
    <w:rsid w:val="7554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2023-10-27T07:10:00Z</dcterms:created>
  <dc:creator>HXJ</dc:creator>
  <cp:lastModifiedBy>HXJ</cp:lastModifiedBy>
  <dcterms:modified xsi:type="dcterms:W3CDTF">2023-10-27T07:10:51Z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1A00EC87BFD5435CBCC4428933E7902A_11</vt:lpwstr>
  </property>
</Properties>
</file>