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C0563">
      <w:pPr>
        <w:adjustRightInd w:val="0"/>
        <w:snapToGrid w:val="0"/>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auto"/>
          <w:sz w:val="32"/>
          <w:szCs w:val="32"/>
          <w:lang w:val="en-US" w:eastAsia="zh-CN"/>
        </w:rPr>
        <w:t>府谷县</w:t>
      </w:r>
      <w:r>
        <w:rPr>
          <w:rFonts w:ascii="宋体" w:hAnsi="宋体" w:eastAsia="宋体" w:cs="宋体"/>
          <w:b/>
          <w:color w:val="auto"/>
          <w:sz w:val="32"/>
          <w:u w:color="auto"/>
        </w:rPr>
        <w:t>电动自行车充电器</w:t>
      </w:r>
      <w:r>
        <w:rPr>
          <w:rFonts w:hint="eastAsia" w:ascii="宋体" w:hAnsi="宋体" w:eastAsia="宋体" w:cs="宋体"/>
          <w:b/>
          <w:bCs/>
          <w:color w:val="000000"/>
          <w:sz w:val="32"/>
          <w:szCs w:val="32"/>
        </w:rPr>
        <w:t>产品质量监督抽查实施细则</w:t>
      </w:r>
      <w:r>
        <w:rPr>
          <w:rFonts w:hint="eastAsia" w:ascii="宋体" w:hAnsi="宋体" w:eastAsia="宋体" w:cs="宋体"/>
          <w:b/>
          <w:bCs/>
          <w:color w:val="000000"/>
          <w:sz w:val="32"/>
          <w:szCs w:val="32"/>
        </w:rPr>
        <w:br w:type="textWrapping"/>
      </w:r>
      <w:r>
        <w:rPr>
          <w:rFonts w:hint="eastAsia" w:ascii="宋体" w:hAnsi="宋体" w:eastAsia="宋体" w:cs="宋体"/>
          <w:b/>
          <w:bCs/>
          <w:color w:val="000000"/>
          <w:sz w:val="32"/>
          <w:szCs w:val="32"/>
        </w:rPr>
        <w:t>（202</w:t>
      </w:r>
      <w:r>
        <w:rPr>
          <w:rFonts w:hint="eastAsia" w:ascii="宋体" w:hAnsi="宋体" w:cs="宋体"/>
          <w:b/>
          <w:bCs/>
          <w:color w:val="000000"/>
          <w:sz w:val="32"/>
          <w:szCs w:val="32"/>
          <w:lang w:val="en-US" w:eastAsia="zh-CN"/>
        </w:rPr>
        <w:t>5</w:t>
      </w:r>
      <w:r>
        <w:rPr>
          <w:rFonts w:hint="eastAsia" w:ascii="宋体" w:hAnsi="宋体" w:eastAsia="宋体" w:cs="宋体"/>
          <w:b/>
          <w:bCs/>
          <w:color w:val="000000"/>
          <w:sz w:val="32"/>
          <w:szCs w:val="32"/>
        </w:rPr>
        <w:t>年版）</w:t>
      </w:r>
    </w:p>
    <w:p w14:paraId="0A3F8904">
      <w:pPr>
        <w:adjustRightInd w:val="0"/>
        <w:snapToGrid w:val="0"/>
        <w:spacing w:line="440" w:lineRule="exact"/>
        <w:jc w:val="center"/>
        <w:rPr>
          <w:rFonts w:eastAsia="方正小标宋简体"/>
          <w:color w:val="000000"/>
          <w:sz w:val="32"/>
          <w:szCs w:val="32"/>
        </w:rPr>
      </w:pPr>
    </w:p>
    <w:p w14:paraId="2E9650E9">
      <w:pPr>
        <w:snapToGrid w:val="0"/>
        <w:spacing w:line="440" w:lineRule="exact"/>
        <w:rPr>
          <w:rFonts w:eastAsia="黑体"/>
          <w:color w:val="000000"/>
          <w:szCs w:val="21"/>
        </w:rPr>
      </w:pPr>
      <w:r>
        <w:rPr>
          <w:rFonts w:eastAsia="黑体"/>
          <w:color w:val="000000"/>
          <w:szCs w:val="21"/>
        </w:rPr>
        <w:t>1 抽样方法</w:t>
      </w:r>
    </w:p>
    <w:p w14:paraId="31A86552">
      <w:pPr>
        <w:snapToGrid w:val="0"/>
        <w:spacing w:line="440" w:lineRule="exact"/>
        <w:ind w:firstLine="420" w:firstLineChars="200"/>
        <w:rPr>
          <w:rFonts w:ascii="宋体" w:hAnsi="宋体"/>
          <w:color w:val="000000"/>
          <w:szCs w:val="21"/>
        </w:rPr>
      </w:pPr>
      <w:r>
        <w:rPr>
          <w:rFonts w:hint="eastAsia" w:ascii="宋体" w:hAnsi="宋体"/>
          <w:color w:val="000000"/>
          <w:szCs w:val="21"/>
        </w:rPr>
        <w:t>以随机抽样的方式在被抽样生产者、销售者的待销产品中抽取。</w:t>
      </w:r>
    </w:p>
    <w:p w14:paraId="186C3688">
      <w:pPr>
        <w:snapToGrid w:val="0"/>
        <w:spacing w:line="440" w:lineRule="exact"/>
        <w:ind w:firstLine="420" w:firstLineChars="200"/>
        <w:rPr>
          <w:rFonts w:ascii="宋体" w:hAnsi="宋体"/>
          <w:color w:val="000000"/>
          <w:szCs w:val="21"/>
        </w:rPr>
      </w:pPr>
      <w:r>
        <w:rPr>
          <w:rFonts w:hint="eastAsia" w:ascii="宋体" w:hAnsi="宋体"/>
          <w:color w:val="000000"/>
          <w:szCs w:val="21"/>
        </w:rPr>
        <w:t>随机数一般可使用随机数表等方法产生。</w:t>
      </w:r>
    </w:p>
    <w:p w14:paraId="77FA368E">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每种产品抽取样品数量见表1。</w:t>
      </w:r>
    </w:p>
    <w:p w14:paraId="3717A2E4">
      <w:pPr>
        <w:snapToGrid w:val="0"/>
        <w:spacing w:line="440" w:lineRule="exact"/>
        <w:jc w:val="center"/>
        <w:rPr>
          <w:rFonts w:hint="eastAsia" w:ascii="宋体" w:hAnsi="宋体"/>
          <w:color w:val="000000"/>
          <w:szCs w:val="21"/>
        </w:rPr>
      </w:pPr>
      <w:r>
        <w:rPr>
          <w:rFonts w:hint="eastAsia" w:ascii="宋体" w:hAnsi="宋体"/>
          <w:color w:val="000000"/>
          <w:szCs w:val="21"/>
        </w:rPr>
        <w:t>表1 抽样数量</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49"/>
        <w:gridCol w:w="3661"/>
        <w:gridCol w:w="1349"/>
        <w:gridCol w:w="1453"/>
        <w:gridCol w:w="1405"/>
      </w:tblGrid>
      <w:tr w14:paraId="6F2E6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9" w:hRule="atLeast"/>
          <w:jc w:val="center"/>
        </w:trPr>
        <w:tc>
          <w:tcPr>
            <w:tcW w:w="326" w:type="pct"/>
            <w:noWrap w:val="0"/>
            <w:vAlign w:val="center"/>
          </w:tcPr>
          <w:p w14:paraId="7F6E71C8">
            <w:pPr>
              <w:snapToGrid w:val="0"/>
              <w:spacing w:line="440" w:lineRule="exact"/>
              <w:jc w:val="center"/>
              <w:rPr>
                <w:rFonts w:hint="eastAsia"/>
                <w:color w:val="000000"/>
                <w:szCs w:val="21"/>
              </w:rPr>
            </w:pPr>
            <w:r>
              <w:rPr>
                <w:rFonts w:hint="eastAsia"/>
                <w:color w:val="000000"/>
                <w:szCs w:val="21"/>
              </w:rPr>
              <w:t>序号</w:t>
            </w:r>
          </w:p>
        </w:tc>
        <w:tc>
          <w:tcPr>
            <w:tcW w:w="2174" w:type="pct"/>
            <w:noWrap w:val="0"/>
            <w:vAlign w:val="center"/>
          </w:tcPr>
          <w:p w14:paraId="76A8BE8B">
            <w:pPr>
              <w:snapToGrid w:val="0"/>
              <w:spacing w:line="440" w:lineRule="exact"/>
              <w:jc w:val="center"/>
              <w:rPr>
                <w:rFonts w:hint="eastAsia"/>
                <w:color w:val="000000"/>
                <w:szCs w:val="21"/>
              </w:rPr>
            </w:pPr>
            <w:r>
              <w:rPr>
                <w:rFonts w:hint="eastAsia"/>
                <w:color w:val="000000"/>
                <w:szCs w:val="21"/>
              </w:rPr>
              <w:t>产品种类</w:t>
            </w:r>
          </w:p>
        </w:tc>
        <w:tc>
          <w:tcPr>
            <w:tcW w:w="801" w:type="pct"/>
            <w:noWrap w:val="0"/>
            <w:vAlign w:val="center"/>
          </w:tcPr>
          <w:p w14:paraId="3B98DC8A">
            <w:pPr>
              <w:snapToGrid w:val="0"/>
              <w:spacing w:line="440" w:lineRule="exact"/>
              <w:jc w:val="center"/>
              <w:rPr>
                <w:rFonts w:hint="eastAsia"/>
                <w:color w:val="000000"/>
                <w:szCs w:val="21"/>
              </w:rPr>
            </w:pPr>
            <w:r>
              <w:rPr>
                <w:rFonts w:hint="eastAsia"/>
                <w:color w:val="000000"/>
                <w:szCs w:val="21"/>
              </w:rPr>
              <w:t>抽样数量</w:t>
            </w:r>
          </w:p>
        </w:tc>
        <w:tc>
          <w:tcPr>
            <w:tcW w:w="863" w:type="pct"/>
            <w:noWrap w:val="0"/>
            <w:vAlign w:val="center"/>
          </w:tcPr>
          <w:p w14:paraId="09BE42EF">
            <w:pPr>
              <w:snapToGrid w:val="0"/>
              <w:spacing w:line="440" w:lineRule="exact"/>
              <w:jc w:val="center"/>
              <w:rPr>
                <w:rFonts w:hint="eastAsia"/>
                <w:color w:val="000000"/>
                <w:szCs w:val="21"/>
              </w:rPr>
            </w:pPr>
            <w:r>
              <w:rPr>
                <w:rFonts w:hint="eastAsia"/>
                <w:color w:val="000000"/>
                <w:szCs w:val="21"/>
              </w:rPr>
              <w:t>检验样品数量</w:t>
            </w:r>
          </w:p>
        </w:tc>
        <w:tc>
          <w:tcPr>
            <w:tcW w:w="834" w:type="pct"/>
            <w:noWrap w:val="0"/>
            <w:vAlign w:val="center"/>
          </w:tcPr>
          <w:p w14:paraId="3F9B7877">
            <w:pPr>
              <w:snapToGrid w:val="0"/>
              <w:spacing w:line="440" w:lineRule="exact"/>
              <w:jc w:val="center"/>
              <w:rPr>
                <w:rFonts w:hint="eastAsia"/>
                <w:color w:val="000000"/>
                <w:szCs w:val="21"/>
              </w:rPr>
            </w:pPr>
            <w:r>
              <w:rPr>
                <w:rFonts w:hint="eastAsia"/>
                <w:color w:val="000000"/>
                <w:szCs w:val="21"/>
              </w:rPr>
              <w:t>备用样品数量</w:t>
            </w:r>
          </w:p>
        </w:tc>
      </w:tr>
      <w:tr w14:paraId="0D739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6" w:hRule="atLeast"/>
          <w:jc w:val="center"/>
        </w:trPr>
        <w:tc>
          <w:tcPr>
            <w:tcW w:w="326" w:type="pct"/>
            <w:noWrap w:val="0"/>
            <w:vAlign w:val="center"/>
          </w:tcPr>
          <w:p w14:paraId="47E12F2A">
            <w:pPr>
              <w:snapToGrid w:val="0"/>
              <w:jc w:val="center"/>
              <w:rPr>
                <w:rFonts w:hint="eastAsia"/>
                <w:color w:val="000000"/>
                <w:szCs w:val="21"/>
              </w:rPr>
            </w:pPr>
            <w:r>
              <w:rPr>
                <w:rFonts w:hint="eastAsia"/>
                <w:color w:val="000000"/>
                <w:szCs w:val="21"/>
                <w:vertAlign w:val="baseline"/>
                <w:lang w:val="en-US" w:eastAsia="zh-CN"/>
              </w:rPr>
              <w:t>1</w:t>
            </w:r>
          </w:p>
        </w:tc>
        <w:tc>
          <w:tcPr>
            <w:tcW w:w="2174" w:type="pct"/>
            <w:noWrap w:val="0"/>
            <w:vAlign w:val="center"/>
          </w:tcPr>
          <w:p w14:paraId="590643DF">
            <w:pPr>
              <w:snapToGrid w:val="0"/>
              <w:jc w:val="center"/>
              <w:rPr>
                <w:rFonts w:hint="eastAsia"/>
                <w:color w:val="000000"/>
                <w:szCs w:val="21"/>
              </w:rPr>
            </w:pPr>
            <w:r>
              <w:rPr>
                <w:rFonts w:hint="eastAsia"/>
                <w:color w:val="000000"/>
                <w:szCs w:val="21"/>
                <w:vertAlign w:val="baseline"/>
                <w:lang w:val="en-US" w:eastAsia="zh-CN"/>
              </w:rPr>
              <w:t>电动自行车用蓄电池充电器(T/TCDZ 0001-2019)</w:t>
            </w:r>
          </w:p>
        </w:tc>
        <w:tc>
          <w:tcPr>
            <w:tcW w:w="801" w:type="pct"/>
            <w:noWrap w:val="0"/>
            <w:vAlign w:val="center"/>
          </w:tcPr>
          <w:p w14:paraId="6E0491E8">
            <w:pPr>
              <w:snapToGrid w:val="0"/>
              <w:jc w:val="center"/>
              <w:rPr>
                <w:rFonts w:hint="eastAsia"/>
                <w:color w:val="000000"/>
                <w:szCs w:val="21"/>
              </w:rPr>
            </w:pPr>
            <w:r>
              <w:rPr>
                <w:rFonts w:hint="eastAsia"/>
                <w:color w:val="000000"/>
                <w:szCs w:val="21"/>
                <w:vertAlign w:val="baseline"/>
                <w:lang w:val="en-US" w:eastAsia="zh-CN"/>
              </w:rPr>
              <w:t>4只</w:t>
            </w:r>
          </w:p>
        </w:tc>
        <w:tc>
          <w:tcPr>
            <w:tcW w:w="863" w:type="pct"/>
            <w:noWrap w:val="0"/>
            <w:vAlign w:val="center"/>
          </w:tcPr>
          <w:p w14:paraId="2E4D052D">
            <w:pPr>
              <w:snapToGrid w:val="0"/>
              <w:jc w:val="center"/>
              <w:rPr>
                <w:rFonts w:hint="eastAsia"/>
                <w:color w:val="000000"/>
                <w:szCs w:val="21"/>
              </w:rPr>
            </w:pPr>
            <w:r>
              <w:rPr>
                <w:rFonts w:hint="eastAsia"/>
                <w:color w:val="000000"/>
                <w:szCs w:val="21"/>
                <w:vertAlign w:val="baseline"/>
                <w:lang w:val="en-US" w:eastAsia="zh-CN"/>
              </w:rPr>
              <w:t>2只</w:t>
            </w:r>
          </w:p>
        </w:tc>
        <w:tc>
          <w:tcPr>
            <w:tcW w:w="834" w:type="pct"/>
            <w:noWrap w:val="0"/>
            <w:vAlign w:val="center"/>
          </w:tcPr>
          <w:p w14:paraId="10561191">
            <w:pPr>
              <w:snapToGrid w:val="0"/>
              <w:jc w:val="center"/>
              <w:rPr>
                <w:rFonts w:hint="eastAsia"/>
                <w:color w:val="000000"/>
                <w:szCs w:val="21"/>
              </w:rPr>
            </w:pPr>
            <w:r>
              <w:rPr>
                <w:rFonts w:hint="eastAsia"/>
                <w:color w:val="000000"/>
                <w:szCs w:val="21"/>
                <w:vertAlign w:val="baseline"/>
                <w:lang w:val="en-US" w:eastAsia="zh-CN"/>
              </w:rPr>
              <w:t>2只</w:t>
            </w:r>
          </w:p>
        </w:tc>
      </w:tr>
      <w:tr w14:paraId="2EADC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6" w:hRule="atLeast"/>
          <w:jc w:val="center"/>
        </w:trPr>
        <w:tc>
          <w:tcPr>
            <w:tcW w:w="326" w:type="pct"/>
            <w:noWrap w:val="0"/>
            <w:vAlign w:val="center"/>
          </w:tcPr>
          <w:p w14:paraId="7A6F18F5">
            <w:pPr>
              <w:snapToGrid w:val="0"/>
              <w:jc w:val="center"/>
              <w:rPr>
                <w:rFonts w:hint="eastAsia"/>
                <w:color w:val="000000"/>
                <w:szCs w:val="21"/>
              </w:rPr>
            </w:pPr>
            <w:r>
              <w:rPr>
                <w:rFonts w:hint="eastAsia"/>
                <w:color w:val="000000"/>
                <w:szCs w:val="21"/>
                <w:vertAlign w:val="baseline"/>
                <w:lang w:val="en-US" w:eastAsia="zh-CN"/>
              </w:rPr>
              <w:t>2</w:t>
            </w:r>
          </w:p>
        </w:tc>
        <w:tc>
          <w:tcPr>
            <w:tcW w:w="2174" w:type="pct"/>
            <w:noWrap w:val="0"/>
            <w:vAlign w:val="center"/>
          </w:tcPr>
          <w:p w14:paraId="2E09B4F8">
            <w:pPr>
              <w:snapToGrid w:val="0"/>
              <w:jc w:val="center"/>
              <w:rPr>
                <w:rFonts w:hint="eastAsia"/>
                <w:color w:val="000000"/>
                <w:szCs w:val="21"/>
              </w:rPr>
            </w:pPr>
            <w:r>
              <w:rPr>
                <w:rFonts w:hint="eastAsia"/>
                <w:color w:val="000000"/>
                <w:szCs w:val="21"/>
                <w:vertAlign w:val="baseline"/>
                <w:lang w:val="en-US" w:eastAsia="zh-CN"/>
              </w:rPr>
              <w:t>电动自行车用充电器技术要求(GB/T 36944-2018)</w:t>
            </w:r>
          </w:p>
        </w:tc>
        <w:tc>
          <w:tcPr>
            <w:tcW w:w="801" w:type="pct"/>
            <w:noWrap w:val="0"/>
            <w:vAlign w:val="center"/>
          </w:tcPr>
          <w:p w14:paraId="7A5021DF">
            <w:pPr>
              <w:snapToGrid w:val="0"/>
              <w:jc w:val="center"/>
              <w:rPr>
                <w:rFonts w:hint="eastAsia"/>
                <w:color w:val="000000"/>
                <w:szCs w:val="21"/>
              </w:rPr>
            </w:pPr>
            <w:r>
              <w:rPr>
                <w:rFonts w:hint="eastAsia"/>
                <w:color w:val="000000"/>
                <w:szCs w:val="21"/>
                <w:vertAlign w:val="baseline"/>
                <w:lang w:val="en-US" w:eastAsia="zh-CN"/>
              </w:rPr>
              <w:t>4只</w:t>
            </w:r>
          </w:p>
        </w:tc>
        <w:tc>
          <w:tcPr>
            <w:tcW w:w="863" w:type="pct"/>
            <w:noWrap w:val="0"/>
            <w:vAlign w:val="center"/>
          </w:tcPr>
          <w:p w14:paraId="221EB624">
            <w:pPr>
              <w:snapToGrid w:val="0"/>
              <w:jc w:val="center"/>
              <w:rPr>
                <w:rFonts w:hint="eastAsia"/>
                <w:color w:val="000000"/>
                <w:szCs w:val="21"/>
              </w:rPr>
            </w:pPr>
            <w:r>
              <w:rPr>
                <w:rFonts w:hint="eastAsia"/>
                <w:color w:val="000000"/>
                <w:szCs w:val="21"/>
                <w:vertAlign w:val="baseline"/>
                <w:lang w:val="en-US" w:eastAsia="zh-CN"/>
              </w:rPr>
              <w:t>2只</w:t>
            </w:r>
          </w:p>
        </w:tc>
        <w:tc>
          <w:tcPr>
            <w:tcW w:w="834" w:type="pct"/>
            <w:noWrap w:val="0"/>
            <w:vAlign w:val="center"/>
          </w:tcPr>
          <w:p w14:paraId="3EB12F47">
            <w:pPr>
              <w:snapToGrid w:val="0"/>
              <w:jc w:val="center"/>
              <w:rPr>
                <w:rFonts w:hint="eastAsia"/>
                <w:color w:val="000000"/>
                <w:szCs w:val="21"/>
              </w:rPr>
            </w:pPr>
            <w:r>
              <w:rPr>
                <w:rFonts w:hint="eastAsia"/>
                <w:color w:val="000000"/>
                <w:szCs w:val="21"/>
                <w:vertAlign w:val="baseline"/>
                <w:lang w:val="en-US" w:eastAsia="zh-CN"/>
              </w:rPr>
              <w:t>2只</w:t>
            </w:r>
          </w:p>
        </w:tc>
      </w:tr>
      <w:tr w14:paraId="567F4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6" w:hRule="atLeast"/>
          <w:jc w:val="center"/>
        </w:trPr>
        <w:tc>
          <w:tcPr>
            <w:tcW w:w="326" w:type="pct"/>
            <w:noWrap w:val="0"/>
            <w:vAlign w:val="center"/>
          </w:tcPr>
          <w:p w14:paraId="2F52AFC2">
            <w:pPr>
              <w:snapToGrid w:val="0"/>
              <w:jc w:val="center"/>
              <w:rPr>
                <w:rFonts w:hint="eastAsia"/>
                <w:color w:val="000000"/>
                <w:szCs w:val="21"/>
              </w:rPr>
            </w:pPr>
            <w:r>
              <w:rPr>
                <w:rFonts w:hint="eastAsia"/>
                <w:color w:val="000000"/>
                <w:szCs w:val="21"/>
                <w:vertAlign w:val="baseline"/>
                <w:lang w:val="en-US" w:eastAsia="zh-CN"/>
              </w:rPr>
              <w:t>3</w:t>
            </w:r>
          </w:p>
        </w:tc>
        <w:tc>
          <w:tcPr>
            <w:tcW w:w="2174" w:type="pct"/>
            <w:noWrap w:val="0"/>
            <w:vAlign w:val="center"/>
          </w:tcPr>
          <w:p w14:paraId="720AC94C">
            <w:pPr>
              <w:snapToGrid w:val="0"/>
              <w:jc w:val="center"/>
              <w:rPr>
                <w:rFonts w:hint="eastAsia"/>
                <w:color w:val="000000"/>
                <w:szCs w:val="21"/>
              </w:rPr>
            </w:pPr>
            <w:r>
              <w:rPr>
                <w:rFonts w:hint="eastAsia" w:ascii="宋体" w:hAnsi="宋体"/>
                <w:color w:val="000000"/>
                <w:szCs w:val="21"/>
                <w:lang w:val="en-US" w:eastAsia="zh-CN"/>
              </w:rPr>
              <w:t>电动自行车用充电器安全技术要求</w:t>
            </w:r>
            <w:r>
              <w:rPr>
                <w:rFonts w:hint="eastAsia"/>
                <w:color w:val="000000"/>
                <w:szCs w:val="21"/>
                <w:vertAlign w:val="baseline"/>
                <w:lang w:val="en-US" w:eastAsia="zh-CN"/>
              </w:rPr>
              <w:t>(GB 42296-2022)</w:t>
            </w:r>
          </w:p>
        </w:tc>
        <w:tc>
          <w:tcPr>
            <w:tcW w:w="801" w:type="pct"/>
            <w:noWrap w:val="0"/>
            <w:vAlign w:val="center"/>
          </w:tcPr>
          <w:p w14:paraId="636D5503">
            <w:pPr>
              <w:snapToGrid w:val="0"/>
              <w:jc w:val="center"/>
              <w:rPr>
                <w:rFonts w:hint="eastAsia"/>
                <w:color w:val="000000"/>
                <w:szCs w:val="21"/>
              </w:rPr>
            </w:pPr>
            <w:r>
              <w:rPr>
                <w:rFonts w:hint="eastAsia"/>
                <w:color w:val="000000"/>
                <w:szCs w:val="21"/>
                <w:vertAlign w:val="baseline"/>
                <w:lang w:val="en-US" w:eastAsia="zh-CN"/>
              </w:rPr>
              <w:t>4只</w:t>
            </w:r>
          </w:p>
        </w:tc>
        <w:tc>
          <w:tcPr>
            <w:tcW w:w="863" w:type="pct"/>
            <w:noWrap w:val="0"/>
            <w:vAlign w:val="center"/>
          </w:tcPr>
          <w:p w14:paraId="27973E74">
            <w:pPr>
              <w:snapToGrid w:val="0"/>
              <w:jc w:val="center"/>
              <w:rPr>
                <w:rFonts w:hint="eastAsia"/>
                <w:color w:val="000000"/>
                <w:szCs w:val="21"/>
              </w:rPr>
            </w:pPr>
            <w:r>
              <w:rPr>
                <w:rFonts w:hint="eastAsia"/>
                <w:color w:val="000000"/>
                <w:szCs w:val="21"/>
                <w:vertAlign w:val="baseline"/>
                <w:lang w:val="en-US" w:eastAsia="zh-CN"/>
              </w:rPr>
              <w:t>2只</w:t>
            </w:r>
          </w:p>
        </w:tc>
        <w:tc>
          <w:tcPr>
            <w:tcW w:w="834" w:type="pct"/>
            <w:noWrap w:val="0"/>
            <w:vAlign w:val="center"/>
          </w:tcPr>
          <w:p w14:paraId="1129CA11">
            <w:pPr>
              <w:snapToGrid w:val="0"/>
              <w:jc w:val="center"/>
              <w:rPr>
                <w:rFonts w:hint="eastAsia"/>
                <w:color w:val="000000"/>
                <w:szCs w:val="21"/>
              </w:rPr>
            </w:pPr>
            <w:r>
              <w:rPr>
                <w:rFonts w:hint="eastAsia"/>
                <w:color w:val="000000"/>
                <w:szCs w:val="21"/>
                <w:vertAlign w:val="baseline"/>
                <w:lang w:val="en-US" w:eastAsia="zh-CN"/>
              </w:rPr>
              <w:t>2只</w:t>
            </w:r>
          </w:p>
        </w:tc>
      </w:tr>
      <w:tr w14:paraId="1BB20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6" w:hRule="atLeast"/>
          <w:jc w:val="center"/>
        </w:trPr>
        <w:tc>
          <w:tcPr>
            <w:tcW w:w="326" w:type="pct"/>
            <w:noWrap w:val="0"/>
            <w:vAlign w:val="center"/>
          </w:tcPr>
          <w:p w14:paraId="54CE3FE9">
            <w:pPr>
              <w:snapToGrid w:val="0"/>
              <w:jc w:val="center"/>
              <w:rPr>
                <w:rFonts w:hint="default"/>
                <w:color w:val="000000"/>
                <w:szCs w:val="21"/>
                <w:vertAlign w:val="baseline"/>
                <w:lang w:val="en-US" w:eastAsia="zh-CN"/>
              </w:rPr>
            </w:pPr>
            <w:r>
              <w:rPr>
                <w:rFonts w:hint="eastAsia"/>
                <w:color w:val="000000"/>
                <w:szCs w:val="21"/>
                <w:vertAlign w:val="baseline"/>
                <w:lang w:val="en-US" w:eastAsia="zh-CN"/>
              </w:rPr>
              <w:t>4</w:t>
            </w:r>
          </w:p>
        </w:tc>
        <w:tc>
          <w:tcPr>
            <w:tcW w:w="2174" w:type="pct"/>
            <w:noWrap w:val="0"/>
            <w:vAlign w:val="center"/>
          </w:tcPr>
          <w:p w14:paraId="594D9C04">
            <w:pPr>
              <w:snapToGrid w:val="0"/>
              <w:jc w:val="center"/>
              <w:rPr>
                <w:rFonts w:hint="eastAsia" w:ascii="宋体" w:hAnsi="宋体"/>
                <w:color w:val="000000"/>
                <w:szCs w:val="21"/>
                <w:lang w:val="en-US" w:eastAsia="zh-CN"/>
              </w:rPr>
            </w:pPr>
            <w:r>
              <w:rPr>
                <w:rFonts w:hint="eastAsia"/>
                <w:color w:val="000000"/>
                <w:szCs w:val="21"/>
                <w:lang w:val="en-US" w:eastAsia="zh-CN"/>
              </w:rPr>
              <w:t>家用和类似用途电器的安全（GB 4706.18-2014、GB 4706.1-2005）</w:t>
            </w:r>
            <w:bookmarkStart w:id="0" w:name="_GoBack"/>
            <w:bookmarkEnd w:id="0"/>
          </w:p>
        </w:tc>
        <w:tc>
          <w:tcPr>
            <w:tcW w:w="801" w:type="pct"/>
            <w:shd w:val="clear"/>
            <w:noWrap w:val="0"/>
            <w:vAlign w:val="center"/>
          </w:tcPr>
          <w:p w14:paraId="22241508">
            <w:pPr>
              <w:snapToGrid w:val="0"/>
              <w:jc w:val="center"/>
              <w:rPr>
                <w:rFonts w:hint="eastAsia" w:ascii="Times New Roman" w:hAnsi="Times New Roman" w:eastAsia="宋体" w:cs="Times New Roman"/>
                <w:color w:val="000000"/>
                <w:kern w:val="2"/>
                <w:sz w:val="21"/>
                <w:szCs w:val="21"/>
                <w:lang w:val="en-US" w:eastAsia="zh-CN" w:bidi="ar-SA"/>
              </w:rPr>
            </w:pPr>
            <w:r>
              <w:rPr>
                <w:rFonts w:hint="eastAsia"/>
                <w:color w:val="000000"/>
                <w:szCs w:val="21"/>
                <w:vertAlign w:val="baseline"/>
                <w:lang w:val="en-US" w:eastAsia="zh-CN"/>
              </w:rPr>
              <w:t>4只</w:t>
            </w:r>
          </w:p>
        </w:tc>
        <w:tc>
          <w:tcPr>
            <w:tcW w:w="863" w:type="pct"/>
            <w:shd w:val="clear"/>
            <w:noWrap w:val="0"/>
            <w:vAlign w:val="center"/>
          </w:tcPr>
          <w:p w14:paraId="068AA29B">
            <w:pPr>
              <w:snapToGrid w:val="0"/>
              <w:jc w:val="center"/>
              <w:rPr>
                <w:rFonts w:hint="eastAsia" w:ascii="Times New Roman" w:hAnsi="Times New Roman" w:eastAsia="宋体" w:cs="Times New Roman"/>
                <w:color w:val="000000"/>
                <w:kern w:val="2"/>
                <w:sz w:val="21"/>
                <w:szCs w:val="21"/>
                <w:lang w:val="en-US" w:eastAsia="zh-CN" w:bidi="ar-SA"/>
              </w:rPr>
            </w:pPr>
            <w:r>
              <w:rPr>
                <w:rFonts w:hint="eastAsia"/>
                <w:color w:val="000000"/>
                <w:szCs w:val="21"/>
                <w:vertAlign w:val="baseline"/>
                <w:lang w:val="en-US" w:eastAsia="zh-CN"/>
              </w:rPr>
              <w:t>2只</w:t>
            </w:r>
          </w:p>
        </w:tc>
        <w:tc>
          <w:tcPr>
            <w:tcW w:w="834" w:type="pct"/>
            <w:shd w:val="clear"/>
            <w:noWrap w:val="0"/>
            <w:vAlign w:val="center"/>
          </w:tcPr>
          <w:p w14:paraId="52F99132">
            <w:pPr>
              <w:snapToGrid w:val="0"/>
              <w:jc w:val="center"/>
              <w:rPr>
                <w:rFonts w:hint="eastAsia" w:ascii="Times New Roman" w:hAnsi="Times New Roman" w:eastAsia="宋体" w:cs="Times New Roman"/>
                <w:color w:val="000000"/>
                <w:kern w:val="2"/>
                <w:sz w:val="21"/>
                <w:szCs w:val="21"/>
                <w:lang w:val="en-US" w:eastAsia="zh-CN" w:bidi="ar-SA"/>
              </w:rPr>
            </w:pPr>
            <w:r>
              <w:rPr>
                <w:rFonts w:hint="eastAsia"/>
                <w:color w:val="000000"/>
                <w:szCs w:val="21"/>
                <w:vertAlign w:val="baseline"/>
                <w:lang w:val="en-US" w:eastAsia="zh-CN"/>
              </w:rPr>
              <w:t>2只</w:t>
            </w:r>
          </w:p>
        </w:tc>
      </w:tr>
    </w:tbl>
    <w:p w14:paraId="0B5413BE">
      <w:pPr>
        <w:snapToGrid w:val="0"/>
        <w:spacing w:line="440" w:lineRule="exact"/>
        <w:ind w:firstLine="420" w:firstLineChars="200"/>
        <w:rPr>
          <w:rFonts w:hint="eastAsia"/>
          <w:color w:val="000000"/>
          <w:szCs w:val="21"/>
          <w:lang w:eastAsia="zh-CN"/>
        </w:rPr>
      </w:pPr>
    </w:p>
    <w:p w14:paraId="7C5E2B64">
      <w:pPr>
        <w:snapToGrid w:val="0"/>
        <w:spacing w:line="440" w:lineRule="exact"/>
        <w:rPr>
          <w:rFonts w:eastAsia="黑体"/>
          <w:color w:val="000000"/>
          <w:szCs w:val="21"/>
        </w:rPr>
      </w:pPr>
      <w:r>
        <w:rPr>
          <w:rFonts w:eastAsia="黑体"/>
          <w:color w:val="000000"/>
          <w:szCs w:val="21"/>
        </w:rPr>
        <w:t>2 检验依据</w:t>
      </w:r>
    </w:p>
    <w:p w14:paraId="1A0A5DE6">
      <w:pPr>
        <w:tabs>
          <w:tab w:val="left" w:pos="1701"/>
          <w:tab w:val="left" w:pos="2268"/>
        </w:tabs>
        <w:snapToGrid w:val="0"/>
        <w:spacing w:line="440" w:lineRule="exact"/>
        <w:jc w:val="center"/>
        <w:rPr>
          <w:rFonts w:hint="default" w:eastAsia="宋体"/>
          <w:color w:val="000000"/>
          <w:szCs w:val="21"/>
          <w:lang w:val="en-US" w:eastAsia="zh-CN"/>
        </w:rPr>
      </w:pPr>
      <w:r>
        <w:rPr>
          <w:rFonts w:hint="eastAsia" w:ascii="宋体" w:hAnsi="宋体"/>
          <w:color w:val="000000"/>
          <w:szCs w:val="21"/>
        </w:rPr>
        <w:t>表2</w:t>
      </w:r>
      <w:r>
        <w:rPr>
          <w:rFonts w:hint="eastAsia"/>
          <w:color w:val="000000"/>
          <w:szCs w:val="21"/>
        </w:rPr>
        <w:t xml:space="preserve"> </w:t>
      </w:r>
      <w:r>
        <w:rPr>
          <w:rFonts w:hint="eastAsia"/>
          <w:color w:val="000000"/>
          <w:szCs w:val="21"/>
          <w:lang w:val="en-US" w:eastAsia="zh-CN"/>
        </w:rPr>
        <w:t>电动自行车用蓄电池充电器(T/TCDZ 0001-2019)</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1833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82912B4">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4A047831">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6DC8830D">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070F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66C24C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4110" w:type="dxa"/>
            <w:vAlign w:val="center"/>
          </w:tcPr>
          <w:p w14:paraId="395B28C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输入功率和电流</w:t>
            </w:r>
          </w:p>
        </w:tc>
        <w:tc>
          <w:tcPr>
            <w:tcW w:w="3473" w:type="dxa"/>
            <w:vAlign w:val="center"/>
          </w:tcPr>
          <w:p w14:paraId="7F16C272">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4706.1-2005</w:t>
            </w:r>
            <w:r>
              <w:rPr>
                <w:rFonts w:hint="default" w:eastAsia="宋体"/>
                <w:color w:val="000000"/>
                <w:szCs w:val="21"/>
                <w:vertAlign w:val="baseline"/>
                <w:lang w:val="en-US" w:eastAsia="zh-CN"/>
              </w:rPr>
              <w:br w:type="textWrapping"/>
            </w:r>
            <w:r>
              <w:rPr>
                <w:rFonts w:hint="default" w:eastAsia="宋体"/>
                <w:color w:val="000000"/>
                <w:szCs w:val="21"/>
                <w:vertAlign w:val="baseline"/>
                <w:lang w:val="en-US" w:eastAsia="zh-CN"/>
              </w:rPr>
              <w:t>GB 4706.18-2014</w:t>
            </w:r>
          </w:p>
        </w:tc>
      </w:tr>
      <w:tr w14:paraId="4926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C986889">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w:t>
            </w:r>
          </w:p>
        </w:tc>
        <w:tc>
          <w:tcPr>
            <w:tcW w:w="4110" w:type="dxa"/>
            <w:vAlign w:val="center"/>
          </w:tcPr>
          <w:p w14:paraId="5817EFAB">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对触及带电部件的防护</w:t>
            </w:r>
          </w:p>
        </w:tc>
        <w:tc>
          <w:tcPr>
            <w:tcW w:w="3473" w:type="dxa"/>
            <w:vAlign w:val="center"/>
          </w:tcPr>
          <w:p w14:paraId="42FF91F8">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T/TCDZ 0001-2019</w:t>
            </w:r>
          </w:p>
        </w:tc>
      </w:tr>
      <w:tr w14:paraId="71D9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7DDECA9">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4110" w:type="dxa"/>
            <w:vAlign w:val="center"/>
          </w:tcPr>
          <w:p w14:paraId="71702435">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发热</w:t>
            </w:r>
          </w:p>
        </w:tc>
        <w:tc>
          <w:tcPr>
            <w:tcW w:w="3473" w:type="dxa"/>
            <w:vAlign w:val="center"/>
          </w:tcPr>
          <w:p w14:paraId="03F21447">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4706.1-2005</w:t>
            </w:r>
          </w:p>
        </w:tc>
      </w:tr>
      <w:tr w14:paraId="22A9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C3CAF9B">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4110" w:type="dxa"/>
            <w:vAlign w:val="center"/>
          </w:tcPr>
          <w:p w14:paraId="2AFF1A3F">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泄漏电流和电气强度</w:t>
            </w:r>
          </w:p>
        </w:tc>
        <w:tc>
          <w:tcPr>
            <w:tcW w:w="3473" w:type="dxa"/>
            <w:vAlign w:val="center"/>
          </w:tcPr>
          <w:p w14:paraId="7B33AFD8">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4706.1-2005</w:t>
            </w:r>
          </w:p>
        </w:tc>
      </w:tr>
      <w:tr w14:paraId="46BF0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EF41ECB">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5</w:t>
            </w:r>
          </w:p>
        </w:tc>
        <w:tc>
          <w:tcPr>
            <w:tcW w:w="4110" w:type="dxa"/>
            <w:vAlign w:val="center"/>
          </w:tcPr>
          <w:p w14:paraId="142E8A79">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机械强度（外壳冲击试验）</w:t>
            </w:r>
          </w:p>
        </w:tc>
        <w:tc>
          <w:tcPr>
            <w:tcW w:w="3473" w:type="dxa"/>
            <w:vAlign w:val="center"/>
          </w:tcPr>
          <w:p w14:paraId="03DD70A4">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T/TCDZ 0001-2019</w:t>
            </w:r>
          </w:p>
        </w:tc>
      </w:tr>
      <w:tr w14:paraId="25D2F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09E990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6</w:t>
            </w:r>
          </w:p>
        </w:tc>
        <w:tc>
          <w:tcPr>
            <w:tcW w:w="4110" w:type="dxa"/>
            <w:vAlign w:val="center"/>
          </w:tcPr>
          <w:p w14:paraId="238D629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内部布线</w:t>
            </w:r>
          </w:p>
        </w:tc>
        <w:tc>
          <w:tcPr>
            <w:tcW w:w="3473" w:type="dxa"/>
            <w:vAlign w:val="center"/>
          </w:tcPr>
          <w:p w14:paraId="42A6D7AF">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4706.1-2005</w:t>
            </w:r>
          </w:p>
        </w:tc>
      </w:tr>
      <w:tr w14:paraId="6C78F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07CA48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7</w:t>
            </w:r>
          </w:p>
        </w:tc>
        <w:tc>
          <w:tcPr>
            <w:tcW w:w="4110" w:type="dxa"/>
            <w:vAlign w:val="center"/>
          </w:tcPr>
          <w:p w14:paraId="069AA58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接地措施</w:t>
            </w:r>
          </w:p>
        </w:tc>
        <w:tc>
          <w:tcPr>
            <w:tcW w:w="3473" w:type="dxa"/>
            <w:vAlign w:val="center"/>
          </w:tcPr>
          <w:p w14:paraId="3FF9D268">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4706.1-2005</w:t>
            </w:r>
          </w:p>
        </w:tc>
      </w:tr>
      <w:tr w14:paraId="758E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8004F1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8</w:t>
            </w:r>
          </w:p>
        </w:tc>
        <w:tc>
          <w:tcPr>
            <w:tcW w:w="4110" w:type="dxa"/>
            <w:vAlign w:val="center"/>
          </w:tcPr>
          <w:p w14:paraId="75B234E0">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爬电距离、电气间隙</w:t>
            </w:r>
          </w:p>
        </w:tc>
        <w:tc>
          <w:tcPr>
            <w:tcW w:w="3473" w:type="dxa"/>
            <w:vAlign w:val="center"/>
          </w:tcPr>
          <w:p w14:paraId="04FCC4BB">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4706.1-2005</w:t>
            </w:r>
          </w:p>
        </w:tc>
      </w:tr>
    </w:tbl>
    <w:p w14:paraId="20974650">
      <w:pPr>
        <w:snapToGrid w:val="0"/>
        <w:spacing w:line="440" w:lineRule="exact"/>
        <w:jc w:val="both"/>
        <w:rPr>
          <w:rFonts w:hint="default" w:eastAsia="宋体"/>
          <w:color w:val="000000"/>
          <w:szCs w:val="21"/>
          <w:lang w:val="en-US" w:eastAsia="zh-CN"/>
        </w:rPr>
      </w:pPr>
    </w:p>
    <w:p w14:paraId="6DA1283C">
      <w:pPr>
        <w:tabs>
          <w:tab w:val="left" w:pos="1701"/>
          <w:tab w:val="left" w:pos="2268"/>
        </w:tabs>
        <w:snapToGrid w:val="0"/>
        <w:spacing w:line="440" w:lineRule="exact"/>
        <w:jc w:val="center"/>
        <w:rPr>
          <w:rFonts w:eastAsia="黑体"/>
          <w:color w:val="000000"/>
          <w:szCs w:val="21"/>
        </w:rPr>
      </w:pPr>
      <w:r>
        <w:rPr>
          <w:rFonts w:hint="eastAsia" w:ascii="宋体" w:hAnsi="宋体"/>
          <w:color w:val="000000"/>
          <w:szCs w:val="21"/>
        </w:rPr>
        <w:t>表</w:t>
      </w:r>
      <w:r>
        <w:rPr>
          <w:rFonts w:hint="eastAsia" w:ascii="宋体" w:hAnsi="宋体"/>
          <w:color w:val="000000"/>
          <w:szCs w:val="21"/>
          <w:lang w:val="en-US" w:eastAsia="zh-CN"/>
        </w:rPr>
        <w:t>3</w:t>
      </w:r>
      <w:r>
        <w:rPr>
          <w:rFonts w:hint="eastAsia"/>
          <w:color w:val="000000"/>
          <w:szCs w:val="21"/>
        </w:rPr>
        <w:t xml:space="preserve"> </w:t>
      </w:r>
      <w:r>
        <w:rPr>
          <w:rFonts w:hint="eastAsia"/>
          <w:color w:val="000000"/>
          <w:szCs w:val="21"/>
          <w:lang w:val="en-US" w:eastAsia="zh-CN"/>
        </w:rPr>
        <w:t>电动自行车用充电器技术要求(GB/T 36944-2018)</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38F8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38C7B36">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325DF0FE">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5C74AB41">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7B1D3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405962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4110" w:type="dxa"/>
            <w:vAlign w:val="center"/>
          </w:tcPr>
          <w:p w14:paraId="4AC528A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机械强度</w:t>
            </w:r>
          </w:p>
        </w:tc>
        <w:tc>
          <w:tcPr>
            <w:tcW w:w="3473" w:type="dxa"/>
            <w:vAlign w:val="center"/>
          </w:tcPr>
          <w:p w14:paraId="54AECD38">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36944-2018</w:t>
            </w:r>
          </w:p>
        </w:tc>
      </w:tr>
      <w:tr w14:paraId="2E625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3DF00F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w:t>
            </w:r>
          </w:p>
        </w:tc>
        <w:tc>
          <w:tcPr>
            <w:tcW w:w="4110" w:type="dxa"/>
            <w:vAlign w:val="center"/>
          </w:tcPr>
          <w:p w14:paraId="3B8C7EE4">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泄漏电流</w:t>
            </w:r>
          </w:p>
        </w:tc>
        <w:tc>
          <w:tcPr>
            <w:tcW w:w="3473" w:type="dxa"/>
            <w:vAlign w:val="center"/>
          </w:tcPr>
          <w:p w14:paraId="34CD097C">
            <w:pPr>
              <w:snapToGrid w:val="0"/>
              <w:spacing w:line="440" w:lineRule="exact"/>
              <w:jc w:val="center"/>
              <w:rPr>
                <w:rFonts w:hint="default" w:eastAsia="宋体"/>
                <w:color w:val="000000"/>
                <w:szCs w:val="21"/>
                <w:vertAlign w:val="baseline"/>
                <w:lang w:val="en-US" w:eastAsia="zh-CN"/>
              </w:rPr>
            </w:pPr>
            <w:r>
              <w:rPr>
                <w:rFonts w:hint="eastAsia"/>
                <w:color w:val="000000"/>
                <w:szCs w:val="21"/>
                <w:lang w:val="en-US" w:eastAsia="zh-CN"/>
              </w:rPr>
              <w:t>GB/T 36944-2018</w:t>
            </w:r>
          </w:p>
        </w:tc>
      </w:tr>
      <w:tr w14:paraId="5D62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224E643">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4110" w:type="dxa"/>
            <w:vAlign w:val="center"/>
          </w:tcPr>
          <w:p w14:paraId="33E381D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电气强度</w:t>
            </w:r>
          </w:p>
        </w:tc>
        <w:tc>
          <w:tcPr>
            <w:tcW w:w="3473" w:type="dxa"/>
            <w:vAlign w:val="center"/>
          </w:tcPr>
          <w:p w14:paraId="0C109C7F">
            <w:pPr>
              <w:snapToGrid w:val="0"/>
              <w:spacing w:line="440" w:lineRule="exact"/>
              <w:jc w:val="center"/>
              <w:rPr>
                <w:rFonts w:hint="default" w:eastAsia="宋体"/>
                <w:color w:val="000000"/>
                <w:szCs w:val="21"/>
                <w:vertAlign w:val="baseline"/>
                <w:lang w:val="en-US" w:eastAsia="zh-CN"/>
              </w:rPr>
            </w:pPr>
            <w:r>
              <w:rPr>
                <w:rFonts w:hint="eastAsia"/>
                <w:color w:val="000000"/>
                <w:szCs w:val="21"/>
                <w:lang w:val="en-US" w:eastAsia="zh-CN"/>
              </w:rPr>
              <w:t>GB/T 36944-2018</w:t>
            </w:r>
          </w:p>
        </w:tc>
      </w:tr>
      <w:tr w14:paraId="7A24E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794B8A9">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4110" w:type="dxa"/>
            <w:vAlign w:val="center"/>
          </w:tcPr>
          <w:p w14:paraId="6094098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防触电保护</w:t>
            </w:r>
          </w:p>
        </w:tc>
        <w:tc>
          <w:tcPr>
            <w:tcW w:w="3473" w:type="dxa"/>
            <w:vAlign w:val="center"/>
          </w:tcPr>
          <w:p w14:paraId="69054A49">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4706.1-2005</w:t>
            </w:r>
          </w:p>
        </w:tc>
      </w:tr>
      <w:tr w14:paraId="45271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06DFF83">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5</w:t>
            </w:r>
          </w:p>
        </w:tc>
        <w:tc>
          <w:tcPr>
            <w:tcW w:w="4110" w:type="dxa"/>
            <w:vAlign w:val="center"/>
          </w:tcPr>
          <w:p w14:paraId="4E28574E">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非正常工作</w:t>
            </w:r>
          </w:p>
        </w:tc>
        <w:tc>
          <w:tcPr>
            <w:tcW w:w="3473" w:type="dxa"/>
            <w:vAlign w:val="center"/>
          </w:tcPr>
          <w:p w14:paraId="46260CFC">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36944-2018</w:t>
            </w:r>
          </w:p>
        </w:tc>
      </w:tr>
      <w:tr w14:paraId="2EC53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07354D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6</w:t>
            </w:r>
          </w:p>
        </w:tc>
        <w:tc>
          <w:tcPr>
            <w:tcW w:w="4110" w:type="dxa"/>
            <w:vAlign w:val="center"/>
          </w:tcPr>
          <w:p w14:paraId="73CBB32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内部布线</w:t>
            </w:r>
          </w:p>
        </w:tc>
        <w:tc>
          <w:tcPr>
            <w:tcW w:w="3473" w:type="dxa"/>
            <w:vAlign w:val="center"/>
          </w:tcPr>
          <w:p w14:paraId="1FE212BA">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4706.1-2005</w:t>
            </w:r>
          </w:p>
        </w:tc>
      </w:tr>
      <w:tr w14:paraId="5C379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41A7A59">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7</w:t>
            </w:r>
          </w:p>
        </w:tc>
        <w:tc>
          <w:tcPr>
            <w:tcW w:w="4110" w:type="dxa"/>
            <w:vAlign w:val="center"/>
          </w:tcPr>
          <w:p w14:paraId="4B749E6D">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电源软线</w:t>
            </w:r>
          </w:p>
        </w:tc>
        <w:tc>
          <w:tcPr>
            <w:tcW w:w="3473" w:type="dxa"/>
            <w:vAlign w:val="center"/>
          </w:tcPr>
          <w:p w14:paraId="104B8883">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4706.1-2005</w:t>
            </w:r>
          </w:p>
        </w:tc>
      </w:tr>
    </w:tbl>
    <w:p w14:paraId="1C6C164A">
      <w:pPr>
        <w:snapToGrid w:val="0"/>
        <w:spacing w:line="440" w:lineRule="exact"/>
        <w:ind w:firstLine="420" w:firstLineChars="200"/>
        <w:rPr>
          <w:color w:val="000000"/>
          <w:szCs w:val="21"/>
        </w:rPr>
      </w:pPr>
    </w:p>
    <w:p w14:paraId="1FFCF7FA">
      <w:pPr>
        <w:tabs>
          <w:tab w:val="left" w:pos="1701"/>
          <w:tab w:val="left" w:pos="2268"/>
        </w:tabs>
        <w:snapToGrid w:val="0"/>
        <w:spacing w:line="440" w:lineRule="exact"/>
        <w:jc w:val="center"/>
        <w:rPr>
          <w:rFonts w:eastAsia="黑体"/>
          <w:color w:val="000000"/>
          <w:szCs w:val="21"/>
        </w:rPr>
      </w:pPr>
      <w:r>
        <w:rPr>
          <w:rFonts w:hint="eastAsia" w:ascii="宋体" w:hAnsi="宋体"/>
          <w:color w:val="000000"/>
          <w:szCs w:val="21"/>
        </w:rPr>
        <w:t>表</w:t>
      </w:r>
      <w:r>
        <w:rPr>
          <w:rFonts w:hint="eastAsia" w:ascii="宋体" w:hAnsi="宋体"/>
          <w:color w:val="000000"/>
          <w:szCs w:val="21"/>
          <w:lang w:val="en-US" w:eastAsia="zh-CN"/>
        </w:rPr>
        <w:t>4电动自行车用充电器安全技术要求</w:t>
      </w:r>
      <w:r>
        <w:rPr>
          <w:rFonts w:hint="eastAsia"/>
          <w:color w:val="000000"/>
          <w:szCs w:val="21"/>
        </w:rPr>
        <w:t xml:space="preserve"> </w:t>
      </w:r>
      <w:r>
        <w:rPr>
          <w:rFonts w:hint="eastAsia"/>
          <w:color w:val="000000"/>
          <w:szCs w:val="21"/>
          <w:lang w:val="en-US" w:eastAsia="zh-CN"/>
        </w:rPr>
        <w:t>(GB 42296-2022)</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233EB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AA8FD1F">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44A2F5B3">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5D156E77">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2585D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96F38D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4110" w:type="dxa"/>
            <w:vAlign w:val="center"/>
          </w:tcPr>
          <w:p w14:paraId="53BC655F">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外壳冲击</w:t>
            </w:r>
          </w:p>
        </w:tc>
        <w:tc>
          <w:tcPr>
            <w:tcW w:w="3473" w:type="dxa"/>
            <w:vAlign w:val="center"/>
          </w:tcPr>
          <w:p w14:paraId="2DCDDD46">
            <w:pPr>
              <w:snapToGrid w:val="0"/>
              <w:spacing w:line="440" w:lineRule="exact"/>
              <w:jc w:val="center"/>
              <w:rPr>
                <w:rFonts w:hint="default" w:eastAsia="宋体"/>
                <w:color w:val="000000"/>
                <w:szCs w:val="21"/>
                <w:vertAlign w:val="baseline"/>
                <w:lang w:val="en-US" w:eastAsia="zh-CN"/>
              </w:rPr>
            </w:pPr>
            <w:r>
              <w:rPr>
                <w:rFonts w:hint="eastAsia"/>
                <w:color w:val="000000"/>
                <w:szCs w:val="21"/>
                <w:lang w:val="en-US" w:eastAsia="zh-CN"/>
              </w:rPr>
              <w:t>GB 42296-2022</w:t>
            </w:r>
          </w:p>
        </w:tc>
      </w:tr>
      <w:tr w14:paraId="02A74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77C623F">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w:t>
            </w:r>
          </w:p>
        </w:tc>
        <w:tc>
          <w:tcPr>
            <w:tcW w:w="4110" w:type="dxa"/>
            <w:vAlign w:val="center"/>
          </w:tcPr>
          <w:p w14:paraId="7B42B100">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跌落</w:t>
            </w:r>
          </w:p>
        </w:tc>
        <w:tc>
          <w:tcPr>
            <w:tcW w:w="3473" w:type="dxa"/>
            <w:vAlign w:val="center"/>
          </w:tcPr>
          <w:p w14:paraId="4B43FD94">
            <w:pPr>
              <w:snapToGrid w:val="0"/>
              <w:spacing w:line="440" w:lineRule="exact"/>
              <w:jc w:val="center"/>
              <w:rPr>
                <w:rFonts w:hint="default" w:eastAsia="宋体"/>
                <w:color w:val="000000"/>
                <w:szCs w:val="21"/>
                <w:vertAlign w:val="baseline"/>
                <w:lang w:val="en-US" w:eastAsia="zh-CN"/>
              </w:rPr>
            </w:pPr>
            <w:r>
              <w:rPr>
                <w:rFonts w:hint="eastAsia"/>
                <w:color w:val="000000"/>
                <w:szCs w:val="21"/>
                <w:lang w:val="en-US" w:eastAsia="zh-CN"/>
              </w:rPr>
              <w:t>GB 42296-2022</w:t>
            </w:r>
          </w:p>
        </w:tc>
      </w:tr>
      <w:tr w14:paraId="2EF15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95D21D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4110" w:type="dxa"/>
            <w:vAlign w:val="center"/>
          </w:tcPr>
          <w:p w14:paraId="750F28E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工作温度下的泄漏电流</w:t>
            </w:r>
          </w:p>
        </w:tc>
        <w:tc>
          <w:tcPr>
            <w:tcW w:w="3473" w:type="dxa"/>
            <w:vAlign w:val="center"/>
          </w:tcPr>
          <w:p w14:paraId="4F140CC3">
            <w:pPr>
              <w:snapToGrid w:val="0"/>
              <w:spacing w:line="440" w:lineRule="exact"/>
              <w:jc w:val="center"/>
              <w:rPr>
                <w:rFonts w:hint="default" w:eastAsia="宋体"/>
                <w:color w:val="000000"/>
                <w:szCs w:val="21"/>
                <w:vertAlign w:val="baseline"/>
                <w:lang w:val="en-US" w:eastAsia="zh-CN"/>
              </w:rPr>
            </w:pPr>
            <w:r>
              <w:rPr>
                <w:rFonts w:hint="eastAsia"/>
                <w:color w:val="000000"/>
                <w:szCs w:val="21"/>
                <w:lang w:val="en-US" w:eastAsia="zh-CN"/>
              </w:rPr>
              <w:t>GB 42296-2022</w:t>
            </w:r>
          </w:p>
        </w:tc>
      </w:tr>
      <w:tr w14:paraId="16E0D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EB2D355">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4110" w:type="dxa"/>
            <w:vAlign w:val="center"/>
          </w:tcPr>
          <w:p w14:paraId="26ED50C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电气强度</w:t>
            </w:r>
          </w:p>
        </w:tc>
        <w:tc>
          <w:tcPr>
            <w:tcW w:w="3473" w:type="dxa"/>
            <w:vAlign w:val="center"/>
          </w:tcPr>
          <w:p w14:paraId="0826C123">
            <w:pPr>
              <w:snapToGrid w:val="0"/>
              <w:spacing w:line="440" w:lineRule="exact"/>
              <w:jc w:val="center"/>
              <w:rPr>
                <w:rFonts w:hint="default" w:eastAsia="宋体"/>
                <w:color w:val="000000"/>
                <w:szCs w:val="21"/>
                <w:vertAlign w:val="baseline"/>
                <w:lang w:val="en-US" w:eastAsia="zh-CN"/>
              </w:rPr>
            </w:pPr>
            <w:r>
              <w:rPr>
                <w:rFonts w:hint="eastAsia"/>
                <w:color w:val="000000"/>
                <w:szCs w:val="21"/>
                <w:lang w:val="en-US" w:eastAsia="zh-CN"/>
              </w:rPr>
              <w:t>GB 42296-2022</w:t>
            </w:r>
          </w:p>
        </w:tc>
      </w:tr>
      <w:tr w14:paraId="51C89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5809449">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5</w:t>
            </w:r>
          </w:p>
        </w:tc>
        <w:tc>
          <w:tcPr>
            <w:tcW w:w="4110" w:type="dxa"/>
            <w:vAlign w:val="center"/>
          </w:tcPr>
          <w:p w14:paraId="750DEB6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防触电保护</w:t>
            </w:r>
          </w:p>
        </w:tc>
        <w:tc>
          <w:tcPr>
            <w:tcW w:w="3473" w:type="dxa"/>
            <w:vAlign w:val="center"/>
          </w:tcPr>
          <w:p w14:paraId="613BFA0B">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4706.1-2005</w:t>
            </w:r>
          </w:p>
        </w:tc>
      </w:tr>
      <w:tr w14:paraId="5B8F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0ACF85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6</w:t>
            </w:r>
          </w:p>
        </w:tc>
        <w:tc>
          <w:tcPr>
            <w:tcW w:w="4110" w:type="dxa"/>
            <w:vAlign w:val="center"/>
          </w:tcPr>
          <w:p w14:paraId="66EA49EE">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非正常工作（错接）</w:t>
            </w:r>
          </w:p>
        </w:tc>
        <w:tc>
          <w:tcPr>
            <w:tcW w:w="3473" w:type="dxa"/>
            <w:vAlign w:val="center"/>
          </w:tcPr>
          <w:p w14:paraId="5F6EA6CE">
            <w:pPr>
              <w:snapToGrid w:val="0"/>
              <w:spacing w:line="440" w:lineRule="exact"/>
              <w:jc w:val="center"/>
              <w:rPr>
                <w:rFonts w:hint="default" w:eastAsia="宋体"/>
                <w:color w:val="000000"/>
                <w:szCs w:val="21"/>
                <w:vertAlign w:val="baseline"/>
                <w:lang w:val="en-US" w:eastAsia="zh-CN"/>
              </w:rPr>
            </w:pPr>
            <w:r>
              <w:rPr>
                <w:rFonts w:hint="eastAsia"/>
                <w:color w:val="000000"/>
                <w:szCs w:val="21"/>
                <w:lang w:val="en-US" w:eastAsia="zh-CN"/>
              </w:rPr>
              <w:t>GB 42296-2022</w:t>
            </w:r>
          </w:p>
        </w:tc>
      </w:tr>
      <w:tr w14:paraId="6CC7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2A2308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7</w:t>
            </w:r>
          </w:p>
        </w:tc>
        <w:tc>
          <w:tcPr>
            <w:tcW w:w="4110" w:type="dxa"/>
            <w:vAlign w:val="center"/>
          </w:tcPr>
          <w:p w14:paraId="0604C435">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非正常工作（短路）</w:t>
            </w:r>
          </w:p>
        </w:tc>
        <w:tc>
          <w:tcPr>
            <w:tcW w:w="3473" w:type="dxa"/>
            <w:vAlign w:val="center"/>
          </w:tcPr>
          <w:p w14:paraId="21E42358">
            <w:pPr>
              <w:snapToGrid w:val="0"/>
              <w:spacing w:line="440" w:lineRule="exact"/>
              <w:jc w:val="center"/>
              <w:rPr>
                <w:rFonts w:hint="default" w:eastAsia="宋体"/>
                <w:color w:val="000000"/>
                <w:szCs w:val="21"/>
                <w:vertAlign w:val="baseline"/>
                <w:lang w:val="en-US" w:eastAsia="zh-CN"/>
              </w:rPr>
            </w:pPr>
            <w:r>
              <w:rPr>
                <w:rFonts w:hint="eastAsia"/>
                <w:color w:val="000000"/>
                <w:szCs w:val="21"/>
                <w:lang w:val="en-US" w:eastAsia="zh-CN"/>
              </w:rPr>
              <w:t>GB 42296-2022</w:t>
            </w:r>
          </w:p>
        </w:tc>
      </w:tr>
    </w:tbl>
    <w:p w14:paraId="40BC9B0D">
      <w:pPr>
        <w:snapToGrid w:val="0"/>
        <w:spacing w:line="440" w:lineRule="exact"/>
        <w:ind w:left="420" w:leftChars="200" w:firstLine="0" w:firstLineChars="0"/>
        <w:jc w:val="center"/>
        <w:rPr>
          <w:rFonts w:hint="default" w:eastAsia="宋体"/>
          <w:color w:val="000000"/>
          <w:szCs w:val="21"/>
          <w:lang w:val="en-US" w:eastAsia="zh-CN"/>
        </w:rPr>
      </w:pPr>
      <w:r>
        <w:rPr>
          <w:color w:val="000000"/>
          <w:szCs w:val="21"/>
        </w:rPr>
        <w:br w:type="textWrapping"/>
      </w:r>
      <w:r>
        <w:rPr>
          <w:rFonts w:hint="eastAsia"/>
          <w:color w:val="000000"/>
          <w:szCs w:val="21"/>
          <w:lang w:val="en-US" w:eastAsia="zh-CN"/>
        </w:rPr>
        <w:t>表5家用和类似用途电器的安全（GB 4706.18-2014、GB 4706.1-2005）</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4B749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9ACE767">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258C2F89">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7CEBE691">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4BEC2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A9177B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4110" w:type="dxa"/>
            <w:vAlign w:val="center"/>
          </w:tcPr>
          <w:p w14:paraId="5BF974AE">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对触及带电部件的防护</w:t>
            </w:r>
          </w:p>
        </w:tc>
        <w:tc>
          <w:tcPr>
            <w:tcW w:w="3473" w:type="dxa"/>
            <w:vAlign w:val="center"/>
          </w:tcPr>
          <w:p w14:paraId="57B367AE">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4706.1-2005</w:t>
            </w:r>
          </w:p>
        </w:tc>
      </w:tr>
      <w:tr w14:paraId="70C07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ECF0C4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w:t>
            </w:r>
          </w:p>
        </w:tc>
        <w:tc>
          <w:tcPr>
            <w:tcW w:w="4110" w:type="dxa"/>
            <w:vAlign w:val="center"/>
          </w:tcPr>
          <w:p w14:paraId="678DE0CE">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输入功率和电流</w:t>
            </w:r>
          </w:p>
        </w:tc>
        <w:tc>
          <w:tcPr>
            <w:tcW w:w="3473" w:type="dxa"/>
            <w:vAlign w:val="center"/>
          </w:tcPr>
          <w:p w14:paraId="2D6C4B74">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4706.1-2005</w:t>
            </w:r>
            <w:r>
              <w:rPr>
                <w:rFonts w:hint="default" w:eastAsia="宋体"/>
                <w:color w:val="000000"/>
                <w:szCs w:val="21"/>
                <w:vertAlign w:val="baseline"/>
                <w:lang w:val="en-US" w:eastAsia="zh-CN"/>
              </w:rPr>
              <w:br w:type="textWrapping"/>
            </w:r>
            <w:r>
              <w:rPr>
                <w:rFonts w:hint="default" w:eastAsia="宋体"/>
                <w:color w:val="000000"/>
                <w:szCs w:val="21"/>
                <w:vertAlign w:val="baseline"/>
                <w:lang w:val="en-US" w:eastAsia="zh-CN"/>
              </w:rPr>
              <w:t>GB 4706.18-2014</w:t>
            </w:r>
          </w:p>
        </w:tc>
      </w:tr>
      <w:tr w14:paraId="1E3AB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07A899E">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4110" w:type="dxa"/>
            <w:vAlign w:val="center"/>
          </w:tcPr>
          <w:p w14:paraId="13AB23FE">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发热</w:t>
            </w:r>
          </w:p>
        </w:tc>
        <w:tc>
          <w:tcPr>
            <w:tcW w:w="3473" w:type="dxa"/>
            <w:vAlign w:val="center"/>
          </w:tcPr>
          <w:p w14:paraId="3A393EB9">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4706.1-2005</w:t>
            </w:r>
          </w:p>
        </w:tc>
      </w:tr>
      <w:tr w14:paraId="7FB98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DDA5F7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4110" w:type="dxa"/>
            <w:vAlign w:val="center"/>
          </w:tcPr>
          <w:p w14:paraId="12908981">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工作温度下的泄漏电流和电气强度</w:t>
            </w:r>
          </w:p>
        </w:tc>
        <w:tc>
          <w:tcPr>
            <w:tcW w:w="3473" w:type="dxa"/>
            <w:vAlign w:val="center"/>
          </w:tcPr>
          <w:p w14:paraId="69CF2BA0">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4706.1-2005</w:t>
            </w:r>
          </w:p>
        </w:tc>
      </w:tr>
      <w:tr w14:paraId="4EE0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41C330D">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5</w:t>
            </w:r>
          </w:p>
        </w:tc>
        <w:tc>
          <w:tcPr>
            <w:tcW w:w="4110" w:type="dxa"/>
            <w:vAlign w:val="center"/>
          </w:tcPr>
          <w:p w14:paraId="0EE7F652">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机械强度（外壳冲击试验）</w:t>
            </w:r>
          </w:p>
        </w:tc>
        <w:tc>
          <w:tcPr>
            <w:tcW w:w="3473" w:type="dxa"/>
            <w:vAlign w:val="center"/>
          </w:tcPr>
          <w:p w14:paraId="5C43758C">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4706.1-2005</w:t>
            </w:r>
            <w:r>
              <w:rPr>
                <w:rFonts w:hint="default" w:eastAsia="宋体"/>
                <w:color w:val="000000"/>
                <w:szCs w:val="21"/>
                <w:vertAlign w:val="baseline"/>
                <w:lang w:val="en-US" w:eastAsia="zh-CN"/>
              </w:rPr>
              <w:br w:type="textWrapping"/>
            </w:r>
            <w:r>
              <w:rPr>
                <w:rFonts w:hint="default" w:eastAsia="宋体"/>
                <w:color w:val="000000"/>
                <w:szCs w:val="21"/>
                <w:vertAlign w:val="baseline"/>
                <w:lang w:val="en-US" w:eastAsia="zh-CN"/>
              </w:rPr>
              <w:t>GB 4706.18-2014</w:t>
            </w:r>
          </w:p>
        </w:tc>
      </w:tr>
      <w:tr w14:paraId="39A0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FE09E4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6</w:t>
            </w:r>
          </w:p>
        </w:tc>
        <w:tc>
          <w:tcPr>
            <w:tcW w:w="4110" w:type="dxa"/>
            <w:vAlign w:val="center"/>
          </w:tcPr>
          <w:p w14:paraId="1D3784EA">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内部布线</w:t>
            </w:r>
          </w:p>
        </w:tc>
        <w:tc>
          <w:tcPr>
            <w:tcW w:w="3473" w:type="dxa"/>
            <w:vAlign w:val="center"/>
          </w:tcPr>
          <w:p w14:paraId="663EDD0D">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4706.1-2005</w:t>
            </w:r>
          </w:p>
        </w:tc>
      </w:tr>
      <w:tr w14:paraId="3D102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C12D790">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7</w:t>
            </w:r>
          </w:p>
        </w:tc>
        <w:tc>
          <w:tcPr>
            <w:tcW w:w="4110" w:type="dxa"/>
            <w:vAlign w:val="center"/>
          </w:tcPr>
          <w:p w14:paraId="7A9AF1B1">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接地措施</w:t>
            </w:r>
          </w:p>
        </w:tc>
        <w:tc>
          <w:tcPr>
            <w:tcW w:w="3473" w:type="dxa"/>
            <w:vAlign w:val="center"/>
          </w:tcPr>
          <w:p w14:paraId="722A41F4">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4706.1-2005</w:t>
            </w:r>
          </w:p>
        </w:tc>
      </w:tr>
      <w:tr w14:paraId="4BB5E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83CDFA6">
            <w:pPr>
              <w:snapToGrid w:val="0"/>
              <w:spacing w:line="440" w:lineRule="exact"/>
              <w:jc w:val="center"/>
              <w:rPr>
                <w:rFonts w:hint="default"/>
                <w:color w:val="000000"/>
                <w:szCs w:val="21"/>
                <w:vertAlign w:val="baseline"/>
                <w:lang w:val="en-US" w:eastAsia="zh-CN"/>
              </w:rPr>
            </w:pPr>
            <w:r>
              <w:rPr>
                <w:rFonts w:hint="eastAsia"/>
                <w:color w:val="000000"/>
                <w:szCs w:val="21"/>
                <w:vertAlign w:val="baseline"/>
                <w:lang w:val="en-US" w:eastAsia="zh-CN"/>
              </w:rPr>
              <w:t>8</w:t>
            </w:r>
          </w:p>
        </w:tc>
        <w:tc>
          <w:tcPr>
            <w:tcW w:w="4110" w:type="dxa"/>
            <w:vAlign w:val="center"/>
          </w:tcPr>
          <w:p w14:paraId="65B6C321">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电气间隙、爬电距离和固体绝缘</w:t>
            </w:r>
          </w:p>
        </w:tc>
        <w:tc>
          <w:tcPr>
            <w:tcW w:w="3473" w:type="dxa"/>
            <w:vAlign w:val="center"/>
          </w:tcPr>
          <w:p w14:paraId="5E3612F4">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4706.1-2005</w:t>
            </w:r>
            <w:r>
              <w:rPr>
                <w:rFonts w:hint="default" w:eastAsia="宋体"/>
                <w:color w:val="000000"/>
                <w:szCs w:val="21"/>
                <w:vertAlign w:val="baseline"/>
                <w:lang w:val="en-US" w:eastAsia="zh-CN"/>
              </w:rPr>
              <w:br w:type="textWrapping"/>
            </w:r>
            <w:r>
              <w:rPr>
                <w:rFonts w:hint="default" w:eastAsia="宋体"/>
                <w:color w:val="000000"/>
                <w:szCs w:val="21"/>
                <w:vertAlign w:val="baseline"/>
                <w:lang w:val="en-US" w:eastAsia="zh-CN"/>
              </w:rPr>
              <w:t>GB/T 16935.1-2008</w:t>
            </w:r>
          </w:p>
        </w:tc>
      </w:tr>
    </w:tbl>
    <w:p w14:paraId="5BECFE18">
      <w:pPr>
        <w:snapToGrid w:val="0"/>
        <w:spacing w:line="440" w:lineRule="exact"/>
        <w:ind w:left="420" w:leftChars="200" w:firstLine="0" w:firstLineChars="0"/>
        <w:rPr>
          <w:color w:val="000000"/>
          <w:szCs w:val="21"/>
        </w:rPr>
      </w:pPr>
      <w:r>
        <w:rPr>
          <w:color w:val="000000"/>
          <w:szCs w:val="21"/>
        </w:rPr>
        <w:br w:type="textWrapping"/>
      </w:r>
      <w:r>
        <w:rPr>
          <w:color w:val="000000"/>
          <w:szCs w:val="21"/>
        </w:rPr>
        <w:t>执行企业标准、团体标准、地方标准的产品，检验项目参照上述内容执行。</w:t>
      </w:r>
    </w:p>
    <w:p w14:paraId="7AEAEC85">
      <w:pPr>
        <w:snapToGrid w:val="0"/>
        <w:spacing w:line="440" w:lineRule="exact"/>
        <w:ind w:firstLine="359" w:firstLineChars="171"/>
        <w:rPr>
          <w:color w:val="000000"/>
          <w:szCs w:val="21"/>
        </w:rPr>
      </w:pPr>
      <w:r>
        <w:rPr>
          <w:color w:val="000000"/>
          <w:szCs w:val="21"/>
        </w:rPr>
        <w:t>凡是注日期的文件，其随后所有的修改单（不包括勘误的内容）或修订版不适用于本细则。凡是不注日期的文件，其最新版本适用于本细则。</w:t>
      </w:r>
    </w:p>
    <w:p w14:paraId="785F2D54">
      <w:pPr>
        <w:snapToGrid w:val="0"/>
        <w:spacing w:line="440" w:lineRule="exact"/>
        <w:ind w:firstLine="359" w:firstLineChars="171"/>
        <w:rPr>
          <w:color w:val="000000"/>
          <w:szCs w:val="21"/>
        </w:rPr>
      </w:pPr>
    </w:p>
    <w:p w14:paraId="297C665F">
      <w:pPr>
        <w:spacing w:line="440" w:lineRule="exact"/>
        <w:rPr>
          <w:rFonts w:eastAsia="黑体"/>
          <w:color w:val="000000"/>
          <w:szCs w:val="21"/>
        </w:rPr>
      </w:pPr>
      <w:r>
        <w:rPr>
          <w:rFonts w:eastAsia="黑体"/>
          <w:color w:val="000000"/>
          <w:szCs w:val="21"/>
        </w:rPr>
        <w:t>3 判定规则</w:t>
      </w:r>
    </w:p>
    <w:p w14:paraId="343ED178">
      <w:pPr>
        <w:snapToGrid w:val="0"/>
        <w:spacing w:line="440" w:lineRule="exact"/>
        <w:rPr>
          <w:color w:val="000000"/>
          <w:szCs w:val="21"/>
        </w:rPr>
      </w:pPr>
      <w:r>
        <w:rPr>
          <w:color w:val="000000"/>
          <w:szCs w:val="21"/>
        </w:rPr>
        <w:t>3.1依据标准</w:t>
      </w:r>
    </w:p>
    <w:p w14:paraId="4B0C78B5">
      <w:pPr>
        <w:snapToGrid w:val="0"/>
        <w:spacing w:line="440" w:lineRule="exact"/>
        <w:ind w:firstLine="420" w:firstLineChars="0"/>
        <w:rPr>
          <w:rFonts w:hint="eastAsia"/>
          <w:color w:val="000000"/>
          <w:szCs w:val="21"/>
          <w:lang w:val="en-US" w:eastAsia="zh-CN"/>
        </w:rPr>
      </w:pPr>
      <w:r>
        <w:rPr>
          <w:rFonts w:hint="eastAsia"/>
          <w:color w:val="000000"/>
          <w:szCs w:val="21"/>
          <w:lang w:val="en-US" w:eastAsia="zh-CN"/>
        </w:rPr>
        <w:t>T/TCDZ 0001-2019 电动自行车用蓄电池充电器</w:t>
      </w:r>
    </w:p>
    <w:p w14:paraId="687C12EE">
      <w:pPr>
        <w:snapToGrid w:val="0"/>
        <w:spacing w:line="440" w:lineRule="exact"/>
        <w:ind w:firstLine="420" w:firstLineChars="0"/>
        <w:rPr>
          <w:rFonts w:hint="eastAsia"/>
          <w:color w:val="000000"/>
          <w:szCs w:val="21"/>
          <w:lang w:val="en-US" w:eastAsia="zh-CN"/>
        </w:rPr>
      </w:pPr>
      <w:r>
        <w:rPr>
          <w:rFonts w:hint="eastAsia"/>
          <w:color w:val="000000"/>
          <w:szCs w:val="21"/>
          <w:lang w:val="en-US" w:eastAsia="zh-CN"/>
        </w:rPr>
        <w:t>GB/T 36944-2018 电动自行车用充电器技术要求</w:t>
      </w:r>
    </w:p>
    <w:p w14:paraId="2AEBF9FF">
      <w:pPr>
        <w:snapToGrid w:val="0"/>
        <w:spacing w:line="440" w:lineRule="exact"/>
        <w:ind w:left="420" w:leftChars="200" w:firstLine="0" w:firstLineChars="0"/>
        <w:rPr>
          <w:rFonts w:hint="eastAsia"/>
          <w:color w:val="000000"/>
          <w:szCs w:val="21"/>
          <w:lang w:val="en-US" w:eastAsia="zh-CN"/>
        </w:rPr>
      </w:pPr>
      <w:r>
        <w:rPr>
          <w:rFonts w:hint="eastAsia"/>
          <w:color w:val="000000"/>
          <w:szCs w:val="21"/>
          <w:lang w:val="en-US" w:eastAsia="zh-CN"/>
        </w:rPr>
        <w:t>GB 42296-2022电动自行车用充电器安全技术要求</w:t>
      </w:r>
      <w:r>
        <w:rPr>
          <w:rFonts w:hint="eastAsia"/>
          <w:color w:val="000000"/>
          <w:szCs w:val="21"/>
          <w:lang w:val="en-US" w:eastAsia="zh-CN"/>
        </w:rPr>
        <w:br w:type="textWrapping"/>
      </w:r>
      <w:r>
        <w:rPr>
          <w:rFonts w:hint="eastAsia"/>
          <w:color w:val="000000"/>
          <w:szCs w:val="21"/>
          <w:lang w:val="en-US" w:eastAsia="zh-CN"/>
        </w:rPr>
        <w:t>GB 4706.18-2014家用和类似用途电器的安全 电池充电器的特殊要求</w:t>
      </w:r>
      <w:r>
        <w:rPr>
          <w:rFonts w:hint="eastAsia"/>
          <w:color w:val="000000"/>
          <w:szCs w:val="21"/>
          <w:lang w:val="en-US" w:eastAsia="zh-CN"/>
        </w:rPr>
        <w:br w:type="textWrapping"/>
      </w:r>
      <w:r>
        <w:rPr>
          <w:rFonts w:hint="eastAsia"/>
          <w:color w:val="000000"/>
          <w:szCs w:val="21"/>
          <w:lang w:val="en-US" w:eastAsia="zh-CN"/>
        </w:rPr>
        <w:t>GB 4706.1-2005家用和类似用途电器的安全 第1部分：通用要求</w:t>
      </w:r>
    </w:p>
    <w:p w14:paraId="66A7F26E">
      <w:pPr>
        <w:snapToGrid w:val="0"/>
        <w:spacing w:line="440" w:lineRule="exact"/>
        <w:ind w:firstLine="420" w:firstLineChars="200"/>
        <w:rPr>
          <w:color w:val="000000"/>
          <w:szCs w:val="21"/>
        </w:rPr>
      </w:pPr>
      <w:r>
        <w:rPr>
          <w:color w:val="000000"/>
          <w:szCs w:val="21"/>
        </w:rPr>
        <w:t>现行有效的企业标准、团体标准、地方标准及产品明示质量要求</w:t>
      </w:r>
    </w:p>
    <w:p w14:paraId="36C47059">
      <w:pPr>
        <w:snapToGrid w:val="0"/>
        <w:spacing w:line="440" w:lineRule="exact"/>
        <w:rPr>
          <w:rFonts w:hint="eastAsia" w:eastAsiaTheme="minorEastAsia"/>
          <w:lang w:val="en-US" w:eastAsia="zh-CN"/>
        </w:rPr>
      </w:pPr>
      <w:r>
        <w:rPr>
          <w:color w:val="000000"/>
          <w:szCs w:val="21"/>
        </w:rPr>
        <w:t>3.2判定原则</w:t>
      </w:r>
    </w:p>
    <w:p w14:paraId="7AB7B975">
      <w:pPr>
        <w:snapToGrid w:val="0"/>
        <w:spacing w:line="440" w:lineRule="exact"/>
        <w:ind w:firstLine="417" w:firstLineChars="199"/>
        <w:rPr>
          <w:color w:val="000000"/>
          <w:szCs w:val="21"/>
        </w:rPr>
      </w:pPr>
      <w:r>
        <w:rPr>
          <w:color w:val="000000"/>
          <w:szCs w:val="21"/>
        </w:rPr>
        <w:t>经检验，检验项目全部合格，判定为被抽查产品所检项目未发现不合格；检验项目中任一项或一项以上不合格，判定为被抽查产品不合格。</w:t>
      </w:r>
    </w:p>
    <w:p w14:paraId="181DFA41">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14:paraId="1576CC01">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14:paraId="171C3288">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14:paraId="330DAE95">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14:paraId="6037A198">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p w14:paraId="310CA1F4">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Y2VhNTRkY2EwZjY0NjllYjU4NjQ0ZjI3YjZmYzYifQ=="/>
  </w:docVars>
  <w:rsids>
    <w:rsidRoot w:val="00000000"/>
    <w:rsid w:val="00280289"/>
    <w:rsid w:val="04333FF8"/>
    <w:rsid w:val="0D19796D"/>
    <w:rsid w:val="1A7633D6"/>
    <w:rsid w:val="1B403722"/>
    <w:rsid w:val="1BBE4697"/>
    <w:rsid w:val="1CF163A7"/>
    <w:rsid w:val="21EE1107"/>
    <w:rsid w:val="25DF3AF4"/>
    <w:rsid w:val="27701672"/>
    <w:rsid w:val="29EE3C92"/>
    <w:rsid w:val="2ACD3FAF"/>
    <w:rsid w:val="2AFF7B61"/>
    <w:rsid w:val="369B4675"/>
    <w:rsid w:val="3AA82343"/>
    <w:rsid w:val="3C9E39FD"/>
    <w:rsid w:val="3DEF40D3"/>
    <w:rsid w:val="43EF040F"/>
    <w:rsid w:val="44937F9B"/>
    <w:rsid w:val="4721404E"/>
    <w:rsid w:val="507908EE"/>
    <w:rsid w:val="522E2F34"/>
    <w:rsid w:val="530F7A0D"/>
    <w:rsid w:val="534A18B1"/>
    <w:rsid w:val="5551190C"/>
    <w:rsid w:val="5A567682"/>
    <w:rsid w:val="5C0748DB"/>
    <w:rsid w:val="5E4E4E2C"/>
    <w:rsid w:val="5EA66A16"/>
    <w:rsid w:val="625C73EB"/>
    <w:rsid w:val="650669CB"/>
    <w:rsid w:val="660364FC"/>
    <w:rsid w:val="684A6664"/>
    <w:rsid w:val="6A7E6BAB"/>
    <w:rsid w:val="6A811342"/>
    <w:rsid w:val="6B8D6C10"/>
    <w:rsid w:val="6DA7451F"/>
    <w:rsid w:val="6F3F1B91"/>
    <w:rsid w:val="702B4DF4"/>
    <w:rsid w:val="72321ACB"/>
    <w:rsid w:val="75B01AD0"/>
    <w:rsid w:val="78547D9F"/>
    <w:rsid w:val="791E4FA3"/>
    <w:rsid w:val="7F082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955</Words>
  <Characters>1335</Characters>
  <Lines>0</Lines>
  <Paragraphs>0</Paragraphs>
  <TotalTime>4</TotalTime>
  <ScaleCrop>false</ScaleCrop>
  <LinksUpToDate>false</LinksUpToDate>
  <CharactersWithSpaces>1376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2024-09-13T07:23:00Z</dcterms:created>
  <dc:creator>Administrator</dc:creator>
  <cp:lastModifiedBy>李松岩</cp:lastModifiedBy>
  <dcterms:modified xsi:type="dcterms:W3CDTF">2025-05-10T07:31:48Z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4AAAACE6AF774E34B022911054F86407_13</vt:lpwstr>
  </property>
  <property fmtid="{D5CDD505-2E9C-101B-9397-08002B2CF9AE}" pid="4" name="KSOTemplateDocerSaveRecord">
    <vt:lpwstr>eyJoZGlkIjoiYzc5OTIyYjZlMjJmMmZjNWQxMTU1ZjJlZDkxZWM3OWUiLCJ1c2VySWQiOiIxNDQ1NjU1MDYxIn0=</vt:lpwstr>
  </property>
</Properties>
</file>