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A755E">
      <w:pPr>
        <w:rPr>
          <w:rFonts w:ascii="宋体" w:hAnsi="宋体"/>
          <w:color w:val="auto"/>
        </w:rPr>
      </w:pPr>
    </w:p>
    <w:p w14:paraId="11583170">
      <w:pPr>
        <w:rPr>
          <w:rFonts w:ascii="宋体" w:hAnsi="宋体"/>
          <w:color w:val="auto"/>
        </w:rPr>
      </w:pPr>
    </w:p>
    <w:p w14:paraId="74E5A171">
      <w:pPr>
        <w:rPr>
          <w:rFonts w:ascii="宋体" w:hAnsi="宋体"/>
          <w:color w:val="auto"/>
        </w:rPr>
      </w:pPr>
    </w:p>
    <w:p w14:paraId="395E228E">
      <w:pPr>
        <w:adjustRightInd w:val="0"/>
        <w:snapToGrid w:val="0"/>
        <w:jc w:val="center"/>
        <w:outlineLvl w:val="0"/>
        <w:rPr>
          <w:bCs/>
          <w:color w:val="auto"/>
          <w:sz w:val="72"/>
          <w:szCs w:val="72"/>
        </w:rPr>
      </w:pPr>
      <w:bookmarkStart w:id="0" w:name="_Toc1581"/>
      <w:bookmarkStart w:id="1" w:name="_Toc27127"/>
      <w:r>
        <w:rPr>
          <w:b/>
          <w:color w:val="auto"/>
          <w:sz w:val="72"/>
          <w:szCs w:val="72"/>
        </w:rPr>
        <w:t>建设项目环境影响报告表</w:t>
      </w:r>
      <w:bookmarkEnd w:id="0"/>
      <w:bookmarkEnd w:id="1"/>
    </w:p>
    <w:p w14:paraId="1AABCEAD">
      <w:pPr>
        <w:adjustRightInd w:val="0"/>
        <w:snapToGrid w:val="0"/>
        <w:spacing w:before="192" w:beforeLines="80"/>
        <w:jc w:val="center"/>
        <w:rPr>
          <w:bCs/>
          <w:color w:val="auto"/>
          <w:sz w:val="48"/>
          <w:szCs w:val="48"/>
        </w:rPr>
      </w:pPr>
      <w:r>
        <w:rPr>
          <w:bCs/>
          <w:color w:val="auto"/>
          <w:sz w:val="48"/>
          <w:szCs w:val="48"/>
        </w:rPr>
        <w:t>（污染影响类）</w:t>
      </w:r>
    </w:p>
    <w:p w14:paraId="25872CB6">
      <w:pPr>
        <w:adjustRightInd w:val="0"/>
        <w:snapToGrid w:val="0"/>
        <w:spacing w:line="288" w:lineRule="auto"/>
        <w:jc w:val="center"/>
        <w:rPr>
          <w:color w:val="auto"/>
          <w:kern w:val="44"/>
          <w:sz w:val="44"/>
          <w:szCs w:val="44"/>
        </w:rPr>
      </w:pPr>
    </w:p>
    <w:p w14:paraId="47C8B4E0">
      <w:pPr>
        <w:jc w:val="center"/>
        <w:rPr>
          <w:color w:val="auto"/>
          <w:sz w:val="52"/>
          <w:szCs w:val="52"/>
        </w:rPr>
      </w:pPr>
    </w:p>
    <w:p w14:paraId="3B2E27F5">
      <w:pPr>
        <w:ind w:firstLine="1040"/>
        <w:rPr>
          <w:color w:val="auto"/>
          <w:sz w:val="44"/>
          <w:szCs w:val="44"/>
        </w:rPr>
      </w:pPr>
    </w:p>
    <w:p w14:paraId="6FFB8EE4">
      <w:pPr>
        <w:ind w:firstLine="1040"/>
        <w:rPr>
          <w:color w:val="auto"/>
          <w:sz w:val="44"/>
          <w:szCs w:val="44"/>
        </w:rPr>
      </w:pPr>
    </w:p>
    <w:p w14:paraId="242762D1">
      <w:pPr>
        <w:ind w:firstLine="1040"/>
        <w:rPr>
          <w:color w:val="auto"/>
          <w:sz w:val="44"/>
          <w:szCs w:val="44"/>
        </w:rPr>
      </w:pPr>
    </w:p>
    <w:p w14:paraId="63C24C7E">
      <w:pPr>
        <w:ind w:firstLine="1040"/>
        <w:rPr>
          <w:color w:val="auto"/>
          <w:sz w:val="44"/>
          <w:szCs w:val="44"/>
        </w:rPr>
      </w:pPr>
    </w:p>
    <w:p w14:paraId="75B943A5">
      <w:pPr>
        <w:adjustRightInd w:val="0"/>
        <w:snapToGrid w:val="0"/>
        <w:spacing w:line="360" w:lineRule="auto"/>
        <w:ind w:firstLine="1040"/>
        <w:rPr>
          <w:color w:val="auto"/>
          <w:sz w:val="28"/>
          <w:szCs w:val="28"/>
          <w:u w:val="single"/>
        </w:rPr>
      </w:pPr>
      <w:r>
        <w:rPr>
          <w:color w:val="auto"/>
          <w:sz w:val="36"/>
          <w:szCs w:val="36"/>
        </w:rPr>
        <w:t>项目名称：</w:t>
      </w:r>
      <w:r>
        <w:rPr>
          <w:rFonts w:hint="eastAsia"/>
          <w:color w:val="auto"/>
          <w:sz w:val="36"/>
          <w:szCs w:val="36"/>
          <w:u w:val="single"/>
          <w:lang w:val="en-US" w:eastAsia="zh-CN"/>
        </w:rPr>
        <w:t xml:space="preserve">  </w:t>
      </w:r>
      <w:r>
        <w:rPr>
          <w:rFonts w:hint="eastAsia"/>
          <w:color w:val="auto"/>
          <w:sz w:val="28"/>
          <w:szCs w:val="28"/>
          <w:u w:val="single"/>
          <w:lang w:eastAsia="zh-CN"/>
        </w:rPr>
        <w:t>府谷县鸿凯经贸开发有限公司建设储煤棚项目</w:t>
      </w:r>
      <w:r>
        <w:rPr>
          <w:rFonts w:hint="eastAsia"/>
          <w:color w:val="auto"/>
          <w:sz w:val="28"/>
          <w:szCs w:val="28"/>
          <w:u w:val="single"/>
        </w:rPr>
        <w:t xml:space="preserve">   </w:t>
      </w:r>
    </w:p>
    <w:p w14:paraId="4A8A1345">
      <w:pPr>
        <w:adjustRightInd w:val="0"/>
        <w:snapToGrid w:val="0"/>
        <w:spacing w:line="360" w:lineRule="auto"/>
        <w:ind w:firstLine="1040"/>
        <w:rPr>
          <w:rFonts w:hint="default"/>
          <w:color w:val="auto"/>
          <w:sz w:val="36"/>
          <w:szCs w:val="36"/>
          <w:u w:val="single"/>
          <w:lang w:val="en-US"/>
        </w:rPr>
      </w:pPr>
      <w:r>
        <w:rPr>
          <w:color w:val="auto"/>
          <w:sz w:val="36"/>
          <w:szCs w:val="36"/>
        </w:rPr>
        <w:t>建设单位（盖章）：</w:t>
      </w:r>
      <w:r>
        <w:rPr>
          <w:rFonts w:hint="eastAsia"/>
          <w:color w:val="auto"/>
          <w:sz w:val="36"/>
          <w:szCs w:val="36"/>
          <w:u w:val="single"/>
          <w:lang w:val="en-US" w:eastAsia="zh-CN"/>
        </w:rPr>
        <w:t xml:space="preserve">  </w:t>
      </w:r>
      <w:r>
        <w:rPr>
          <w:rFonts w:hint="eastAsia"/>
          <w:b w:val="0"/>
          <w:bCs w:val="0"/>
          <w:color w:val="auto"/>
          <w:sz w:val="28"/>
          <w:szCs w:val="28"/>
          <w:u w:val="single"/>
          <w:lang w:val="en-US" w:eastAsia="zh-CN"/>
        </w:rPr>
        <w:t xml:space="preserve">府谷县鸿凯经贸开发有限公司   </w:t>
      </w:r>
    </w:p>
    <w:p w14:paraId="4F268CC2">
      <w:pPr>
        <w:adjustRightInd w:val="0"/>
        <w:snapToGrid w:val="0"/>
        <w:spacing w:line="360" w:lineRule="auto"/>
        <w:ind w:firstLine="1040"/>
        <w:rPr>
          <w:color w:val="auto"/>
          <w:sz w:val="36"/>
          <w:szCs w:val="36"/>
          <w:u w:val="single"/>
        </w:rPr>
      </w:pPr>
      <w:r>
        <w:rPr>
          <w:color w:val="auto"/>
          <w:sz w:val="36"/>
          <w:szCs w:val="36"/>
        </w:rPr>
        <w:t>编制日期：</w:t>
      </w:r>
      <w:r>
        <w:rPr>
          <w:color w:val="auto"/>
          <w:sz w:val="36"/>
          <w:szCs w:val="36"/>
          <w:u w:val="single"/>
        </w:rPr>
        <w:t xml:space="preserve">        </w:t>
      </w:r>
      <w:r>
        <w:rPr>
          <w:color w:val="auto"/>
          <w:sz w:val="28"/>
          <w:szCs w:val="28"/>
          <w:u w:val="single"/>
        </w:rPr>
        <w:t xml:space="preserve"> </w:t>
      </w:r>
      <w:r>
        <w:rPr>
          <w:color w:val="auto"/>
          <w:sz w:val="36"/>
          <w:szCs w:val="36"/>
          <w:u w:val="single"/>
        </w:rPr>
        <w:t xml:space="preserve">   </w:t>
      </w:r>
      <w:r>
        <w:rPr>
          <w:color w:val="auto"/>
          <w:sz w:val="28"/>
          <w:szCs w:val="28"/>
          <w:u w:val="single"/>
        </w:rPr>
        <w:t xml:space="preserve"> 202</w:t>
      </w:r>
      <w:r>
        <w:rPr>
          <w:rFonts w:hint="eastAsia"/>
          <w:color w:val="auto"/>
          <w:sz w:val="28"/>
          <w:szCs w:val="28"/>
          <w:u w:val="single"/>
          <w:lang w:val="en-US" w:eastAsia="zh-CN"/>
        </w:rPr>
        <w:t>5</w:t>
      </w:r>
      <w:r>
        <w:rPr>
          <w:color w:val="auto"/>
          <w:sz w:val="28"/>
          <w:szCs w:val="28"/>
          <w:u w:val="single"/>
        </w:rPr>
        <w:t>年</w:t>
      </w:r>
      <w:r>
        <w:rPr>
          <w:rFonts w:hint="eastAsia"/>
          <w:color w:val="auto"/>
          <w:sz w:val="28"/>
          <w:szCs w:val="28"/>
          <w:u w:val="single"/>
          <w:lang w:val="en-US" w:eastAsia="zh-CN"/>
        </w:rPr>
        <w:t>3</w:t>
      </w:r>
      <w:r>
        <w:rPr>
          <w:color w:val="auto"/>
          <w:sz w:val="28"/>
          <w:szCs w:val="28"/>
          <w:u w:val="single"/>
        </w:rPr>
        <w:t xml:space="preserve">月  </w:t>
      </w:r>
      <w:r>
        <w:rPr>
          <w:color w:val="auto"/>
          <w:sz w:val="36"/>
          <w:szCs w:val="36"/>
          <w:u w:val="single"/>
        </w:rPr>
        <w:t xml:space="preserve">      </w:t>
      </w:r>
      <w:r>
        <w:rPr>
          <w:rFonts w:hint="eastAsia"/>
          <w:color w:val="auto"/>
          <w:sz w:val="36"/>
          <w:szCs w:val="36"/>
          <w:u w:val="single"/>
        </w:rPr>
        <w:t xml:space="preserve"> </w:t>
      </w:r>
      <w:r>
        <w:rPr>
          <w:color w:val="auto"/>
          <w:sz w:val="36"/>
          <w:szCs w:val="36"/>
          <w:u w:val="single"/>
        </w:rPr>
        <w:t xml:space="preserve"> </w:t>
      </w:r>
      <w:r>
        <w:rPr>
          <w:rFonts w:hint="eastAsia"/>
          <w:color w:val="auto"/>
          <w:sz w:val="36"/>
          <w:szCs w:val="36"/>
          <w:u w:val="single"/>
          <w:lang w:val="en-US" w:eastAsia="zh-CN"/>
        </w:rPr>
        <w:t xml:space="preserve"> </w:t>
      </w:r>
      <w:r>
        <w:rPr>
          <w:color w:val="auto"/>
          <w:sz w:val="36"/>
          <w:szCs w:val="36"/>
          <w:u w:val="single"/>
        </w:rPr>
        <w:t xml:space="preserve"> </w:t>
      </w:r>
    </w:p>
    <w:p w14:paraId="2F7F3A8D">
      <w:pPr>
        <w:adjustRightInd w:val="0"/>
        <w:snapToGrid w:val="0"/>
        <w:spacing w:line="288" w:lineRule="auto"/>
        <w:ind w:firstLine="1040"/>
        <w:rPr>
          <w:color w:val="auto"/>
          <w:sz w:val="36"/>
          <w:szCs w:val="36"/>
          <w:u w:val="single"/>
        </w:rPr>
      </w:pPr>
    </w:p>
    <w:p w14:paraId="2B308D2B">
      <w:pPr>
        <w:adjustRightInd w:val="0"/>
        <w:snapToGrid w:val="0"/>
        <w:spacing w:line="288" w:lineRule="auto"/>
        <w:ind w:firstLine="1040"/>
        <w:rPr>
          <w:color w:val="auto"/>
          <w:sz w:val="36"/>
          <w:szCs w:val="36"/>
        </w:rPr>
      </w:pPr>
    </w:p>
    <w:p w14:paraId="31F30D41">
      <w:pPr>
        <w:adjustRightInd w:val="0"/>
        <w:snapToGrid w:val="0"/>
        <w:spacing w:line="288" w:lineRule="auto"/>
        <w:ind w:firstLine="1040"/>
        <w:rPr>
          <w:color w:val="auto"/>
          <w:sz w:val="36"/>
          <w:szCs w:val="36"/>
        </w:rPr>
      </w:pPr>
    </w:p>
    <w:p w14:paraId="6F90160E">
      <w:pPr>
        <w:adjustRightInd w:val="0"/>
        <w:snapToGrid w:val="0"/>
        <w:spacing w:line="288" w:lineRule="auto"/>
        <w:ind w:firstLine="1040"/>
        <w:rPr>
          <w:color w:val="auto"/>
          <w:sz w:val="36"/>
          <w:szCs w:val="36"/>
        </w:rPr>
      </w:pPr>
    </w:p>
    <w:p w14:paraId="5D7009C8">
      <w:pPr>
        <w:adjustRightInd w:val="0"/>
        <w:snapToGrid w:val="0"/>
        <w:spacing w:line="288" w:lineRule="auto"/>
        <w:ind w:firstLine="1040"/>
        <w:rPr>
          <w:color w:val="auto"/>
          <w:sz w:val="36"/>
          <w:szCs w:val="36"/>
        </w:rPr>
      </w:pPr>
    </w:p>
    <w:p w14:paraId="360C461F">
      <w:pPr>
        <w:adjustRightInd w:val="0"/>
        <w:snapToGrid w:val="0"/>
        <w:spacing w:line="288" w:lineRule="auto"/>
        <w:jc w:val="center"/>
        <w:rPr>
          <w:b/>
          <w:bCs/>
          <w:color w:val="auto"/>
          <w:sz w:val="36"/>
          <w:szCs w:val="36"/>
        </w:rPr>
      </w:pPr>
    </w:p>
    <w:p w14:paraId="7FC1746A">
      <w:pPr>
        <w:adjustRightInd w:val="0"/>
        <w:snapToGrid w:val="0"/>
        <w:spacing w:line="288" w:lineRule="auto"/>
        <w:jc w:val="center"/>
        <w:rPr>
          <w:b/>
          <w:bCs/>
          <w:color w:val="auto"/>
          <w:sz w:val="36"/>
          <w:szCs w:val="36"/>
        </w:rPr>
      </w:pPr>
    </w:p>
    <w:p w14:paraId="2E84011E">
      <w:pPr>
        <w:pStyle w:val="13"/>
        <w:rPr>
          <w:b/>
          <w:bCs/>
          <w:color w:val="auto"/>
          <w:sz w:val="36"/>
          <w:szCs w:val="36"/>
        </w:rPr>
      </w:pPr>
    </w:p>
    <w:p w14:paraId="733EB9EC">
      <w:pPr>
        <w:rPr>
          <w:b/>
          <w:bCs/>
          <w:color w:val="auto"/>
          <w:sz w:val="36"/>
          <w:szCs w:val="36"/>
        </w:rPr>
      </w:pPr>
    </w:p>
    <w:p w14:paraId="6F67DAD0">
      <w:pPr>
        <w:pStyle w:val="13"/>
        <w:rPr>
          <w:color w:val="auto"/>
        </w:rPr>
      </w:pPr>
    </w:p>
    <w:p w14:paraId="56B17614">
      <w:pPr>
        <w:jc w:val="center"/>
        <w:outlineLvl w:val="9"/>
        <w:rPr>
          <w:rFonts w:hint="eastAsia"/>
          <w:color w:val="auto"/>
          <w:spacing w:val="-4"/>
          <w:sz w:val="24"/>
        </w:rPr>
      </w:pPr>
      <w:bookmarkStart w:id="2" w:name="_Toc32450"/>
      <w:r>
        <w:rPr>
          <w:b/>
          <w:bCs/>
          <w:color w:val="auto"/>
          <w:sz w:val="36"/>
          <w:szCs w:val="36"/>
        </w:rPr>
        <w:t>中华人民共和国生态环境部制</w:t>
      </w:r>
      <w:bookmarkEnd w:id="2"/>
    </w:p>
    <w:p w14:paraId="30D1EA7F">
      <w:pPr>
        <w:pStyle w:val="24"/>
        <w:jc w:val="center"/>
        <w:outlineLvl w:val="9"/>
        <w:rPr>
          <w:rFonts w:ascii="Times New Roman" w:hAnsi="Times New Roman" w:eastAsia="宋体"/>
          <w:snapToGrid w:val="0"/>
          <w:color w:val="auto"/>
          <w:sz w:val="30"/>
          <w:szCs w:val="30"/>
        </w:rPr>
        <w:sectPr>
          <w:headerReference r:id="rId3" w:type="default"/>
          <w:footerReference r:id="rId4" w:type="default"/>
          <w:pgSz w:w="11906" w:h="16838"/>
          <w:pgMar w:top="1701" w:right="1531" w:bottom="1701" w:left="1531" w:header="964" w:footer="964" w:gutter="0"/>
          <w:pgNumType w:fmt="decimal" w:start="1"/>
          <w:cols w:space="720" w:num="1"/>
          <w:docGrid w:linePitch="312" w:charSpace="0"/>
        </w:sectPr>
      </w:pPr>
    </w:p>
    <w:p w14:paraId="5243169C">
      <w:pPr>
        <w:pStyle w:val="24"/>
        <w:jc w:val="center"/>
        <w:outlineLvl w:val="0"/>
        <w:rPr>
          <w:rFonts w:ascii="Times New Roman" w:hAnsi="Times New Roman" w:eastAsia="宋体"/>
          <w:b/>
          <w:bCs/>
          <w:snapToGrid w:val="0"/>
          <w:color w:val="auto"/>
          <w:sz w:val="30"/>
          <w:szCs w:val="30"/>
        </w:rPr>
      </w:pPr>
      <w:bookmarkStart w:id="3" w:name="_Toc15011"/>
      <w:r>
        <w:rPr>
          <w:rFonts w:ascii="Times New Roman" w:hAnsi="Times New Roman" w:eastAsia="宋体"/>
          <w:b/>
          <w:bCs/>
          <w:snapToGrid w:val="0"/>
          <w:color w:val="auto"/>
          <w:sz w:val="30"/>
          <w:szCs w:val="30"/>
        </w:rPr>
        <w:t>一、建设项目基本情况</w:t>
      </w:r>
      <w:bookmarkEnd w:id="3"/>
    </w:p>
    <w:tbl>
      <w:tblPr>
        <w:tblStyle w:val="27"/>
        <w:tblW w:w="49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2"/>
        <w:gridCol w:w="1953"/>
        <w:gridCol w:w="2261"/>
        <w:gridCol w:w="2974"/>
      </w:tblGrid>
      <w:tr w14:paraId="4714F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633" w:type="dxa"/>
            <w:noWrap w:val="0"/>
            <w:tcMar>
              <w:top w:w="16" w:type="dxa"/>
              <w:left w:w="16" w:type="dxa"/>
              <w:right w:w="16" w:type="dxa"/>
            </w:tcMar>
            <w:vAlign w:val="center"/>
          </w:tcPr>
          <w:p w14:paraId="0B0220FB">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建设项目</w:t>
            </w:r>
          </w:p>
          <w:p w14:paraId="153D0E43">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名称</w:t>
            </w:r>
          </w:p>
        </w:tc>
        <w:tc>
          <w:tcPr>
            <w:tcW w:w="7194" w:type="dxa"/>
            <w:gridSpan w:val="3"/>
            <w:noWrap w:val="0"/>
            <w:vAlign w:val="center"/>
          </w:tcPr>
          <w:p w14:paraId="2FE3305F">
            <w:pPr>
              <w:widowControl/>
              <w:jc w:val="center"/>
              <w:rPr>
                <w:rFonts w:ascii="Times New Roman" w:hAnsi="Times New Roman" w:eastAsia="宋体"/>
                <w:color w:val="auto"/>
                <w:sz w:val="24"/>
                <w:highlight w:val="none"/>
              </w:rPr>
            </w:pPr>
            <w:r>
              <w:rPr>
                <w:rFonts w:hint="eastAsia"/>
                <w:color w:val="auto"/>
                <w:sz w:val="24"/>
                <w:szCs w:val="24"/>
                <w:highlight w:val="none"/>
                <w:lang w:eastAsia="zh-CN"/>
              </w:rPr>
              <w:t>府谷县鸿凯经贸开发有限公司建设储煤棚项目</w:t>
            </w:r>
          </w:p>
        </w:tc>
      </w:tr>
      <w:tr w14:paraId="30F32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633" w:type="dxa"/>
            <w:noWrap w:val="0"/>
            <w:tcMar>
              <w:top w:w="16" w:type="dxa"/>
              <w:left w:w="16" w:type="dxa"/>
              <w:right w:w="16" w:type="dxa"/>
            </w:tcMar>
            <w:vAlign w:val="center"/>
          </w:tcPr>
          <w:p w14:paraId="4E0C30E1">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项目代码</w:t>
            </w:r>
          </w:p>
        </w:tc>
        <w:tc>
          <w:tcPr>
            <w:tcW w:w="7194" w:type="dxa"/>
            <w:gridSpan w:val="3"/>
            <w:noWrap w:val="0"/>
            <w:vAlign w:val="center"/>
          </w:tcPr>
          <w:p w14:paraId="2288F570">
            <w:pPr>
              <w:adjustRightInd w:val="0"/>
              <w:snapToGrid w:val="0"/>
              <w:spacing w:line="270" w:lineRule="exact"/>
              <w:jc w:val="center"/>
              <w:rPr>
                <w:rFonts w:hint="default" w:ascii="Times New Roman" w:hAnsi="Times New Roman" w:eastAsia="宋体"/>
                <w:color w:val="auto"/>
                <w:sz w:val="24"/>
                <w:highlight w:val="none"/>
                <w:lang w:val="en-US" w:eastAsia="zh-CN"/>
              </w:rPr>
            </w:pPr>
            <w:r>
              <w:rPr>
                <w:rFonts w:hint="default" w:ascii="Times New Roman" w:hAnsi="Times New Roman" w:eastAsia="宋体"/>
                <w:color w:val="auto"/>
                <w:sz w:val="24"/>
                <w:highlight w:val="none"/>
                <w:lang w:val="en-US" w:eastAsia="zh-CN"/>
              </w:rPr>
              <w:t>2305-610822-04-01-996320</w:t>
            </w:r>
          </w:p>
        </w:tc>
      </w:tr>
      <w:tr w14:paraId="4DB3A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633" w:type="dxa"/>
            <w:noWrap w:val="0"/>
            <w:tcMar>
              <w:top w:w="16" w:type="dxa"/>
              <w:left w:w="16" w:type="dxa"/>
              <w:right w:w="16" w:type="dxa"/>
            </w:tcMar>
            <w:vAlign w:val="center"/>
          </w:tcPr>
          <w:p w14:paraId="790E7071">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建设单位</w:t>
            </w:r>
          </w:p>
          <w:p w14:paraId="152C2D8B">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联系人</w:t>
            </w:r>
          </w:p>
        </w:tc>
        <w:tc>
          <w:tcPr>
            <w:tcW w:w="1955" w:type="dxa"/>
            <w:noWrap w:val="0"/>
            <w:vAlign w:val="center"/>
          </w:tcPr>
          <w:p w14:paraId="28F91207">
            <w:pPr>
              <w:adjustRightInd w:val="0"/>
              <w:snapToGrid w:val="0"/>
              <w:spacing w:line="270" w:lineRule="exact"/>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刘婷</w:t>
            </w:r>
          </w:p>
        </w:tc>
        <w:tc>
          <w:tcPr>
            <w:tcW w:w="2263" w:type="dxa"/>
            <w:noWrap w:val="0"/>
            <w:vAlign w:val="center"/>
          </w:tcPr>
          <w:p w14:paraId="6FBBEAC6">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联系方式</w:t>
            </w:r>
          </w:p>
        </w:tc>
        <w:tc>
          <w:tcPr>
            <w:tcW w:w="2976" w:type="dxa"/>
            <w:noWrap w:val="0"/>
            <w:vAlign w:val="center"/>
          </w:tcPr>
          <w:p w14:paraId="3E629E1C">
            <w:pPr>
              <w:adjustRightInd w:val="0"/>
              <w:snapToGrid w:val="0"/>
              <w:spacing w:line="270" w:lineRule="exact"/>
              <w:jc w:val="center"/>
              <w:rPr>
                <w:rFonts w:ascii="Times New Roman" w:hAnsi="Times New Roman" w:eastAsia="宋体"/>
                <w:color w:val="auto"/>
                <w:sz w:val="24"/>
                <w:highlight w:val="none"/>
              </w:rPr>
            </w:pPr>
            <w:r>
              <w:rPr>
                <w:rFonts w:hint="eastAsia" w:ascii="Times New Roman" w:hAnsi="Times New Roman" w:eastAsia="宋体"/>
                <w:color w:val="auto"/>
                <w:sz w:val="24"/>
                <w:highlight w:val="none"/>
              </w:rPr>
              <w:t>13891243390</w:t>
            </w:r>
          </w:p>
        </w:tc>
      </w:tr>
      <w:tr w14:paraId="57ECB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633" w:type="dxa"/>
            <w:noWrap w:val="0"/>
            <w:tcMar>
              <w:top w:w="16" w:type="dxa"/>
              <w:left w:w="16" w:type="dxa"/>
              <w:right w:w="16" w:type="dxa"/>
            </w:tcMar>
            <w:vAlign w:val="center"/>
          </w:tcPr>
          <w:p w14:paraId="4E9D06DC">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建设地点</w:t>
            </w:r>
          </w:p>
        </w:tc>
        <w:tc>
          <w:tcPr>
            <w:tcW w:w="7194" w:type="dxa"/>
            <w:gridSpan w:val="3"/>
            <w:noWrap w:val="0"/>
            <w:vAlign w:val="center"/>
          </w:tcPr>
          <w:p w14:paraId="1A8EFF24">
            <w:pPr>
              <w:adjustRightInd w:val="0"/>
              <w:snapToGrid w:val="0"/>
              <w:spacing w:line="270" w:lineRule="exact"/>
              <w:jc w:val="center"/>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府谷县</w:t>
            </w:r>
            <w:r>
              <w:rPr>
                <w:rFonts w:hint="eastAsia" w:ascii="Times New Roman" w:hAnsi="Times New Roman" w:eastAsia="宋体"/>
                <w:color w:val="auto"/>
                <w:sz w:val="24"/>
                <w:highlight w:val="none"/>
              </w:rPr>
              <w:t>新民镇芦草畔村</w:t>
            </w:r>
            <w:r>
              <w:rPr>
                <w:rFonts w:ascii="Times New Roman" w:hAnsi="Times New Roman" w:eastAsia="宋体"/>
                <w:color w:val="auto"/>
                <w:sz w:val="24"/>
                <w:highlight w:val="none"/>
              </w:rPr>
              <w:t>（附图1）</w:t>
            </w:r>
          </w:p>
        </w:tc>
      </w:tr>
      <w:tr w14:paraId="7513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633" w:type="dxa"/>
            <w:noWrap w:val="0"/>
            <w:tcMar>
              <w:top w:w="16" w:type="dxa"/>
              <w:left w:w="16" w:type="dxa"/>
              <w:right w:w="16" w:type="dxa"/>
            </w:tcMar>
            <w:vAlign w:val="center"/>
          </w:tcPr>
          <w:p w14:paraId="341D9F84">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地理坐标</w:t>
            </w:r>
          </w:p>
        </w:tc>
        <w:tc>
          <w:tcPr>
            <w:tcW w:w="7194" w:type="dxa"/>
            <w:gridSpan w:val="3"/>
            <w:noWrap w:val="0"/>
            <w:vAlign w:val="center"/>
          </w:tcPr>
          <w:p w14:paraId="448656E3">
            <w:pPr>
              <w:adjustRightInd w:val="0"/>
              <w:snapToGrid w:val="0"/>
              <w:jc w:val="center"/>
              <w:rPr>
                <w:rFonts w:ascii="Times New Roman" w:hAnsi="Times New Roman" w:eastAsia="宋体"/>
                <w:color w:val="auto"/>
                <w:sz w:val="24"/>
                <w:highlight w:val="none"/>
              </w:rPr>
            </w:pPr>
            <w:r>
              <w:rPr>
                <w:rFonts w:hint="eastAsia"/>
                <w:color w:val="auto"/>
                <w:sz w:val="24"/>
                <w:szCs w:val="24"/>
                <w:highlight w:val="none"/>
                <w:lang w:val="en-US" w:eastAsia="zh-CN"/>
              </w:rPr>
              <w:t>中心</w:t>
            </w:r>
            <w:r>
              <w:rPr>
                <w:color w:val="auto"/>
                <w:sz w:val="24"/>
                <w:szCs w:val="24"/>
                <w:highlight w:val="none"/>
              </w:rPr>
              <w:t>经度：110°</w:t>
            </w:r>
            <w:r>
              <w:rPr>
                <w:rFonts w:hint="eastAsia"/>
                <w:color w:val="auto"/>
                <w:sz w:val="24"/>
                <w:szCs w:val="24"/>
                <w:highlight w:val="none"/>
                <w:lang w:val="en-US" w:eastAsia="zh-CN"/>
              </w:rPr>
              <w:t>7</w:t>
            </w:r>
            <w:r>
              <w:rPr>
                <w:color w:val="auto"/>
                <w:sz w:val="24"/>
                <w:szCs w:val="24"/>
                <w:highlight w:val="none"/>
              </w:rPr>
              <w:t>ʹ</w:t>
            </w:r>
            <w:r>
              <w:rPr>
                <w:rFonts w:hint="eastAsia"/>
                <w:color w:val="auto"/>
                <w:sz w:val="24"/>
                <w:szCs w:val="24"/>
                <w:highlight w:val="none"/>
                <w:lang w:val="en-US" w:eastAsia="zh-CN"/>
              </w:rPr>
              <w:t>17.294</w:t>
            </w:r>
            <w:r>
              <w:rPr>
                <w:color w:val="auto"/>
                <w:sz w:val="24"/>
                <w:szCs w:val="24"/>
                <w:highlight w:val="none"/>
              </w:rPr>
              <w:t>ʺ，纬度：39°</w:t>
            </w:r>
            <w:r>
              <w:rPr>
                <w:rFonts w:hint="eastAsia"/>
                <w:color w:val="auto"/>
                <w:sz w:val="24"/>
                <w:szCs w:val="24"/>
                <w:highlight w:val="none"/>
                <w:lang w:val="en-US" w:eastAsia="zh-CN"/>
              </w:rPr>
              <w:t>1</w:t>
            </w:r>
            <w:r>
              <w:rPr>
                <w:color w:val="auto"/>
                <w:sz w:val="24"/>
                <w:szCs w:val="24"/>
                <w:highlight w:val="none"/>
              </w:rPr>
              <w:t>ʹ</w:t>
            </w:r>
            <w:r>
              <w:rPr>
                <w:rFonts w:hint="eastAsia"/>
                <w:color w:val="auto"/>
                <w:sz w:val="24"/>
                <w:szCs w:val="24"/>
                <w:highlight w:val="none"/>
                <w:lang w:val="en-US" w:eastAsia="zh-CN"/>
              </w:rPr>
              <w:t>0.079</w:t>
            </w:r>
            <w:r>
              <w:rPr>
                <w:color w:val="auto"/>
                <w:sz w:val="24"/>
                <w:szCs w:val="24"/>
                <w:highlight w:val="none"/>
              </w:rPr>
              <w:t>ʺ</w:t>
            </w:r>
          </w:p>
        </w:tc>
      </w:tr>
      <w:tr w14:paraId="5D263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633" w:type="dxa"/>
            <w:noWrap w:val="0"/>
            <w:tcMar>
              <w:top w:w="16" w:type="dxa"/>
              <w:left w:w="16" w:type="dxa"/>
              <w:right w:w="16" w:type="dxa"/>
            </w:tcMar>
            <w:vAlign w:val="center"/>
          </w:tcPr>
          <w:p w14:paraId="7E6C6608">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国民经济行业类别</w:t>
            </w:r>
          </w:p>
        </w:tc>
        <w:tc>
          <w:tcPr>
            <w:tcW w:w="1955" w:type="dxa"/>
            <w:noWrap w:val="0"/>
            <w:vAlign w:val="center"/>
          </w:tcPr>
          <w:p w14:paraId="63C78E0C">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G5920 通用仓储</w:t>
            </w:r>
          </w:p>
        </w:tc>
        <w:tc>
          <w:tcPr>
            <w:tcW w:w="2263" w:type="dxa"/>
            <w:noWrap w:val="0"/>
            <w:vAlign w:val="center"/>
          </w:tcPr>
          <w:p w14:paraId="06CB494D">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建设项目</w:t>
            </w:r>
          </w:p>
          <w:p w14:paraId="288B19CA">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行业类别</w:t>
            </w:r>
          </w:p>
        </w:tc>
        <w:tc>
          <w:tcPr>
            <w:tcW w:w="2976" w:type="dxa"/>
            <w:noWrap w:val="0"/>
            <w:vAlign w:val="center"/>
          </w:tcPr>
          <w:p w14:paraId="72DF79A9">
            <w:pPr>
              <w:adjustRightInd w:val="0"/>
              <w:snapToGrid w:val="0"/>
              <w:jc w:val="center"/>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四、煤炭开采和洗选业中069其他煤炭采选中的煤炭储存、集运；</w:t>
            </w:r>
          </w:p>
        </w:tc>
      </w:tr>
      <w:tr w14:paraId="023D9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633" w:type="dxa"/>
            <w:noWrap w:val="0"/>
            <w:tcMar>
              <w:top w:w="16" w:type="dxa"/>
              <w:left w:w="16" w:type="dxa"/>
              <w:right w:w="16" w:type="dxa"/>
            </w:tcMar>
            <w:vAlign w:val="center"/>
          </w:tcPr>
          <w:p w14:paraId="403469C7">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建设性质</w:t>
            </w:r>
          </w:p>
        </w:tc>
        <w:tc>
          <w:tcPr>
            <w:tcW w:w="1955" w:type="dxa"/>
            <w:noWrap w:val="0"/>
            <w:vAlign w:val="center"/>
          </w:tcPr>
          <w:p w14:paraId="74061828">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fldChar w:fldCharType="begin"/>
            </w:r>
            <w:r>
              <w:rPr>
                <w:rFonts w:hint="eastAsia" w:ascii="Times New Roman" w:hAnsi="Times New Roman" w:eastAsia="宋体" w:cs="宋体"/>
                <w:color w:val="auto"/>
                <w:sz w:val="24"/>
                <w:highlight w:val="none"/>
              </w:rPr>
              <w:instrText xml:space="preserve"> eq \o\ac(□)</w:instrText>
            </w:r>
            <w:r>
              <w:rPr>
                <w:rFonts w:hint="eastAsia" w:ascii="Times New Roman" w:hAnsi="Times New Roman" w:eastAsia="宋体" w:cs="宋体"/>
                <w:color w:val="auto"/>
                <w:sz w:val="24"/>
                <w:highlight w:val="none"/>
              </w:rPr>
              <w:fldChar w:fldCharType="end"/>
            </w:r>
            <w:r>
              <w:rPr>
                <w:rFonts w:hint="eastAsia" w:ascii="Times New Roman" w:hAnsi="Times New Roman" w:eastAsia="宋体" w:cs="宋体"/>
                <w:color w:val="auto"/>
                <w:sz w:val="24"/>
                <w:highlight w:val="none"/>
              </w:rPr>
              <w:t>新建（迁建）</w:t>
            </w:r>
          </w:p>
          <w:p w14:paraId="3C2EAC27">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□改建</w:t>
            </w:r>
          </w:p>
          <w:p w14:paraId="4C91C065">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□扩建</w:t>
            </w:r>
          </w:p>
          <w:p w14:paraId="5579D348">
            <w:pPr>
              <w:adjustRightInd w:val="0"/>
              <w:snapToGrid w:val="0"/>
              <w:jc w:val="left"/>
              <w:rPr>
                <w:rFonts w:ascii="Times New Roman" w:hAnsi="Times New Roman" w:eastAsia="宋体"/>
                <w:color w:val="auto"/>
                <w:sz w:val="24"/>
                <w:highlight w:val="none"/>
              </w:rPr>
            </w:pPr>
            <w:r>
              <w:rPr>
                <w:rFonts w:hint="eastAsia" w:ascii="Times New Roman" w:hAnsi="Times New Roman" w:eastAsia="宋体" w:cs="宋体"/>
                <w:color w:val="auto"/>
                <w:sz w:val="24"/>
                <w:highlight w:val="none"/>
                <w:lang w:eastAsia="zh-CN"/>
              </w:rPr>
              <w:t>☑</w:t>
            </w:r>
            <w:r>
              <w:rPr>
                <w:rFonts w:hint="eastAsia" w:ascii="Times New Roman" w:hAnsi="Times New Roman" w:eastAsia="宋体" w:cs="宋体"/>
                <w:color w:val="auto"/>
                <w:sz w:val="24"/>
                <w:highlight w:val="none"/>
              </w:rPr>
              <w:t>技术改造</w:t>
            </w:r>
          </w:p>
        </w:tc>
        <w:tc>
          <w:tcPr>
            <w:tcW w:w="2263" w:type="dxa"/>
            <w:noWrap w:val="0"/>
            <w:vAlign w:val="center"/>
          </w:tcPr>
          <w:p w14:paraId="24FC0C70">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建设项目</w:t>
            </w:r>
          </w:p>
          <w:p w14:paraId="4DEA2143">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申报情形</w:t>
            </w:r>
          </w:p>
        </w:tc>
        <w:tc>
          <w:tcPr>
            <w:tcW w:w="2976" w:type="dxa"/>
            <w:noWrap w:val="0"/>
            <w:vAlign w:val="center"/>
          </w:tcPr>
          <w:p w14:paraId="0E3F31E4">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fldChar w:fldCharType="begin"/>
            </w:r>
            <w:r>
              <w:rPr>
                <w:rFonts w:hint="eastAsia" w:ascii="Times New Roman" w:hAnsi="Times New Roman" w:eastAsia="宋体" w:cs="宋体"/>
                <w:color w:val="auto"/>
                <w:sz w:val="24"/>
                <w:highlight w:val="none"/>
              </w:rPr>
              <w:instrText xml:space="preserve"> eq \o\ac(□,</w:instrText>
            </w:r>
            <w:r>
              <w:rPr>
                <w:rFonts w:hint="eastAsia" w:ascii="Times New Roman" w:hAnsi="Times New Roman" w:eastAsia="宋体" w:cs="宋体"/>
                <w:color w:val="auto"/>
                <w:position w:val="2"/>
                <w:sz w:val="16"/>
                <w:highlight w:val="none"/>
              </w:rPr>
              <w:instrText xml:space="preserve">√</w:instrText>
            </w:r>
            <w:r>
              <w:rPr>
                <w:rFonts w:hint="eastAsia" w:ascii="Times New Roman" w:hAnsi="Times New Roman" w:eastAsia="宋体" w:cs="宋体"/>
                <w:color w:val="auto"/>
                <w:sz w:val="24"/>
                <w:highlight w:val="none"/>
              </w:rPr>
              <w:instrText xml:space="preserve">)</w:instrText>
            </w:r>
            <w:r>
              <w:rPr>
                <w:rFonts w:hint="eastAsia" w:ascii="Times New Roman" w:hAnsi="Times New Roman" w:eastAsia="宋体" w:cs="宋体"/>
                <w:color w:val="auto"/>
                <w:sz w:val="24"/>
                <w:highlight w:val="none"/>
              </w:rPr>
              <w:fldChar w:fldCharType="end"/>
            </w:r>
            <w:r>
              <w:rPr>
                <w:rFonts w:hint="eastAsia" w:ascii="Times New Roman" w:hAnsi="Times New Roman" w:eastAsia="宋体" w:cs="宋体"/>
                <w:color w:val="auto"/>
                <w:sz w:val="24"/>
                <w:highlight w:val="none"/>
              </w:rPr>
              <w:t>首次申报项目</w:t>
            </w:r>
          </w:p>
          <w:p w14:paraId="7F4996A3">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□不予批准后再次申报项目</w:t>
            </w:r>
          </w:p>
          <w:p w14:paraId="497F9C8E">
            <w:pPr>
              <w:adjustRightInd w:val="0"/>
              <w:snapToGrid w:val="0"/>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□超五年重新审核项目</w:t>
            </w:r>
          </w:p>
          <w:p w14:paraId="23E5333B">
            <w:pPr>
              <w:adjustRightInd w:val="0"/>
              <w:snapToGrid w:val="0"/>
              <w:rPr>
                <w:rFonts w:ascii="Times New Roman" w:hAnsi="Times New Roman" w:eastAsia="宋体"/>
                <w:color w:val="auto"/>
                <w:sz w:val="24"/>
                <w:highlight w:val="none"/>
              </w:rPr>
            </w:pPr>
            <w:r>
              <w:rPr>
                <w:rFonts w:hint="eastAsia" w:ascii="Times New Roman" w:hAnsi="Times New Roman" w:eastAsia="宋体" w:cs="宋体"/>
                <w:color w:val="auto"/>
                <w:sz w:val="24"/>
                <w:highlight w:val="none"/>
              </w:rPr>
              <w:t>□重大变动重新报批项目</w:t>
            </w:r>
          </w:p>
        </w:tc>
      </w:tr>
      <w:tr w14:paraId="7084E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633" w:type="dxa"/>
            <w:noWrap w:val="0"/>
            <w:tcMar>
              <w:top w:w="16" w:type="dxa"/>
              <w:left w:w="16" w:type="dxa"/>
              <w:right w:w="16" w:type="dxa"/>
            </w:tcMar>
            <w:vAlign w:val="center"/>
          </w:tcPr>
          <w:p w14:paraId="338F9FE5">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项目审批（核准/备案）部门（选填）</w:t>
            </w:r>
          </w:p>
        </w:tc>
        <w:tc>
          <w:tcPr>
            <w:tcW w:w="1955" w:type="dxa"/>
            <w:noWrap w:val="0"/>
            <w:vAlign w:val="center"/>
          </w:tcPr>
          <w:p w14:paraId="2A16CFEE">
            <w:pPr>
              <w:pStyle w:val="2"/>
              <w:numPr>
                <w:ilvl w:val="0"/>
                <w:numId w:val="0"/>
              </w:numPr>
              <w:ind w:left="288" w:leftChars="0"/>
              <w:jc w:val="center"/>
              <w:rPr>
                <w:rFonts w:hint="default" w:eastAsia="宋体"/>
                <w:color w:val="auto"/>
                <w:highlight w:val="none"/>
                <w:lang w:val="en-US" w:eastAsia="zh-CN"/>
              </w:rPr>
            </w:pPr>
            <w:r>
              <w:rPr>
                <w:rFonts w:hint="eastAsia" w:eastAsia="宋体"/>
                <w:b w:val="0"/>
                <w:bCs w:val="0"/>
                <w:color w:val="auto"/>
                <w:sz w:val="24"/>
                <w:szCs w:val="16"/>
                <w:highlight w:val="none"/>
                <w:lang w:val="en-US" w:eastAsia="zh-CN"/>
              </w:rPr>
              <w:t>府谷县发展改革和科技局</w:t>
            </w:r>
          </w:p>
        </w:tc>
        <w:tc>
          <w:tcPr>
            <w:tcW w:w="2263" w:type="dxa"/>
            <w:noWrap w:val="0"/>
            <w:vAlign w:val="center"/>
          </w:tcPr>
          <w:p w14:paraId="1DB9F09A">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项目审批（核准/备案）文号（选填）</w:t>
            </w:r>
          </w:p>
        </w:tc>
        <w:tc>
          <w:tcPr>
            <w:tcW w:w="2976" w:type="dxa"/>
            <w:noWrap w:val="0"/>
            <w:vAlign w:val="center"/>
          </w:tcPr>
          <w:p w14:paraId="5511E715">
            <w:pPr>
              <w:adjustRightInd w:val="0"/>
              <w:snapToGrid w:val="0"/>
              <w:jc w:val="center"/>
              <w:rPr>
                <w:rFonts w:hint="eastAsia" w:ascii="Times New Roman" w:hAnsi="Times New Roman" w:eastAsia="宋体"/>
                <w:color w:val="auto"/>
                <w:sz w:val="24"/>
                <w:highlight w:val="none"/>
                <w:lang w:val="en-US" w:eastAsia="zh-CN"/>
              </w:rPr>
            </w:pPr>
            <w:r>
              <w:rPr>
                <w:rFonts w:hint="eastAsia"/>
                <w:color w:val="auto"/>
                <w:highlight w:val="none"/>
                <w:lang w:val="en-US" w:eastAsia="zh-CN"/>
              </w:rPr>
              <w:t>/</w:t>
            </w:r>
          </w:p>
        </w:tc>
      </w:tr>
      <w:tr w14:paraId="4FE14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633" w:type="dxa"/>
            <w:noWrap w:val="0"/>
            <w:tcMar>
              <w:top w:w="16" w:type="dxa"/>
              <w:left w:w="16" w:type="dxa"/>
              <w:right w:w="16" w:type="dxa"/>
            </w:tcMar>
            <w:vAlign w:val="center"/>
          </w:tcPr>
          <w:p w14:paraId="068D91F1">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总投资（万元）</w:t>
            </w:r>
          </w:p>
        </w:tc>
        <w:tc>
          <w:tcPr>
            <w:tcW w:w="1955" w:type="dxa"/>
            <w:noWrap w:val="0"/>
            <w:vAlign w:val="center"/>
          </w:tcPr>
          <w:p w14:paraId="6224EFBA">
            <w:pPr>
              <w:adjustRightInd w:val="0"/>
              <w:snapToGrid w:val="0"/>
              <w:spacing w:line="270" w:lineRule="exact"/>
              <w:jc w:val="center"/>
              <w:rPr>
                <w:rFonts w:hint="default" w:ascii="Times New Roman" w:hAnsi="Times New Roman" w:eastAsia="宋体"/>
                <w:color w:val="auto"/>
                <w:sz w:val="24"/>
                <w:highlight w:val="none"/>
                <w:lang w:val="en-US"/>
              </w:rPr>
            </w:pPr>
            <w:r>
              <w:rPr>
                <w:rFonts w:hint="eastAsia"/>
                <w:color w:val="auto"/>
                <w:sz w:val="24"/>
                <w:szCs w:val="24"/>
                <w:highlight w:val="none"/>
                <w:lang w:val="en-US" w:eastAsia="zh-CN"/>
              </w:rPr>
              <w:t>800</w:t>
            </w:r>
          </w:p>
        </w:tc>
        <w:tc>
          <w:tcPr>
            <w:tcW w:w="2263" w:type="dxa"/>
            <w:noWrap w:val="0"/>
            <w:tcMar>
              <w:top w:w="16" w:type="dxa"/>
              <w:left w:w="16" w:type="dxa"/>
              <w:right w:w="16" w:type="dxa"/>
            </w:tcMar>
            <w:vAlign w:val="center"/>
          </w:tcPr>
          <w:p w14:paraId="4F46AEF8">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环保投资（万元）</w:t>
            </w:r>
          </w:p>
        </w:tc>
        <w:tc>
          <w:tcPr>
            <w:tcW w:w="2976" w:type="dxa"/>
            <w:noWrap w:val="0"/>
            <w:vAlign w:val="center"/>
          </w:tcPr>
          <w:p w14:paraId="11F8F3D6">
            <w:pPr>
              <w:spacing w:line="270" w:lineRule="exact"/>
              <w:jc w:val="center"/>
              <w:rPr>
                <w:rFonts w:hint="default" w:ascii="Times New Roman" w:hAnsi="Times New Roman" w:eastAsia="宋体"/>
                <w:color w:val="auto"/>
                <w:sz w:val="24"/>
                <w:highlight w:val="none"/>
                <w:lang w:val="en-US" w:eastAsia="zh-CN"/>
              </w:rPr>
            </w:pPr>
            <w:r>
              <w:rPr>
                <w:rFonts w:hint="eastAsia"/>
                <w:color w:val="7030A0"/>
                <w:sz w:val="24"/>
                <w:szCs w:val="24"/>
                <w:highlight w:val="none"/>
                <w:lang w:val="en-US" w:eastAsia="zh-CN"/>
              </w:rPr>
              <w:t>195</w:t>
            </w:r>
          </w:p>
        </w:tc>
      </w:tr>
      <w:tr w14:paraId="0A773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633" w:type="dxa"/>
            <w:noWrap w:val="0"/>
            <w:tcMar>
              <w:top w:w="16" w:type="dxa"/>
              <w:left w:w="16" w:type="dxa"/>
              <w:right w:w="16" w:type="dxa"/>
            </w:tcMar>
            <w:vAlign w:val="center"/>
          </w:tcPr>
          <w:p w14:paraId="4C28B181">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环保投资</w:t>
            </w:r>
          </w:p>
          <w:p w14:paraId="6C77F7D6">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占比（%）</w:t>
            </w:r>
          </w:p>
        </w:tc>
        <w:tc>
          <w:tcPr>
            <w:tcW w:w="1955" w:type="dxa"/>
            <w:noWrap w:val="0"/>
            <w:vAlign w:val="center"/>
          </w:tcPr>
          <w:p w14:paraId="5C36B397">
            <w:pPr>
              <w:adjustRightInd w:val="0"/>
              <w:snapToGrid w:val="0"/>
              <w:spacing w:line="270" w:lineRule="exact"/>
              <w:jc w:val="center"/>
              <w:rPr>
                <w:rFonts w:hint="default" w:ascii="Times New Roman" w:hAnsi="Times New Roman" w:eastAsia="宋体"/>
                <w:color w:val="auto"/>
                <w:sz w:val="24"/>
                <w:highlight w:val="none"/>
                <w:lang w:val="en-US" w:eastAsia="zh-CN"/>
              </w:rPr>
            </w:pPr>
            <w:r>
              <w:rPr>
                <w:rFonts w:hint="eastAsia"/>
                <w:color w:val="7030A0"/>
                <w:sz w:val="24"/>
                <w:szCs w:val="21"/>
                <w:highlight w:val="none"/>
                <w:lang w:val="en-US" w:eastAsia="zh-CN"/>
              </w:rPr>
              <w:t>24.38</w:t>
            </w:r>
          </w:p>
        </w:tc>
        <w:tc>
          <w:tcPr>
            <w:tcW w:w="2263" w:type="dxa"/>
            <w:noWrap w:val="0"/>
            <w:tcMar>
              <w:top w:w="16" w:type="dxa"/>
              <w:left w:w="16" w:type="dxa"/>
              <w:right w:w="16" w:type="dxa"/>
            </w:tcMar>
            <w:vAlign w:val="center"/>
          </w:tcPr>
          <w:p w14:paraId="2C24B783">
            <w:pPr>
              <w:adjustRightInd w:val="0"/>
              <w:snapToGrid w:val="0"/>
              <w:spacing w:line="270" w:lineRule="exact"/>
              <w:jc w:val="center"/>
              <w:rPr>
                <w:rFonts w:ascii="Times New Roman" w:hAnsi="Times New Roman" w:eastAsia="宋体"/>
                <w:color w:val="auto"/>
                <w:sz w:val="24"/>
                <w:highlight w:val="none"/>
              </w:rPr>
            </w:pPr>
            <w:r>
              <w:rPr>
                <w:rFonts w:ascii="Times New Roman" w:hAnsi="Times New Roman" w:eastAsia="宋体"/>
                <w:color w:val="auto"/>
                <w:sz w:val="24"/>
                <w:highlight w:val="none"/>
              </w:rPr>
              <w:t>施工工期</w:t>
            </w:r>
          </w:p>
        </w:tc>
        <w:tc>
          <w:tcPr>
            <w:tcW w:w="2976" w:type="dxa"/>
            <w:noWrap w:val="0"/>
            <w:vAlign w:val="center"/>
          </w:tcPr>
          <w:p w14:paraId="27999533">
            <w:pPr>
              <w:spacing w:line="270" w:lineRule="exact"/>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6个月</w:t>
            </w:r>
          </w:p>
        </w:tc>
      </w:tr>
      <w:tr w14:paraId="5B79D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1633" w:type="dxa"/>
            <w:noWrap w:val="0"/>
            <w:tcMar>
              <w:top w:w="16" w:type="dxa"/>
              <w:left w:w="16" w:type="dxa"/>
              <w:right w:w="16" w:type="dxa"/>
            </w:tcMar>
            <w:vAlign w:val="center"/>
          </w:tcPr>
          <w:p w14:paraId="69C34216">
            <w:pPr>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是否开工建设</w:t>
            </w:r>
          </w:p>
        </w:tc>
        <w:tc>
          <w:tcPr>
            <w:tcW w:w="1955" w:type="dxa"/>
            <w:noWrap w:val="0"/>
            <w:vAlign w:val="center"/>
          </w:tcPr>
          <w:p w14:paraId="14CE8FCE">
            <w:pPr>
              <w:adjustRightInd w:val="0"/>
              <w:snapToGrid w:val="0"/>
              <w:ind w:firstLine="105"/>
              <w:jc w:val="left"/>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fldChar w:fldCharType="begin"/>
            </w:r>
            <w:r>
              <w:rPr>
                <w:rFonts w:hint="eastAsia" w:ascii="Times New Roman" w:hAnsi="Times New Roman" w:eastAsia="宋体" w:cs="宋体"/>
                <w:color w:val="auto"/>
                <w:sz w:val="24"/>
                <w:highlight w:val="none"/>
              </w:rPr>
              <w:instrText xml:space="preserve"> eq \o\ac(□,</w:instrText>
            </w:r>
            <w:r>
              <w:rPr>
                <w:rFonts w:hint="eastAsia" w:ascii="Times New Roman" w:hAnsi="Times New Roman" w:eastAsia="宋体" w:cs="宋体"/>
                <w:color w:val="auto"/>
                <w:position w:val="2"/>
                <w:sz w:val="16"/>
                <w:highlight w:val="none"/>
              </w:rPr>
              <w:instrText xml:space="preserve">√</w:instrText>
            </w:r>
            <w:r>
              <w:rPr>
                <w:rFonts w:hint="eastAsia" w:ascii="Times New Roman" w:hAnsi="Times New Roman" w:eastAsia="宋体" w:cs="宋体"/>
                <w:color w:val="auto"/>
                <w:sz w:val="24"/>
                <w:highlight w:val="none"/>
              </w:rPr>
              <w:instrText xml:space="preserve">)</w:instrText>
            </w:r>
            <w:r>
              <w:rPr>
                <w:rFonts w:hint="eastAsia" w:ascii="Times New Roman" w:hAnsi="Times New Roman" w:eastAsia="宋体" w:cs="宋体"/>
                <w:color w:val="auto"/>
                <w:sz w:val="24"/>
                <w:highlight w:val="none"/>
              </w:rPr>
              <w:fldChar w:fldCharType="end"/>
            </w:r>
            <w:r>
              <w:rPr>
                <w:rFonts w:hint="eastAsia" w:ascii="Times New Roman" w:hAnsi="Times New Roman" w:eastAsia="宋体" w:cs="宋体"/>
                <w:color w:val="auto"/>
                <w:sz w:val="24"/>
                <w:highlight w:val="none"/>
              </w:rPr>
              <w:t>否</w:t>
            </w:r>
          </w:p>
          <w:p w14:paraId="1E4F9A7C">
            <w:pPr>
              <w:adjustRightInd w:val="0"/>
              <w:snapToGrid w:val="0"/>
              <w:ind w:firstLine="92"/>
              <w:jc w:val="left"/>
              <w:rPr>
                <w:rFonts w:ascii="Times New Roman" w:hAnsi="Times New Roman" w:eastAsia="宋体"/>
                <w:color w:val="auto"/>
                <w:sz w:val="24"/>
                <w:highlight w:val="none"/>
              </w:rPr>
            </w:pPr>
            <w:r>
              <w:rPr>
                <w:rFonts w:hint="eastAsia" w:ascii="Times New Roman" w:hAnsi="Times New Roman" w:eastAsia="宋体" w:cs="宋体"/>
                <w:color w:val="auto"/>
                <w:sz w:val="24"/>
                <w:highlight w:val="none"/>
              </w:rPr>
              <w:t>□是</w:t>
            </w:r>
          </w:p>
        </w:tc>
        <w:tc>
          <w:tcPr>
            <w:tcW w:w="2263" w:type="dxa"/>
            <w:noWrap w:val="0"/>
            <w:vAlign w:val="center"/>
          </w:tcPr>
          <w:p w14:paraId="08DB828D">
            <w:pPr>
              <w:adjustRightInd w:val="0"/>
              <w:snapToGrid w:val="0"/>
              <w:ind w:firstLine="92"/>
              <w:jc w:val="center"/>
              <w:rPr>
                <w:rFonts w:hint="default"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用地面积</w:t>
            </w:r>
          </w:p>
        </w:tc>
        <w:tc>
          <w:tcPr>
            <w:tcW w:w="2976" w:type="dxa"/>
            <w:noWrap w:val="0"/>
            <w:vAlign w:val="center"/>
          </w:tcPr>
          <w:p w14:paraId="623845E1">
            <w:pPr>
              <w:adjustRightInd w:val="0"/>
              <w:snapToGrid w:val="0"/>
              <w:ind w:firstLine="92"/>
              <w:jc w:val="center"/>
              <w:rPr>
                <w:rFonts w:hint="eastAsia"/>
                <w:color w:val="FF0000"/>
                <w:sz w:val="24"/>
                <w:szCs w:val="24"/>
                <w:highlight w:val="none"/>
                <w:vertAlign w:val="superscript"/>
                <w:lang w:val="en-US" w:eastAsia="zh-CN"/>
              </w:rPr>
            </w:pPr>
            <w:r>
              <w:rPr>
                <w:rFonts w:hint="eastAsia"/>
                <w:color w:val="FF0000"/>
                <w:sz w:val="24"/>
                <w:szCs w:val="22"/>
                <w:highlight w:val="none"/>
                <w:lang w:val="en-US" w:eastAsia="zh-CN"/>
              </w:rPr>
              <w:t>17009</w:t>
            </w:r>
            <w:r>
              <w:rPr>
                <w:rFonts w:hint="eastAsia"/>
                <w:color w:val="FF0000"/>
                <w:sz w:val="24"/>
                <w:szCs w:val="24"/>
                <w:highlight w:val="none"/>
                <w:lang w:val="en-US" w:eastAsia="zh-CN"/>
              </w:rPr>
              <w:t>m</w:t>
            </w:r>
            <w:r>
              <w:rPr>
                <w:rFonts w:hint="eastAsia"/>
                <w:color w:val="FF0000"/>
                <w:sz w:val="24"/>
                <w:szCs w:val="24"/>
                <w:highlight w:val="none"/>
                <w:vertAlign w:val="superscript"/>
                <w:lang w:val="en-US" w:eastAsia="zh-CN"/>
              </w:rPr>
              <w:t>2</w:t>
            </w:r>
          </w:p>
          <w:p w14:paraId="5C1633DC">
            <w:pPr>
              <w:adjustRightInd w:val="0"/>
              <w:snapToGrid w:val="0"/>
              <w:ind w:firstLine="92"/>
              <w:jc w:val="center"/>
              <w:rPr>
                <w:rFonts w:hint="default" w:ascii="Times New Roman" w:hAnsi="Times New Roman" w:eastAsia="宋体" w:cs="宋体"/>
                <w:color w:val="auto"/>
                <w:sz w:val="24"/>
                <w:highlight w:val="none"/>
                <w:lang w:val="en-US" w:eastAsia="zh-CN"/>
              </w:rPr>
            </w:pPr>
            <w:r>
              <w:rPr>
                <w:rFonts w:hint="eastAsia"/>
                <w:color w:val="auto"/>
                <w:sz w:val="24"/>
                <w:szCs w:val="24"/>
                <w:highlight w:val="none"/>
                <w:vertAlign w:val="baseline"/>
                <w:lang w:val="en-US" w:eastAsia="zh-CN"/>
              </w:rPr>
              <w:t>（</w:t>
            </w:r>
            <w:r>
              <w:rPr>
                <w:rFonts w:hint="eastAsia"/>
                <w:color w:val="FF0000"/>
                <w:sz w:val="24"/>
                <w:szCs w:val="22"/>
                <w:highlight w:val="none"/>
                <w:lang w:val="en-US" w:eastAsia="zh-CN"/>
              </w:rPr>
              <w:t>新增</w:t>
            </w:r>
            <w:r>
              <w:rPr>
                <w:rFonts w:hint="eastAsia"/>
                <w:color w:val="auto"/>
                <w:sz w:val="24"/>
                <w:szCs w:val="24"/>
                <w:highlight w:val="none"/>
                <w:vertAlign w:val="baseline"/>
                <w:lang w:val="en-US" w:eastAsia="zh-CN"/>
              </w:rPr>
              <w:t>）</w:t>
            </w:r>
          </w:p>
        </w:tc>
      </w:tr>
      <w:tr w14:paraId="24718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33" w:type="dxa"/>
            <w:noWrap w:val="0"/>
            <w:tcMar>
              <w:top w:w="16" w:type="dxa"/>
              <w:left w:w="16" w:type="dxa"/>
              <w:right w:w="16" w:type="dxa"/>
            </w:tcMar>
            <w:vAlign w:val="center"/>
          </w:tcPr>
          <w:p w14:paraId="17508853">
            <w:pPr>
              <w:autoSpaceDE w:val="0"/>
              <w:autoSpaceDN w:val="0"/>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专项评价</w:t>
            </w:r>
          </w:p>
          <w:p w14:paraId="5E6716A6">
            <w:pPr>
              <w:autoSpaceDE w:val="0"/>
              <w:autoSpaceDN w:val="0"/>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设置情况</w:t>
            </w:r>
          </w:p>
        </w:tc>
        <w:tc>
          <w:tcPr>
            <w:tcW w:w="7194" w:type="dxa"/>
            <w:gridSpan w:val="3"/>
            <w:noWrap w:val="0"/>
            <w:tcMar>
              <w:top w:w="16" w:type="dxa"/>
              <w:left w:w="16" w:type="dxa"/>
              <w:right w:w="16" w:type="dxa"/>
            </w:tcMar>
            <w:vAlign w:val="center"/>
          </w:tcPr>
          <w:p w14:paraId="3DF99DFF">
            <w:pPr>
              <w:autoSpaceDE w:val="0"/>
              <w:autoSpaceDN w:val="0"/>
              <w:adjustRightInd w:val="0"/>
              <w:snapToGrid w:val="0"/>
              <w:spacing w:line="360" w:lineRule="auto"/>
              <w:ind w:firstLine="480" w:firstLineChars="200"/>
              <w:rPr>
                <w:rFonts w:hint="default" w:eastAsia="宋体"/>
                <w:color w:val="auto"/>
                <w:kern w:val="0"/>
                <w:sz w:val="24"/>
                <w:highlight w:val="none"/>
                <w:lang w:val="en-US" w:eastAsia="zh-CN"/>
              </w:rPr>
            </w:pPr>
            <w:r>
              <w:rPr>
                <w:color w:val="auto"/>
                <w:kern w:val="0"/>
                <w:sz w:val="24"/>
                <w:highlight w:val="none"/>
              </w:rPr>
              <w:t>根据《建设项目环境影响报告表编制技术指南（污染影响类）（试行）》中专项评价设置原则</w:t>
            </w:r>
            <w:r>
              <w:rPr>
                <w:rFonts w:hint="eastAsia"/>
                <w:color w:val="auto"/>
                <w:kern w:val="0"/>
                <w:sz w:val="24"/>
                <w:highlight w:val="none"/>
                <w:lang w:eastAsia="zh-CN"/>
              </w:rPr>
              <w:t>，本项目专项评价设置情况见表</w:t>
            </w:r>
            <w:r>
              <w:rPr>
                <w:rFonts w:hint="eastAsia"/>
                <w:color w:val="auto"/>
                <w:kern w:val="0"/>
                <w:sz w:val="24"/>
                <w:highlight w:val="none"/>
                <w:lang w:val="en-US" w:eastAsia="zh-CN"/>
              </w:rPr>
              <w:t>1-1。</w:t>
            </w:r>
          </w:p>
          <w:p w14:paraId="33A0A3BA">
            <w:pPr>
              <w:numPr>
                <w:ilvl w:val="0"/>
                <w:numId w:val="0"/>
              </w:numPr>
              <w:ind w:left="210" w:leftChars="0"/>
              <w:jc w:val="center"/>
              <w:rPr>
                <w:rFonts w:hint="eastAsia"/>
                <w:b/>
                <w:bCs/>
                <w:color w:val="auto"/>
                <w:sz w:val="24"/>
                <w:szCs w:val="24"/>
                <w:highlight w:val="none"/>
                <w:lang w:val="zh-CN"/>
              </w:rPr>
            </w:pPr>
            <w:r>
              <w:rPr>
                <w:rFonts w:hint="eastAsia"/>
                <w:b/>
                <w:bCs/>
                <w:color w:val="auto"/>
                <w:sz w:val="24"/>
                <w:szCs w:val="24"/>
                <w:highlight w:val="none"/>
                <w:lang w:val="en-US" w:eastAsia="zh-CN"/>
              </w:rPr>
              <w:t>表1-1</w:t>
            </w:r>
            <w:r>
              <w:rPr>
                <w:rFonts w:hint="eastAsia"/>
                <w:b/>
                <w:bCs/>
                <w:color w:val="auto"/>
                <w:sz w:val="24"/>
                <w:szCs w:val="24"/>
                <w:highlight w:val="none"/>
                <w:lang w:val="zh-CN"/>
              </w:rPr>
              <w:t>专项评价设置原则表</w:t>
            </w:r>
          </w:p>
          <w:tbl>
            <w:tblPr>
              <w:tblStyle w:val="27"/>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663"/>
              <w:gridCol w:w="2326"/>
              <w:gridCol w:w="985"/>
            </w:tblGrid>
            <w:tr w14:paraId="7F5B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54" w:type="pct"/>
                  <w:noWrap w:val="0"/>
                  <w:vAlign w:val="center"/>
                </w:tcPr>
                <w:p w14:paraId="05E3A4A0">
                  <w:pPr>
                    <w:jc w:val="center"/>
                    <w:rPr>
                      <w:color w:val="auto"/>
                      <w:sz w:val="21"/>
                      <w:szCs w:val="21"/>
                      <w:highlight w:val="none"/>
                    </w:rPr>
                  </w:pPr>
                  <w:r>
                    <w:rPr>
                      <w:color w:val="auto"/>
                      <w:sz w:val="21"/>
                      <w:szCs w:val="21"/>
                      <w:highlight w:val="none"/>
                    </w:rPr>
                    <w:t>专项评价的类别</w:t>
                  </w:r>
                </w:p>
              </w:tc>
              <w:tc>
                <w:tcPr>
                  <w:tcW w:w="1893" w:type="pct"/>
                  <w:noWrap w:val="0"/>
                  <w:vAlign w:val="center"/>
                </w:tcPr>
                <w:p w14:paraId="5E0102A4">
                  <w:pPr>
                    <w:jc w:val="center"/>
                    <w:rPr>
                      <w:color w:val="auto"/>
                      <w:sz w:val="21"/>
                      <w:szCs w:val="21"/>
                      <w:highlight w:val="none"/>
                    </w:rPr>
                  </w:pPr>
                  <w:r>
                    <w:rPr>
                      <w:color w:val="auto"/>
                      <w:sz w:val="21"/>
                      <w:szCs w:val="21"/>
                      <w:highlight w:val="none"/>
                    </w:rPr>
                    <w:t>设置原则</w:t>
                  </w:r>
                </w:p>
              </w:tc>
              <w:tc>
                <w:tcPr>
                  <w:tcW w:w="1653" w:type="pct"/>
                  <w:noWrap w:val="0"/>
                  <w:vAlign w:val="center"/>
                </w:tcPr>
                <w:p w14:paraId="15ADCC6F">
                  <w:pPr>
                    <w:jc w:val="center"/>
                    <w:rPr>
                      <w:color w:val="auto"/>
                      <w:sz w:val="21"/>
                      <w:szCs w:val="21"/>
                      <w:highlight w:val="none"/>
                    </w:rPr>
                  </w:pPr>
                  <w:r>
                    <w:rPr>
                      <w:rFonts w:hint="eastAsia"/>
                      <w:color w:val="auto"/>
                      <w:sz w:val="21"/>
                      <w:szCs w:val="21"/>
                      <w:highlight w:val="none"/>
                    </w:rPr>
                    <w:t>本改建项目</w:t>
                  </w:r>
                  <w:r>
                    <w:rPr>
                      <w:color w:val="auto"/>
                      <w:sz w:val="21"/>
                      <w:szCs w:val="21"/>
                      <w:highlight w:val="none"/>
                    </w:rPr>
                    <w:t>情况</w:t>
                  </w:r>
                </w:p>
              </w:tc>
              <w:tc>
                <w:tcPr>
                  <w:tcW w:w="698" w:type="pct"/>
                  <w:noWrap w:val="0"/>
                  <w:vAlign w:val="center"/>
                </w:tcPr>
                <w:p w14:paraId="4FEFF20B">
                  <w:pPr>
                    <w:jc w:val="center"/>
                    <w:rPr>
                      <w:color w:val="auto"/>
                      <w:sz w:val="21"/>
                      <w:szCs w:val="21"/>
                      <w:highlight w:val="none"/>
                    </w:rPr>
                  </w:pPr>
                  <w:r>
                    <w:rPr>
                      <w:color w:val="auto"/>
                      <w:sz w:val="21"/>
                      <w:szCs w:val="21"/>
                      <w:highlight w:val="none"/>
                    </w:rPr>
                    <w:t>是否设置专题评价</w:t>
                  </w:r>
                </w:p>
              </w:tc>
            </w:tr>
            <w:tr w14:paraId="0EDF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pct"/>
                  <w:noWrap w:val="0"/>
                  <w:vAlign w:val="center"/>
                </w:tcPr>
                <w:p w14:paraId="0755A47E">
                  <w:pPr>
                    <w:jc w:val="center"/>
                    <w:rPr>
                      <w:bCs/>
                      <w:color w:val="auto"/>
                      <w:sz w:val="21"/>
                      <w:szCs w:val="21"/>
                      <w:highlight w:val="none"/>
                    </w:rPr>
                  </w:pPr>
                  <w:r>
                    <w:rPr>
                      <w:color w:val="auto"/>
                      <w:kern w:val="0"/>
                      <w:sz w:val="21"/>
                      <w:szCs w:val="21"/>
                      <w:highlight w:val="none"/>
                    </w:rPr>
                    <w:t>大气</w:t>
                  </w:r>
                </w:p>
              </w:tc>
              <w:tc>
                <w:tcPr>
                  <w:tcW w:w="1893" w:type="pct"/>
                  <w:noWrap w:val="0"/>
                  <w:vAlign w:val="center"/>
                </w:tcPr>
                <w:p w14:paraId="5CF020CB">
                  <w:pPr>
                    <w:rPr>
                      <w:color w:val="auto"/>
                      <w:sz w:val="21"/>
                      <w:szCs w:val="21"/>
                      <w:highlight w:val="none"/>
                    </w:rPr>
                  </w:pPr>
                  <w:r>
                    <w:rPr>
                      <w:color w:val="auto"/>
                      <w:sz w:val="21"/>
                      <w:szCs w:val="21"/>
                      <w:highlight w:val="none"/>
                    </w:rPr>
                    <w:t>排放废气含有毒有害污染物</w:t>
                  </w:r>
                  <w:r>
                    <w:rPr>
                      <w:rFonts w:hint="eastAsia"/>
                      <w:color w:val="auto"/>
                      <w:sz w:val="21"/>
                      <w:szCs w:val="21"/>
                      <w:highlight w:val="none"/>
                      <w:vertAlign w:val="superscript"/>
                    </w:rPr>
                    <w:t>1</w:t>
                  </w:r>
                  <w:r>
                    <w:rPr>
                      <w:color w:val="auto"/>
                      <w:sz w:val="21"/>
                      <w:szCs w:val="21"/>
                      <w:highlight w:val="none"/>
                    </w:rPr>
                    <w:t>、二噁英、苯并[a]芘、氰化物、氯气且厂界外500米范围内有环境空气保护目</w:t>
                  </w:r>
                  <w:r>
                    <w:rPr>
                      <w:rFonts w:hint="eastAsia"/>
                      <w:color w:val="auto"/>
                      <w:sz w:val="21"/>
                      <w:szCs w:val="21"/>
                      <w:highlight w:val="none"/>
                      <w:vertAlign w:val="superscript"/>
                    </w:rPr>
                    <w:t>2</w:t>
                  </w:r>
                  <w:r>
                    <w:rPr>
                      <w:color w:val="auto"/>
                      <w:sz w:val="21"/>
                      <w:szCs w:val="21"/>
                      <w:highlight w:val="none"/>
                    </w:rPr>
                    <w:t>标的建设项目。</w:t>
                  </w:r>
                </w:p>
              </w:tc>
              <w:tc>
                <w:tcPr>
                  <w:tcW w:w="1653" w:type="pct"/>
                  <w:noWrap w:val="0"/>
                  <w:vAlign w:val="center"/>
                </w:tcPr>
                <w:p w14:paraId="0360225C">
                  <w:pPr>
                    <w:rPr>
                      <w:bCs/>
                      <w:color w:val="auto"/>
                      <w:sz w:val="21"/>
                      <w:szCs w:val="21"/>
                      <w:highlight w:val="none"/>
                    </w:rPr>
                  </w:pPr>
                  <w:r>
                    <w:rPr>
                      <w:rFonts w:hint="eastAsia"/>
                      <w:bCs/>
                      <w:color w:val="auto"/>
                      <w:sz w:val="21"/>
                      <w:szCs w:val="21"/>
                      <w:highlight w:val="none"/>
                    </w:rPr>
                    <w:t>本项目</w:t>
                  </w:r>
                  <w:r>
                    <w:rPr>
                      <w:bCs/>
                      <w:color w:val="auto"/>
                      <w:sz w:val="21"/>
                      <w:szCs w:val="21"/>
                      <w:highlight w:val="none"/>
                    </w:rPr>
                    <w:t>废气主要为颗粒物，不排放</w:t>
                  </w:r>
                  <w:r>
                    <w:rPr>
                      <w:color w:val="auto"/>
                      <w:sz w:val="21"/>
                      <w:szCs w:val="21"/>
                      <w:highlight w:val="none"/>
                    </w:rPr>
                    <w:t>有毒有害污染物、二噁英、苯并[a]芘、氰化物、氯气等。</w:t>
                  </w:r>
                </w:p>
              </w:tc>
              <w:tc>
                <w:tcPr>
                  <w:tcW w:w="698" w:type="pct"/>
                  <w:noWrap w:val="0"/>
                  <w:vAlign w:val="center"/>
                </w:tcPr>
                <w:p w14:paraId="1E9620C0">
                  <w:pPr>
                    <w:jc w:val="center"/>
                    <w:rPr>
                      <w:bCs/>
                      <w:color w:val="auto"/>
                      <w:sz w:val="21"/>
                      <w:szCs w:val="21"/>
                      <w:highlight w:val="none"/>
                    </w:rPr>
                  </w:pPr>
                  <w:r>
                    <w:rPr>
                      <w:bCs/>
                      <w:color w:val="auto"/>
                      <w:sz w:val="21"/>
                      <w:szCs w:val="21"/>
                      <w:highlight w:val="none"/>
                    </w:rPr>
                    <w:t>否</w:t>
                  </w:r>
                </w:p>
              </w:tc>
            </w:tr>
            <w:tr w14:paraId="68AD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pct"/>
                  <w:noWrap w:val="0"/>
                  <w:vAlign w:val="center"/>
                </w:tcPr>
                <w:p w14:paraId="5E30ECD7">
                  <w:pPr>
                    <w:jc w:val="center"/>
                    <w:rPr>
                      <w:bCs/>
                      <w:color w:val="auto"/>
                      <w:sz w:val="21"/>
                      <w:szCs w:val="21"/>
                      <w:highlight w:val="none"/>
                    </w:rPr>
                  </w:pPr>
                  <w:r>
                    <w:rPr>
                      <w:bCs/>
                      <w:color w:val="auto"/>
                      <w:sz w:val="21"/>
                      <w:szCs w:val="21"/>
                      <w:highlight w:val="none"/>
                    </w:rPr>
                    <w:t>地表水</w:t>
                  </w:r>
                </w:p>
              </w:tc>
              <w:tc>
                <w:tcPr>
                  <w:tcW w:w="1893" w:type="pct"/>
                  <w:noWrap w:val="0"/>
                  <w:vAlign w:val="center"/>
                </w:tcPr>
                <w:p w14:paraId="28413B2F">
                  <w:pPr>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653" w:type="pct"/>
                  <w:noWrap w:val="0"/>
                  <w:vAlign w:val="center"/>
                </w:tcPr>
                <w:p w14:paraId="59E3F592">
                  <w:pPr>
                    <w:rPr>
                      <w:color w:val="auto"/>
                      <w:kern w:val="0"/>
                      <w:sz w:val="21"/>
                      <w:szCs w:val="21"/>
                      <w:highlight w:val="none"/>
                    </w:rPr>
                  </w:pPr>
                  <w:r>
                    <w:rPr>
                      <w:rFonts w:hint="eastAsia"/>
                      <w:color w:val="auto"/>
                      <w:kern w:val="0"/>
                      <w:sz w:val="21"/>
                      <w:szCs w:val="21"/>
                      <w:highlight w:val="none"/>
                    </w:rPr>
                    <w:t>本项目</w:t>
                  </w:r>
                  <w:r>
                    <w:rPr>
                      <w:rFonts w:hint="eastAsia"/>
                      <w:color w:val="auto"/>
                      <w:kern w:val="0"/>
                      <w:sz w:val="21"/>
                      <w:szCs w:val="21"/>
                      <w:highlight w:val="none"/>
                      <w:lang w:val="en-US" w:eastAsia="zh-CN"/>
                    </w:rPr>
                    <w:t>生产废水、生活污水不外排</w:t>
                  </w:r>
                  <w:r>
                    <w:rPr>
                      <w:rFonts w:hint="eastAsia"/>
                      <w:color w:val="auto"/>
                      <w:sz w:val="21"/>
                      <w:szCs w:val="21"/>
                      <w:highlight w:val="none"/>
                    </w:rPr>
                    <w:t>。</w:t>
                  </w:r>
                </w:p>
              </w:tc>
              <w:tc>
                <w:tcPr>
                  <w:tcW w:w="698" w:type="pct"/>
                  <w:noWrap w:val="0"/>
                  <w:vAlign w:val="center"/>
                </w:tcPr>
                <w:p w14:paraId="7C8B3FD0">
                  <w:pPr>
                    <w:jc w:val="center"/>
                    <w:rPr>
                      <w:bCs/>
                      <w:color w:val="auto"/>
                      <w:sz w:val="21"/>
                      <w:szCs w:val="21"/>
                      <w:highlight w:val="none"/>
                    </w:rPr>
                  </w:pPr>
                  <w:r>
                    <w:rPr>
                      <w:bCs/>
                      <w:color w:val="auto"/>
                      <w:sz w:val="21"/>
                      <w:szCs w:val="21"/>
                      <w:highlight w:val="none"/>
                    </w:rPr>
                    <w:t>否</w:t>
                  </w:r>
                </w:p>
              </w:tc>
            </w:tr>
            <w:tr w14:paraId="528E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pct"/>
                  <w:noWrap w:val="0"/>
                  <w:vAlign w:val="center"/>
                </w:tcPr>
                <w:p w14:paraId="4226DC7D">
                  <w:pPr>
                    <w:jc w:val="center"/>
                    <w:rPr>
                      <w:bCs/>
                      <w:color w:val="auto"/>
                      <w:sz w:val="21"/>
                      <w:szCs w:val="21"/>
                      <w:highlight w:val="none"/>
                    </w:rPr>
                  </w:pPr>
                  <w:r>
                    <w:rPr>
                      <w:color w:val="auto"/>
                      <w:kern w:val="0"/>
                      <w:sz w:val="21"/>
                      <w:szCs w:val="21"/>
                      <w:highlight w:val="none"/>
                    </w:rPr>
                    <w:t>环境风险</w:t>
                  </w:r>
                </w:p>
              </w:tc>
              <w:tc>
                <w:tcPr>
                  <w:tcW w:w="1893" w:type="pct"/>
                  <w:noWrap w:val="0"/>
                  <w:vAlign w:val="center"/>
                </w:tcPr>
                <w:p w14:paraId="72DC43B1">
                  <w:pPr>
                    <w:rPr>
                      <w:color w:val="auto"/>
                      <w:kern w:val="0"/>
                      <w:sz w:val="21"/>
                      <w:szCs w:val="21"/>
                      <w:highlight w:val="none"/>
                    </w:rPr>
                  </w:pPr>
                  <w:r>
                    <w:rPr>
                      <w:color w:val="auto"/>
                      <w:kern w:val="0"/>
                      <w:sz w:val="21"/>
                      <w:szCs w:val="21"/>
                      <w:highlight w:val="none"/>
                    </w:rPr>
                    <w:t>有毒有害和易燃易爆危险物质存储量超过临界量的建设项目。</w:t>
                  </w:r>
                </w:p>
              </w:tc>
              <w:tc>
                <w:tcPr>
                  <w:tcW w:w="1653" w:type="pct"/>
                  <w:noWrap w:val="0"/>
                  <w:vAlign w:val="center"/>
                </w:tcPr>
                <w:p w14:paraId="0BDB2415">
                  <w:pPr>
                    <w:rPr>
                      <w:bCs/>
                      <w:color w:val="auto"/>
                      <w:sz w:val="21"/>
                      <w:szCs w:val="21"/>
                      <w:highlight w:val="none"/>
                    </w:rPr>
                  </w:pPr>
                  <w:r>
                    <w:rPr>
                      <w:rFonts w:hint="eastAsia"/>
                      <w:bCs/>
                      <w:color w:val="auto"/>
                      <w:sz w:val="21"/>
                      <w:szCs w:val="21"/>
                      <w:highlight w:val="none"/>
                    </w:rPr>
                    <w:t>本项目</w:t>
                  </w:r>
                  <w:r>
                    <w:rPr>
                      <w:rFonts w:hint="eastAsia"/>
                      <w:bCs/>
                      <w:color w:val="auto"/>
                      <w:sz w:val="21"/>
                      <w:szCs w:val="21"/>
                      <w:highlight w:val="none"/>
                      <w:lang w:val="en-US" w:eastAsia="zh-CN"/>
                    </w:rPr>
                    <w:t>有毒有害、易燃易爆危险物质储量未超过临界量</w:t>
                  </w:r>
                  <w:r>
                    <w:rPr>
                      <w:bCs/>
                      <w:color w:val="auto"/>
                      <w:sz w:val="21"/>
                      <w:szCs w:val="21"/>
                      <w:highlight w:val="none"/>
                    </w:rPr>
                    <w:t>。</w:t>
                  </w:r>
                </w:p>
              </w:tc>
              <w:tc>
                <w:tcPr>
                  <w:tcW w:w="698" w:type="pct"/>
                  <w:noWrap w:val="0"/>
                  <w:vAlign w:val="center"/>
                </w:tcPr>
                <w:p w14:paraId="479D6DBA">
                  <w:pPr>
                    <w:jc w:val="center"/>
                    <w:rPr>
                      <w:bCs/>
                      <w:color w:val="auto"/>
                      <w:sz w:val="21"/>
                      <w:szCs w:val="21"/>
                      <w:highlight w:val="none"/>
                    </w:rPr>
                  </w:pPr>
                  <w:r>
                    <w:rPr>
                      <w:bCs/>
                      <w:color w:val="auto"/>
                      <w:sz w:val="21"/>
                      <w:szCs w:val="21"/>
                      <w:highlight w:val="none"/>
                    </w:rPr>
                    <w:t>否</w:t>
                  </w:r>
                </w:p>
              </w:tc>
            </w:tr>
            <w:tr w14:paraId="78B6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pct"/>
                  <w:noWrap w:val="0"/>
                  <w:vAlign w:val="center"/>
                </w:tcPr>
                <w:p w14:paraId="3A49CE78">
                  <w:pPr>
                    <w:jc w:val="center"/>
                    <w:rPr>
                      <w:bCs/>
                      <w:color w:val="auto"/>
                      <w:sz w:val="21"/>
                      <w:szCs w:val="21"/>
                      <w:highlight w:val="none"/>
                    </w:rPr>
                  </w:pPr>
                  <w:r>
                    <w:rPr>
                      <w:color w:val="auto"/>
                      <w:kern w:val="0"/>
                      <w:sz w:val="21"/>
                      <w:szCs w:val="21"/>
                      <w:highlight w:val="none"/>
                    </w:rPr>
                    <w:t>生态</w:t>
                  </w:r>
                </w:p>
              </w:tc>
              <w:tc>
                <w:tcPr>
                  <w:tcW w:w="1893" w:type="pct"/>
                  <w:noWrap w:val="0"/>
                  <w:vAlign w:val="center"/>
                </w:tcPr>
                <w:p w14:paraId="03B98951">
                  <w:pPr>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653" w:type="pct"/>
                  <w:noWrap w:val="0"/>
                  <w:vAlign w:val="center"/>
                </w:tcPr>
                <w:p w14:paraId="110FB75C">
                  <w:pPr>
                    <w:keepNext w:val="0"/>
                    <w:keepLines w:val="0"/>
                    <w:widowControl/>
                    <w:suppressLineNumbers w:val="0"/>
                    <w:jc w:val="left"/>
                    <w:rPr>
                      <w:bCs/>
                      <w:color w:val="auto"/>
                      <w:sz w:val="21"/>
                      <w:szCs w:val="21"/>
                      <w:highlight w:val="none"/>
                    </w:rPr>
                  </w:pPr>
                  <w:r>
                    <w:rPr>
                      <w:rFonts w:hint="eastAsia" w:ascii="宋体" w:hAnsi="宋体" w:eastAsia="宋体" w:cs="宋体"/>
                      <w:color w:val="auto"/>
                      <w:kern w:val="0"/>
                      <w:sz w:val="21"/>
                      <w:szCs w:val="21"/>
                      <w:highlight w:val="none"/>
                      <w:lang w:val="en-US" w:eastAsia="zh-CN" w:bidi="ar"/>
                    </w:rPr>
                    <w:t>本项目不属于新增河道取水污染类项目</w:t>
                  </w:r>
                  <w:r>
                    <w:rPr>
                      <w:color w:val="auto"/>
                      <w:sz w:val="21"/>
                      <w:szCs w:val="21"/>
                      <w:highlight w:val="none"/>
                    </w:rPr>
                    <w:t>。</w:t>
                  </w:r>
                </w:p>
              </w:tc>
              <w:tc>
                <w:tcPr>
                  <w:tcW w:w="698" w:type="pct"/>
                  <w:noWrap w:val="0"/>
                  <w:vAlign w:val="center"/>
                </w:tcPr>
                <w:p w14:paraId="4E286679">
                  <w:pPr>
                    <w:jc w:val="center"/>
                    <w:rPr>
                      <w:bCs/>
                      <w:color w:val="auto"/>
                      <w:sz w:val="21"/>
                      <w:szCs w:val="21"/>
                      <w:highlight w:val="none"/>
                    </w:rPr>
                  </w:pPr>
                  <w:r>
                    <w:rPr>
                      <w:bCs/>
                      <w:color w:val="auto"/>
                      <w:sz w:val="21"/>
                      <w:szCs w:val="21"/>
                      <w:highlight w:val="none"/>
                    </w:rPr>
                    <w:t>否</w:t>
                  </w:r>
                </w:p>
              </w:tc>
            </w:tr>
            <w:tr w14:paraId="2D42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pct"/>
                  <w:noWrap w:val="0"/>
                  <w:vAlign w:val="center"/>
                </w:tcPr>
                <w:p w14:paraId="2C200EFA">
                  <w:pPr>
                    <w:jc w:val="center"/>
                    <w:rPr>
                      <w:bCs/>
                      <w:color w:val="auto"/>
                      <w:sz w:val="21"/>
                      <w:szCs w:val="21"/>
                      <w:highlight w:val="none"/>
                    </w:rPr>
                  </w:pPr>
                  <w:r>
                    <w:rPr>
                      <w:color w:val="auto"/>
                      <w:kern w:val="0"/>
                      <w:sz w:val="21"/>
                      <w:szCs w:val="21"/>
                      <w:highlight w:val="none"/>
                    </w:rPr>
                    <w:t>海洋</w:t>
                  </w:r>
                </w:p>
              </w:tc>
              <w:tc>
                <w:tcPr>
                  <w:tcW w:w="1893" w:type="pct"/>
                  <w:noWrap w:val="0"/>
                  <w:vAlign w:val="center"/>
                </w:tcPr>
                <w:p w14:paraId="7B198436">
                  <w:pPr>
                    <w:rPr>
                      <w:bCs/>
                      <w:color w:val="auto"/>
                      <w:sz w:val="21"/>
                      <w:szCs w:val="21"/>
                      <w:highlight w:val="none"/>
                    </w:rPr>
                  </w:pPr>
                  <w:r>
                    <w:rPr>
                      <w:color w:val="auto"/>
                      <w:kern w:val="0"/>
                      <w:sz w:val="21"/>
                      <w:szCs w:val="21"/>
                      <w:highlight w:val="none"/>
                    </w:rPr>
                    <w:t>直接向海排放污染物的海洋工程建设项目。</w:t>
                  </w:r>
                </w:p>
              </w:tc>
              <w:tc>
                <w:tcPr>
                  <w:tcW w:w="1653" w:type="pct"/>
                  <w:noWrap w:val="0"/>
                  <w:vAlign w:val="center"/>
                </w:tcPr>
                <w:p w14:paraId="1759B381">
                  <w:pPr>
                    <w:rPr>
                      <w:bCs/>
                      <w:color w:val="auto"/>
                      <w:sz w:val="21"/>
                      <w:szCs w:val="21"/>
                      <w:highlight w:val="none"/>
                    </w:rPr>
                  </w:pPr>
                  <w:r>
                    <w:rPr>
                      <w:rFonts w:hint="eastAsia"/>
                      <w:bCs/>
                      <w:color w:val="auto"/>
                      <w:sz w:val="21"/>
                      <w:szCs w:val="21"/>
                      <w:highlight w:val="none"/>
                    </w:rPr>
                    <w:t>本</w:t>
                  </w:r>
                  <w:r>
                    <w:rPr>
                      <w:rFonts w:hint="eastAsia"/>
                      <w:bCs/>
                      <w:color w:val="auto"/>
                      <w:sz w:val="21"/>
                      <w:szCs w:val="21"/>
                      <w:highlight w:val="none"/>
                      <w:lang w:val="en-US" w:eastAsia="zh-CN"/>
                    </w:rPr>
                    <w:t>新建</w:t>
                  </w:r>
                  <w:r>
                    <w:rPr>
                      <w:rFonts w:hint="eastAsia"/>
                      <w:bCs/>
                      <w:color w:val="auto"/>
                      <w:sz w:val="21"/>
                      <w:szCs w:val="21"/>
                      <w:highlight w:val="none"/>
                    </w:rPr>
                    <w:t>项目</w:t>
                  </w:r>
                  <w:r>
                    <w:rPr>
                      <w:bCs/>
                      <w:color w:val="auto"/>
                      <w:sz w:val="21"/>
                      <w:szCs w:val="21"/>
                      <w:highlight w:val="none"/>
                    </w:rPr>
                    <w:t>不</w:t>
                  </w:r>
                  <w:r>
                    <w:rPr>
                      <w:rFonts w:hint="eastAsia"/>
                      <w:bCs/>
                      <w:color w:val="auto"/>
                      <w:sz w:val="21"/>
                      <w:szCs w:val="21"/>
                      <w:highlight w:val="none"/>
                      <w:lang w:val="en-US" w:eastAsia="zh-CN"/>
                    </w:rPr>
                    <w:t>属于</w:t>
                  </w:r>
                  <w:r>
                    <w:rPr>
                      <w:bCs/>
                      <w:color w:val="auto"/>
                      <w:sz w:val="21"/>
                      <w:szCs w:val="21"/>
                      <w:highlight w:val="none"/>
                    </w:rPr>
                    <w:t>海洋工程。</w:t>
                  </w:r>
                </w:p>
              </w:tc>
              <w:tc>
                <w:tcPr>
                  <w:tcW w:w="698" w:type="pct"/>
                  <w:noWrap w:val="0"/>
                  <w:vAlign w:val="center"/>
                </w:tcPr>
                <w:p w14:paraId="2ED32AA0">
                  <w:pPr>
                    <w:jc w:val="center"/>
                    <w:rPr>
                      <w:bCs/>
                      <w:color w:val="auto"/>
                      <w:sz w:val="21"/>
                      <w:szCs w:val="21"/>
                      <w:highlight w:val="none"/>
                    </w:rPr>
                  </w:pPr>
                  <w:r>
                    <w:rPr>
                      <w:bCs/>
                      <w:color w:val="auto"/>
                      <w:sz w:val="21"/>
                      <w:szCs w:val="21"/>
                      <w:highlight w:val="none"/>
                    </w:rPr>
                    <w:t>否</w:t>
                  </w:r>
                </w:p>
              </w:tc>
            </w:tr>
            <w:tr w14:paraId="002C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noWrap w:val="0"/>
                  <w:vAlign w:val="center"/>
                </w:tcPr>
                <w:p w14:paraId="3556A0BB">
                  <w:pPr>
                    <w:jc w:val="left"/>
                    <w:rPr>
                      <w:rFonts w:hint="eastAsia"/>
                      <w:color w:val="auto"/>
                      <w:sz w:val="21"/>
                      <w:szCs w:val="21"/>
                      <w:highlight w:val="none"/>
                    </w:rPr>
                  </w:pPr>
                  <w:r>
                    <w:rPr>
                      <w:rFonts w:hint="eastAsia"/>
                      <w:color w:val="auto"/>
                      <w:sz w:val="21"/>
                      <w:szCs w:val="21"/>
                      <w:highlight w:val="none"/>
                    </w:rPr>
                    <w:t>注：1.废气中有毒有害污染物指纳入《有毒有害大气污染物名录》的污染物（不包括无排放标准的污染物）。</w:t>
                  </w:r>
                </w:p>
                <w:p w14:paraId="2D12D90F">
                  <w:pPr>
                    <w:ind w:firstLine="420" w:firstLineChars="200"/>
                    <w:jc w:val="left"/>
                    <w:rPr>
                      <w:rFonts w:hint="eastAsia"/>
                      <w:color w:val="auto"/>
                      <w:sz w:val="21"/>
                      <w:szCs w:val="21"/>
                      <w:highlight w:val="none"/>
                    </w:rPr>
                  </w:pPr>
                  <w:r>
                    <w:rPr>
                      <w:rFonts w:hint="eastAsia"/>
                      <w:color w:val="auto"/>
                      <w:sz w:val="21"/>
                      <w:szCs w:val="21"/>
                      <w:highlight w:val="none"/>
                    </w:rPr>
                    <w:t>2.环境空气保护目标指自然保护区、风景名胜区、居住区、文化区和农村地区中人群较集中的区域。</w:t>
                  </w:r>
                </w:p>
                <w:p w14:paraId="75A00EA0">
                  <w:pPr>
                    <w:ind w:firstLine="420" w:firstLineChars="200"/>
                    <w:jc w:val="left"/>
                    <w:rPr>
                      <w:color w:val="auto"/>
                      <w:sz w:val="21"/>
                      <w:szCs w:val="21"/>
                      <w:highlight w:val="none"/>
                    </w:rPr>
                  </w:pPr>
                  <w:r>
                    <w:rPr>
                      <w:rFonts w:hint="eastAsia"/>
                      <w:color w:val="auto"/>
                      <w:sz w:val="21"/>
                      <w:szCs w:val="21"/>
                      <w:highlight w:val="none"/>
                    </w:rPr>
                    <w:t>3.临界量及其计算方法可参考《建设项目环境风险评价技术导则》（HJ 169）附录B、附录C。</w:t>
                  </w:r>
                </w:p>
              </w:tc>
            </w:tr>
          </w:tbl>
          <w:p w14:paraId="037B6C91">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ascii="Times New Roman" w:hAnsi="Times New Roman" w:eastAsia="宋体"/>
                <w:color w:val="auto"/>
                <w:sz w:val="24"/>
                <w:highlight w:val="none"/>
              </w:rPr>
            </w:pPr>
            <w:r>
              <w:rPr>
                <w:color w:val="auto"/>
                <w:sz w:val="24"/>
                <w:szCs w:val="24"/>
                <w:highlight w:val="none"/>
                <w:lang w:bidi="zh-CN"/>
              </w:rPr>
              <w:t>综上所述，本项目不设置专项评价。</w:t>
            </w:r>
          </w:p>
        </w:tc>
      </w:tr>
      <w:tr w14:paraId="10329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33" w:type="dxa"/>
            <w:noWrap w:val="0"/>
            <w:tcMar>
              <w:top w:w="16" w:type="dxa"/>
              <w:left w:w="16" w:type="dxa"/>
              <w:right w:w="16" w:type="dxa"/>
            </w:tcMar>
            <w:vAlign w:val="center"/>
          </w:tcPr>
          <w:p w14:paraId="13ACF8D7">
            <w:pPr>
              <w:autoSpaceDE w:val="0"/>
              <w:autoSpaceDN w:val="0"/>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规划情况</w:t>
            </w:r>
          </w:p>
        </w:tc>
        <w:tc>
          <w:tcPr>
            <w:tcW w:w="7194" w:type="dxa"/>
            <w:gridSpan w:val="3"/>
            <w:noWrap w:val="0"/>
            <w:tcMar>
              <w:top w:w="16" w:type="dxa"/>
              <w:left w:w="16" w:type="dxa"/>
              <w:right w:w="16" w:type="dxa"/>
            </w:tcMar>
            <w:vAlign w:val="center"/>
          </w:tcPr>
          <w:p w14:paraId="4F451B40">
            <w:pPr>
              <w:autoSpaceDE w:val="0"/>
              <w:autoSpaceDN w:val="0"/>
              <w:adjustRightInd w:val="0"/>
              <w:snapToGrid w:val="0"/>
              <w:jc w:val="center"/>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无</w:t>
            </w:r>
          </w:p>
        </w:tc>
      </w:tr>
      <w:tr w14:paraId="17757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633" w:type="dxa"/>
            <w:noWrap w:val="0"/>
            <w:tcMar>
              <w:top w:w="16" w:type="dxa"/>
              <w:left w:w="16" w:type="dxa"/>
              <w:right w:w="16" w:type="dxa"/>
            </w:tcMar>
            <w:vAlign w:val="center"/>
          </w:tcPr>
          <w:p w14:paraId="26393F99">
            <w:pPr>
              <w:autoSpaceDE w:val="0"/>
              <w:autoSpaceDN w:val="0"/>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规划环境影响评价情况</w:t>
            </w:r>
          </w:p>
        </w:tc>
        <w:tc>
          <w:tcPr>
            <w:tcW w:w="7194" w:type="dxa"/>
            <w:gridSpan w:val="3"/>
            <w:noWrap w:val="0"/>
            <w:tcMar>
              <w:top w:w="16" w:type="dxa"/>
              <w:left w:w="16" w:type="dxa"/>
              <w:right w:w="16" w:type="dxa"/>
            </w:tcMar>
            <w:vAlign w:val="center"/>
          </w:tcPr>
          <w:p w14:paraId="1676884A">
            <w:pPr>
              <w:autoSpaceDE w:val="0"/>
              <w:autoSpaceDN w:val="0"/>
              <w:adjustRightInd w:val="0"/>
              <w:spacing w:line="360" w:lineRule="auto"/>
              <w:jc w:val="center"/>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无</w:t>
            </w:r>
          </w:p>
        </w:tc>
      </w:tr>
      <w:tr w14:paraId="6FC2A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1633" w:type="dxa"/>
            <w:noWrap w:val="0"/>
            <w:tcMar>
              <w:top w:w="16" w:type="dxa"/>
              <w:left w:w="16" w:type="dxa"/>
              <w:right w:w="16" w:type="dxa"/>
            </w:tcMar>
            <w:vAlign w:val="center"/>
          </w:tcPr>
          <w:p w14:paraId="2F5F3F51">
            <w:pPr>
              <w:autoSpaceDE w:val="0"/>
              <w:autoSpaceDN w:val="0"/>
              <w:adjustRightInd w:val="0"/>
              <w:snapToGrid w:val="0"/>
              <w:jc w:val="center"/>
              <w:rPr>
                <w:rFonts w:ascii="Times New Roman" w:hAnsi="Times New Roman" w:eastAsia="宋体"/>
                <w:color w:val="auto"/>
                <w:sz w:val="24"/>
                <w:highlight w:val="none"/>
              </w:rPr>
            </w:pPr>
            <w:r>
              <w:rPr>
                <w:rFonts w:ascii="Times New Roman" w:hAnsi="Times New Roman" w:eastAsia="宋体"/>
                <w:color w:val="auto"/>
                <w:sz w:val="24"/>
                <w:highlight w:val="none"/>
              </w:rPr>
              <w:t>规划及规划环境影响评价及审查意见符合性分析</w:t>
            </w:r>
          </w:p>
        </w:tc>
        <w:tc>
          <w:tcPr>
            <w:tcW w:w="7194" w:type="dxa"/>
            <w:gridSpan w:val="3"/>
            <w:noWrap w:val="0"/>
            <w:tcMar>
              <w:top w:w="16" w:type="dxa"/>
              <w:left w:w="16" w:type="dxa"/>
              <w:right w:w="16" w:type="dxa"/>
            </w:tcMar>
            <w:vAlign w:val="center"/>
          </w:tcPr>
          <w:p w14:paraId="63BC2260">
            <w:pPr>
              <w:pStyle w:val="58"/>
              <w:snapToGrid w:val="0"/>
              <w:spacing w:line="360" w:lineRule="auto"/>
              <w:ind w:left="0" w:leftChars="0"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无</w:t>
            </w:r>
          </w:p>
        </w:tc>
      </w:tr>
      <w:tr w14:paraId="1B3E7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1633" w:type="dxa"/>
            <w:noWrap w:val="0"/>
            <w:tcMar>
              <w:top w:w="16" w:type="dxa"/>
              <w:left w:w="16" w:type="dxa"/>
              <w:right w:w="16" w:type="dxa"/>
            </w:tcMar>
            <w:vAlign w:val="center"/>
          </w:tcPr>
          <w:p w14:paraId="3013D92E">
            <w:pPr>
              <w:autoSpaceDE w:val="0"/>
              <w:autoSpaceDN w:val="0"/>
              <w:adjustRightInd w:val="0"/>
              <w:snapToGrid w:val="0"/>
              <w:jc w:val="center"/>
              <w:rPr>
                <w:rFonts w:ascii="Times New Roman" w:hAnsi="Times New Roman" w:eastAsia="宋体"/>
                <w:color w:val="auto"/>
                <w:sz w:val="24"/>
                <w:highlight w:val="none"/>
              </w:rPr>
            </w:pPr>
            <w:bookmarkStart w:id="4" w:name="_Hlk56690880"/>
            <w:r>
              <w:rPr>
                <w:rFonts w:ascii="Times New Roman" w:hAnsi="Times New Roman" w:eastAsia="宋体"/>
                <w:color w:val="auto"/>
                <w:sz w:val="24"/>
                <w:highlight w:val="none"/>
              </w:rPr>
              <w:t>其他符合性分析</w:t>
            </w:r>
          </w:p>
        </w:tc>
        <w:tc>
          <w:tcPr>
            <w:tcW w:w="7194" w:type="dxa"/>
            <w:gridSpan w:val="3"/>
            <w:noWrap w:val="0"/>
            <w:tcMar>
              <w:top w:w="16" w:type="dxa"/>
              <w:left w:w="16" w:type="dxa"/>
              <w:right w:w="16" w:type="dxa"/>
            </w:tcMar>
            <w:vAlign w:val="center"/>
          </w:tcPr>
          <w:p w14:paraId="460B4A6D">
            <w:pPr>
              <w:spacing w:line="360" w:lineRule="auto"/>
              <w:ind w:firstLine="482" w:firstLineChars="200"/>
              <w:rPr>
                <w:rFonts w:ascii="Times New Roman" w:hAnsi="Times New Roman" w:eastAsia="宋体"/>
                <w:b/>
                <w:bCs/>
                <w:color w:val="auto"/>
                <w:sz w:val="24"/>
                <w:highlight w:val="none"/>
              </w:rPr>
            </w:pPr>
            <w:r>
              <w:rPr>
                <w:rFonts w:ascii="Times New Roman" w:hAnsi="Times New Roman" w:eastAsia="宋体"/>
                <w:b/>
                <w:bCs/>
                <w:color w:val="auto"/>
                <w:sz w:val="24"/>
                <w:highlight w:val="none"/>
              </w:rPr>
              <w:t>1、产业政策符合性分析</w:t>
            </w:r>
          </w:p>
          <w:p w14:paraId="7407DB3D">
            <w:pPr>
              <w:spacing w:line="360" w:lineRule="auto"/>
              <w:ind w:firstLine="480" w:firstLineChars="200"/>
              <w:rPr>
                <w:rFonts w:hint="eastAsia"/>
                <w:color w:val="auto"/>
                <w:sz w:val="24"/>
                <w:szCs w:val="24"/>
                <w:highlight w:val="none"/>
              </w:rPr>
            </w:pPr>
            <w:r>
              <w:rPr>
                <w:color w:val="auto"/>
                <w:sz w:val="24"/>
                <w:szCs w:val="24"/>
                <w:highlight w:val="none"/>
              </w:rPr>
              <w:t>根据《产业结构调整指导目录（20</w:t>
            </w:r>
            <w:r>
              <w:rPr>
                <w:rFonts w:hint="eastAsia"/>
                <w:color w:val="auto"/>
                <w:sz w:val="24"/>
                <w:szCs w:val="24"/>
                <w:highlight w:val="none"/>
              </w:rPr>
              <w:t>24</w:t>
            </w:r>
            <w:r>
              <w:rPr>
                <w:color w:val="auto"/>
                <w:sz w:val="24"/>
                <w:szCs w:val="24"/>
                <w:highlight w:val="none"/>
              </w:rPr>
              <w:t>年本）》中的相关规定，</w:t>
            </w:r>
            <w:r>
              <w:rPr>
                <w:rFonts w:hint="eastAsia"/>
                <w:color w:val="auto"/>
                <w:sz w:val="24"/>
                <w:szCs w:val="24"/>
                <w:highlight w:val="none"/>
              </w:rPr>
              <w:t>项目属于允许类项目。</w:t>
            </w:r>
            <w:r>
              <w:rPr>
                <w:color w:val="auto"/>
                <w:sz w:val="24"/>
                <w:szCs w:val="24"/>
                <w:highlight w:val="none"/>
              </w:rPr>
              <w:t>本项目于202</w:t>
            </w:r>
            <w:r>
              <w:rPr>
                <w:rFonts w:hint="eastAsia"/>
                <w:color w:val="auto"/>
                <w:sz w:val="24"/>
                <w:szCs w:val="24"/>
                <w:highlight w:val="none"/>
                <w:lang w:val="en-US" w:eastAsia="zh-CN"/>
              </w:rPr>
              <w:t>3</w:t>
            </w:r>
            <w:r>
              <w:rPr>
                <w:color w:val="auto"/>
                <w:sz w:val="24"/>
                <w:szCs w:val="24"/>
                <w:highlight w:val="none"/>
              </w:rPr>
              <w:t>年</w:t>
            </w:r>
            <w:r>
              <w:rPr>
                <w:rFonts w:hint="eastAsia"/>
                <w:color w:val="auto"/>
                <w:sz w:val="24"/>
                <w:szCs w:val="24"/>
                <w:highlight w:val="none"/>
                <w:lang w:val="en-US" w:eastAsia="zh-CN"/>
              </w:rPr>
              <w:t>5</w:t>
            </w:r>
            <w:r>
              <w:rPr>
                <w:color w:val="auto"/>
                <w:sz w:val="24"/>
                <w:szCs w:val="24"/>
                <w:highlight w:val="none"/>
              </w:rPr>
              <w:t>月</w:t>
            </w:r>
            <w:r>
              <w:rPr>
                <w:rFonts w:hint="eastAsia"/>
                <w:color w:val="auto"/>
                <w:sz w:val="24"/>
                <w:szCs w:val="24"/>
                <w:highlight w:val="none"/>
                <w:lang w:val="en-US" w:eastAsia="zh-CN"/>
              </w:rPr>
              <w:t>22</w:t>
            </w:r>
            <w:r>
              <w:rPr>
                <w:color w:val="auto"/>
                <w:sz w:val="24"/>
                <w:szCs w:val="24"/>
                <w:highlight w:val="none"/>
              </w:rPr>
              <w:t>日</w:t>
            </w:r>
            <w:r>
              <w:rPr>
                <w:rFonts w:hint="eastAsia"/>
                <w:color w:val="auto"/>
                <w:sz w:val="24"/>
                <w:szCs w:val="24"/>
                <w:highlight w:val="none"/>
              </w:rPr>
              <w:t>获得府谷县</w:t>
            </w:r>
            <w:r>
              <w:rPr>
                <w:color w:val="auto"/>
                <w:sz w:val="24"/>
                <w:szCs w:val="24"/>
                <w:highlight w:val="none"/>
              </w:rPr>
              <w:t>发展改革和科技局</w:t>
            </w:r>
            <w:r>
              <w:rPr>
                <w:rFonts w:hint="eastAsia"/>
                <w:color w:val="auto"/>
                <w:sz w:val="24"/>
                <w:szCs w:val="24"/>
                <w:highlight w:val="none"/>
              </w:rPr>
              <w:t>关于该项目的</w:t>
            </w:r>
            <w:r>
              <w:rPr>
                <w:rFonts w:hint="eastAsia"/>
                <w:color w:val="auto"/>
                <w:sz w:val="24"/>
                <w:szCs w:val="24"/>
                <w:highlight w:val="none"/>
                <w:lang w:val="en-US" w:eastAsia="zh-CN"/>
              </w:rPr>
              <w:t>备案确认书</w:t>
            </w:r>
            <w:r>
              <w:rPr>
                <w:color w:val="auto"/>
                <w:sz w:val="24"/>
                <w:szCs w:val="24"/>
                <w:highlight w:val="none"/>
              </w:rPr>
              <w:t>，项目代码：</w:t>
            </w:r>
            <w:r>
              <w:rPr>
                <w:rFonts w:hint="eastAsia"/>
                <w:color w:val="auto"/>
                <w:sz w:val="24"/>
                <w:highlight w:val="none"/>
              </w:rPr>
              <w:t>2305-610822-04-01-996320</w:t>
            </w:r>
            <w:r>
              <w:rPr>
                <w:color w:val="auto"/>
                <w:sz w:val="24"/>
                <w:szCs w:val="24"/>
                <w:highlight w:val="none"/>
              </w:rPr>
              <w:t>，同意该项目建设</w:t>
            </w:r>
            <w:r>
              <w:rPr>
                <w:rFonts w:hint="eastAsia"/>
                <w:color w:val="auto"/>
                <w:sz w:val="24"/>
                <w:szCs w:val="24"/>
                <w:highlight w:val="none"/>
                <w:lang w:eastAsia="zh-CN"/>
              </w:rPr>
              <w:t>，</w:t>
            </w:r>
            <w:r>
              <w:rPr>
                <w:color w:val="auto"/>
                <w:sz w:val="24"/>
                <w:szCs w:val="24"/>
                <w:highlight w:val="none"/>
              </w:rPr>
              <w:t>且本项目不在《陕西省限制投资类产业指导目录》（陕发改产业〔2007〕97号）里面。因此，本项目符合</w:t>
            </w:r>
            <w:r>
              <w:rPr>
                <w:rFonts w:hint="eastAsia"/>
                <w:color w:val="auto"/>
                <w:sz w:val="24"/>
                <w:szCs w:val="24"/>
                <w:highlight w:val="none"/>
                <w:lang w:val="en-US" w:eastAsia="zh-CN"/>
              </w:rPr>
              <w:t>国家及</w:t>
            </w:r>
            <w:r>
              <w:rPr>
                <w:color w:val="auto"/>
                <w:sz w:val="24"/>
                <w:szCs w:val="24"/>
                <w:highlight w:val="none"/>
              </w:rPr>
              <w:t>地方产业政策。</w:t>
            </w:r>
          </w:p>
          <w:p w14:paraId="76B68459">
            <w:pPr>
              <w:spacing w:line="360" w:lineRule="auto"/>
              <w:ind w:firstLine="482" w:firstLineChars="200"/>
              <w:rPr>
                <w:rFonts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2</w:t>
            </w:r>
            <w:r>
              <w:rPr>
                <w:rFonts w:ascii="Times New Roman" w:hAnsi="Times New Roman" w:eastAsia="宋体"/>
                <w:b/>
                <w:bCs/>
                <w:color w:val="auto"/>
                <w:sz w:val="24"/>
                <w:highlight w:val="none"/>
              </w:rPr>
              <w:t>、“多规合一”符合性分析</w:t>
            </w:r>
          </w:p>
          <w:p w14:paraId="6BCB15C8">
            <w:pPr>
              <w:pStyle w:val="58"/>
              <w:spacing w:line="360" w:lineRule="auto"/>
              <w:ind w:firstLine="480"/>
              <w:rPr>
                <w:rFonts w:hint="default" w:ascii="Times New Roman" w:hAnsi="Times New Roman" w:eastAsia="宋体"/>
                <w:color w:val="auto"/>
                <w:kern w:val="24"/>
                <w:szCs w:val="21"/>
                <w:highlight w:val="none"/>
                <w:lang w:val="en-US" w:eastAsia="zh-CN"/>
              </w:rPr>
            </w:pPr>
            <w:r>
              <w:rPr>
                <w:rFonts w:hint="eastAsia" w:ascii="Times New Roman" w:hAnsi="Times New Roman" w:eastAsia="宋体"/>
                <w:color w:val="auto"/>
                <w:szCs w:val="21"/>
                <w:highlight w:val="none"/>
                <w:lang w:val="en-US" w:eastAsia="zh-CN"/>
              </w:rPr>
              <w:t>府谷县鸿凯经贸开发有限公司</w:t>
            </w:r>
            <w:r>
              <w:rPr>
                <w:rFonts w:hint="eastAsia" w:ascii="Times New Roman" w:hAnsi="Times New Roman" w:eastAsia="宋体"/>
                <w:color w:val="FF0000"/>
                <w:szCs w:val="21"/>
                <w:highlight w:val="none"/>
                <w:lang w:val="en-US" w:eastAsia="zh-CN"/>
              </w:rPr>
              <w:t>全厂</w:t>
            </w:r>
            <w:r>
              <w:rPr>
                <w:rFonts w:ascii="Times New Roman" w:hAnsi="Times New Roman" w:eastAsia="宋体"/>
                <w:color w:val="auto"/>
                <w:szCs w:val="21"/>
                <w:highlight w:val="none"/>
                <w:lang w:val="en-US" w:eastAsia="zh-CN"/>
              </w:rPr>
              <w:t>与榆林市“多规合一”符合性分析见表1-</w:t>
            </w:r>
            <w:r>
              <w:rPr>
                <w:rFonts w:hint="eastAsia" w:ascii="Times New Roman" w:hAnsi="Times New Roman" w:eastAsia="宋体"/>
                <w:color w:val="auto"/>
                <w:szCs w:val="21"/>
                <w:highlight w:val="none"/>
                <w:lang w:val="en-US" w:eastAsia="zh-CN"/>
              </w:rPr>
              <w:t>2</w:t>
            </w:r>
            <w:r>
              <w:rPr>
                <w:rFonts w:ascii="Times New Roman" w:hAnsi="Times New Roman" w:eastAsia="宋体"/>
                <w:color w:val="auto"/>
                <w:szCs w:val="21"/>
                <w:highlight w:val="none"/>
                <w:lang w:val="en-US" w:eastAsia="zh-CN"/>
              </w:rPr>
              <w:t>，“一张图”控制线检测报告见附件。</w:t>
            </w:r>
          </w:p>
          <w:p w14:paraId="39AF1DC6">
            <w:pPr>
              <w:pStyle w:val="58"/>
              <w:snapToGrid w:val="0"/>
              <w:ind w:firstLine="0" w:firstLineChars="0"/>
              <w:jc w:val="center"/>
              <w:rPr>
                <w:rFonts w:ascii="Times New Roman" w:hAnsi="Times New Roman" w:eastAsia="宋体"/>
                <w:b/>
                <w:bCs/>
                <w:color w:val="auto"/>
                <w:kern w:val="24"/>
                <w:szCs w:val="21"/>
                <w:highlight w:val="none"/>
                <w:lang w:val="en-US" w:eastAsia="zh-CN"/>
              </w:rPr>
            </w:pPr>
            <w:r>
              <w:rPr>
                <w:rFonts w:ascii="Times New Roman" w:hAnsi="Times New Roman" w:eastAsia="宋体"/>
                <w:b/>
                <w:bCs/>
                <w:color w:val="auto"/>
                <w:kern w:val="24"/>
                <w:szCs w:val="21"/>
                <w:highlight w:val="none"/>
                <w:lang w:val="en-US" w:eastAsia="zh-CN"/>
              </w:rPr>
              <w:t>表1-</w:t>
            </w:r>
            <w:r>
              <w:rPr>
                <w:rFonts w:hint="eastAsia" w:ascii="Times New Roman" w:hAnsi="Times New Roman" w:eastAsia="宋体"/>
                <w:b/>
                <w:bCs/>
                <w:color w:val="auto"/>
                <w:kern w:val="24"/>
                <w:szCs w:val="21"/>
                <w:highlight w:val="none"/>
                <w:lang w:val="en-US" w:eastAsia="zh-CN"/>
              </w:rPr>
              <w:t>2</w:t>
            </w:r>
            <w:r>
              <w:rPr>
                <w:rFonts w:ascii="Times New Roman" w:hAnsi="Times New Roman" w:eastAsia="宋体"/>
                <w:b/>
                <w:bCs/>
                <w:color w:val="auto"/>
                <w:kern w:val="24"/>
                <w:szCs w:val="21"/>
                <w:highlight w:val="none"/>
                <w:lang w:val="en-US" w:eastAsia="zh-CN"/>
              </w:rPr>
              <w:t xml:space="preserve"> 本工程榆林市“多规合一”控制线检测符合性分析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4065"/>
              <w:gridCol w:w="1095"/>
            </w:tblGrid>
            <w:tr w14:paraId="3D12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75DAC74A">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控制线名称</w:t>
                  </w:r>
                </w:p>
              </w:tc>
              <w:tc>
                <w:tcPr>
                  <w:tcW w:w="2844" w:type="pct"/>
                  <w:noWrap w:val="0"/>
                  <w:vAlign w:val="center"/>
                </w:tcPr>
                <w:p w14:paraId="2F72515F">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检测结果及意见</w:t>
                  </w:r>
                </w:p>
              </w:tc>
              <w:tc>
                <w:tcPr>
                  <w:tcW w:w="766" w:type="pct"/>
                  <w:noWrap w:val="0"/>
                  <w:vAlign w:val="center"/>
                </w:tcPr>
                <w:p w14:paraId="4365CCDF">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相符性</w:t>
                  </w:r>
                </w:p>
              </w:tc>
            </w:tr>
            <w:tr w14:paraId="1BFF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24595B1A">
                  <w:pPr>
                    <w:autoSpaceDE w:val="0"/>
                    <w:autoSpaceDN w:val="0"/>
                    <w:adjustRightInd w:val="0"/>
                    <w:snapToGrid w:val="0"/>
                    <w:jc w:val="center"/>
                    <w:rPr>
                      <w:bCs/>
                      <w:color w:val="auto"/>
                      <w:sz w:val="21"/>
                      <w:szCs w:val="22"/>
                      <w:highlight w:val="none"/>
                    </w:rPr>
                  </w:pPr>
                  <w:r>
                    <w:rPr>
                      <w:rFonts w:hint="eastAsia"/>
                      <w:bCs/>
                      <w:color w:val="auto"/>
                      <w:sz w:val="21"/>
                      <w:szCs w:val="22"/>
                      <w:highlight w:val="none"/>
                      <w:lang w:val="en-US" w:eastAsia="zh-CN"/>
                    </w:rPr>
                    <w:t>榆阳</w:t>
                  </w:r>
                  <w:r>
                    <w:rPr>
                      <w:rFonts w:hint="eastAsia"/>
                      <w:bCs/>
                      <w:color w:val="auto"/>
                      <w:sz w:val="21"/>
                      <w:szCs w:val="22"/>
                      <w:highlight w:val="none"/>
                    </w:rPr>
                    <w:t>机场电磁环境保护区分析</w:t>
                  </w:r>
                </w:p>
              </w:tc>
              <w:tc>
                <w:tcPr>
                  <w:tcW w:w="2844" w:type="pct"/>
                  <w:noWrap w:val="0"/>
                  <w:vAlign w:val="center"/>
                </w:tcPr>
                <w:p w14:paraId="610A6447">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经分析，该项目位于榆阳机场电磁环境保护区外，无需无线电监测机构进行电磁环境测试和电磁兼容分析，是否需要净空审核，参见机场净空区域分析结果。</w:t>
                  </w:r>
                </w:p>
              </w:tc>
              <w:tc>
                <w:tcPr>
                  <w:tcW w:w="766" w:type="pct"/>
                  <w:noWrap w:val="0"/>
                  <w:vAlign w:val="center"/>
                </w:tcPr>
                <w:p w14:paraId="60858F1B">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27CD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163A5489">
                  <w:pPr>
                    <w:autoSpaceDE w:val="0"/>
                    <w:autoSpaceDN w:val="0"/>
                    <w:adjustRightInd w:val="0"/>
                    <w:snapToGrid w:val="0"/>
                    <w:jc w:val="center"/>
                    <w:rPr>
                      <w:rFonts w:hint="default" w:eastAsia="宋体"/>
                      <w:bCs/>
                      <w:color w:val="auto"/>
                      <w:sz w:val="21"/>
                      <w:szCs w:val="22"/>
                      <w:highlight w:val="none"/>
                      <w:lang w:val="en-US" w:eastAsia="zh-CN"/>
                    </w:rPr>
                  </w:pPr>
                  <w:r>
                    <w:rPr>
                      <w:rFonts w:hint="eastAsia"/>
                      <w:bCs/>
                      <w:color w:val="auto"/>
                      <w:sz w:val="21"/>
                      <w:szCs w:val="22"/>
                      <w:highlight w:val="none"/>
                      <w:lang w:val="en-US" w:eastAsia="zh-CN"/>
                    </w:rPr>
                    <w:t>府谷机场净空区域分析</w:t>
                  </w:r>
                </w:p>
              </w:tc>
              <w:tc>
                <w:tcPr>
                  <w:tcW w:w="2844" w:type="pct"/>
                  <w:noWrap w:val="0"/>
                  <w:vAlign w:val="center"/>
                </w:tcPr>
                <w:p w14:paraId="2911A974">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经分析，该项目位于</w:t>
                  </w:r>
                  <w:r>
                    <w:rPr>
                      <w:rFonts w:hint="eastAsia"/>
                      <w:bCs/>
                      <w:color w:val="auto"/>
                      <w:sz w:val="21"/>
                      <w:szCs w:val="22"/>
                      <w:highlight w:val="none"/>
                      <w:lang w:val="en-US" w:eastAsia="zh-CN"/>
                    </w:rPr>
                    <w:t>府谷机场净空</w:t>
                  </w:r>
                  <w:r>
                    <w:rPr>
                      <w:rFonts w:hint="eastAsia"/>
                      <w:bCs/>
                      <w:color w:val="auto"/>
                      <w:sz w:val="21"/>
                      <w:szCs w:val="22"/>
                      <w:highlight w:val="none"/>
                    </w:rPr>
                    <w:t>审核范围内，</w:t>
                  </w:r>
                  <w:r>
                    <w:rPr>
                      <w:rFonts w:hint="eastAsia"/>
                      <w:bCs/>
                      <w:color w:val="auto"/>
                      <w:sz w:val="21"/>
                      <w:szCs w:val="22"/>
                      <w:highlight w:val="none"/>
                      <w:lang w:val="en-US" w:eastAsia="zh-CN"/>
                    </w:rPr>
                    <w:t>参考高度1381m，</w:t>
                  </w:r>
                  <w:r>
                    <w:rPr>
                      <w:rFonts w:hint="eastAsia"/>
                      <w:bCs/>
                      <w:color w:val="auto"/>
                      <w:sz w:val="21"/>
                      <w:szCs w:val="22"/>
                      <w:highlight w:val="none"/>
                    </w:rPr>
                    <w:t>但是本项目为储煤棚项目，</w:t>
                  </w:r>
                  <w:r>
                    <w:rPr>
                      <w:rFonts w:hint="eastAsia"/>
                      <w:bCs/>
                      <w:color w:val="auto"/>
                      <w:sz w:val="21"/>
                      <w:szCs w:val="22"/>
                      <w:highlight w:val="none"/>
                      <w:lang w:val="en-US" w:eastAsia="zh-CN"/>
                    </w:rPr>
                    <w:t>海拔1201.6m，</w:t>
                  </w:r>
                  <w:r>
                    <w:rPr>
                      <w:rFonts w:hint="eastAsia"/>
                      <w:color w:val="auto"/>
                      <w:highlight w:val="none"/>
                      <w:lang w:val="en-US" w:eastAsia="zh-CN"/>
                    </w:rPr>
                    <w:t>远低于参考高度，</w:t>
                  </w:r>
                  <w:r>
                    <w:rPr>
                      <w:rFonts w:hint="eastAsia"/>
                      <w:bCs/>
                      <w:color w:val="auto"/>
                      <w:sz w:val="21"/>
                      <w:szCs w:val="22"/>
                      <w:highlight w:val="none"/>
                    </w:rPr>
                    <w:t>无需进行净空审核。</w:t>
                  </w:r>
                </w:p>
              </w:tc>
              <w:tc>
                <w:tcPr>
                  <w:tcW w:w="766" w:type="pct"/>
                  <w:noWrap w:val="0"/>
                  <w:vAlign w:val="center"/>
                </w:tcPr>
                <w:p w14:paraId="548D2FE4">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0B64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9" w:type="pct"/>
                  <w:vMerge w:val="restart"/>
                  <w:noWrap w:val="0"/>
                  <w:vAlign w:val="center"/>
                </w:tcPr>
                <w:p w14:paraId="4C44A5FB">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矿业权现状</w:t>
                  </w:r>
                  <w:r>
                    <w:rPr>
                      <w:bCs/>
                      <w:color w:val="auto"/>
                      <w:sz w:val="21"/>
                      <w:szCs w:val="22"/>
                      <w:highlight w:val="none"/>
                    </w:rPr>
                    <w:t>202</w:t>
                  </w:r>
                  <w:r>
                    <w:rPr>
                      <w:rFonts w:hint="eastAsia"/>
                      <w:bCs/>
                      <w:color w:val="auto"/>
                      <w:sz w:val="21"/>
                      <w:szCs w:val="22"/>
                      <w:highlight w:val="none"/>
                    </w:rPr>
                    <w:t>3分析</w:t>
                  </w:r>
                </w:p>
              </w:tc>
              <w:tc>
                <w:tcPr>
                  <w:tcW w:w="2844" w:type="pct"/>
                  <w:noWrap w:val="0"/>
                  <w:vAlign w:val="center"/>
                </w:tcPr>
                <w:p w14:paraId="53A4201F">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府谷县新阳煤矿有限公司新阳煤矿</w:t>
                  </w:r>
                  <w:r>
                    <w:rPr>
                      <w:rFonts w:hint="eastAsia"/>
                      <w:bCs/>
                      <w:color w:val="auto"/>
                      <w:sz w:val="21"/>
                      <w:szCs w:val="22"/>
                      <w:highlight w:val="none"/>
                      <w:lang w:val="en-US" w:eastAsia="zh-CN"/>
                    </w:rPr>
                    <w:t>3.4608公</w:t>
                  </w:r>
                  <w:r>
                    <w:rPr>
                      <w:rFonts w:hint="eastAsia"/>
                      <w:bCs/>
                      <w:color w:val="auto"/>
                      <w:sz w:val="21"/>
                      <w:szCs w:val="22"/>
                      <w:highlight w:val="none"/>
                    </w:rPr>
                    <w:t>顷</w:t>
                  </w:r>
                </w:p>
              </w:tc>
              <w:tc>
                <w:tcPr>
                  <w:tcW w:w="766" w:type="pct"/>
                  <w:vMerge w:val="restart"/>
                  <w:noWrap w:val="0"/>
                  <w:vAlign w:val="center"/>
                </w:tcPr>
                <w:p w14:paraId="305E45E2">
                  <w:pPr>
                    <w:autoSpaceDE w:val="0"/>
                    <w:autoSpaceDN w:val="0"/>
                    <w:adjustRightInd w:val="0"/>
                    <w:snapToGrid w:val="0"/>
                    <w:jc w:val="center"/>
                    <w:rPr>
                      <w:bCs/>
                      <w:color w:val="auto"/>
                      <w:sz w:val="21"/>
                      <w:szCs w:val="22"/>
                      <w:highlight w:val="none"/>
                    </w:rPr>
                  </w:pPr>
                  <w:r>
                    <w:rPr>
                      <w:rFonts w:hint="eastAsia"/>
                      <w:bCs/>
                      <w:color w:val="auto"/>
                      <w:sz w:val="21"/>
                      <w:szCs w:val="22"/>
                      <w:highlight w:val="none"/>
                      <w:lang w:val="en-US" w:eastAsia="zh-CN"/>
                    </w:rPr>
                    <w:t>压覆矿权手续正在办理中</w:t>
                  </w:r>
                </w:p>
              </w:tc>
            </w:tr>
            <w:tr w14:paraId="1196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9" w:type="pct"/>
                  <w:vMerge w:val="continue"/>
                  <w:noWrap w:val="0"/>
                  <w:vAlign w:val="center"/>
                </w:tcPr>
                <w:p w14:paraId="24C0829F">
                  <w:pPr>
                    <w:autoSpaceDE w:val="0"/>
                    <w:autoSpaceDN w:val="0"/>
                    <w:adjustRightInd w:val="0"/>
                    <w:snapToGrid w:val="0"/>
                    <w:jc w:val="center"/>
                    <w:rPr>
                      <w:color w:val="auto"/>
                      <w:sz w:val="21"/>
                      <w:szCs w:val="22"/>
                      <w:highlight w:val="none"/>
                    </w:rPr>
                  </w:pPr>
                </w:p>
              </w:tc>
              <w:tc>
                <w:tcPr>
                  <w:tcW w:w="2844" w:type="pct"/>
                  <w:noWrap w:val="0"/>
                  <w:vAlign w:val="center"/>
                </w:tcPr>
                <w:p w14:paraId="62C0336D">
                  <w:pPr>
                    <w:autoSpaceDE w:val="0"/>
                    <w:autoSpaceDN w:val="0"/>
                    <w:adjustRightInd w:val="0"/>
                    <w:snapToGrid w:val="0"/>
                    <w:jc w:val="center"/>
                    <w:rPr>
                      <w:rFonts w:hint="eastAsia"/>
                      <w:bCs/>
                      <w:color w:val="auto"/>
                      <w:sz w:val="21"/>
                      <w:szCs w:val="22"/>
                      <w:highlight w:val="none"/>
                    </w:rPr>
                  </w:pPr>
                  <w:r>
                    <w:rPr>
                      <w:rFonts w:hint="eastAsia"/>
                      <w:bCs/>
                      <w:color w:val="auto"/>
                      <w:sz w:val="21"/>
                      <w:szCs w:val="22"/>
                      <w:highlight w:val="none"/>
                      <w:lang w:val="en-US" w:eastAsia="zh-CN"/>
                    </w:rPr>
                    <w:t>300m缓冲距离</w:t>
                  </w:r>
                  <w:r>
                    <w:rPr>
                      <w:rFonts w:hint="eastAsia"/>
                      <w:bCs/>
                      <w:color w:val="auto"/>
                      <w:sz w:val="21"/>
                      <w:szCs w:val="22"/>
                      <w:highlight w:val="none"/>
                    </w:rPr>
                    <w:t>府谷县华府煤矿有限公司华府煤矿</w:t>
                  </w:r>
                  <w:r>
                    <w:rPr>
                      <w:rFonts w:hint="eastAsia"/>
                      <w:bCs/>
                      <w:color w:val="auto"/>
                      <w:sz w:val="21"/>
                      <w:szCs w:val="22"/>
                      <w:highlight w:val="none"/>
                      <w:lang w:val="en-US" w:eastAsia="zh-CN"/>
                    </w:rPr>
                    <w:t>6.6179</w:t>
                  </w:r>
                  <w:r>
                    <w:rPr>
                      <w:rFonts w:hint="eastAsia"/>
                      <w:bCs/>
                      <w:color w:val="auto"/>
                      <w:sz w:val="21"/>
                      <w:szCs w:val="22"/>
                      <w:highlight w:val="none"/>
                    </w:rPr>
                    <w:t>公顷</w:t>
                  </w:r>
                  <w:r>
                    <w:rPr>
                      <w:rFonts w:hint="eastAsia"/>
                      <w:bCs/>
                      <w:color w:val="auto"/>
                      <w:sz w:val="21"/>
                      <w:szCs w:val="22"/>
                      <w:highlight w:val="none"/>
                      <w:lang w:eastAsia="zh-CN"/>
                    </w:rPr>
                    <w:t>，</w:t>
                  </w:r>
                  <w:r>
                    <w:rPr>
                      <w:rFonts w:hint="eastAsia"/>
                      <w:bCs/>
                      <w:color w:val="auto"/>
                      <w:sz w:val="21"/>
                      <w:szCs w:val="22"/>
                      <w:highlight w:val="none"/>
                    </w:rPr>
                    <w:t>府谷县新阳煤矿有限公司新阳煤矿37.5294公顷</w:t>
                  </w:r>
                </w:p>
              </w:tc>
              <w:tc>
                <w:tcPr>
                  <w:tcW w:w="766" w:type="pct"/>
                  <w:vMerge w:val="continue"/>
                  <w:noWrap w:val="0"/>
                  <w:vAlign w:val="center"/>
                </w:tcPr>
                <w:p w14:paraId="62CA113D">
                  <w:pPr>
                    <w:autoSpaceDE w:val="0"/>
                    <w:autoSpaceDN w:val="0"/>
                    <w:adjustRightInd w:val="0"/>
                    <w:snapToGrid w:val="0"/>
                    <w:jc w:val="center"/>
                    <w:rPr>
                      <w:rFonts w:hint="eastAsia"/>
                      <w:bCs/>
                      <w:color w:val="auto"/>
                      <w:sz w:val="21"/>
                      <w:szCs w:val="22"/>
                      <w:highlight w:val="none"/>
                    </w:rPr>
                  </w:pPr>
                </w:p>
              </w:tc>
            </w:tr>
            <w:tr w14:paraId="507A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7740E38E">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林地规划分析</w:t>
                  </w:r>
                </w:p>
              </w:tc>
              <w:tc>
                <w:tcPr>
                  <w:tcW w:w="2844" w:type="pct"/>
                  <w:noWrap w:val="0"/>
                  <w:vAlign w:val="center"/>
                </w:tcPr>
                <w:p w14:paraId="6D99E3B3">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非林地建设用地</w:t>
                  </w:r>
                  <w:r>
                    <w:rPr>
                      <w:rFonts w:hint="eastAsia"/>
                      <w:bCs/>
                      <w:color w:val="auto"/>
                      <w:sz w:val="21"/>
                      <w:szCs w:val="22"/>
                      <w:highlight w:val="none"/>
                      <w:lang w:val="en-US" w:eastAsia="zh-CN"/>
                    </w:rPr>
                    <w:t>3.4608</w:t>
                  </w:r>
                  <w:r>
                    <w:rPr>
                      <w:rFonts w:hint="eastAsia"/>
                      <w:bCs/>
                      <w:color w:val="auto"/>
                      <w:sz w:val="21"/>
                      <w:szCs w:val="22"/>
                      <w:highlight w:val="none"/>
                    </w:rPr>
                    <w:t>公顷</w:t>
                  </w:r>
                </w:p>
              </w:tc>
              <w:tc>
                <w:tcPr>
                  <w:tcW w:w="766" w:type="pct"/>
                  <w:noWrap w:val="0"/>
                  <w:vAlign w:val="center"/>
                </w:tcPr>
                <w:p w14:paraId="675024A7">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76FD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09F2174A">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文物保护线分析</w:t>
                  </w:r>
                </w:p>
              </w:tc>
              <w:tc>
                <w:tcPr>
                  <w:tcW w:w="2844" w:type="pct"/>
                  <w:noWrap w:val="0"/>
                  <w:vAlign w:val="center"/>
                </w:tcPr>
                <w:p w14:paraId="0CA42327">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文物保护线</w:t>
                  </w:r>
                  <w:r>
                    <w:rPr>
                      <w:bCs/>
                      <w:color w:val="auto"/>
                      <w:sz w:val="21"/>
                      <w:szCs w:val="22"/>
                      <w:highlight w:val="none"/>
                    </w:rPr>
                    <w:t>0</w:t>
                  </w:r>
                  <w:r>
                    <w:rPr>
                      <w:rFonts w:hint="eastAsia"/>
                      <w:bCs/>
                      <w:color w:val="auto"/>
                      <w:sz w:val="21"/>
                      <w:szCs w:val="22"/>
                      <w:highlight w:val="none"/>
                    </w:rPr>
                    <w:t>公顷</w:t>
                  </w:r>
                </w:p>
              </w:tc>
              <w:tc>
                <w:tcPr>
                  <w:tcW w:w="766" w:type="pct"/>
                  <w:noWrap w:val="0"/>
                  <w:vAlign w:val="center"/>
                </w:tcPr>
                <w:p w14:paraId="63B24FBC">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1674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56F01DCD">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生态保护红线分析</w:t>
                  </w:r>
                </w:p>
              </w:tc>
              <w:tc>
                <w:tcPr>
                  <w:tcW w:w="2844" w:type="pct"/>
                  <w:noWrap w:val="0"/>
                  <w:vAlign w:val="center"/>
                </w:tcPr>
                <w:p w14:paraId="6980816B">
                  <w:pPr>
                    <w:autoSpaceDE w:val="0"/>
                    <w:autoSpaceDN w:val="0"/>
                    <w:adjustRightInd w:val="0"/>
                    <w:snapToGrid w:val="0"/>
                    <w:jc w:val="center"/>
                    <w:rPr>
                      <w:bCs/>
                      <w:color w:val="auto"/>
                      <w:sz w:val="21"/>
                      <w:szCs w:val="22"/>
                      <w:highlight w:val="none"/>
                    </w:rPr>
                  </w:pPr>
                  <w:r>
                    <w:rPr>
                      <w:bCs/>
                      <w:color w:val="auto"/>
                      <w:sz w:val="21"/>
                      <w:szCs w:val="22"/>
                      <w:highlight w:val="none"/>
                    </w:rPr>
                    <w:t>0</w:t>
                  </w:r>
                  <w:r>
                    <w:rPr>
                      <w:rFonts w:hint="eastAsia"/>
                      <w:bCs/>
                      <w:color w:val="auto"/>
                      <w:sz w:val="21"/>
                      <w:szCs w:val="22"/>
                      <w:highlight w:val="none"/>
                    </w:rPr>
                    <w:t>公顷</w:t>
                  </w:r>
                </w:p>
              </w:tc>
              <w:tc>
                <w:tcPr>
                  <w:tcW w:w="766" w:type="pct"/>
                  <w:noWrap w:val="0"/>
                  <w:vAlign w:val="center"/>
                </w:tcPr>
                <w:p w14:paraId="31CFE33B">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1B5A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3936B483">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永久基本农田分析</w:t>
                  </w:r>
                </w:p>
              </w:tc>
              <w:tc>
                <w:tcPr>
                  <w:tcW w:w="2844" w:type="pct"/>
                  <w:noWrap w:val="0"/>
                  <w:vAlign w:val="center"/>
                </w:tcPr>
                <w:p w14:paraId="01093AFD">
                  <w:pPr>
                    <w:autoSpaceDE w:val="0"/>
                    <w:autoSpaceDN w:val="0"/>
                    <w:adjustRightInd w:val="0"/>
                    <w:snapToGrid w:val="0"/>
                    <w:jc w:val="center"/>
                    <w:rPr>
                      <w:bCs/>
                      <w:color w:val="auto"/>
                      <w:sz w:val="21"/>
                      <w:szCs w:val="22"/>
                      <w:highlight w:val="none"/>
                    </w:rPr>
                  </w:pPr>
                  <w:r>
                    <w:rPr>
                      <w:bCs/>
                      <w:color w:val="auto"/>
                      <w:sz w:val="21"/>
                      <w:szCs w:val="22"/>
                      <w:highlight w:val="none"/>
                    </w:rPr>
                    <w:t>0</w:t>
                  </w:r>
                  <w:r>
                    <w:rPr>
                      <w:rFonts w:hint="eastAsia"/>
                      <w:bCs/>
                      <w:color w:val="auto"/>
                      <w:sz w:val="21"/>
                      <w:szCs w:val="22"/>
                      <w:highlight w:val="none"/>
                    </w:rPr>
                    <w:t>公顷</w:t>
                  </w:r>
                </w:p>
              </w:tc>
              <w:tc>
                <w:tcPr>
                  <w:tcW w:w="766" w:type="pct"/>
                  <w:noWrap w:val="0"/>
                  <w:vAlign w:val="center"/>
                </w:tcPr>
                <w:p w14:paraId="5822C92C">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符合</w:t>
                  </w:r>
                </w:p>
              </w:tc>
            </w:tr>
            <w:tr w14:paraId="1A57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pct"/>
                  <w:noWrap w:val="0"/>
                  <w:vAlign w:val="center"/>
                </w:tcPr>
                <w:p w14:paraId="50E405E7">
                  <w:pPr>
                    <w:autoSpaceDE w:val="0"/>
                    <w:autoSpaceDN w:val="0"/>
                    <w:adjustRightInd w:val="0"/>
                    <w:snapToGrid w:val="0"/>
                    <w:jc w:val="center"/>
                    <w:rPr>
                      <w:bCs/>
                      <w:color w:val="auto"/>
                      <w:sz w:val="21"/>
                      <w:szCs w:val="22"/>
                      <w:highlight w:val="none"/>
                    </w:rPr>
                  </w:pPr>
                  <w:r>
                    <w:rPr>
                      <w:rFonts w:hint="eastAsia"/>
                      <w:bCs/>
                      <w:color w:val="auto"/>
                      <w:sz w:val="21"/>
                      <w:szCs w:val="22"/>
                      <w:highlight w:val="none"/>
                    </w:rPr>
                    <w:t>土地利用现状分析</w:t>
                  </w:r>
                </w:p>
              </w:tc>
              <w:tc>
                <w:tcPr>
                  <w:tcW w:w="2844" w:type="pct"/>
                  <w:noWrap w:val="0"/>
                  <w:vAlign w:val="center"/>
                </w:tcPr>
                <w:p w14:paraId="215DCCF0">
                  <w:pPr>
                    <w:autoSpaceDE w:val="0"/>
                    <w:autoSpaceDN w:val="0"/>
                    <w:adjustRightInd w:val="0"/>
                    <w:snapToGrid w:val="0"/>
                    <w:jc w:val="center"/>
                    <w:rPr>
                      <w:rFonts w:hint="default" w:eastAsia="宋体"/>
                      <w:bCs/>
                      <w:color w:val="auto"/>
                      <w:sz w:val="21"/>
                      <w:szCs w:val="22"/>
                      <w:highlight w:val="none"/>
                      <w:lang w:val="en-US" w:eastAsia="zh-CN"/>
                    </w:rPr>
                  </w:pPr>
                  <w:r>
                    <w:rPr>
                      <w:rFonts w:hint="eastAsia"/>
                      <w:bCs/>
                      <w:color w:val="auto"/>
                      <w:sz w:val="21"/>
                      <w:szCs w:val="22"/>
                      <w:highlight w:val="none"/>
                    </w:rPr>
                    <w:t>工矿用地采矿用地</w:t>
                  </w:r>
                  <w:r>
                    <w:rPr>
                      <w:rFonts w:hint="eastAsia"/>
                      <w:bCs/>
                      <w:color w:val="auto"/>
                      <w:sz w:val="21"/>
                      <w:szCs w:val="22"/>
                      <w:highlight w:val="none"/>
                      <w:lang w:val="en-US" w:eastAsia="zh-CN"/>
                    </w:rPr>
                    <w:t>3.4581</w:t>
                  </w:r>
                  <w:r>
                    <w:rPr>
                      <w:rFonts w:hint="eastAsia"/>
                      <w:bCs/>
                      <w:color w:val="auto"/>
                      <w:sz w:val="21"/>
                      <w:szCs w:val="22"/>
                      <w:highlight w:val="none"/>
                    </w:rPr>
                    <w:t>公顷</w:t>
                  </w:r>
                  <w:r>
                    <w:rPr>
                      <w:rFonts w:hint="eastAsia"/>
                      <w:bCs/>
                      <w:color w:val="auto"/>
                      <w:sz w:val="21"/>
                      <w:szCs w:val="22"/>
                      <w:highlight w:val="none"/>
                      <w:lang w:eastAsia="zh-CN"/>
                    </w:rPr>
                    <w:t>、</w:t>
                  </w:r>
                  <w:r>
                    <w:rPr>
                      <w:rFonts w:hint="eastAsia"/>
                      <w:bCs/>
                      <w:color w:val="auto"/>
                      <w:sz w:val="21"/>
                      <w:szCs w:val="22"/>
                      <w:highlight w:val="none"/>
                      <w:lang w:val="en-US" w:eastAsia="zh-CN"/>
                    </w:rPr>
                    <w:t>旱地0.0027</w:t>
                  </w:r>
                  <w:r>
                    <w:rPr>
                      <w:rFonts w:hint="eastAsia"/>
                      <w:bCs/>
                      <w:color w:val="auto"/>
                      <w:sz w:val="21"/>
                      <w:szCs w:val="22"/>
                      <w:highlight w:val="none"/>
                    </w:rPr>
                    <w:t>公顷</w:t>
                  </w:r>
                </w:p>
              </w:tc>
              <w:tc>
                <w:tcPr>
                  <w:tcW w:w="766" w:type="pct"/>
                  <w:noWrap w:val="0"/>
                  <w:vAlign w:val="center"/>
                </w:tcPr>
                <w:p w14:paraId="0EEC8AA2">
                  <w:pPr>
                    <w:autoSpaceDE w:val="0"/>
                    <w:autoSpaceDN w:val="0"/>
                    <w:adjustRightInd w:val="0"/>
                    <w:snapToGrid w:val="0"/>
                    <w:jc w:val="center"/>
                    <w:rPr>
                      <w:rFonts w:hint="default"/>
                      <w:bCs/>
                      <w:color w:val="auto"/>
                      <w:sz w:val="21"/>
                      <w:szCs w:val="22"/>
                      <w:highlight w:val="none"/>
                      <w:lang w:val="en-US" w:eastAsia="zh-CN"/>
                    </w:rPr>
                  </w:pPr>
                  <w:r>
                    <w:rPr>
                      <w:rFonts w:hint="eastAsia"/>
                      <w:bCs/>
                      <w:color w:val="auto"/>
                      <w:sz w:val="21"/>
                      <w:szCs w:val="22"/>
                      <w:highlight w:val="none"/>
                      <w:lang w:val="en-US" w:eastAsia="zh-CN"/>
                    </w:rPr>
                    <w:t>新增用地正在办理相关土地手续</w:t>
                  </w:r>
                </w:p>
              </w:tc>
            </w:tr>
          </w:tbl>
          <w:p w14:paraId="0E0BCD1F">
            <w:pPr>
              <w:pStyle w:val="58"/>
              <w:spacing w:line="360" w:lineRule="auto"/>
              <w:ind w:firstLine="482"/>
              <w:rPr>
                <w:rFonts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3</w:t>
            </w:r>
            <w:r>
              <w:rPr>
                <w:rFonts w:ascii="Times New Roman" w:hAnsi="Times New Roman" w:eastAsia="宋体"/>
                <w:b/>
                <w:bCs/>
                <w:color w:val="auto"/>
                <w:szCs w:val="21"/>
                <w:highlight w:val="none"/>
                <w:lang w:val="en-US" w:eastAsia="zh-CN"/>
              </w:rPr>
              <w:t>、“三线一单”符合性分析</w:t>
            </w:r>
          </w:p>
          <w:p w14:paraId="23EFB439">
            <w:pPr>
              <w:keepNext/>
              <w:keepLines/>
              <w:spacing w:line="360" w:lineRule="auto"/>
              <w:ind w:left="32" w:leftChars="16" w:firstLine="424" w:firstLineChars="177"/>
              <w:contextualSpacing/>
              <w:rPr>
                <w:color w:val="auto"/>
                <w:sz w:val="24"/>
                <w:highlight w:val="none"/>
              </w:rPr>
            </w:pPr>
            <w:r>
              <w:rPr>
                <w:rFonts w:hint="default" w:ascii="Times New Roman" w:hAnsi="Times New Roman" w:eastAsia="宋体" w:cs="Times New Roman"/>
                <w:color w:val="auto"/>
                <w:sz w:val="24"/>
                <w:szCs w:val="24"/>
                <w:highlight w:val="none"/>
              </w:rPr>
              <w:t>根据《陕西省“三线一单”生态环境分区管控应用技术指南：环境影响评价（试行）》中环评文件规范化要求：环评文件涉及“三线一单”生态环境分区管控符合性分析采取“一图、一表、一说明”的表达方式，在对照分析结果右侧加列，并论证规划或建设项目的符合性。</w:t>
            </w:r>
          </w:p>
          <w:p w14:paraId="5141A704">
            <w:pPr>
              <w:pStyle w:val="58"/>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eastAsia"/>
                <w:color w:val="auto"/>
                <w:sz w:val="24"/>
                <w:highlight w:val="none"/>
              </w:rPr>
            </w:pPr>
            <w:r>
              <w:rPr>
                <w:rFonts w:hint="eastAsia" w:ascii="宋体" w:hAnsi="宋体" w:eastAsia="宋体" w:cs="宋体"/>
                <w:color w:val="auto"/>
                <w:sz w:val="24"/>
                <w:highlight w:val="none"/>
              </w:rPr>
              <w:t>①</w:t>
            </w:r>
            <w:r>
              <w:rPr>
                <w:rFonts w:hint="eastAsia" w:eastAsia="宋体"/>
                <w:color w:val="auto"/>
                <w:sz w:val="24"/>
                <w:highlight w:val="none"/>
                <w:lang w:val="en-US" w:eastAsia="zh-CN"/>
              </w:rPr>
              <w:t xml:space="preserve"> </w:t>
            </w:r>
            <w:r>
              <w:rPr>
                <w:rFonts w:hint="default" w:ascii="Times New Roman" w:hAnsi="Times New Roman" w:eastAsia="宋体" w:cs="Times New Roman"/>
                <w:color w:val="auto"/>
                <w:sz w:val="24"/>
                <w:szCs w:val="24"/>
                <w:highlight w:val="none"/>
              </w:rPr>
              <w:t>“一图”：指的是规划或建设项目与环境管控单元对照分析示意图。</w:t>
            </w:r>
            <w:r>
              <w:rPr>
                <w:rFonts w:hint="eastAsia"/>
                <w:color w:val="auto"/>
                <w:sz w:val="24"/>
                <w:highlight w:val="none"/>
                <w:lang w:val="zh-CN"/>
              </w:rPr>
              <w:t>根据《关于印发榆林市“三线一单”生态环境分区管控方案的通知》（榆政发〔</w:t>
            </w:r>
            <w:r>
              <w:rPr>
                <w:color w:val="auto"/>
                <w:sz w:val="24"/>
                <w:highlight w:val="none"/>
                <w:lang w:val="zh-CN"/>
              </w:rPr>
              <w:t>2021</w:t>
            </w:r>
            <w:r>
              <w:rPr>
                <w:rFonts w:hint="eastAsia"/>
                <w:color w:val="auto"/>
                <w:sz w:val="24"/>
                <w:highlight w:val="none"/>
                <w:lang w:val="zh-CN"/>
              </w:rPr>
              <w:t>〕</w:t>
            </w:r>
            <w:r>
              <w:rPr>
                <w:color w:val="auto"/>
                <w:sz w:val="24"/>
                <w:highlight w:val="none"/>
                <w:lang w:val="zh-CN"/>
              </w:rPr>
              <w:t>17</w:t>
            </w:r>
            <w:r>
              <w:rPr>
                <w:rFonts w:hint="eastAsia"/>
                <w:color w:val="auto"/>
                <w:sz w:val="24"/>
                <w:highlight w:val="none"/>
                <w:lang w:val="zh-CN"/>
              </w:rPr>
              <w:t>号）</w:t>
            </w:r>
            <w:r>
              <w:rPr>
                <w:color w:val="auto"/>
                <w:sz w:val="24"/>
                <w:highlight w:val="none"/>
              </w:rPr>
              <w:t>，本项目根据指南要求与《</w:t>
            </w:r>
            <w:r>
              <w:rPr>
                <w:rFonts w:hint="eastAsia"/>
                <w:color w:val="auto"/>
                <w:sz w:val="24"/>
                <w:highlight w:val="none"/>
                <w:lang w:val="zh-CN"/>
              </w:rPr>
              <w:t>榆林市“三线一单”生态环境分区管控方案</w:t>
            </w:r>
            <w:r>
              <w:rPr>
                <w:color w:val="auto"/>
                <w:sz w:val="24"/>
                <w:highlight w:val="none"/>
              </w:rPr>
              <w:t>》环境管控单元进行对照分析</w:t>
            </w:r>
            <w:r>
              <w:rPr>
                <w:rFonts w:hint="eastAsia"/>
                <w:color w:val="auto"/>
                <w:sz w:val="24"/>
                <w:highlight w:val="none"/>
                <w:lang w:eastAsia="zh-CN"/>
              </w:rPr>
              <w:t>。</w:t>
            </w:r>
            <w:r>
              <w:rPr>
                <w:rFonts w:hint="eastAsia"/>
                <w:color w:val="auto"/>
                <w:sz w:val="24"/>
                <w:highlight w:val="none"/>
              </w:rPr>
              <w:t>经查询陕西省“三线一单”应用系统，</w:t>
            </w:r>
            <w:r>
              <w:rPr>
                <w:rFonts w:hint="eastAsia"/>
                <w:color w:val="FF0000"/>
                <w:sz w:val="24"/>
                <w:highlight w:val="none"/>
                <w:lang w:val="en-US" w:eastAsia="zh-CN"/>
              </w:rPr>
              <w:t>全厂</w:t>
            </w:r>
            <w:r>
              <w:rPr>
                <w:rFonts w:hint="eastAsia"/>
                <w:color w:val="auto"/>
                <w:sz w:val="24"/>
                <w:highlight w:val="none"/>
              </w:rPr>
              <w:t>位于榆林市府谷县生态环境分区管控单元中的重点管控单元，</w:t>
            </w:r>
            <w:r>
              <w:rPr>
                <w:color w:val="auto"/>
                <w:sz w:val="24"/>
                <w:highlight w:val="none"/>
              </w:rPr>
              <w:t>项目</w:t>
            </w:r>
            <w:r>
              <w:rPr>
                <w:rFonts w:hint="eastAsia"/>
                <w:color w:val="auto"/>
                <w:sz w:val="24"/>
                <w:highlight w:val="none"/>
                <w:lang w:val="en-US" w:eastAsia="zh-CN"/>
              </w:rPr>
              <w:t>在陕西省</w:t>
            </w:r>
            <w:r>
              <w:rPr>
                <w:color w:val="auto"/>
                <w:sz w:val="24"/>
                <w:highlight w:val="none"/>
              </w:rPr>
              <w:t>生态环境管控单元分布图的位置见图</w:t>
            </w:r>
            <w:r>
              <w:rPr>
                <w:rFonts w:hint="eastAsia"/>
                <w:color w:val="auto"/>
                <w:sz w:val="24"/>
                <w:highlight w:val="none"/>
                <w:lang w:val="en-US" w:eastAsia="zh-CN"/>
              </w:rPr>
              <w:t>1-1，与榆林市生态环境管控单元对比成果图见附图</w:t>
            </w:r>
            <w:r>
              <w:rPr>
                <w:rFonts w:hint="eastAsia"/>
                <w:color w:val="auto"/>
                <w:sz w:val="24"/>
                <w:highlight w:val="none"/>
              </w:rPr>
              <w:t>。</w:t>
            </w:r>
          </w:p>
          <w:p w14:paraId="5DBF01E7">
            <w:pPr>
              <w:pStyle w:val="58"/>
              <w:spacing w:line="360" w:lineRule="auto"/>
              <w:ind w:left="0" w:leftChars="0" w:firstLine="0" w:firstLineChars="0"/>
              <w:rPr>
                <w:rFonts w:hint="eastAsia" w:ascii="Times New Roman" w:hAnsi="Times New Roman" w:eastAsia="宋体"/>
                <w:color w:val="auto"/>
                <w:szCs w:val="21"/>
                <w:highlight w:val="none"/>
                <w:lang w:val="en-US" w:eastAsia="zh-CN"/>
              </w:rPr>
            </w:pPr>
            <w:r>
              <w:rPr>
                <w:color w:val="auto"/>
                <w:highlight w:val="none"/>
              </w:rPr>
              <w:drawing>
                <wp:inline distT="0" distB="0" distL="114300" distR="114300">
                  <wp:extent cx="5327650" cy="4123055"/>
                  <wp:effectExtent l="0" t="0" r="6350" b="10795"/>
                  <wp:docPr id="1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1"/>
                          <pic:cNvPicPr>
                            <a:picLocks noChangeAspect="1"/>
                          </pic:cNvPicPr>
                        </pic:nvPicPr>
                        <pic:blipFill>
                          <a:blip r:embed="rId8"/>
                          <a:stretch>
                            <a:fillRect/>
                          </a:stretch>
                        </pic:blipFill>
                        <pic:spPr>
                          <a:xfrm>
                            <a:off x="0" y="0"/>
                            <a:ext cx="5327650" cy="4123055"/>
                          </a:xfrm>
                          <a:prstGeom prst="rect">
                            <a:avLst/>
                          </a:prstGeom>
                          <a:noFill/>
                          <a:ln>
                            <a:noFill/>
                          </a:ln>
                        </pic:spPr>
                      </pic:pic>
                    </a:graphicData>
                  </a:graphic>
                </wp:inline>
              </w:drawing>
            </w:r>
          </w:p>
          <w:p w14:paraId="6B2CEA7E">
            <w:pPr>
              <w:pStyle w:val="58"/>
              <w:spacing w:line="360" w:lineRule="auto"/>
              <w:ind w:left="0" w:leftChars="0" w:firstLine="0" w:firstLineChars="0"/>
              <w:jc w:val="center"/>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图1-1  全厂生态环境管控单元分布图</w:t>
            </w:r>
          </w:p>
          <w:p w14:paraId="0CC7EC1E">
            <w:pPr>
              <w:pStyle w:val="58"/>
              <w:spacing w:line="360" w:lineRule="auto"/>
              <w:ind w:firstLine="480"/>
              <w:rPr>
                <w:rFonts w:hint="default" w:ascii="Times New Roman" w:hAnsi="Times New Roman" w:cs="Times New Roman"/>
                <w:color w:val="auto"/>
                <w:sz w:val="24"/>
                <w:highlight w:val="none"/>
                <w:lang w:val="zh-CN"/>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“一表”：指的是项目或规划范围涉及的生态环境管控单元准入清单。</w:t>
            </w:r>
          </w:p>
          <w:p w14:paraId="7F881E82">
            <w:pPr>
              <w:pStyle w:val="58"/>
              <w:spacing w:line="360" w:lineRule="auto"/>
              <w:ind w:firstLine="480"/>
              <w:rPr>
                <w:rFonts w:ascii="Times New Roman" w:hAnsi="Times New Roman" w:eastAsia="宋体"/>
                <w:color w:val="auto"/>
                <w:szCs w:val="21"/>
                <w:highlight w:val="none"/>
                <w:lang w:val="en-US" w:eastAsia="zh-CN"/>
              </w:rPr>
            </w:pPr>
            <w:r>
              <w:rPr>
                <w:color w:val="auto"/>
                <w:sz w:val="24"/>
                <w:szCs w:val="24"/>
                <w:highlight w:val="none"/>
                <w:lang w:val="zh-CN"/>
              </w:rPr>
              <w:t>项目与生态环境管控单元比对结果见表</w:t>
            </w:r>
            <w:r>
              <w:rPr>
                <w:rFonts w:hint="eastAsia"/>
                <w:color w:val="auto"/>
                <w:sz w:val="24"/>
                <w:szCs w:val="24"/>
                <w:highlight w:val="none"/>
                <w:lang w:val="zh-CN"/>
              </w:rPr>
              <w:t>1</w:t>
            </w:r>
            <w:r>
              <w:rPr>
                <w:rFonts w:hint="eastAsia"/>
                <w:color w:val="auto"/>
                <w:sz w:val="24"/>
                <w:szCs w:val="24"/>
                <w:highlight w:val="none"/>
              </w:rPr>
              <w:t>-</w:t>
            </w:r>
            <w:r>
              <w:rPr>
                <w:rFonts w:hint="eastAsia"/>
                <w:color w:val="auto"/>
                <w:sz w:val="24"/>
                <w:szCs w:val="24"/>
                <w:highlight w:val="none"/>
                <w:lang w:val="en-US" w:eastAsia="zh-CN"/>
              </w:rPr>
              <w:t>3</w:t>
            </w:r>
            <w:r>
              <w:rPr>
                <w:rFonts w:hint="eastAsia"/>
                <w:color w:val="auto"/>
                <w:sz w:val="24"/>
                <w:szCs w:val="24"/>
                <w:highlight w:val="none"/>
                <w:lang w:val="zh-CN"/>
              </w:rPr>
              <w:t>，</w:t>
            </w:r>
            <w:r>
              <w:rPr>
                <w:color w:val="auto"/>
                <w:sz w:val="24"/>
                <w:szCs w:val="24"/>
                <w:highlight w:val="none"/>
                <w:lang w:val="zh-CN"/>
              </w:rPr>
              <w:t>与</w:t>
            </w:r>
            <w:r>
              <w:rPr>
                <w:rFonts w:hint="eastAsia"/>
                <w:color w:val="auto"/>
                <w:sz w:val="24"/>
                <w:szCs w:val="24"/>
                <w:highlight w:val="none"/>
                <w:lang w:val="zh-CN"/>
              </w:rPr>
              <w:t>《</w:t>
            </w:r>
            <w:r>
              <w:rPr>
                <w:color w:val="auto"/>
                <w:sz w:val="24"/>
                <w:szCs w:val="24"/>
                <w:highlight w:val="none"/>
                <w:lang w:val="zh-CN"/>
              </w:rPr>
              <w:t>榆林市生态环境准入清单</w:t>
            </w:r>
            <w:r>
              <w:rPr>
                <w:rFonts w:hint="eastAsia"/>
                <w:color w:val="auto"/>
                <w:sz w:val="24"/>
                <w:szCs w:val="24"/>
                <w:highlight w:val="none"/>
                <w:lang w:val="zh-CN"/>
              </w:rPr>
              <w:t>（</w:t>
            </w:r>
            <w:r>
              <w:rPr>
                <w:rFonts w:hint="eastAsia"/>
                <w:color w:val="auto"/>
                <w:sz w:val="24"/>
                <w:szCs w:val="24"/>
                <w:highlight w:val="none"/>
                <w:lang w:val="en-US" w:eastAsia="zh-CN"/>
              </w:rPr>
              <w:t>2023</w:t>
            </w:r>
            <w:r>
              <w:rPr>
                <w:rFonts w:hint="eastAsia"/>
                <w:color w:val="auto"/>
                <w:sz w:val="24"/>
                <w:szCs w:val="24"/>
                <w:highlight w:val="none"/>
                <w:lang w:val="zh-CN"/>
              </w:rPr>
              <w:t>）》</w:t>
            </w:r>
            <w:r>
              <w:rPr>
                <w:color w:val="auto"/>
                <w:sz w:val="24"/>
                <w:szCs w:val="24"/>
                <w:highlight w:val="none"/>
                <w:lang w:val="zh-CN"/>
              </w:rPr>
              <w:t>符合性分析见表</w:t>
            </w:r>
            <w:r>
              <w:rPr>
                <w:rFonts w:hint="eastAsia"/>
                <w:color w:val="auto"/>
                <w:sz w:val="24"/>
                <w:szCs w:val="24"/>
                <w:highlight w:val="none"/>
              </w:rPr>
              <w:t>1-</w:t>
            </w:r>
            <w:r>
              <w:rPr>
                <w:rFonts w:hint="eastAsia"/>
                <w:color w:val="auto"/>
                <w:sz w:val="24"/>
                <w:szCs w:val="24"/>
                <w:highlight w:val="none"/>
                <w:lang w:val="en-US" w:eastAsia="zh-CN"/>
              </w:rPr>
              <w:t>4，与区域分区管控单元要求符合性分析见表1-5</w:t>
            </w:r>
            <w:r>
              <w:rPr>
                <w:color w:val="auto"/>
                <w:sz w:val="24"/>
                <w:szCs w:val="24"/>
                <w:highlight w:val="none"/>
                <w:lang w:val="zh-CN"/>
              </w:rPr>
              <w:t>。</w:t>
            </w:r>
          </w:p>
          <w:p w14:paraId="79AE1430">
            <w:pPr>
              <w:pStyle w:val="75"/>
              <w:adjustRightInd w:val="0"/>
              <w:snapToGrid w:val="0"/>
              <w:spacing w:line="240" w:lineRule="auto"/>
              <w:jc w:val="center"/>
              <w:rPr>
                <w:b/>
                <w:color w:val="auto"/>
                <w:sz w:val="24"/>
                <w:szCs w:val="24"/>
                <w:highlight w:val="none"/>
              </w:rPr>
            </w:pPr>
            <w:r>
              <w:rPr>
                <w:b/>
                <w:color w:val="auto"/>
                <w:sz w:val="24"/>
                <w:szCs w:val="24"/>
                <w:highlight w:val="none"/>
              </w:rPr>
              <w:t>表1-</w:t>
            </w:r>
            <w:r>
              <w:rPr>
                <w:rFonts w:hint="eastAsia"/>
                <w:b/>
                <w:color w:val="auto"/>
                <w:sz w:val="24"/>
                <w:szCs w:val="24"/>
                <w:highlight w:val="none"/>
                <w:lang w:val="en-US" w:eastAsia="zh-CN"/>
              </w:rPr>
              <w:t xml:space="preserve">3 </w:t>
            </w:r>
            <w:r>
              <w:rPr>
                <w:b/>
                <w:color w:val="auto"/>
                <w:sz w:val="24"/>
                <w:szCs w:val="24"/>
                <w:highlight w:val="none"/>
              </w:rPr>
              <w:t>项目与“三线一单”生态环境管控单元对比分析成果表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958"/>
              <w:gridCol w:w="1431"/>
              <w:gridCol w:w="3043"/>
            </w:tblGrid>
            <w:tr w14:paraId="120C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98" w:type="pct"/>
                  <w:noWrap w:val="0"/>
                  <w:vAlign w:val="center"/>
                </w:tcPr>
                <w:p w14:paraId="3A68B551">
                  <w:pPr>
                    <w:pStyle w:val="75"/>
                    <w:adjustRightInd w:val="0"/>
                    <w:snapToGrid w:val="0"/>
                    <w:jc w:val="center"/>
                    <w:rPr>
                      <w:rFonts w:hint="eastAsia"/>
                      <w:b/>
                      <w:color w:val="auto"/>
                      <w:sz w:val="21"/>
                      <w:szCs w:val="21"/>
                      <w:highlight w:val="none"/>
                    </w:rPr>
                  </w:pPr>
                  <w:r>
                    <w:rPr>
                      <w:rFonts w:hint="eastAsia"/>
                      <w:b/>
                      <w:color w:val="auto"/>
                      <w:sz w:val="21"/>
                      <w:szCs w:val="21"/>
                      <w:highlight w:val="none"/>
                    </w:rPr>
                    <w:t>环境管控单元分类</w:t>
                  </w:r>
                </w:p>
              </w:tc>
              <w:tc>
                <w:tcPr>
                  <w:tcW w:w="670" w:type="pct"/>
                  <w:noWrap w:val="0"/>
                  <w:vAlign w:val="center"/>
                </w:tcPr>
                <w:p w14:paraId="52E346CF">
                  <w:pPr>
                    <w:pStyle w:val="75"/>
                    <w:adjustRightInd w:val="0"/>
                    <w:snapToGrid w:val="0"/>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是否涉及</w:t>
                  </w:r>
                </w:p>
              </w:tc>
              <w:tc>
                <w:tcPr>
                  <w:tcW w:w="1001" w:type="pct"/>
                  <w:noWrap w:val="0"/>
                  <w:vAlign w:val="center"/>
                </w:tcPr>
                <w:p w14:paraId="3DE1ED50">
                  <w:pPr>
                    <w:pStyle w:val="75"/>
                    <w:adjustRightInd w:val="0"/>
                    <w:snapToGrid w:val="0"/>
                    <w:jc w:val="center"/>
                    <w:rPr>
                      <w:b/>
                      <w:color w:val="auto"/>
                      <w:sz w:val="21"/>
                      <w:szCs w:val="21"/>
                      <w:highlight w:val="none"/>
                    </w:rPr>
                  </w:pPr>
                  <w:r>
                    <w:rPr>
                      <w:rFonts w:hint="eastAsia"/>
                      <w:b/>
                      <w:color w:val="auto"/>
                      <w:sz w:val="21"/>
                      <w:szCs w:val="21"/>
                      <w:highlight w:val="none"/>
                    </w:rPr>
                    <w:t>涉及面积（m</w:t>
                  </w:r>
                  <w:r>
                    <w:rPr>
                      <w:rFonts w:hint="eastAsia"/>
                      <w:b/>
                      <w:color w:val="auto"/>
                      <w:sz w:val="21"/>
                      <w:szCs w:val="21"/>
                      <w:highlight w:val="none"/>
                      <w:vertAlign w:val="superscript"/>
                    </w:rPr>
                    <w:t>2</w:t>
                  </w:r>
                  <w:r>
                    <w:rPr>
                      <w:rFonts w:hint="eastAsia"/>
                      <w:b/>
                      <w:color w:val="auto"/>
                      <w:sz w:val="21"/>
                      <w:szCs w:val="21"/>
                      <w:highlight w:val="none"/>
                    </w:rPr>
                    <w:t>）</w:t>
                  </w:r>
                </w:p>
              </w:tc>
              <w:tc>
                <w:tcPr>
                  <w:tcW w:w="2129" w:type="pct"/>
                  <w:noWrap w:val="0"/>
                  <w:vAlign w:val="center"/>
                </w:tcPr>
                <w:p w14:paraId="4E720DFD">
                  <w:pPr>
                    <w:pStyle w:val="75"/>
                    <w:adjustRightInd w:val="0"/>
                    <w:snapToGrid w:val="0"/>
                    <w:jc w:val="center"/>
                    <w:rPr>
                      <w:b/>
                      <w:color w:val="auto"/>
                      <w:sz w:val="21"/>
                      <w:szCs w:val="21"/>
                      <w:highlight w:val="none"/>
                    </w:rPr>
                  </w:pPr>
                  <w:r>
                    <w:rPr>
                      <w:rFonts w:hint="eastAsia"/>
                      <w:b/>
                      <w:color w:val="auto"/>
                      <w:sz w:val="21"/>
                      <w:szCs w:val="21"/>
                      <w:highlight w:val="none"/>
                    </w:rPr>
                    <w:t>环境管控单元名称</w:t>
                  </w:r>
                </w:p>
              </w:tc>
            </w:tr>
            <w:tr w14:paraId="2E19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98" w:type="pct"/>
                  <w:noWrap w:val="0"/>
                  <w:vAlign w:val="center"/>
                </w:tcPr>
                <w:p w14:paraId="5AB629A4">
                  <w:pPr>
                    <w:pStyle w:val="75"/>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优先保护单元</w:t>
                  </w:r>
                </w:p>
              </w:tc>
              <w:tc>
                <w:tcPr>
                  <w:tcW w:w="670" w:type="pct"/>
                  <w:noWrap w:val="0"/>
                  <w:vAlign w:val="center"/>
                </w:tcPr>
                <w:p w14:paraId="027034B6">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否</w:t>
                  </w:r>
                </w:p>
              </w:tc>
              <w:tc>
                <w:tcPr>
                  <w:tcW w:w="1001" w:type="pct"/>
                  <w:noWrap w:val="0"/>
                  <w:vAlign w:val="center"/>
                </w:tcPr>
                <w:p w14:paraId="316A5D08">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0</w:t>
                  </w:r>
                </w:p>
              </w:tc>
              <w:tc>
                <w:tcPr>
                  <w:tcW w:w="2129" w:type="pct"/>
                  <w:noWrap w:val="0"/>
                  <w:vAlign w:val="center"/>
                </w:tcPr>
                <w:p w14:paraId="734DD852">
                  <w:pPr>
                    <w:pStyle w:val="75"/>
                    <w:adjustRightInd w:val="0"/>
                    <w:snapToGrid w:val="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w:t>
                  </w:r>
                </w:p>
              </w:tc>
            </w:tr>
            <w:tr w14:paraId="3F6B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98" w:type="pct"/>
                  <w:noWrap w:val="0"/>
                  <w:vAlign w:val="center"/>
                </w:tcPr>
                <w:p w14:paraId="7379C549">
                  <w:pPr>
                    <w:pStyle w:val="75"/>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重点管控单元</w:t>
                  </w:r>
                </w:p>
              </w:tc>
              <w:tc>
                <w:tcPr>
                  <w:tcW w:w="670" w:type="pct"/>
                  <w:noWrap w:val="0"/>
                  <w:vAlign w:val="center"/>
                </w:tcPr>
                <w:p w14:paraId="2BE1F145">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是</w:t>
                  </w:r>
                </w:p>
              </w:tc>
              <w:tc>
                <w:tcPr>
                  <w:tcW w:w="1001" w:type="pct"/>
                  <w:noWrap w:val="0"/>
                  <w:vAlign w:val="center"/>
                </w:tcPr>
                <w:p w14:paraId="1308C895">
                  <w:pPr>
                    <w:pStyle w:val="75"/>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34607.32</w:t>
                  </w:r>
                </w:p>
              </w:tc>
              <w:tc>
                <w:tcPr>
                  <w:tcW w:w="2129" w:type="pct"/>
                  <w:noWrap w:val="0"/>
                  <w:vAlign w:val="center"/>
                </w:tcPr>
                <w:p w14:paraId="4864D6CF">
                  <w:pPr>
                    <w:pStyle w:val="75"/>
                    <w:adjustRightInd w:val="0"/>
                    <w:snapToGrid w:val="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陕西省榆林市府谷县重点管控单元2</w:t>
                  </w:r>
                </w:p>
              </w:tc>
            </w:tr>
            <w:tr w14:paraId="2992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98" w:type="pct"/>
                  <w:noWrap w:val="0"/>
                  <w:vAlign w:val="center"/>
                </w:tcPr>
                <w:p w14:paraId="1FDB8D64">
                  <w:pPr>
                    <w:pStyle w:val="75"/>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一般管控单元</w:t>
                  </w:r>
                </w:p>
              </w:tc>
              <w:tc>
                <w:tcPr>
                  <w:tcW w:w="670" w:type="pct"/>
                  <w:noWrap w:val="0"/>
                  <w:vAlign w:val="center"/>
                </w:tcPr>
                <w:p w14:paraId="29F24DCF">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否</w:t>
                  </w:r>
                </w:p>
              </w:tc>
              <w:tc>
                <w:tcPr>
                  <w:tcW w:w="1001" w:type="pct"/>
                  <w:noWrap w:val="0"/>
                  <w:vAlign w:val="center"/>
                </w:tcPr>
                <w:p w14:paraId="1602FC08">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0</w:t>
                  </w:r>
                </w:p>
              </w:tc>
              <w:tc>
                <w:tcPr>
                  <w:tcW w:w="2129" w:type="pct"/>
                  <w:noWrap w:val="0"/>
                  <w:vAlign w:val="center"/>
                </w:tcPr>
                <w:p w14:paraId="5CA9F3D6">
                  <w:pPr>
                    <w:pStyle w:val="75"/>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w:t>
                  </w:r>
                </w:p>
              </w:tc>
            </w:tr>
          </w:tbl>
          <w:p w14:paraId="5D1A0DB5">
            <w:pPr>
              <w:pStyle w:val="75"/>
              <w:adjustRightInd w:val="0"/>
              <w:snapToGrid w:val="0"/>
              <w:jc w:val="center"/>
              <w:rPr>
                <w:b/>
                <w:bCs/>
                <w:color w:val="auto"/>
                <w:spacing w:val="-2"/>
                <w:sz w:val="24"/>
                <w:szCs w:val="24"/>
                <w:highlight w:val="none"/>
              </w:rPr>
            </w:pPr>
            <w:r>
              <w:rPr>
                <w:b/>
                <w:bCs/>
                <w:color w:val="auto"/>
                <w:sz w:val="24"/>
                <w:szCs w:val="24"/>
                <w:highlight w:val="none"/>
              </w:rPr>
              <w:t>表1-</w:t>
            </w:r>
            <w:r>
              <w:rPr>
                <w:rFonts w:hint="eastAsia"/>
                <w:b/>
                <w:bCs/>
                <w:color w:val="auto"/>
                <w:sz w:val="24"/>
                <w:szCs w:val="24"/>
                <w:highlight w:val="none"/>
                <w:lang w:val="en-US" w:eastAsia="zh-CN"/>
              </w:rPr>
              <w:t>4</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b/>
                <w:bCs/>
                <w:color w:val="auto"/>
                <w:sz w:val="24"/>
                <w:szCs w:val="24"/>
                <w:highlight w:val="none"/>
              </w:rPr>
              <w:t>项目与《榆林市“三线一单”生态环境分区管控方案》的符合性分析</w:t>
            </w:r>
          </w:p>
          <w:tbl>
            <w:tblPr>
              <w:tblStyle w:val="28"/>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73"/>
              <w:gridCol w:w="741"/>
              <w:gridCol w:w="373"/>
              <w:gridCol w:w="373"/>
              <w:gridCol w:w="724"/>
              <w:gridCol w:w="1336"/>
              <w:gridCol w:w="1769"/>
              <w:gridCol w:w="725"/>
            </w:tblGrid>
            <w:tr w14:paraId="2C60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tcBorders>
                    <w:tl2br w:val="nil"/>
                    <w:tr2bl w:val="nil"/>
                  </w:tcBorders>
                  <w:noWrap w:val="0"/>
                  <w:vAlign w:val="center"/>
                </w:tcPr>
                <w:p w14:paraId="4749231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序号</w:t>
                  </w:r>
                </w:p>
              </w:tc>
              <w:tc>
                <w:tcPr>
                  <w:tcW w:w="261" w:type="pct"/>
                  <w:tcBorders>
                    <w:tl2br w:val="nil"/>
                    <w:tr2bl w:val="nil"/>
                  </w:tcBorders>
                  <w:noWrap w:val="0"/>
                  <w:vAlign w:val="center"/>
                </w:tcPr>
                <w:p w14:paraId="18E5761D">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环境管控单元名称</w:t>
                  </w:r>
                </w:p>
              </w:tc>
              <w:tc>
                <w:tcPr>
                  <w:tcW w:w="519" w:type="pct"/>
                  <w:tcBorders>
                    <w:tl2br w:val="nil"/>
                    <w:tr2bl w:val="nil"/>
                  </w:tcBorders>
                  <w:noWrap w:val="0"/>
                  <w:vAlign w:val="center"/>
                </w:tcPr>
                <w:p w14:paraId="69F3EF59">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市（区）</w:t>
                  </w:r>
                </w:p>
              </w:tc>
              <w:tc>
                <w:tcPr>
                  <w:tcW w:w="261" w:type="pct"/>
                  <w:tcBorders>
                    <w:tl2br w:val="nil"/>
                    <w:tr2bl w:val="nil"/>
                  </w:tcBorders>
                  <w:noWrap w:val="0"/>
                  <w:vAlign w:val="center"/>
                </w:tcPr>
                <w:p w14:paraId="3D759125">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区县</w:t>
                  </w:r>
                </w:p>
              </w:tc>
              <w:tc>
                <w:tcPr>
                  <w:tcW w:w="261" w:type="pct"/>
                  <w:tcBorders>
                    <w:tl2br w:val="nil"/>
                    <w:tr2bl w:val="nil"/>
                  </w:tcBorders>
                  <w:noWrap w:val="0"/>
                  <w:vAlign w:val="center"/>
                </w:tcPr>
                <w:p w14:paraId="1CF9E83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单元要素属性</w:t>
                  </w:r>
                </w:p>
              </w:tc>
              <w:tc>
                <w:tcPr>
                  <w:tcW w:w="507" w:type="pct"/>
                  <w:tcBorders>
                    <w:tl2br w:val="nil"/>
                    <w:tr2bl w:val="nil"/>
                  </w:tcBorders>
                  <w:noWrap w:val="0"/>
                  <w:vAlign w:val="center"/>
                </w:tcPr>
                <w:p w14:paraId="7BD393D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管控要求分类</w:t>
                  </w:r>
                </w:p>
              </w:tc>
              <w:tc>
                <w:tcPr>
                  <w:tcW w:w="935" w:type="pct"/>
                  <w:tcBorders>
                    <w:tl2br w:val="nil"/>
                    <w:tr2bl w:val="nil"/>
                  </w:tcBorders>
                  <w:noWrap w:val="0"/>
                  <w:vAlign w:val="center"/>
                </w:tcPr>
                <w:p w14:paraId="72460BC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管控要求</w:t>
                  </w:r>
                </w:p>
              </w:tc>
              <w:tc>
                <w:tcPr>
                  <w:tcW w:w="1238" w:type="pct"/>
                  <w:tcBorders>
                    <w:tl2br w:val="nil"/>
                    <w:tr2bl w:val="nil"/>
                  </w:tcBorders>
                  <w:noWrap w:val="0"/>
                  <w:vAlign w:val="center"/>
                </w:tcPr>
                <w:p w14:paraId="622C40A2">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本项目情况</w:t>
                  </w:r>
                </w:p>
              </w:tc>
              <w:tc>
                <w:tcPr>
                  <w:tcW w:w="507" w:type="pct"/>
                  <w:tcBorders>
                    <w:tl2br w:val="nil"/>
                    <w:tr2bl w:val="nil"/>
                  </w:tcBorders>
                  <w:noWrap w:val="0"/>
                  <w:vAlign w:val="center"/>
                </w:tcPr>
                <w:p w14:paraId="53E8AB3D">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符合性分析</w:t>
                  </w:r>
                </w:p>
              </w:tc>
            </w:tr>
            <w:tr w14:paraId="6131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07" w:type="pct"/>
                  <w:vMerge w:val="restart"/>
                  <w:tcBorders>
                    <w:tl2br w:val="nil"/>
                    <w:tr2bl w:val="nil"/>
                  </w:tcBorders>
                  <w:noWrap w:val="0"/>
                  <w:vAlign w:val="center"/>
                </w:tcPr>
                <w:p w14:paraId="5A0EE7C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w:t>
                  </w:r>
                </w:p>
              </w:tc>
              <w:tc>
                <w:tcPr>
                  <w:tcW w:w="261" w:type="pct"/>
                  <w:vMerge w:val="restart"/>
                  <w:tcBorders>
                    <w:tl2br w:val="nil"/>
                    <w:tr2bl w:val="nil"/>
                  </w:tcBorders>
                  <w:noWrap w:val="0"/>
                  <w:vAlign w:val="center"/>
                </w:tcPr>
                <w:p w14:paraId="39D9A341">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eastAsia="宋体"/>
                      <w:bCs/>
                      <w:color w:val="auto"/>
                      <w:sz w:val="21"/>
                      <w:szCs w:val="21"/>
                      <w:highlight w:val="none"/>
                      <w:lang w:val="en-US" w:eastAsia="zh-CN" w:bidi="ar-SA"/>
                    </w:rPr>
                    <w:t>陕西省榆林市府谷县重点管控单元2</w:t>
                  </w:r>
                </w:p>
              </w:tc>
              <w:tc>
                <w:tcPr>
                  <w:tcW w:w="519" w:type="pct"/>
                  <w:vMerge w:val="restart"/>
                  <w:tcBorders>
                    <w:tl2br w:val="nil"/>
                    <w:tr2bl w:val="nil"/>
                  </w:tcBorders>
                  <w:noWrap w:val="0"/>
                  <w:vAlign w:val="center"/>
                </w:tcPr>
                <w:p w14:paraId="778066E3">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榆林市</w:t>
                  </w:r>
                </w:p>
              </w:tc>
              <w:tc>
                <w:tcPr>
                  <w:tcW w:w="261" w:type="pct"/>
                  <w:vMerge w:val="restart"/>
                  <w:tcBorders>
                    <w:tl2br w:val="nil"/>
                    <w:tr2bl w:val="nil"/>
                  </w:tcBorders>
                  <w:noWrap w:val="0"/>
                  <w:vAlign w:val="center"/>
                </w:tcPr>
                <w:p w14:paraId="0286BDCB">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府谷县</w:t>
                  </w:r>
                </w:p>
              </w:tc>
              <w:tc>
                <w:tcPr>
                  <w:tcW w:w="261" w:type="pct"/>
                  <w:vMerge w:val="restart"/>
                  <w:tcBorders>
                    <w:tl2br w:val="nil"/>
                    <w:tr2bl w:val="nil"/>
                  </w:tcBorders>
                  <w:noWrap w:val="0"/>
                  <w:vAlign w:val="center"/>
                </w:tcPr>
                <w:p w14:paraId="0101EAC2">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水环</w:t>
                  </w:r>
                </w:p>
                <w:p w14:paraId="76EC3DEF">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境工业污染重点管控区</w:t>
                  </w:r>
                </w:p>
              </w:tc>
              <w:tc>
                <w:tcPr>
                  <w:tcW w:w="507" w:type="pct"/>
                  <w:tcBorders>
                    <w:tl2br w:val="nil"/>
                    <w:tr2bl w:val="nil"/>
                  </w:tcBorders>
                  <w:noWrap w:val="0"/>
                  <w:vAlign w:val="center"/>
                </w:tcPr>
                <w:p w14:paraId="240CB037">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空间布局</w:t>
                  </w:r>
                </w:p>
              </w:tc>
              <w:tc>
                <w:tcPr>
                  <w:tcW w:w="935" w:type="pct"/>
                  <w:tcBorders>
                    <w:tl2br w:val="nil"/>
                    <w:tr2bl w:val="nil"/>
                  </w:tcBorders>
                  <w:noWrap w:val="0"/>
                  <w:vAlign w:val="center"/>
                </w:tcPr>
                <w:p w14:paraId="3BCD882A">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1.充分考虑水环境承载能力和水资源开发利用效率，合理确定产业发展布局、结构和规模</w:t>
                  </w:r>
                </w:p>
              </w:tc>
              <w:tc>
                <w:tcPr>
                  <w:tcW w:w="1238" w:type="pct"/>
                  <w:tcBorders>
                    <w:tl2br w:val="nil"/>
                    <w:tr2bl w:val="nil"/>
                  </w:tcBorders>
                  <w:noWrap w:val="0"/>
                  <w:vAlign w:val="center"/>
                </w:tcPr>
                <w:p w14:paraId="07B15A34">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color w:val="auto"/>
                      <w:sz w:val="21"/>
                      <w:szCs w:val="21"/>
                      <w:highlight w:val="none"/>
                      <w:lang w:val="en-US" w:eastAsia="zh-CN" w:bidi="ar-SA"/>
                    </w:rPr>
                    <w:t>本项目位于陕北地区，水资源较为匮乏，但本项目新增用水量较少，车辆冲洗水全部循环利用，可最大程度节约水资源，同时兼顾当地水环境的承载能力和水资源的开发利用效率。</w:t>
                  </w:r>
                </w:p>
              </w:tc>
              <w:tc>
                <w:tcPr>
                  <w:tcW w:w="507" w:type="pct"/>
                  <w:tcBorders>
                    <w:tl2br w:val="nil"/>
                    <w:tr2bl w:val="nil"/>
                  </w:tcBorders>
                  <w:noWrap w:val="0"/>
                  <w:vAlign w:val="center"/>
                </w:tcPr>
                <w:p w14:paraId="743AC35C">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符合</w:t>
                  </w:r>
                </w:p>
              </w:tc>
            </w:tr>
            <w:tr w14:paraId="13A1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07" w:type="pct"/>
                  <w:vMerge w:val="continue"/>
                  <w:tcBorders>
                    <w:tl2br w:val="nil"/>
                    <w:tr2bl w:val="nil"/>
                  </w:tcBorders>
                  <w:noWrap w:val="0"/>
                  <w:vAlign w:val="center"/>
                </w:tcPr>
                <w:p w14:paraId="7E5D7208">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18739D5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p>
              </w:tc>
              <w:tc>
                <w:tcPr>
                  <w:tcW w:w="519" w:type="pct"/>
                  <w:vMerge w:val="continue"/>
                  <w:tcBorders>
                    <w:tl2br w:val="nil"/>
                    <w:tr2bl w:val="nil"/>
                  </w:tcBorders>
                  <w:noWrap w:val="0"/>
                  <w:vAlign w:val="center"/>
                </w:tcPr>
                <w:p w14:paraId="39298AB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3593023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16691B8C">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507" w:type="pct"/>
                  <w:tcBorders>
                    <w:tl2br w:val="nil"/>
                    <w:tr2bl w:val="nil"/>
                  </w:tcBorders>
                  <w:noWrap w:val="0"/>
                  <w:vAlign w:val="center"/>
                </w:tcPr>
                <w:p w14:paraId="7AC7E80F">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污染物排放管控</w:t>
                  </w:r>
                </w:p>
              </w:tc>
              <w:tc>
                <w:tcPr>
                  <w:tcW w:w="935" w:type="pct"/>
                  <w:tcBorders>
                    <w:tl2br w:val="nil"/>
                    <w:tr2bl w:val="nil"/>
                  </w:tcBorders>
                  <w:noWrap w:val="0"/>
                  <w:vAlign w:val="center"/>
                </w:tcPr>
                <w:p w14:paraId="219FFE4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1.所有排污单位必须依法实现全面达标排放。集聚区内工业废水必须进行经预处理达到集中处理要求，方可进入污水集中处理设施。</w:t>
                  </w:r>
                </w:p>
              </w:tc>
              <w:tc>
                <w:tcPr>
                  <w:tcW w:w="1238" w:type="pct"/>
                  <w:tcBorders>
                    <w:tl2br w:val="nil"/>
                    <w:tr2bl w:val="nil"/>
                  </w:tcBorders>
                  <w:noWrap w:val="0"/>
                  <w:vAlign w:val="center"/>
                </w:tcPr>
                <w:p w14:paraId="4B893784">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本项目所有污染物均达标排放。生产废水全部循环利用，不外排</w:t>
                  </w:r>
                  <w:r>
                    <w:rPr>
                      <w:rFonts w:hint="eastAsia"/>
                      <w:color w:val="auto"/>
                      <w:highlight w:val="none"/>
                      <w:lang w:val="en-US" w:eastAsia="zh-CN" w:bidi="ar-SA"/>
                    </w:rPr>
                    <w:t>。</w:t>
                  </w:r>
                </w:p>
              </w:tc>
              <w:tc>
                <w:tcPr>
                  <w:tcW w:w="507" w:type="pct"/>
                  <w:tcBorders>
                    <w:tl2br w:val="nil"/>
                    <w:tr2bl w:val="nil"/>
                  </w:tcBorders>
                  <w:noWrap w:val="0"/>
                  <w:vAlign w:val="center"/>
                </w:tcPr>
                <w:p w14:paraId="43A9843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符合</w:t>
                  </w:r>
                </w:p>
              </w:tc>
            </w:tr>
            <w:tr w14:paraId="4551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507" w:type="pct"/>
                  <w:vMerge w:val="continue"/>
                  <w:tcBorders>
                    <w:tl2br w:val="nil"/>
                    <w:tr2bl w:val="nil"/>
                  </w:tcBorders>
                  <w:noWrap w:val="0"/>
                  <w:vAlign w:val="center"/>
                </w:tcPr>
                <w:p w14:paraId="6EB04014">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39EED05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519" w:type="pct"/>
                  <w:vMerge w:val="continue"/>
                  <w:tcBorders>
                    <w:tl2br w:val="nil"/>
                    <w:tr2bl w:val="nil"/>
                  </w:tcBorders>
                  <w:noWrap w:val="0"/>
                  <w:vAlign w:val="center"/>
                </w:tcPr>
                <w:p w14:paraId="22EB5A7F">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15497539">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6943B4A4">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507" w:type="pct"/>
                  <w:tcBorders>
                    <w:tl2br w:val="nil"/>
                    <w:tr2bl w:val="nil"/>
                  </w:tcBorders>
                  <w:noWrap w:val="0"/>
                  <w:vAlign w:val="center"/>
                </w:tcPr>
                <w:p w14:paraId="04B7969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环境风险防控</w:t>
                  </w:r>
                </w:p>
              </w:tc>
              <w:tc>
                <w:tcPr>
                  <w:tcW w:w="935" w:type="pct"/>
                  <w:tcBorders>
                    <w:tl2br w:val="nil"/>
                    <w:tr2bl w:val="nil"/>
                  </w:tcBorders>
                  <w:noWrap w:val="0"/>
                  <w:vAlign w:val="center"/>
                </w:tcPr>
                <w:p w14:paraId="5F09826B">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2.加强涉水涉重企业和危险化学品输运等环境风险源的系统治理，降低突发环境事故发生水平。</w:t>
                  </w:r>
                </w:p>
              </w:tc>
              <w:tc>
                <w:tcPr>
                  <w:tcW w:w="1238" w:type="pct"/>
                  <w:tcBorders>
                    <w:tl2br w:val="nil"/>
                    <w:tr2bl w:val="nil"/>
                  </w:tcBorders>
                  <w:noWrap w:val="0"/>
                  <w:vAlign w:val="center"/>
                </w:tcPr>
                <w:p w14:paraId="6B8DC0A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评价要求</w:t>
                  </w:r>
                  <w:r>
                    <w:rPr>
                      <w:rFonts w:hint="eastAsia" w:cs="Times New Roman"/>
                      <w:color w:val="auto"/>
                      <w:sz w:val="21"/>
                      <w:szCs w:val="21"/>
                      <w:highlight w:val="none"/>
                      <w:vertAlign w:val="baseline"/>
                      <w:lang w:val="en-US" w:eastAsia="zh-CN" w:bidi="ar-SA"/>
                    </w:rPr>
                    <w:t>将本项目纳入全厂突发环境事件应急预案管理</w:t>
                  </w:r>
                </w:p>
              </w:tc>
              <w:tc>
                <w:tcPr>
                  <w:tcW w:w="507" w:type="pct"/>
                  <w:tcBorders>
                    <w:tl2br w:val="nil"/>
                    <w:tr2bl w:val="nil"/>
                  </w:tcBorders>
                  <w:noWrap w:val="0"/>
                  <w:vAlign w:val="center"/>
                </w:tcPr>
                <w:p w14:paraId="2F8D5B4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符合</w:t>
                  </w:r>
                </w:p>
              </w:tc>
            </w:tr>
            <w:tr w14:paraId="4C1E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noWrap w:val="0"/>
                  <w:vAlign w:val="center"/>
                </w:tcPr>
                <w:p w14:paraId="2A35A402">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1A5DA542">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519" w:type="pct"/>
                  <w:vMerge w:val="continue"/>
                  <w:tcBorders>
                    <w:tl2br w:val="nil"/>
                    <w:tr2bl w:val="nil"/>
                  </w:tcBorders>
                  <w:noWrap w:val="0"/>
                  <w:vAlign w:val="center"/>
                </w:tcPr>
                <w:p w14:paraId="31E9E5C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71F9B12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261" w:type="pct"/>
                  <w:vMerge w:val="continue"/>
                  <w:tcBorders>
                    <w:tl2br w:val="nil"/>
                    <w:tr2bl w:val="nil"/>
                  </w:tcBorders>
                  <w:noWrap w:val="0"/>
                  <w:vAlign w:val="center"/>
                </w:tcPr>
                <w:p w14:paraId="081CBF4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507" w:type="pct"/>
                  <w:tcBorders>
                    <w:tl2br w:val="nil"/>
                    <w:tr2bl w:val="nil"/>
                  </w:tcBorders>
                  <w:noWrap w:val="0"/>
                  <w:vAlign w:val="center"/>
                </w:tcPr>
                <w:p w14:paraId="7385FEBF">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资源开发效率要求</w:t>
                  </w:r>
                </w:p>
              </w:tc>
              <w:tc>
                <w:tcPr>
                  <w:tcW w:w="935" w:type="pct"/>
                  <w:tcBorders>
                    <w:tl2br w:val="nil"/>
                    <w:tr2bl w:val="nil"/>
                  </w:tcBorders>
                  <w:noWrap w:val="0"/>
                  <w:vAlign w:val="center"/>
                </w:tcPr>
                <w:p w14:paraId="6BC23598">
                  <w:pPr>
                    <w:pStyle w:val="5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1.提高工业用水重复利用率，强化再生水利用。</w:t>
                  </w:r>
                </w:p>
              </w:tc>
              <w:tc>
                <w:tcPr>
                  <w:tcW w:w="1238" w:type="pct"/>
                  <w:tcBorders>
                    <w:tl2br w:val="nil"/>
                    <w:tr2bl w:val="nil"/>
                  </w:tcBorders>
                  <w:noWrap w:val="0"/>
                  <w:vAlign w:val="center"/>
                </w:tcPr>
                <w:p w14:paraId="5A30E0A8">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color w:val="auto"/>
                      <w:sz w:val="21"/>
                      <w:szCs w:val="21"/>
                      <w:highlight w:val="none"/>
                      <w:lang w:val="en-US" w:eastAsia="zh-CN" w:bidi="ar-SA"/>
                    </w:rPr>
                    <w:t>项目生产用水量较少，洗车用水经沉淀后循环利用</w:t>
                  </w:r>
                </w:p>
              </w:tc>
              <w:tc>
                <w:tcPr>
                  <w:tcW w:w="507" w:type="pct"/>
                  <w:tcBorders>
                    <w:tl2br w:val="nil"/>
                    <w:tr2bl w:val="nil"/>
                  </w:tcBorders>
                  <w:noWrap w:val="0"/>
                  <w:vAlign w:val="center"/>
                </w:tcPr>
                <w:p w14:paraId="3D4CFF0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符合</w:t>
                  </w:r>
                </w:p>
              </w:tc>
            </w:tr>
          </w:tbl>
          <w:p w14:paraId="64AC43FE">
            <w:pPr>
              <w:autoSpaceDE w:val="0"/>
              <w:autoSpaceDN w:val="0"/>
              <w:adjustRightInd w:val="0"/>
              <w:snapToGrid w:val="0"/>
              <w:jc w:val="center"/>
              <w:rPr>
                <w:rFonts w:ascii="宋体" w:hAnsi="宋体" w:cs="宋体"/>
                <w:color w:val="auto"/>
                <w:sz w:val="24"/>
                <w:szCs w:val="28"/>
                <w:highlight w:val="none"/>
              </w:rPr>
            </w:pPr>
            <w:r>
              <w:rPr>
                <w:rFonts w:hint="eastAsia"/>
                <w:b/>
                <w:bCs/>
                <w:color w:val="auto"/>
                <w:sz w:val="24"/>
                <w:szCs w:val="28"/>
                <w:highlight w:val="none"/>
              </w:rPr>
              <w:t>表</w:t>
            </w:r>
            <w:r>
              <w:rPr>
                <w:b/>
                <w:bCs/>
                <w:color w:val="auto"/>
                <w:sz w:val="24"/>
                <w:szCs w:val="28"/>
                <w:highlight w:val="none"/>
              </w:rPr>
              <w:t>1-</w:t>
            </w:r>
            <w:r>
              <w:rPr>
                <w:rFonts w:hint="eastAsia"/>
                <w:b/>
                <w:bCs/>
                <w:color w:val="auto"/>
                <w:sz w:val="24"/>
                <w:szCs w:val="28"/>
                <w:highlight w:val="none"/>
                <w:lang w:val="en-US" w:eastAsia="zh-CN"/>
              </w:rPr>
              <w:t>5</w:t>
            </w:r>
            <w:r>
              <w:rPr>
                <w:b/>
                <w:bCs/>
                <w:color w:val="auto"/>
                <w:sz w:val="24"/>
                <w:szCs w:val="28"/>
                <w:highlight w:val="none"/>
              </w:rPr>
              <w:t xml:space="preserve">    </w:t>
            </w:r>
            <w:r>
              <w:rPr>
                <w:rFonts w:hint="eastAsia"/>
                <w:b/>
                <w:bCs/>
                <w:color w:val="auto"/>
                <w:sz w:val="24"/>
                <w:szCs w:val="28"/>
                <w:highlight w:val="none"/>
              </w:rPr>
              <w:t>区域环境管控要求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563"/>
              <w:gridCol w:w="459"/>
              <w:gridCol w:w="678"/>
              <w:gridCol w:w="2674"/>
              <w:gridCol w:w="1598"/>
              <w:gridCol w:w="719"/>
            </w:tblGrid>
            <w:tr w14:paraId="51BF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318" w:type="pct"/>
                  <w:noWrap w:val="0"/>
                  <w:vAlign w:val="center"/>
                </w:tcPr>
                <w:p w14:paraId="39666EB8">
                  <w:pPr>
                    <w:autoSpaceDE w:val="0"/>
                    <w:autoSpaceDN w:val="0"/>
                    <w:adjustRightInd w:val="0"/>
                    <w:snapToGrid w:val="0"/>
                    <w:jc w:val="center"/>
                    <w:rPr>
                      <w:rFonts w:hint="eastAsia"/>
                      <w:color w:val="auto"/>
                      <w:sz w:val="21"/>
                      <w:szCs w:val="22"/>
                      <w:highlight w:val="none"/>
                    </w:rPr>
                  </w:pPr>
                  <w:r>
                    <w:rPr>
                      <w:rFonts w:hint="eastAsia"/>
                      <w:color w:val="auto"/>
                      <w:sz w:val="21"/>
                      <w:szCs w:val="22"/>
                      <w:highlight w:val="none"/>
                    </w:rPr>
                    <w:t>序号</w:t>
                  </w:r>
                </w:p>
              </w:tc>
              <w:tc>
                <w:tcPr>
                  <w:tcW w:w="394" w:type="pct"/>
                  <w:noWrap w:val="0"/>
                  <w:vAlign w:val="center"/>
                </w:tcPr>
                <w:p w14:paraId="3E797FDC">
                  <w:pPr>
                    <w:autoSpaceDE w:val="0"/>
                    <w:autoSpaceDN w:val="0"/>
                    <w:adjustRightInd w:val="0"/>
                    <w:snapToGrid w:val="0"/>
                    <w:jc w:val="center"/>
                    <w:rPr>
                      <w:color w:val="auto"/>
                      <w:sz w:val="21"/>
                      <w:szCs w:val="22"/>
                      <w:highlight w:val="none"/>
                    </w:rPr>
                  </w:pPr>
                  <w:r>
                    <w:rPr>
                      <w:rFonts w:hint="eastAsia"/>
                      <w:color w:val="auto"/>
                      <w:sz w:val="21"/>
                      <w:szCs w:val="22"/>
                      <w:highlight w:val="none"/>
                    </w:rPr>
                    <w:t>区域名称</w:t>
                  </w:r>
                </w:p>
              </w:tc>
              <w:tc>
                <w:tcPr>
                  <w:tcW w:w="321" w:type="pct"/>
                  <w:noWrap w:val="0"/>
                  <w:vAlign w:val="center"/>
                </w:tcPr>
                <w:p w14:paraId="4F153F80">
                  <w:pPr>
                    <w:autoSpaceDE w:val="0"/>
                    <w:autoSpaceDN w:val="0"/>
                    <w:adjustRightInd w:val="0"/>
                    <w:snapToGrid w:val="0"/>
                    <w:jc w:val="center"/>
                    <w:rPr>
                      <w:color w:val="auto"/>
                      <w:sz w:val="21"/>
                      <w:szCs w:val="22"/>
                      <w:highlight w:val="none"/>
                    </w:rPr>
                  </w:pPr>
                  <w:r>
                    <w:rPr>
                      <w:rFonts w:hint="eastAsia"/>
                      <w:color w:val="auto"/>
                      <w:sz w:val="21"/>
                      <w:szCs w:val="22"/>
                      <w:highlight w:val="none"/>
                    </w:rPr>
                    <w:t>省份</w:t>
                  </w:r>
                </w:p>
              </w:tc>
              <w:tc>
                <w:tcPr>
                  <w:tcW w:w="475" w:type="pct"/>
                  <w:noWrap w:val="0"/>
                  <w:vAlign w:val="center"/>
                </w:tcPr>
                <w:p w14:paraId="649E4BDF">
                  <w:pPr>
                    <w:autoSpaceDE w:val="0"/>
                    <w:autoSpaceDN w:val="0"/>
                    <w:adjustRightInd w:val="0"/>
                    <w:snapToGrid w:val="0"/>
                    <w:jc w:val="center"/>
                    <w:rPr>
                      <w:color w:val="auto"/>
                      <w:sz w:val="21"/>
                      <w:szCs w:val="22"/>
                      <w:highlight w:val="none"/>
                    </w:rPr>
                  </w:pPr>
                  <w:r>
                    <w:rPr>
                      <w:rFonts w:hint="eastAsia"/>
                      <w:color w:val="auto"/>
                      <w:sz w:val="21"/>
                      <w:szCs w:val="22"/>
                      <w:highlight w:val="none"/>
                    </w:rPr>
                    <w:t>管控类别</w:t>
                  </w:r>
                </w:p>
              </w:tc>
              <w:tc>
                <w:tcPr>
                  <w:tcW w:w="1871" w:type="pct"/>
                  <w:noWrap w:val="0"/>
                  <w:vAlign w:val="center"/>
                </w:tcPr>
                <w:p w14:paraId="641197DE">
                  <w:pPr>
                    <w:autoSpaceDE w:val="0"/>
                    <w:autoSpaceDN w:val="0"/>
                    <w:adjustRightInd w:val="0"/>
                    <w:snapToGrid w:val="0"/>
                    <w:jc w:val="center"/>
                    <w:rPr>
                      <w:color w:val="auto"/>
                      <w:sz w:val="21"/>
                      <w:szCs w:val="22"/>
                      <w:highlight w:val="none"/>
                    </w:rPr>
                  </w:pPr>
                  <w:r>
                    <w:rPr>
                      <w:rFonts w:hint="eastAsia"/>
                      <w:color w:val="auto"/>
                      <w:sz w:val="21"/>
                      <w:szCs w:val="22"/>
                      <w:highlight w:val="none"/>
                    </w:rPr>
                    <w:t>管控要求</w:t>
                  </w:r>
                </w:p>
              </w:tc>
              <w:tc>
                <w:tcPr>
                  <w:tcW w:w="1118" w:type="pct"/>
                  <w:noWrap w:val="0"/>
                  <w:vAlign w:val="center"/>
                </w:tcPr>
                <w:p w14:paraId="258D2C04">
                  <w:pPr>
                    <w:autoSpaceDE w:val="0"/>
                    <w:autoSpaceDN w:val="0"/>
                    <w:adjustRightInd w:val="0"/>
                    <w:snapToGrid w:val="0"/>
                    <w:jc w:val="center"/>
                    <w:rPr>
                      <w:color w:val="auto"/>
                      <w:sz w:val="21"/>
                      <w:szCs w:val="22"/>
                      <w:highlight w:val="none"/>
                    </w:rPr>
                  </w:pPr>
                  <w:r>
                    <w:rPr>
                      <w:rFonts w:hint="eastAsia"/>
                      <w:color w:val="auto"/>
                      <w:sz w:val="21"/>
                      <w:szCs w:val="22"/>
                      <w:highlight w:val="none"/>
                    </w:rPr>
                    <w:t>项目情况</w:t>
                  </w:r>
                </w:p>
              </w:tc>
              <w:tc>
                <w:tcPr>
                  <w:tcW w:w="503" w:type="pct"/>
                  <w:noWrap w:val="0"/>
                  <w:vAlign w:val="center"/>
                </w:tcPr>
                <w:p w14:paraId="2CB78DC4">
                  <w:pPr>
                    <w:autoSpaceDE w:val="0"/>
                    <w:autoSpaceDN w:val="0"/>
                    <w:adjustRightInd w:val="0"/>
                    <w:snapToGrid w:val="0"/>
                    <w:jc w:val="center"/>
                    <w:rPr>
                      <w:color w:val="auto"/>
                      <w:sz w:val="21"/>
                      <w:szCs w:val="22"/>
                      <w:highlight w:val="none"/>
                    </w:rPr>
                  </w:pPr>
                  <w:r>
                    <w:rPr>
                      <w:rFonts w:hint="eastAsia"/>
                      <w:color w:val="auto"/>
                      <w:sz w:val="21"/>
                      <w:szCs w:val="22"/>
                      <w:highlight w:val="none"/>
                    </w:rPr>
                    <w:t>符合性分析</w:t>
                  </w:r>
                </w:p>
              </w:tc>
            </w:tr>
            <w:tr w14:paraId="401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 w:type="pct"/>
                  <w:vMerge w:val="restart"/>
                  <w:noWrap w:val="0"/>
                  <w:vAlign w:val="center"/>
                </w:tcPr>
                <w:p w14:paraId="5C1ECCFE">
                  <w:pPr>
                    <w:autoSpaceDE w:val="0"/>
                    <w:autoSpaceDN w:val="0"/>
                    <w:adjustRightInd w:val="0"/>
                    <w:snapToGrid w:val="0"/>
                    <w:jc w:val="center"/>
                    <w:rPr>
                      <w:b/>
                      <w:bCs/>
                      <w:color w:val="auto"/>
                      <w:sz w:val="21"/>
                      <w:szCs w:val="22"/>
                      <w:highlight w:val="none"/>
                    </w:rPr>
                  </w:pPr>
                  <w:r>
                    <w:rPr>
                      <w:color w:val="auto"/>
                      <w:sz w:val="21"/>
                      <w:szCs w:val="22"/>
                      <w:highlight w:val="none"/>
                    </w:rPr>
                    <w:t>1</w:t>
                  </w:r>
                </w:p>
              </w:tc>
              <w:tc>
                <w:tcPr>
                  <w:tcW w:w="394" w:type="pct"/>
                  <w:vMerge w:val="restart"/>
                  <w:noWrap w:val="0"/>
                  <w:vAlign w:val="center"/>
                </w:tcPr>
                <w:p w14:paraId="1A8FD966">
                  <w:pPr>
                    <w:autoSpaceDE w:val="0"/>
                    <w:autoSpaceDN w:val="0"/>
                    <w:adjustRightInd w:val="0"/>
                    <w:snapToGrid w:val="0"/>
                    <w:jc w:val="center"/>
                    <w:rPr>
                      <w:b/>
                      <w:bCs/>
                      <w:color w:val="auto"/>
                      <w:sz w:val="21"/>
                      <w:szCs w:val="22"/>
                      <w:highlight w:val="none"/>
                    </w:rPr>
                  </w:pPr>
                  <w:r>
                    <w:rPr>
                      <w:rFonts w:hint="eastAsia"/>
                      <w:color w:val="auto"/>
                      <w:sz w:val="21"/>
                      <w:szCs w:val="22"/>
                      <w:highlight w:val="none"/>
                    </w:rPr>
                    <w:t>省域</w:t>
                  </w:r>
                </w:p>
              </w:tc>
              <w:tc>
                <w:tcPr>
                  <w:tcW w:w="321" w:type="pct"/>
                  <w:vMerge w:val="restart"/>
                  <w:noWrap w:val="0"/>
                  <w:vAlign w:val="center"/>
                </w:tcPr>
                <w:p w14:paraId="4478A9C0">
                  <w:pPr>
                    <w:autoSpaceDE w:val="0"/>
                    <w:autoSpaceDN w:val="0"/>
                    <w:adjustRightInd w:val="0"/>
                    <w:snapToGrid w:val="0"/>
                    <w:jc w:val="center"/>
                    <w:rPr>
                      <w:color w:val="auto"/>
                      <w:sz w:val="21"/>
                      <w:szCs w:val="22"/>
                      <w:highlight w:val="none"/>
                    </w:rPr>
                  </w:pPr>
                  <w:r>
                    <w:rPr>
                      <w:rFonts w:hint="eastAsia"/>
                      <w:color w:val="auto"/>
                      <w:sz w:val="21"/>
                      <w:szCs w:val="22"/>
                      <w:highlight w:val="none"/>
                    </w:rPr>
                    <w:t>陕西省</w:t>
                  </w:r>
                </w:p>
              </w:tc>
              <w:tc>
                <w:tcPr>
                  <w:tcW w:w="475" w:type="pct"/>
                  <w:noWrap w:val="0"/>
                  <w:vAlign w:val="center"/>
                </w:tcPr>
                <w:p w14:paraId="699216C2">
                  <w:pPr>
                    <w:autoSpaceDE w:val="0"/>
                    <w:autoSpaceDN w:val="0"/>
                    <w:adjustRightInd w:val="0"/>
                    <w:snapToGrid w:val="0"/>
                    <w:jc w:val="center"/>
                    <w:rPr>
                      <w:color w:val="auto"/>
                      <w:sz w:val="21"/>
                      <w:szCs w:val="22"/>
                      <w:highlight w:val="none"/>
                    </w:rPr>
                  </w:pPr>
                  <w:r>
                    <w:rPr>
                      <w:rFonts w:hint="eastAsia"/>
                      <w:color w:val="auto"/>
                      <w:sz w:val="21"/>
                      <w:szCs w:val="22"/>
                      <w:highlight w:val="none"/>
                    </w:rPr>
                    <w:t>空间布局约束</w:t>
                  </w:r>
                </w:p>
              </w:tc>
              <w:tc>
                <w:tcPr>
                  <w:tcW w:w="1871" w:type="pct"/>
                  <w:noWrap w:val="0"/>
                  <w:vAlign w:val="center"/>
                </w:tcPr>
                <w:p w14:paraId="175B7D1B">
                  <w:pPr>
                    <w:autoSpaceDE w:val="0"/>
                    <w:autoSpaceDN w:val="0"/>
                    <w:adjustRightInd w:val="0"/>
                    <w:snapToGrid w:val="0"/>
                    <w:rPr>
                      <w:rFonts w:hint="eastAsia"/>
                      <w:color w:val="auto"/>
                      <w:sz w:val="21"/>
                      <w:szCs w:val="22"/>
                      <w:highlight w:val="none"/>
                    </w:rPr>
                  </w:pPr>
                  <w:r>
                    <w:rPr>
                      <w:rFonts w:hint="eastAsia"/>
                      <w:color w:val="auto"/>
                      <w:sz w:val="21"/>
                      <w:szCs w:val="22"/>
                      <w:highlight w:val="none"/>
                    </w:rPr>
                    <w:t>1 执行国家及地方法律法规、规章对国家公园、自然保护区、风景名胜区、世界自然和文化遗产、</w:t>
                  </w:r>
                </w:p>
                <w:p w14:paraId="1B2FD6CD">
                  <w:pPr>
                    <w:autoSpaceDE w:val="0"/>
                    <w:autoSpaceDN w:val="0"/>
                    <w:adjustRightInd w:val="0"/>
                    <w:snapToGrid w:val="0"/>
                    <w:rPr>
                      <w:rFonts w:hint="eastAsia"/>
                      <w:color w:val="auto"/>
                      <w:sz w:val="21"/>
                      <w:szCs w:val="22"/>
                      <w:highlight w:val="none"/>
                    </w:rPr>
                  </w:pPr>
                  <w:r>
                    <w:rPr>
                      <w:rFonts w:hint="eastAsia"/>
                      <w:color w:val="auto"/>
                      <w:sz w:val="21"/>
                      <w:szCs w:val="22"/>
                      <w:highlight w:val="none"/>
                    </w:rPr>
                    <w:t>饮用水水源保护区、生态保护红线、自然公园（森林公园、湿地公园、地质公园、沙漠公园等）、</w:t>
                  </w:r>
                </w:p>
                <w:p w14:paraId="0CAB54A7">
                  <w:pPr>
                    <w:autoSpaceDE w:val="0"/>
                    <w:autoSpaceDN w:val="0"/>
                    <w:adjustRightInd w:val="0"/>
                    <w:snapToGrid w:val="0"/>
                    <w:rPr>
                      <w:rFonts w:hint="eastAsia"/>
                      <w:color w:val="auto"/>
                      <w:sz w:val="21"/>
                      <w:szCs w:val="22"/>
                      <w:highlight w:val="none"/>
                    </w:rPr>
                  </w:pPr>
                  <w:r>
                    <w:rPr>
                      <w:rFonts w:hint="eastAsia"/>
                      <w:color w:val="auto"/>
                      <w:sz w:val="21"/>
                      <w:szCs w:val="22"/>
                      <w:highlight w:val="none"/>
                    </w:rPr>
                    <w:t>水产种质资源保护区、重要湿地、国家级公益林等保护区域的禁止性和限制性要求。</w:t>
                  </w:r>
                </w:p>
                <w:p w14:paraId="3D8F6897">
                  <w:pPr>
                    <w:autoSpaceDE w:val="0"/>
                    <w:autoSpaceDN w:val="0"/>
                    <w:adjustRightInd w:val="0"/>
                    <w:snapToGrid w:val="0"/>
                    <w:rPr>
                      <w:rFonts w:hint="eastAsia"/>
                      <w:color w:val="auto"/>
                      <w:sz w:val="21"/>
                      <w:szCs w:val="22"/>
                      <w:highlight w:val="none"/>
                    </w:rPr>
                  </w:pPr>
                  <w:r>
                    <w:rPr>
                      <w:rFonts w:hint="eastAsia"/>
                      <w:color w:val="auto"/>
                      <w:sz w:val="21"/>
                      <w:szCs w:val="22"/>
                      <w:highlight w:val="none"/>
                    </w:rPr>
                    <w:t>2 执行《市场准入负面清单（2022 年版）》《产业结构调整指导目录（2019 年本）》及《国家发展改革委关于修改</w:t>
                  </w:r>
                  <w:r>
                    <w:rPr>
                      <w:rFonts w:hint="eastAsia"/>
                      <w:color w:val="auto"/>
                      <w:sz w:val="21"/>
                      <w:szCs w:val="22"/>
                      <w:highlight w:val="none"/>
                      <w:lang w:eastAsia="zh-CN"/>
                    </w:rPr>
                    <w:t>〈</w:t>
                  </w:r>
                  <w:r>
                    <w:rPr>
                      <w:rFonts w:hint="eastAsia"/>
                      <w:color w:val="auto"/>
                      <w:sz w:val="21"/>
                      <w:szCs w:val="22"/>
                      <w:highlight w:val="none"/>
                    </w:rPr>
                    <w:t>产业结构调整指导目录（2019 年本）</w:t>
                  </w:r>
                  <w:r>
                    <w:rPr>
                      <w:rFonts w:hint="eastAsia"/>
                      <w:color w:val="auto"/>
                      <w:sz w:val="21"/>
                      <w:szCs w:val="22"/>
                      <w:highlight w:val="none"/>
                      <w:lang w:eastAsia="zh-CN"/>
                    </w:rPr>
                    <w:t>〉</w:t>
                  </w:r>
                  <w:r>
                    <w:rPr>
                      <w:rFonts w:hint="eastAsia"/>
                      <w:color w:val="auto"/>
                      <w:sz w:val="21"/>
                      <w:szCs w:val="22"/>
                      <w:highlight w:val="none"/>
                    </w:rPr>
                    <w:t>的决定》。</w:t>
                  </w:r>
                </w:p>
                <w:p w14:paraId="3D172E02">
                  <w:pPr>
                    <w:autoSpaceDE w:val="0"/>
                    <w:autoSpaceDN w:val="0"/>
                    <w:adjustRightInd w:val="0"/>
                    <w:snapToGrid w:val="0"/>
                    <w:rPr>
                      <w:rFonts w:hint="eastAsia"/>
                      <w:color w:val="auto"/>
                      <w:sz w:val="21"/>
                      <w:szCs w:val="22"/>
                      <w:highlight w:val="none"/>
                    </w:rPr>
                  </w:pPr>
                  <w:r>
                    <w:rPr>
                      <w:rFonts w:hint="eastAsia"/>
                      <w:color w:val="auto"/>
                      <w:sz w:val="21"/>
                      <w:szCs w:val="22"/>
                      <w:highlight w:val="none"/>
                    </w:rPr>
                    <w:t>3 执行《矿产资源节约与综合利用鼓励、限制和淘汰技术目录》。</w:t>
                  </w:r>
                </w:p>
                <w:p w14:paraId="79B7A2CC">
                  <w:pPr>
                    <w:autoSpaceDE w:val="0"/>
                    <w:autoSpaceDN w:val="0"/>
                    <w:adjustRightInd w:val="0"/>
                    <w:snapToGrid w:val="0"/>
                    <w:rPr>
                      <w:rFonts w:hint="eastAsia"/>
                      <w:color w:val="auto"/>
                      <w:sz w:val="21"/>
                      <w:szCs w:val="22"/>
                      <w:highlight w:val="none"/>
                    </w:rPr>
                  </w:pPr>
                  <w:r>
                    <w:rPr>
                      <w:rFonts w:hint="eastAsia"/>
                      <w:color w:val="auto"/>
                      <w:sz w:val="21"/>
                      <w:szCs w:val="22"/>
                      <w:highlight w:val="none"/>
                    </w:rPr>
                    <w:t>4 严把“两高”项目环境准入关。坚决遏制高耗能、高排放项目盲目发展。</w:t>
                  </w:r>
                </w:p>
                <w:p w14:paraId="6E232941">
                  <w:pPr>
                    <w:autoSpaceDE w:val="0"/>
                    <w:autoSpaceDN w:val="0"/>
                    <w:adjustRightInd w:val="0"/>
                    <w:snapToGrid w:val="0"/>
                    <w:rPr>
                      <w:rFonts w:hint="eastAsia"/>
                      <w:color w:val="auto"/>
                      <w:sz w:val="21"/>
                      <w:szCs w:val="22"/>
                      <w:highlight w:val="none"/>
                    </w:rPr>
                  </w:pPr>
                  <w:r>
                    <w:rPr>
                      <w:rFonts w:hint="eastAsia"/>
                      <w:color w:val="auto"/>
                      <w:sz w:val="21"/>
                      <w:szCs w:val="22"/>
                      <w:highlight w:val="none"/>
                    </w:rPr>
                    <w:t>5 重点淘汰未完成超低排放改造的火电、钢铁、建材行业产能。推动重污染企业搬迁入园或依法关闭。实施工业企业退城搬迁改造，除部分必须依托城市生产或直接服务于城市的工业企业外，原则上在2027年底前达不到能效标杆和环保绩效级（含绩效引领）企业由当地政府组织搬迁至主城区以外的开发区和工业园区。</w:t>
                  </w:r>
                </w:p>
                <w:p w14:paraId="6F728EA6">
                  <w:pPr>
                    <w:autoSpaceDE w:val="0"/>
                    <w:autoSpaceDN w:val="0"/>
                    <w:adjustRightInd w:val="0"/>
                    <w:snapToGrid w:val="0"/>
                    <w:rPr>
                      <w:rFonts w:hint="eastAsia"/>
                      <w:color w:val="auto"/>
                      <w:sz w:val="21"/>
                      <w:szCs w:val="22"/>
                      <w:highlight w:val="none"/>
                    </w:rPr>
                  </w:pPr>
                  <w:r>
                    <w:rPr>
                      <w:rFonts w:hint="eastAsia"/>
                      <w:color w:val="auto"/>
                      <w:sz w:val="21"/>
                      <w:szCs w:val="22"/>
                      <w:highlight w:val="none"/>
                    </w:rPr>
                    <w:t>6 不再新建燃煤集中供热站。各市（区）建成区禁止新建燃煤锅炉。</w:t>
                  </w:r>
                </w:p>
                <w:p w14:paraId="338E75A2">
                  <w:pPr>
                    <w:autoSpaceDE w:val="0"/>
                    <w:autoSpaceDN w:val="0"/>
                    <w:adjustRightInd w:val="0"/>
                    <w:snapToGrid w:val="0"/>
                    <w:rPr>
                      <w:rFonts w:hint="eastAsia"/>
                      <w:color w:val="auto"/>
                      <w:sz w:val="21"/>
                      <w:szCs w:val="22"/>
                      <w:highlight w:val="none"/>
                    </w:rPr>
                  </w:pPr>
                  <w:r>
                    <w:rPr>
                      <w:rFonts w:hint="eastAsia"/>
                      <w:color w:val="auto"/>
                      <w:sz w:val="21"/>
                      <w:szCs w:val="22"/>
                      <w:highlight w:val="none"/>
                    </w:rPr>
                    <w:t>7 在永久基本农田集中区域，不得规划新建可能造成土壤污染的建设项目。</w:t>
                  </w:r>
                </w:p>
              </w:tc>
              <w:tc>
                <w:tcPr>
                  <w:tcW w:w="1118" w:type="pct"/>
                  <w:noWrap w:val="0"/>
                  <w:vAlign w:val="center"/>
                </w:tcPr>
                <w:p w14:paraId="16ECA76E">
                  <w:pPr>
                    <w:autoSpaceDE w:val="0"/>
                    <w:autoSpaceDN w:val="0"/>
                    <w:adjustRightInd w:val="0"/>
                    <w:snapToGrid w:val="0"/>
                    <w:jc w:val="center"/>
                    <w:rPr>
                      <w:color w:val="auto"/>
                      <w:sz w:val="21"/>
                      <w:szCs w:val="22"/>
                      <w:highlight w:val="none"/>
                    </w:rPr>
                  </w:pPr>
                  <w:r>
                    <w:rPr>
                      <w:rFonts w:hint="eastAsia"/>
                      <w:color w:val="auto"/>
                      <w:sz w:val="21"/>
                      <w:szCs w:val="22"/>
                      <w:highlight w:val="none"/>
                    </w:rPr>
                    <w:t>本项目不涉及法定保护地。不属于《产业结构调整指导目录（</w:t>
                  </w:r>
                  <w:r>
                    <w:rPr>
                      <w:color w:val="auto"/>
                      <w:sz w:val="21"/>
                      <w:szCs w:val="22"/>
                      <w:highlight w:val="none"/>
                    </w:rPr>
                    <w:t>20</w:t>
                  </w:r>
                  <w:r>
                    <w:rPr>
                      <w:rFonts w:hint="eastAsia"/>
                      <w:color w:val="auto"/>
                      <w:sz w:val="21"/>
                      <w:szCs w:val="22"/>
                      <w:highlight w:val="none"/>
                    </w:rPr>
                    <w:t>24年本）》中限制类和淘汰类项目，视为允许类；不属于《市场准入负面清单》（</w:t>
                  </w:r>
                  <w:r>
                    <w:rPr>
                      <w:color w:val="auto"/>
                      <w:sz w:val="21"/>
                      <w:szCs w:val="22"/>
                      <w:highlight w:val="none"/>
                    </w:rPr>
                    <w:t>2022</w:t>
                  </w:r>
                  <w:r>
                    <w:rPr>
                      <w:rFonts w:hint="eastAsia"/>
                      <w:color w:val="auto"/>
                      <w:sz w:val="21"/>
                      <w:szCs w:val="22"/>
                      <w:highlight w:val="none"/>
                    </w:rPr>
                    <w:t>年版）中禁止准入类和许可准入类行业，不存在与市场准入相关的禁止性规定；不属于“两高”项目。</w:t>
                  </w:r>
                </w:p>
              </w:tc>
              <w:tc>
                <w:tcPr>
                  <w:tcW w:w="503" w:type="pct"/>
                  <w:noWrap w:val="0"/>
                  <w:vAlign w:val="center"/>
                </w:tcPr>
                <w:p w14:paraId="5E97CC18">
                  <w:pPr>
                    <w:autoSpaceDE w:val="0"/>
                    <w:autoSpaceDN w:val="0"/>
                    <w:adjustRightInd w:val="0"/>
                    <w:snapToGrid w:val="0"/>
                    <w:jc w:val="center"/>
                    <w:rPr>
                      <w:color w:val="auto"/>
                      <w:sz w:val="21"/>
                      <w:szCs w:val="22"/>
                      <w:highlight w:val="none"/>
                    </w:rPr>
                  </w:pPr>
                  <w:r>
                    <w:rPr>
                      <w:rFonts w:hint="eastAsia"/>
                      <w:color w:val="auto"/>
                      <w:sz w:val="21"/>
                      <w:szCs w:val="22"/>
                      <w:highlight w:val="none"/>
                    </w:rPr>
                    <w:t>符合</w:t>
                  </w:r>
                </w:p>
              </w:tc>
            </w:tr>
            <w:tr w14:paraId="656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18" w:type="pct"/>
                  <w:vMerge w:val="continue"/>
                  <w:noWrap w:val="0"/>
                  <w:vAlign w:val="center"/>
                </w:tcPr>
                <w:p w14:paraId="61B5D7DD">
                  <w:pPr>
                    <w:widowControl/>
                    <w:jc w:val="left"/>
                    <w:rPr>
                      <w:b/>
                      <w:bCs/>
                      <w:color w:val="auto"/>
                      <w:sz w:val="21"/>
                      <w:szCs w:val="22"/>
                      <w:highlight w:val="none"/>
                    </w:rPr>
                  </w:pPr>
                </w:p>
              </w:tc>
              <w:tc>
                <w:tcPr>
                  <w:tcW w:w="394" w:type="pct"/>
                  <w:vMerge w:val="continue"/>
                  <w:noWrap w:val="0"/>
                  <w:vAlign w:val="center"/>
                </w:tcPr>
                <w:p w14:paraId="78025D49">
                  <w:pPr>
                    <w:widowControl/>
                    <w:jc w:val="left"/>
                    <w:rPr>
                      <w:b/>
                      <w:bCs/>
                      <w:color w:val="auto"/>
                      <w:sz w:val="21"/>
                      <w:szCs w:val="22"/>
                      <w:highlight w:val="none"/>
                    </w:rPr>
                  </w:pPr>
                </w:p>
              </w:tc>
              <w:tc>
                <w:tcPr>
                  <w:tcW w:w="321" w:type="pct"/>
                  <w:vMerge w:val="continue"/>
                  <w:noWrap w:val="0"/>
                  <w:vAlign w:val="center"/>
                </w:tcPr>
                <w:p w14:paraId="592DBD01">
                  <w:pPr>
                    <w:widowControl/>
                    <w:jc w:val="left"/>
                    <w:rPr>
                      <w:color w:val="auto"/>
                      <w:sz w:val="21"/>
                      <w:szCs w:val="22"/>
                      <w:highlight w:val="none"/>
                    </w:rPr>
                  </w:pPr>
                </w:p>
              </w:tc>
              <w:tc>
                <w:tcPr>
                  <w:tcW w:w="475" w:type="pct"/>
                  <w:noWrap w:val="0"/>
                  <w:vAlign w:val="top"/>
                </w:tcPr>
                <w:p w14:paraId="41C2333E">
                  <w:pPr>
                    <w:autoSpaceDE w:val="0"/>
                    <w:autoSpaceDN w:val="0"/>
                    <w:adjustRightInd w:val="0"/>
                    <w:snapToGrid w:val="0"/>
                    <w:jc w:val="center"/>
                    <w:rPr>
                      <w:color w:val="auto"/>
                      <w:sz w:val="21"/>
                      <w:szCs w:val="22"/>
                      <w:highlight w:val="none"/>
                    </w:rPr>
                  </w:pPr>
                  <w:r>
                    <w:rPr>
                      <w:rFonts w:hint="eastAsia"/>
                      <w:color w:val="auto"/>
                      <w:sz w:val="21"/>
                      <w:szCs w:val="22"/>
                      <w:highlight w:val="none"/>
                    </w:rPr>
                    <w:t>污染物排放管控</w:t>
                  </w:r>
                </w:p>
              </w:tc>
              <w:tc>
                <w:tcPr>
                  <w:tcW w:w="1871" w:type="pct"/>
                  <w:noWrap w:val="0"/>
                  <w:vAlign w:val="center"/>
                </w:tcPr>
                <w:p w14:paraId="6CB62575">
                  <w:pPr>
                    <w:autoSpaceDE w:val="0"/>
                    <w:autoSpaceDN w:val="0"/>
                    <w:adjustRightInd w:val="0"/>
                    <w:snapToGrid w:val="0"/>
                    <w:rPr>
                      <w:color w:val="auto"/>
                      <w:sz w:val="21"/>
                      <w:szCs w:val="22"/>
                      <w:highlight w:val="none"/>
                    </w:rPr>
                  </w:pPr>
                  <w:r>
                    <w:rPr>
                      <w:rFonts w:hint="eastAsia"/>
                      <w:color w:val="auto"/>
                      <w:sz w:val="21"/>
                      <w:szCs w:val="22"/>
                      <w:highlight w:val="none"/>
                    </w:rPr>
                    <w:t>3 全省黄河流域城镇生活污水处理达到《陕西省黄河流域污水综合排放标准》（DB61/224-2018）排放限值要求。汉江、丹江流域城镇污水处理设施执行《汉丹江流域（陕西段）重点行业水污染物排放限值》。</w:t>
                  </w:r>
                </w:p>
              </w:tc>
              <w:tc>
                <w:tcPr>
                  <w:tcW w:w="1118" w:type="pct"/>
                  <w:noWrap w:val="0"/>
                  <w:vAlign w:val="center"/>
                </w:tcPr>
                <w:p w14:paraId="05D1591C">
                  <w:pPr>
                    <w:autoSpaceDE w:val="0"/>
                    <w:autoSpaceDN w:val="0"/>
                    <w:adjustRightInd w:val="0"/>
                    <w:snapToGrid w:val="0"/>
                    <w:jc w:val="center"/>
                    <w:rPr>
                      <w:color w:val="auto"/>
                      <w:sz w:val="21"/>
                      <w:szCs w:val="22"/>
                      <w:highlight w:val="none"/>
                    </w:rPr>
                  </w:pPr>
                  <w:r>
                    <w:rPr>
                      <w:rFonts w:hint="eastAsia"/>
                      <w:color w:val="auto"/>
                      <w:sz w:val="21"/>
                      <w:szCs w:val="22"/>
                      <w:highlight w:val="none"/>
                    </w:rPr>
                    <w:t>本项目无废水产生。</w:t>
                  </w:r>
                </w:p>
              </w:tc>
              <w:tc>
                <w:tcPr>
                  <w:tcW w:w="503" w:type="pct"/>
                  <w:noWrap w:val="0"/>
                  <w:vAlign w:val="center"/>
                </w:tcPr>
                <w:p w14:paraId="26FF00A2">
                  <w:pPr>
                    <w:autoSpaceDE w:val="0"/>
                    <w:autoSpaceDN w:val="0"/>
                    <w:adjustRightInd w:val="0"/>
                    <w:snapToGrid w:val="0"/>
                    <w:jc w:val="center"/>
                    <w:rPr>
                      <w:color w:val="auto"/>
                      <w:sz w:val="21"/>
                      <w:szCs w:val="22"/>
                      <w:highlight w:val="none"/>
                    </w:rPr>
                  </w:pPr>
                  <w:r>
                    <w:rPr>
                      <w:rFonts w:hint="eastAsia"/>
                      <w:color w:val="auto"/>
                      <w:sz w:val="21"/>
                      <w:szCs w:val="22"/>
                      <w:highlight w:val="none"/>
                    </w:rPr>
                    <w:t>符合</w:t>
                  </w:r>
                </w:p>
              </w:tc>
            </w:tr>
            <w:tr w14:paraId="75C8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318" w:type="pct"/>
                  <w:vMerge w:val="continue"/>
                  <w:noWrap w:val="0"/>
                  <w:vAlign w:val="center"/>
                </w:tcPr>
                <w:p w14:paraId="01A05211">
                  <w:pPr>
                    <w:widowControl/>
                    <w:jc w:val="left"/>
                    <w:rPr>
                      <w:b/>
                      <w:bCs/>
                      <w:color w:val="auto"/>
                      <w:sz w:val="21"/>
                      <w:szCs w:val="22"/>
                      <w:highlight w:val="none"/>
                    </w:rPr>
                  </w:pPr>
                </w:p>
              </w:tc>
              <w:tc>
                <w:tcPr>
                  <w:tcW w:w="394" w:type="pct"/>
                  <w:vMerge w:val="continue"/>
                  <w:noWrap w:val="0"/>
                  <w:vAlign w:val="center"/>
                </w:tcPr>
                <w:p w14:paraId="4D0ABF85">
                  <w:pPr>
                    <w:widowControl/>
                    <w:jc w:val="left"/>
                    <w:rPr>
                      <w:b/>
                      <w:bCs/>
                      <w:color w:val="auto"/>
                      <w:sz w:val="21"/>
                      <w:szCs w:val="22"/>
                      <w:highlight w:val="none"/>
                    </w:rPr>
                  </w:pPr>
                </w:p>
              </w:tc>
              <w:tc>
                <w:tcPr>
                  <w:tcW w:w="321" w:type="pct"/>
                  <w:vMerge w:val="continue"/>
                  <w:noWrap w:val="0"/>
                  <w:vAlign w:val="center"/>
                </w:tcPr>
                <w:p w14:paraId="038C2A6A">
                  <w:pPr>
                    <w:widowControl/>
                    <w:jc w:val="left"/>
                    <w:rPr>
                      <w:color w:val="auto"/>
                      <w:sz w:val="21"/>
                      <w:szCs w:val="22"/>
                      <w:highlight w:val="none"/>
                    </w:rPr>
                  </w:pPr>
                </w:p>
              </w:tc>
              <w:tc>
                <w:tcPr>
                  <w:tcW w:w="475" w:type="pct"/>
                  <w:noWrap w:val="0"/>
                  <w:vAlign w:val="top"/>
                </w:tcPr>
                <w:p w14:paraId="34A2B45B">
                  <w:pPr>
                    <w:autoSpaceDE w:val="0"/>
                    <w:autoSpaceDN w:val="0"/>
                    <w:adjustRightInd w:val="0"/>
                    <w:snapToGrid w:val="0"/>
                    <w:jc w:val="center"/>
                    <w:rPr>
                      <w:color w:val="auto"/>
                      <w:sz w:val="21"/>
                      <w:szCs w:val="22"/>
                      <w:highlight w:val="none"/>
                    </w:rPr>
                  </w:pPr>
                  <w:r>
                    <w:rPr>
                      <w:rFonts w:hint="eastAsia"/>
                      <w:color w:val="auto"/>
                      <w:sz w:val="21"/>
                      <w:szCs w:val="22"/>
                      <w:highlight w:val="none"/>
                    </w:rPr>
                    <w:t>环境风险防控</w:t>
                  </w:r>
                </w:p>
              </w:tc>
              <w:tc>
                <w:tcPr>
                  <w:tcW w:w="1871" w:type="pct"/>
                  <w:noWrap w:val="0"/>
                  <w:vAlign w:val="center"/>
                </w:tcPr>
                <w:p w14:paraId="66B05B84">
                  <w:pPr>
                    <w:autoSpaceDE w:val="0"/>
                    <w:autoSpaceDN w:val="0"/>
                    <w:adjustRightInd w:val="0"/>
                    <w:snapToGrid w:val="0"/>
                    <w:rPr>
                      <w:color w:val="auto"/>
                      <w:sz w:val="21"/>
                      <w:szCs w:val="22"/>
                      <w:highlight w:val="none"/>
                    </w:rPr>
                  </w:pPr>
                  <w:r>
                    <w:rPr>
                      <w:rFonts w:hint="eastAsia"/>
                      <w:color w:val="auto"/>
                      <w:sz w:val="21"/>
                      <w:szCs w:val="22"/>
                      <w:highlight w:val="none"/>
                    </w:rPr>
                    <w:t>11 以涉石油、煤炭产业链输送链，涉危险废物涉重金属企业、化工园区为重点，加强黄河流域重要支流、跨界河流以及其他环境敏感目标环境风险防范与治理。</w:t>
                  </w:r>
                </w:p>
              </w:tc>
              <w:tc>
                <w:tcPr>
                  <w:tcW w:w="1118" w:type="pct"/>
                  <w:noWrap w:val="0"/>
                  <w:vAlign w:val="center"/>
                </w:tcPr>
                <w:p w14:paraId="4C1049AF">
                  <w:pPr>
                    <w:autoSpaceDE w:val="0"/>
                    <w:autoSpaceDN w:val="0"/>
                    <w:adjustRightInd w:val="0"/>
                    <w:snapToGrid w:val="0"/>
                    <w:jc w:val="center"/>
                    <w:rPr>
                      <w:color w:val="auto"/>
                      <w:sz w:val="21"/>
                      <w:szCs w:val="22"/>
                      <w:highlight w:val="none"/>
                    </w:rPr>
                  </w:pPr>
                  <w:r>
                    <w:rPr>
                      <w:rFonts w:hint="eastAsia"/>
                      <w:color w:val="auto"/>
                      <w:sz w:val="21"/>
                      <w:szCs w:val="22"/>
                      <w:highlight w:val="none"/>
                    </w:rPr>
                    <w:t>本项目危险废物仅涉及少量废机油，不涉及重金属和化工园区。</w:t>
                  </w:r>
                </w:p>
              </w:tc>
              <w:tc>
                <w:tcPr>
                  <w:tcW w:w="503" w:type="pct"/>
                  <w:noWrap w:val="0"/>
                  <w:vAlign w:val="center"/>
                </w:tcPr>
                <w:p w14:paraId="31094035">
                  <w:pPr>
                    <w:autoSpaceDE w:val="0"/>
                    <w:autoSpaceDN w:val="0"/>
                    <w:adjustRightInd w:val="0"/>
                    <w:snapToGrid w:val="0"/>
                    <w:jc w:val="center"/>
                    <w:rPr>
                      <w:color w:val="auto"/>
                      <w:sz w:val="21"/>
                      <w:szCs w:val="22"/>
                      <w:highlight w:val="none"/>
                    </w:rPr>
                  </w:pPr>
                  <w:r>
                    <w:rPr>
                      <w:rFonts w:hint="eastAsia"/>
                      <w:color w:val="auto"/>
                      <w:sz w:val="21"/>
                      <w:szCs w:val="22"/>
                      <w:highlight w:val="none"/>
                    </w:rPr>
                    <w:t>符合</w:t>
                  </w:r>
                </w:p>
              </w:tc>
            </w:tr>
            <w:tr w14:paraId="3D95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318" w:type="pct"/>
                  <w:vMerge w:val="continue"/>
                  <w:noWrap w:val="0"/>
                  <w:vAlign w:val="center"/>
                </w:tcPr>
                <w:p w14:paraId="19357A43">
                  <w:pPr>
                    <w:widowControl/>
                    <w:jc w:val="left"/>
                    <w:rPr>
                      <w:b/>
                      <w:bCs/>
                      <w:color w:val="auto"/>
                      <w:sz w:val="21"/>
                      <w:szCs w:val="22"/>
                      <w:highlight w:val="none"/>
                    </w:rPr>
                  </w:pPr>
                </w:p>
              </w:tc>
              <w:tc>
                <w:tcPr>
                  <w:tcW w:w="394" w:type="pct"/>
                  <w:vMerge w:val="continue"/>
                  <w:noWrap w:val="0"/>
                  <w:vAlign w:val="center"/>
                </w:tcPr>
                <w:p w14:paraId="5F51DB13">
                  <w:pPr>
                    <w:widowControl/>
                    <w:jc w:val="left"/>
                    <w:rPr>
                      <w:b/>
                      <w:bCs/>
                      <w:color w:val="auto"/>
                      <w:sz w:val="21"/>
                      <w:szCs w:val="22"/>
                      <w:highlight w:val="none"/>
                    </w:rPr>
                  </w:pPr>
                </w:p>
              </w:tc>
              <w:tc>
                <w:tcPr>
                  <w:tcW w:w="321" w:type="pct"/>
                  <w:vMerge w:val="continue"/>
                  <w:noWrap w:val="0"/>
                  <w:vAlign w:val="center"/>
                </w:tcPr>
                <w:p w14:paraId="0E902E57">
                  <w:pPr>
                    <w:widowControl/>
                    <w:jc w:val="left"/>
                    <w:rPr>
                      <w:color w:val="auto"/>
                      <w:sz w:val="21"/>
                      <w:szCs w:val="22"/>
                      <w:highlight w:val="none"/>
                    </w:rPr>
                  </w:pPr>
                </w:p>
              </w:tc>
              <w:tc>
                <w:tcPr>
                  <w:tcW w:w="475" w:type="pct"/>
                  <w:noWrap w:val="0"/>
                  <w:vAlign w:val="top"/>
                </w:tcPr>
                <w:p w14:paraId="75A5A5C3">
                  <w:pPr>
                    <w:autoSpaceDE w:val="0"/>
                    <w:autoSpaceDN w:val="0"/>
                    <w:adjustRightInd w:val="0"/>
                    <w:snapToGrid w:val="0"/>
                    <w:jc w:val="center"/>
                    <w:rPr>
                      <w:color w:val="auto"/>
                      <w:sz w:val="21"/>
                      <w:szCs w:val="22"/>
                      <w:highlight w:val="none"/>
                    </w:rPr>
                  </w:pPr>
                  <w:r>
                    <w:rPr>
                      <w:rFonts w:hint="eastAsia"/>
                      <w:color w:val="auto"/>
                      <w:sz w:val="21"/>
                      <w:szCs w:val="22"/>
                      <w:highlight w:val="none"/>
                    </w:rPr>
                    <w:t>资源开发效率要求</w:t>
                  </w:r>
                </w:p>
              </w:tc>
              <w:tc>
                <w:tcPr>
                  <w:tcW w:w="1871" w:type="pct"/>
                  <w:noWrap w:val="0"/>
                  <w:vAlign w:val="center"/>
                </w:tcPr>
                <w:p w14:paraId="29FC8B9C">
                  <w:pPr>
                    <w:autoSpaceDE w:val="0"/>
                    <w:autoSpaceDN w:val="0"/>
                    <w:adjustRightInd w:val="0"/>
                    <w:snapToGrid w:val="0"/>
                    <w:rPr>
                      <w:color w:val="auto"/>
                      <w:sz w:val="21"/>
                      <w:szCs w:val="22"/>
                      <w:highlight w:val="none"/>
                    </w:rPr>
                  </w:pPr>
                  <w:r>
                    <w:rPr>
                      <w:rFonts w:hint="eastAsia"/>
                      <w:color w:val="auto"/>
                      <w:sz w:val="21"/>
                      <w:szCs w:val="22"/>
                      <w:highlight w:val="none"/>
                    </w:rPr>
                    <w:t>3 到2025 年陕北、关中地级城市再生水利用率达到25%以上，陕南地区再生水利用率不低于10%。</w:t>
                  </w:r>
                </w:p>
                <w:p w14:paraId="5F4EDBC2">
                  <w:pPr>
                    <w:autoSpaceDE w:val="0"/>
                    <w:autoSpaceDN w:val="0"/>
                    <w:adjustRightInd w:val="0"/>
                    <w:snapToGrid w:val="0"/>
                    <w:rPr>
                      <w:color w:val="auto"/>
                      <w:sz w:val="21"/>
                      <w:szCs w:val="22"/>
                      <w:highlight w:val="none"/>
                    </w:rPr>
                  </w:pPr>
                  <w:r>
                    <w:rPr>
                      <w:rFonts w:hint="eastAsia"/>
                      <w:color w:val="auto"/>
                      <w:sz w:val="21"/>
                      <w:szCs w:val="22"/>
                      <w:highlight w:val="none"/>
                    </w:rPr>
                    <w:t>4 对地下水超采区继续采取高效节水、域外调水替代、封井等措施，大力减少地下水开采量。</w:t>
                  </w:r>
                </w:p>
              </w:tc>
              <w:tc>
                <w:tcPr>
                  <w:tcW w:w="1118" w:type="pct"/>
                  <w:noWrap w:val="0"/>
                  <w:vAlign w:val="center"/>
                </w:tcPr>
                <w:p w14:paraId="58A4CED6">
                  <w:pPr>
                    <w:autoSpaceDE w:val="0"/>
                    <w:autoSpaceDN w:val="0"/>
                    <w:adjustRightInd w:val="0"/>
                    <w:snapToGrid w:val="0"/>
                    <w:jc w:val="center"/>
                    <w:rPr>
                      <w:color w:val="auto"/>
                      <w:sz w:val="21"/>
                      <w:szCs w:val="22"/>
                      <w:highlight w:val="none"/>
                    </w:rPr>
                  </w:pPr>
                  <w:r>
                    <w:rPr>
                      <w:rFonts w:hint="eastAsia"/>
                      <w:color w:val="auto"/>
                      <w:sz w:val="21"/>
                      <w:szCs w:val="22"/>
                      <w:highlight w:val="none"/>
                    </w:rPr>
                    <w:t>本项目用水量较小，无废水产生。</w:t>
                  </w:r>
                </w:p>
              </w:tc>
              <w:tc>
                <w:tcPr>
                  <w:tcW w:w="503" w:type="pct"/>
                  <w:noWrap w:val="0"/>
                  <w:vAlign w:val="center"/>
                </w:tcPr>
                <w:p w14:paraId="31ABE58B">
                  <w:pPr>
                    <w:autoSpaceDE w:val="0"/>
                    <w:autoSpaceDN w:val="0"/>
                    <w:adjustRightInd w:val="0"/>
                    <w:snapToGrid w:val="0"/>
                    <w:jc w:val="center"/>
                    <w:rPr>
                      <w:color w:val="auto"/>
                      <w:sz w:val="21"/>
                      <w:szCs w:val="22"/>
                      <w:highlight w:val="none"/>
                    </w:rPr>
                  </w:pPr>
                  <w:r>
                    <w:rPr>
                      <w:rFonts w:hint="eastAsia"/>
                      <w:color w:val="auto"/>
                      <w:sz w:val="21"/>
                      <w:szCs w:val="22"/>
                      <w:highlight w:val="none"/>
                    </w:rPr>
                    <w:t>符合</w:t>
                  </w:r>
                </w:p>
              </w:tc>
            </w:tr>
          </w:tbl>
          <w:p w14:paraId="6BFE937B">
            <w:pPr>
              <w:pStyle w:val="58"/>
              <w:spacing w:line="360" w:lineRule="auto"/>
              <w:ind w:firstLine="480"/>
              <w:rPr>
                <w:rFonts w:hint="default" w:ascii="Times New Roman" w:hAnsi="Times New Roman" w:cs="Times New Roman"/>
                <w:color w:val="auto"/>
                <w:sz w:val="24"/>
                <w:highlight w:val="none"/>
                <w:lang w:val="zh-CN"/>
              </w:rPr>
            </w:pPr>
            <w:r>
              <w:rPr>
                <w:rFonts w:hint="default" w:ascii="Times New Roman" w:hAnsi="Times New Roman" w:eastAsia="宋体" w:cs="Times New Roman"/>
                <w:color w:val="auto"/>
                <w:sz w:val="24"/>
                <w:szCs w:val="24"/>
                <w:highlight w:val="none"/>
              </w:rPr>
              <w:t>③“一说明”：指的是依据“一图”和“一表”结果，论证规划或建设项目符合性的说明。</w:t>
            </w:r>
          </w:p>
          <w:p w14:paraId="31203E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的符合性分析</w:t>
            </w:r>
            <w:r>
              <w:rPr>
                <w:rFonts w:hint="default" w:ascii="Times New Roman" w:hAnsi="Times New Roman" w:eastAsia="宋体" w:cs="Times New Roman"/>
                <w:color w:val="auto"/>
                <w:sz w:val="24"/>
                <w:szCs w:val="24"/>
                <w:highlight w:val="none"/>
              </w:rPr>
              <w:t>见下</w:t>
            </w:r>
            <w:r>
              <w:rPr>
                <w:rFonts w:hint="eastAsia" w:ascii="Times New Roman" w:hAnsi="Times New Roman" w:eastAsia="宋体" w:cs="Times New Roman"/>
                <w:color w:val="auto"/>
                <w:sz w:val="24"/>
                <w:szCs w:val="24"/>
                <w:highlight w:val="none"/>
                <w:lang w:eastAsia="zh-CN"/>
              </w:rPr>
              <w:t>表1-</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1D6770FB">
            <w:pPr>
              <w:pStyle w:val="58"/>
              <w:ind w:firstLine="0" w:firstLineChars="0"/>
              <w:jc w:val="center"/>
              <w:rPr>
                <w:rFonts w:ascii="Times New Roman" w:hAnsi="Times New Roman" w:eastAsia="宋体" w:cs="Times New Roman"/>
                <w:b/>
                <w:bCs/>
                <w:color w:val="auto"/>
                <w:kern w:val="0"/>
                <w:sz w:val="24"/>
                <w:highlight w:val="none"/>
                <w:lang w:val="en-US" w:eastAsia="zh-CN"/>
              </w:rPr>
            </w:pPr>
            <w:r>
              <w:rPr>
                <w:rFonts w:ascii="Times New Roman" w:hAnsi="Times New Roman" w:eastAsia="宋体" w:cs="Times New Roman"/>
                <w:b/>
                <w:bCs/>
                <w:color w:val="auto"/>
                <w:kern w:val="0"/>
                <w:sz w:val="24"/>
                <w:highlight w:val="none"/>
                <w:lang w:val="en-US" w:eastAsia="zh-CN"/>
              </w:rPr>
              <w:t>表</w:t>
            </w:r>
            <w:r>
              <w:rPr>
                <w:rFonts w:hint="default"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lang w:val="en-US" w:eastAsia="zh-CN"/>
              </w:rPr>
              <w:t xml:space="preserve"> </w:t>
            </w:r>
            <w:r>
              <w:rPr>
                <w:rFonts w:ascii="Times New Roman" w:hAnsi="Times New Roman" w:eastAsia="宋体" w:cs="Times New Roman"/>
                <w:b/>
                <w:bCs/>
                <w:color w:val="auto"/>
                <w:kern w:val="0"/>
                <w:sz w:val="24"/>
                <w:highlight w:val="none"/>
                <w:lang w:val="en-US" w:eastAsia="zh-CN"/>
              </w:rPr>
              <w:t>本工程与“三线一单”符合性分析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5099"/>
              <w:gridCol w:w="805"/>
            </w:tblGrid>
            <w:tr w14:paraId="72D0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7" w:type="pct"/>
                  <w:noWrap w:val="0"/>
                  <w:vAlign w:val="center"/>
                </w:tcPr>
                <w:p w14:paraId="2DEBC62A">
                  <w:pPr>
                    <w:snapToGrid w:val="0"/>
                    <w:spacing w:line="240" w:lineRule="exact"/>
                    <w:jc w:val="center"/>
                    <w:rPr>
                      <w:rFonts w:ascii="Times New Roman" w:hAnsi="Times New Roman" w:eastAsia="宋体" w:cs="宋体"/>
                      <w:color w:val="auto"/>
                      <w:kern w:val="24"/>
                      <w:sz w:val="21"/>
                      <w:szCs w:val="21"/>
                      <w:highlight w:val="none"/>
                    </w:rPr>
                  </w:pPr>
                  <w:r>
                    <w:rPr>
                      <w:rFonts w:ascii="Times New Roman" w:hAnsi="Times New Roman" w:eastAsia="宋体" w:cs="宋体"/>
                      <w:color w:val="auto"/>
                      <w:kern w:val="24"/>
                      <w:sz w:val="21"/>
                      <w:szCs w:val="21"/>
                      <w:highlight w:val="none"/>
                    </w:rPr>
                    <w:t>“三线一单”</w:t>
                  </w:r>
                </w:p>
              </w:tc>
              <w:tc>
                <w:tcPr>
                  <w:tcW w:w="3568" w:type="pct"/>
                  <w:noWrap w:val="0"/>
                  <w:vAlign w:val="center"/>
                </w:tcPr>
                <w:p w14:paraId="084AED9C">
                  <w:pPr>
                    <w:snapToGrid w:val="0"/>
                    <w:spacing w:line="240" w:lineRule="exact"/>
                    <w:jc w:val="center"/>
                    <w:rPr>
                      <w:rFonts w:ascii="Times New Roman" w:hAnsi="Times New Roman" w:eastAsia="宋体" w:cs="宋体"/>
                      <w:color w:val="auto"/>
                      <w:kern w:val="24"/>
                      <w:sz w:val="21"/>
                      <w:szCs w:val="21"/>
                      <w:highlight w:val="none"/>
                    </w:rPr>
                  </w:pPr>
                  <w:r>
                    <w:rPr>
                      <w:rFonts w:ascii="Times New Roman" w:hAnsi="Times New Roman" w:eastAsia="宋体" w:cs="宋体"/>
                      <w:color w:val="auto"/>
                      <w:kern w:val="24"/>
                      <w:sz w:val="21"/>
                      <w:szCs w:val="21"/>
                      <w:highlight w:val="none"/>
                    </w:rPr>
                    <w:t>本工程</w:t>
                  </w:r>
                </w:p>
              </w:tc>
              <w:tc>
                <w:tcPr>
                  <w:tcW w:w="563" w:type="pct"/>
                  <w:noWrap w:val="0"/>
                  <w:vAlign w:val="center"/>
                </w:tcPr>
                <w:p w14:paraId="4EF009D2">
                  <w:pPr>
                    <w:snapToGrid w:val="0"/>
                    <w:spacing w:line="240" w:lineRule="exact"/>
                    <w:jc w:val="center"/>
                    <w:rPr>
                      <w:rFonts w:ascii="Times New Roman" w:hAnsi="Times New Roman" w:eastAsia="宋体" w:cs="宋体"/>
                      <w:color w:val="auto"/>
                      <w:kern w:val="24"/>
                      <w:sz w:val="21"/>
                      <w:szCs w:val="21"/>
                      <w:highlight w:val="none"/>
                    </w:rPr>
                  </w:pPr>
                  <w:r>
                    <w:rPr>
                      <w:rFonts w:ascii="Times New Roman" w:hAnsi="Times New Roman" w:eastAsia="宋体" w:cs="宋体"/>
                      <w:color w:val="auto"/>
                      <w:kern w:val="24"/>
                      <w:sz w:val="21"/>
                      <w:szCs w:val="21"/>
                      <w:highlight w:val="none"/>
                    </w:rPr>
                    <w:t>符合性</w:t>
                  </w:r>
                </w:p>
              </w:tc>
            </w:tr>
            <w:tr w14:paraId="5EF0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7" w:type="pct"/>
                  <w:noWrap w:val="0"/>
                  <w:vAlign w:val="center"/>
                </w:tcPr>
                <w:p w14:paraId="72BA753A">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生态保护红线</w:t>
                  </w:r>
                </w:p>
              </w:tc>
              <w:tc>
                <w:tcPr>
                  <w:tcW w:w="3568" w:type="pct"/>
                  <w:noWrap w:val="0"/>
                  <w:vAlign w:val="center"/>
                </w:tcPr>
                <w:p w14:paraId="7B7FC39F">
                  <w:pPr>
                    <w:adjustRightInd w:val="0"/>
                    <w:snapToGrid w:val="0"/>
                    <w:spacing w:line="300" w:lineRule="atLeast"/>
                    <w:jc w:val="center"/>
                    <w:rPr>
                      <w:rFonts w:ascii="Times New Roman" w:hAnsi="Times New Roman" w:eastAsia="宋体"/>
                      <w:color w:val="auto"/>
                      <w:spacing w:val="-2"/>
                      <w:sz w:val="21"/>
                      <w:szCs w:val="21"/>
                      <w:highlight w:val="none"/>
                    </w:rPr>
                  </w:pPr>
                  <w:r>
                    <w:rPr>
                      <w:rFonts w:ascii="Times New Roman" w:hAnsi="Times New Roman" w:eastAsia="宋体"/>
                      <w:color w:val="auto"/>
                      <w:spacing w:val="-2"/>
                      <w:sz w:val="21"/>
                      <w:szCs w:val="21"/>
                      <w:highlight w:val="none"/>
                    </w:rPr>
                    <w:t>项目位于</w:t>
                  </w:r>
                  <w:r>
                    <w:rPr>
                      <w:rFonts w:hint="eastAsia" w:ascii="Times New Roman" w:hAnsi="Times New Roman" w:eastAsia="宋体"/>
                      <w:color w:val="auto"/>
                      <w:spacing w:val="-2"/>
                      <w:sz w:val="21"/>
                      <w:szCs w:val="21"/>
                      <w:highlight w:val="none"/>
                      <w:lang w:val="en-US" w:eastAsia="zh-CN"/>
                    </w:rPr>
                    <w:t>府谷县新民镇芦草畔村</w:t>
                  </w:r>
                  <w:r>
                    <w:rPr>
                      <w:rFonts w:ascii="Times New Roman" w:hAnsi="Times New Roman" w:eastAsia="宋体"/>
                      <w:color w:val="auto"/>
                      <w:spacing w:val="-2"/>
                      <w:sz w:val="21"/>
                      <w:szCs w:val="21"/>
                      <w:highlight w:val="none"/>
                    </w:rPr>
                    <w:t>，</w:t>
                  </w:r>
                  <w:r>
                    <w:rPr>
                      <w:rFonts w:ascii="Times New Roman" w:hAnsi="Times New Roman" w:eastAsia="宋体" w:cs="宋体"/>
                      <w:color w:val="auto"/>
                      <w:spacing w:val="-2"/>
                      <w:sz w:val="21"/>
                      <w:szCs w:val="21"/>
                      <w:highlight w:val="none"/>
                    </w:rPr>
                    <w:t>根据</w:t>
                  </w:r>
                  <w:r>
                    <w:rPr>
                      <w:rFonts w:hint="eastAsia" w:ascii="Times New Roman" w:hAnsi="Times New Roman" w:eastAsia="宋体" w:cs="宋体"/>
                      <w:color w:val="auto"/>
                      <w:spacing w:val="-2"/>
                      <w:sz w:val="21"/>
                      <w:szCs w:val="21"/>
                      <w:highlight w:val="none"/>
                      <w:lang w:val="en-US" w:eastAsia="zh-CN"/>
                    </w:rPr>
                    <w:t>项目</w:t>
                  </w:r>
                  <w:r>
                    <w:rPr>
                      <w:rFonts w:ascii="Times New Roman" w:hAnsi="Times New Roman" w:eastAsia="宋体" w:cs="宋体"/>
                      <w:color w:val="auto"/>
                      <w:spacing w:val="-2"/>
                      <w:sz w:val="21"/>
                      <w:szCs w:val="21"/>
                      <w:highlight w:val="none"/>
                    </w:rPr>
                    <w:t>《榆林市投资项目选址“一张图”控制线检测报告》检测结果，</w:t>
                  </w:r>
                  <w:r>
                    <w:rPr>
                      <w:rFonts w:ascii="Times New Roman" w:hAnsi="Times New Roman" w:eastAsia="宋体"/>
                      <w:color w:val="auto"/>
                      <w:spacing w:val="-2"/>
                      <w:sz w:val="21"/>
                      <w:szCs w:val="21"/>
                      <w:highlight w:val="none"/>
                    </w:rPr>
                    <w:t>项目不</w:t>
                  </w:r>
                  <w:r>
                    <w:rPr>
                      <w:rFonts w:hint="eastAsia" w:ascii="Times New Roman" w:hAnsi="Times New Roman" w:eastAsia="宋体"/>
                      <w:color w:val="auto"/>
                      <w:spacing w:val="-2"/>
                      <w:sz w:val="21"/>
                      <w:szCs w:val="21"/>
                      <w:highlight w:val="none"/>
                    </w:rPr>
                    <w:t>涉及</w:t>
                  </w:r>
                  <w:r>
                    <w:rPr>
                      <w:rFonts w:ascii="Times New Roman" w:hAnsi="Times New Roman" w:eastAsia="宋体"/>
                      <w:color w:val="auto"/>
                      <w:spacing w:val="-2"/>
                      <w:sz w:val="21"/>
                      <w:szCs w:val="21"/>
                      <w:highlight w:val="none"/>
                    </w:rPr>
                    <w:t>自然保护区、风景名胜区等</w:t>
                  </w:r>
                  <w:r>
                    <w:rPr>
                      <w:rFonts w:hint="eastAsia" w:ascii="Times New Roman" w:hAnsi="Times New Roman" w:eastAsia="宋体"/>
                      <w:color w:val="auto"/>
                      <w:spacing w:val="-2"/>
                      <w:sz w:val="21"/>
                      <w:szCs w:val="21"/>
                      <w:highlight w:val="none"/>
                    </w:rPr>
                    <w:t>禁止类生态环境敏感区</w:t>
                  </w:r>
                  <w:r>
                    <w:rPr>
                      <w:rFonts w:ascii="Times New Roman" w:hAnsi="Times New Roman" w:eastAsia="宋体"/>
                      <w:color w:val="auto"/>
                      <w:spacing w:val="-2"/>
                      <w:sz w:val="21"/>
                      <w:szCs w:val="21"/>
                      <w:highlight w:val="none"/>
                    </w:rPr>
                    <w:t>范围</w:t>
                  </w:r>
                  <w:r>
                    <w:rPr>
                      <w:rFonts w:hint="eastAsia" w:ascii="Times New Roman" w:hAnsi="Times New Roman" w:eastAsia="宋体"/>
                      <w:color w:val="auto"/>
                      <w:spacing w:val="-2"/>
                      <w:sz w:val="21"/>
                      <w:szCs w:val="21"/>
                      <w:highlight w:val="none"/>
                    </w:rPr>
                    <w:t>，不</w:t>
                  </w:r>
                  <w:r>
                    <w:rPr>
                      <w:rFonts w:hint="eastAsia" w:ascii="Times New Roman" w:hAnsi="Times New Roman" w:eastAsia="宋体"/>
                      <w:color w:val="auto"/>
                      <w:sz w:val="21"/>
                      <w:szCs w:val="21"/>
                      <w:highlight w:val="none"/>
                    </w:rPr>
                    <w:t>涉及</w:t>
                  </w:r>
                  <w:r>
                    <w:rPr>
                      <w:rFonts w:ascii="Times New Roman" w:hAnsi="Times New Roman" w:eastAsia="宋体"/>
                      <w:color w:val="auto"/>
                      <w:sz w:val="21"/>
                      <w:szCs w:val="21"/>
                      <w:highlight w:val="none"/>
                    </w:rPr>
                    <w:t>生态保护红线</w:t>
                  </w:r>
                  <w:r>
                    <w:rPr>
                      <w:rFonts w:hint="eastAsia" w:ascii="Times New Roman" w:hAnsi="Times New Roman" w:eastAsia="宋体"/>
                      <w:color w:val="auto"/>
                      <w:sz w:val="21"/>
                      <w:szCs w:val="21"/>
                      <w:highlight w:val="none"/>
                    </w:rPr>
                    <w:t>。</w:t>
                  </w:r>
                </w:p>
              </w:tc>
              <w:tc>
                <w:tcPr>
                  <w:tcW w:w="563" w:type="pct"/>
                  <w:noWrap w:val="0"/>
                  <w:vAlign w:val="center"/>
                </w:tcPr>
                <w:p w14:paraId="55EC8A31">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s="宋体"/>
                      <w:color w:val="auto"/>
                      <w:sz w:val="21"/>
                      <w:szCs w:val="21"/>
                      <w:highlight w:val="none"/>
                    </w:rPr>
                    <w:t>符合</w:t>
                  </w:r>
                </w:p>
              </w:tc>
            </w:tr>
            <w:tr w14:paraId="0FF8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7" w:type="pct"/>
                  <w:noWrap w:val="0"/>
                  <w:vAlign w:val="center"/>
                </w:tcPr>
                <w:p w14:paraId="08EBE05F">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环境质量底线</w:t>
                  </w:r>
                </w:p>
              </w:tc>
              <w:tc>
                <w:tcPr>
                  <w:tcW w:w="3568" w:type="pct"/>
                  <w:noWrap w:val="0"/>
                  <w:vAlign w:val="center"/>
                </w:tcPr>
                <w:p w14:paraId="0F82BC51">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项目区域为环境空气质量达标区</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声环境质量</w:t>
                  </w:r>
                  <w:r>
                    <w:rPr>
                      <w:rFonts w:hint="eastAsia" w:ascii="Times New Roman" w:hAnsi="Times New Roman" w:eastAsia="宋体"/>
                      <w:color w:val="auto"/>
                      <w:sz w:val="21"/>
                      <w:szCs w:val="21"/>
                      <w:highlight w:val="none"/>
                    </w:rPr>
                    <w:t>及地下水水质均</w:t>
                  </w:r>
                  <w:r>
                    <w:rPr>
                      <w:rFonts w:ascii="Times New Roman" w:hAnsi="Times New Roman" w:eastAsia="宋体"/>
                      <w:color w:val="auto"/>
                      <w:sz w:val="21"/>
                      <w:szCs w:val="21"/>
                      <w:highlight w:val="none"/>
                    </w:rPr>
                    <w:t>满足相应的质量标准；</w:t>
                  </w:r>
                  <w:r>
                    <w:rPr>
                      <w:rFonts w:hint="eastAsia" w:ascii="Times New Roman" w:hAnsi="Times New Roman" w:eastAsia="宋体"/>
                      <w:color w:val="auto"/>
                      <w:sz w:val="21"/>
                      <w:szCs w:val="21"/>
                      <w:highlight w:val="none"/>
                    </w:rPr>
                    <w:t>通过</w:t>
                  </w:r>
                  <w:r>
                    <w:rPr>
                      <w:rFonts w:hint="eastAsia" w:ascii="Times New Roman" w:hAnsi="Times New Roman" w:eastAsia="宋体"/>
                      <w:color w:val="auto"/>
                      <w:sz w:val="21"/>
                      <w:szCs w:val="21"/>
                      <w:highlight w:val="none"/>
                      <w:lang w:val="en-US" w:eastAsia="zh-CN"/>
                    </w:rPr>
                    <w:t>对储煤棚采取废气处置措施后，</w:t>
                  </w:r>
                  <w:r>
                    <w:rPr>
                      <w:rFonts w:ascii="Times New Roman" w:hAnsi="Times New Roman" w:eastAsia="宋体"/>
                      <w:color w:val="auto"/>
                      <w:sz w:val="21"/>
                      <w:szCs w:val="21"/>
                      <w:highlight w:val="none"/>
                    </w:rPr>
                    <w:t>项目废气均可达标排放</w:t>
                  </w:r>
                  <w:r>
                    <w:rPr>
                      <w:rFonts w:hint="eastAsia" w:ascii="Times New Roman" w:hAnsi="Times New Roman" w:eastAsia="宋体"/>
                      <w:color w:val="auto"/>
                      <w:sz w:val="21"/>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在采取本环评提出的措施合理处置各项污染物后，本项目建设对周边的影响较小，不触及环境质量底线。</w:t>
                  </w:r>
                </w:p>
              </w:tc>
              <w:tc>
                <w:tcPr>
                  <w:tcW w:w="563" w:type="pct"/>
                  <w:noWrap w:val="0"/>
                  <w:vAlign w:val="center"/>
                </w:tcPr>
                <w:p w14:paraId="6EFA3F47">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s="宋体"/>
                      <w:color w:val="auto"/>
                      <w:sz w:val="21"/>
                      <w:szCs w:val="21"/>
                      <w:highlight w:val="none"/>
                    </w:rPr>
                    <w:t>符合</w:t>
                  </w:r>
                </w:p>
              </w:tc>
            </w:tr>
            <w:tr w14:paraId="6EBB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7" w:type="pct"/>
                  <w:noWrap w:val="0"/>
                  <w:vAlign w:val="center"/>
                </w:tcPr>
                <w:p w14:paraId="2A0809D7">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资源利用上线</w:t>
                  </w:r>
                </w:p>
              </w:tc>
              <w:tc>
                <w:tcPr>
                  <w:tcW w:w="3568" w:type="pct"/>
                  <w:noWrap w:val="0"/>
                  <w:vAlign w:val="center"/>
                </w:tcPr>
                <w:p w14:paraId="7D6D20A2">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rPr>
                    <w:t>为煤炭储运类项目，主要能源消耗为水、电</w:t>
                  </w:r>
                  <w:r>
                    <w:rPr>
                      <w:rFonts w:ascii="Times New Roman" w:hAnsi="Times New Roman" w:eastAsia="宋体"/>
                      <w:color w:val="auto"/>
                      <w:sz w:val="21"/>
                      <w:szCs w:val="21"/>
                      <w:highlight w:val="none"/>
                    </w:rPr>
                    <w:t>，不触及资源</w:t>
                  </w:r>
                  <w:r>
                    <w:rPr>
                      <w:rFonts w:hint="eastAsia" w:ascii="Times New Roman" w:hAnsi="Times New Roman" w:eastAsia="宋体"/>
                      <w:color w:val="auto"/>
                      <w:sz w:val="21"/>
                      <w:szCs w:val="21"/>
                      <w:highlight w:val="none"/>
                    </w:rPr>
                    <w:t>能源</w:t>
                  </w:r>
                  <w:r>
                    <w:rPr>
                      <w:rFonts w:ascii="Times New Roman" w:hAnsi="Times New Roman" w:eastAsia="宋体"/>
                      <w:color w:val="auto"/>
                      <w:sz w:val="21"/>
                      <w:szCs w:val="21"/>
                      <w:highlight w:val="none"/>
                    </w:rPr>
                    <w:t>利用上线</w:t>
                  </w:r>
                </w:p>
              </w:tc>
              <w:tc>
                <w:tcPr>
                  <w:tcW w:w="563" w:type="pct"/>
                  <w:noWrap w:val="0"/>
                  <w:vAlign w:val="center"/>
                </w:tcPr>
                <w:p w14:paraId="07D9BCAA">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s="宋体"/>
                      <w:color w:val="auto"/>
                      <w:sz w:val="21"/>
                      <w:szCs w:val="21"/>
                      <w:highlight w:val="none"/>
                    </w:rPr>
                    <w:t>符合</w:t>
                  </w:r>
                </w:p>
              </w:tc>
            </w:tr>
            <w:tr w14:paraId="0EA3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7" w:type="pct"/>
                  <w:noWrap w:val="0"/>
                  <w:vAlign w:val="center"/>
                </w:tcPr>
                <w:p w14:paraId="5A28C0E8">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s="宋体"/>
                      <w:color w:val="auto"/>
                      <w:sz w:val="21"/>
                      <w:szCs w:val="21"/>
                      <w:highlight w:val="none"/>
                    </w:rPr>
                    <w:t>环境准入负面清单</w:t>
                  </w:r>
                </w:p>
              </w:tc>
              <w:tc>
                <w:tcPr>
                  <w:tcW w:w="3568" w:type="pct"/>
                  <w:noWrap w:val="0"/>
                  <w:vAlign w:val="center"/>
                </w:tcPr>
                <w:p w14:paraId="3F86E61D">
                  <w:pPr>
                    <w:adjustRightInd w:val="0"/>
                    <w:snapToGrid w:val="0"/>
                    <w:spacing w:line="300" w:lineRule="atLeast"/>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rPr>
                    <w:t>本项目属于</w:t>
                  </w:r>
                  <w:r>
                    <w:rPr>
                      <w:rFonts w:hint="eastAsia" w:ascii="Times New Roman" w:hAnsi="Times New Roman" w:eastAsia="宋体"/>
                      <w:color w:val="auto"/>
                      <w:sz w:val="21"/>
                      <w:szCs w:val="21"/>
                      <w:highlight w:val="none"/>
                      <w:lang w:val="en-US" w:eastAsia="zh-CN"/>
                    </w:rPr>
                    <w:t>“四、煤炭开采和洗选业，煤炭储存、集运”，位于府谷县，</w:t>
                  </w:r>
                  <w:r>
                    <w:rPr>
                      <w:rFonts w:hint="default" w:ascii="Times New Roman" w:hAnsi="Times New Roman" w:cs="Times New Roman"/>
                      <w:color w:val="auto"/>
                      <w:sz w:val="21"/>
                      <w:szCs w:val="21"/>
                      <w:highlight w:val="none"/>
                    </w:rPr>
                    <w:t>不属于《陕西省国家重点生态功能区产业准入负面清单（试行）》</w:t>
                  </w:r>
                  <w:r>
                    <w:rPr>
                      <w:rFonts w:hint="eastAsia" w:ascii="Times New Roman" w:hAnsi="Times New Roman" w:cs="Times New Roman"/>
                      <w:color w:val="auto"/>
                      <w:sz w:val="21"/>
                      <w:szCs w:val="21"/>
                      <w:highlight w:val="none"/>
                      <w:lang w:val="en-US" w:eastAsia="zh-CN"/>
                    </w:rPr>
                    <w:t>中所列区域（清涧县、子洲县、吴堡县、佳县、米脂县、绥德县）</w:t>
                  </w:r>
                </w:p>
                <w:p w14:paraId="45738461">
                  <w:pPr>
                    <w:adjustRightInd w:val="0"/>
                    <w:snapToGrid w:val="0"/>
                    <w:spacing w:line="300" w:lineRule="atLeast"/>
                    <w:jc w:val="center"/>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不属于负面清单内禁止新建、扩建产业</w:t>
                  </w:r>
                  <w:r>
                    <w:rPr>
                      <w:rFonts w:ascii="Times New Roman" w:hAnsi="Times New Roman" w:eastAsia="宋体"/>
                      <w:color w:val="auto"/>
                      <w:sz w:val="21"/>
                      <w:szCs w:val="21"/>
                      <w:highlight w:val="none"/>
                    </w:rPr>
                    <w:t>。</w:t>
                  </w:r>
                </w:p>
              </w:tc>
              <w:tc>
                <w:tcPr>
                  <w:tcW w:w="563" w:type="pct"/>
                  <w:noWrap w:val="0"/>
                  <w:vAlign w:val="center"/>
                </w:tcPr>
                <w:p w14:paraId="19236ADA">
                  <w:pPr>
                    <w:adjustRightInd w:val="0"/>
                    <w:snapToGrid w:val="0"/>
                    <w:spacing w:line="300" w:lineRule="atLeast"/>
                    <w:jc w:val="center"/>
                    <w:rPr>
                      <w:rFonts w:ascii="Times New Roman" w:hAnsi="Times New Roman" w:eastAsia="宋体"/>
                      <w:color w:val="auto"/>
                      <w:sz w:val="21"/>
                      <w:szCs w:val="21"/>
                      <w:highlight w:val="none"/>
                    </w:rPr>
                  </w:pPr>
                  <w:r>
                    <w:rPr>
                      <w:rFonts w:ascii="Times New Roman" w:hAnsi="Times New Roman" w:eastAsia="宋体" w:cs="宋体"/>
                      <w:color w:val="auto"/>
                      <w:sz w:val="21"/>
                      <w:szCs w:val="21"/>
                      <w:highlight w:val="none"/>
                    </w:rPr>
                    <w:t>符合</w:t>
                  </w:r>
                </w:p>
              </w:tc>
            </w:tr>
          </w:tbl>
          <w:p w14:paraId="6EF3ABC5">
            <w:pPr>
              <w:spacing w:line="360" w:lineRule="auto"/>
              <w:ind w:firstLine="482" w:firstLineChars="200"/>
              <w:rPr>
                <w:rFonts w:ascii="Times New Roman" w:hAnsi="Times New Roman" w:eastAsia="宋体"/>
                <w:b/>
                <w:bCs/>
                <w:color w:val="auto"/>
                <w:kern w:val="24"/>
                <w:sz w:val="24"/>
                <w:highlight w:val="none"/>
                <w:lang w:val="zh-CN"/>
              </w:rPr>
            </w:pPr>
            <w:r>
              <w:rPr>
                <w:rFonts w:ascii="Times New Roman" w:hAnsi="Times New Roman" w:eastAsia="宋体"/>
                <w:b/>
                <w:bCs/>
                <w:color w:val="auto"/>
                <w:kern w:val="24"/>
                <w:sz w:val="24"/>
                <w:highlight w:val="none"/>
                <w:lang w:val="zh-CN"/>
              </w:rPr>
              <w:t>5、与相关环保政策符合性分析</w:t>
            </w:r>
          </w:p>
          <w:p w14:paraId="2C134202">
            <w:pPr>
              <w:pStyle w:val="58"/>
              <w:spacing w:line="360" w:lineRule="auto"/>
              <w:ind w:firstLine="480"/>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本项目与其相关环保政策符合性分析见表1-</w:t>
            </w:r>
            <w:r>
              <w:rPr>
                <w:rFonts w:hint="eastAsia" w:ascii="Times New Roman" w:hAnsi="Times New Roman" w:eastAsia="宋体"/>
                <w:color w:val="auto"/>
                <w:szCs w:val="21"/>
                <w:highlight w:val="none"/>
                <w:lang w:val="en-US" w:eastAsia="zh-CN"/>
              </w:rPr>
              <w:t>7</w:t>
            </w:r>
            <w:r>
              <w:rPr>
                <w:rFonts w:ascii="Times New Roman" w:hAnsi="Times New Roman" w:eastAsia="宋体"/>
                <w:color w:val="auto"/>
                <w:szCs w:val="21"/>
                <w:highlight w:val="none"/>
                <w:lang w:val="en-US" w:eastAsia="zh-CN"/>
              </w:rPr>
              <w:t>。</w:t>
            </w:r>
          </w:p>
          <w:p w14:paraId="5FBB2938">
            <w:pPr>
              <w:pStyle w:val="14"/>
              <w:spacing w:after="0"/>
              <w:ind w:firstLine="0" w:firstLineChars="0"/>
              <w:jc w:val="center"/>
              <w:rPr>
                <w:rFonts w:ascii="Times New Roman" w:hAnsi="Times New Roman" w:eastAsia="宋体"/>
                <w:b/>
                <w:bCs w:val="0"/>
                <w:color w:val="auto"/>
                <w:sz w:val="24"/>
                <w:highlight w:val="none"/>
                <w:lang w:val="en-US" w:eastAsia="zh-CN"/>
              </w:rPr>
            </w:pPr>
            <w:r>
              <w:rPr>
                <w:rFonts w:ascii="Times New Roman" w:hAnsi="Times New Roman" w:eastAsia="宋体"/>
                <w:b/>
                <w:bCs w:val="0"/>
                <w:color w:val="auto"/>
                <w:sz w:val="24"/>
                <w:highlight w:val="none"/>
                <w:lang w:val="en-US" w:eastAsia="zh-CN"/>
              </w:rPr>
              <w:t>表1-</w:t>
            </w:r>
            <w:r>
              <w:rPr>
                <w:rFonts w:hint="eastAsia" w:ascii="Times New Roman" w:hAnsi="Times New Roman" w:eastAsia="宋体"/>
                <w:b/>
                <w:bCs w:val="0"/>
                <w:color w:val="auto"/>
                <w:sz w:val="24"/>
                <w:highlight w:val="none"/>
                <w:lang w:val="en-US" w:eastAsia="zh-CN"/>
              </w:rPr>
              <w:t>7</w:t>
            </w:r>
            <w:r>
              <w:rPr>
                <w:rFonts w:ascii="Times New Roman" w:hAnsi="Times New Roman" w:eastAsia="宋体"/>
                <w:b/>
                <w:bCs w:val="0"/>
                <w:color w:val="auto"/>
                <w:sz w:val="24"/>
                <w:highlight w:val="none"/>
                <w:lang w:val="en-US" w:eastAsia="zh-CN"/>
              </w:rPr>
              <w:t xml:space="preserve">  项目与相关环保政策的符合性</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245"/>
              <w:gridCol w:w="3125"/>
              <w:gridCol w:w="1988"/>
              <w:gridCol w:w="786"/>
            </w:tblGrid>
            <w:tr w14:paraId="6434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54EEE9E3">
                  <w:pPr>
                    <w:autoSpaceDE w:val="0"/>
                    <w:autoSpaceDN w:val="0"/>
                    <w:adjustRightInd w:val="0"/>
                    <w:jc w:val="center"/>
                    <w:rPr>
                      <w:color w:val="auto"/>
                      <w:sz w:val="21"/>
                      <w:szCs w:val="21"/>
                      <w:highlight w:val="none"/>
                    </w:rPr>
                  </w:pPr>
                  <w:r>
                    <w:rPr>
                      <w:color w:val="auto"/>
                      <w:sz w:val="21"/>
                      <w:szCs w:val="21"/>
                      <w:highlight w:val="none"/>
                    </w:rPr>
                    <w:t>文件</w:t>
                  </w:r>
                </w:p>
              </w:tc>
              <w:tc>
                <w:tcPr>
                  <w:tcW w:w="2187" w:type="pct"/>
                  <w:noWrap w:val="0"/>
                  <w:vAlign w:val="center"/>
                </w:tcPr>
                <w:p w14:paraId="5C6A1412">
                  <w:pPr>
                    <w:autoSpaceDE w:val="0"/>
                    <w:autoSpaceDN w:val="0"/>
                    <w:adjustRightInd w:val="0"/>
                    <w:jc w:val="center"/>
                    <w:rPr>
                      <w:color w:val="auto"/>
                      <w:sz w:val="21"/>
                      <w:szCs w:val="21"/>
                      <w:highlight w:val="none"/>
                    </w:rPr>
                  </w:pPr>
                  <w:r>
                    <w:rPr>
                      <w:color w:val="auto"/>
                      <w:sz w:val="21"/>
                      <w:szCs w:val="21"/>
                      <w:highlight w:val="none"/>
                    </w:rPr>
                    <w:t>环境管理政策要求</w:t>
                  </w:r>
                </w:p>
              </w:tc>
              <w:tc>
                <w:tcPr>
                  <w:tcW w:w="1391" w:type="pct"/>
                  <w:noWrap w:val="0"/>
                  <w:vAlign w:val="center"/>
                </w:tcPr>
                <w:p w14:paraId="7D035855">
                  <w:pPr>
                    <w:autoSpaceDE w:val="0"/>
                    <w:autoSpaceDN w:val="0"/>
                    <w:adjustRightInd w:val="0"/>
                    <w:jc w:val="center"/>
                    <w:rPr>
                      <w:color w:val="auto"/>
                      <w:sz w:val="21"/>
                      <w:szCs w:val="21"/>
                      <w:highlight w:val="none"/>
                    </w:rPr>
                  </w:pPr>
                  <w:r>
                    <w:rPr>
                      <w:color w:val="auto"/>
                      <w:sz w:val="21"/>
                      <w:szCs w:val="21"/>
                      <w:highlight w:val="none"/>
                    </w:rPr>
                    <w:t>本项目情况</w:t>
                  </w:r>
                </w:p>
              </w:tc>
              <w:tc>
                <w:tcPr>
                  <w:tcW w:w="550" w:type="pct"/>
                  <w:noWrap w:val="0"/>
                  <w:vAlign w:val="center"/>
                </w:tcPr>
                <w:p w14:paraId="00551692">
                  <w:pPr>
                    <w:autoSpaceDE w:val="0"/>
                    <w:autoSpaceDN w:val="0"/>
                    <w:adjustRightInd w:val="0"/>
                    <w:jc w:val="center"/>
                    <w:rPr>
                      <w:color w:val="auto"/>
                      <w:sz w:val="21"/>
                      <w:szCs w:val="21"/>
                      <w:highlight w:val="none"/>
                    </w:rPr>
                  </w:pPr>
                  <w:r>
                    <w:rPr>
                      <w:color w:val="auto"/>
                      <w:sz w:val="21"/>
                      <w:szCs w:val="21"/>
                      <w:highlight w:val="none"/>
                    </w:rPr>
                    <w:t>符合性</w:t>
                  </w:r>
                </w:p>
              </w:tc>
            </w:tr>
            <w:tr w14:paraId="0124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1BF91FE6">
                  <w:pPr>
                    <w:pStyle w:val="58"/>
                    <w:spacing w:line="240" w:lineRule="exact"/>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olor w:val="auto"/>
                      <w:sz w:val="21"/>
                      <w:szCs w:val="21"/>
                      <w:highlight w:val="none"/>
                    </w:rPr>
                    <w:t>《中华人民共和国防沙治沙法(2018修正)》</w:t>
                  </w:r>
                </w:p>
              </w:tc>
              <w:tc>
                <w:tcPr>
                  <w:tcW w:w="2187" w:type="pct"/>
                  <w:noWrap w:val="0"/>
                  <w:vAlign w:val="center"/>
                </w:tcPr>
                <w:p w14:paraId="1339F6A7">
                  <w:pPr>
                    <w:pStyle w:val="24"/>
                    <w:keepNext w:val="0"/>
                    <w:keepLines w:val="0"/>
                    <w:widowControl/>
                    <w:suppressLineNumbers w:val="0"/>
                    <w:jc w:val="center"/>
                    <w:rPr>
                      <w:rFonts w:hint="eastAsia"/>
                      <w:color w:val="auto"/>
                      <w:sz w:val="21"/>
                      <w:szCs w:val="21"/>
                      <w:highlight w:val="none"/>
                    </w:rPr>
                  </w:pPr>
                  <w:r>
                    <w:rPr>
                      <w:rFonts w:hint="eastAsia" w:ascii="宋体" w:hAnsi="宋体" w:eastAsia="宋体" w:cs="宋体"/>
                      <w:color w:val="auto"/>
                      <w:sz w:val="21"/>
                      <w:szCs w:val="21"/>
                      <w:highlight w:val="none"/>
                    </w:rPr>
                    <w:t>第二十一条</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在沙化土地范围内从事开发建设活动的，必须事先就该项目可能对当地及相关地区生态产生的影响进行环境影响评价，依法提交环境影响报告；环境影响报告应当包括有关防沙治沙的内容。</w:t>
                  </w:r>
                </w:p>
              </w:tc>
              <w:tc>
                <w:tcPr>
                  <w:tcW w:w="1391" w:type="pct"/>
                  <w:noWrap w:val="0"/>
                  <w:vAlign w:val="center"/>
                </w:tcPr>
                <w:p w14:paraId="7FA6F827">
                  <w:pPr>
                    <w:jc w:val="center"/>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rPr>
                    <w:t>本项目涉及在沙化土地范围内从事开发建设活动，正在进行环境影响评价，且评价报告中含有有关防沙治沙的内容</w:t>
                  </w:r>
                  <w:r>
                    <w:rPr>
                      <w:rFonts w:hint="eastAsia" w:ascii="宋体" w:hAnsi="宋体" w:eastAsia="宋体" w:cs="宋体"/>
                      <w:color w:val="auto"/>
                      <w:sz w:val="21"/>
                      <w:szCs w:val="21"/>
                      <w:highlight w:val="none"/>
                      <w:lang w:eastAsia="zh-CN"/>
                    </w:rPr>
                    <w:t>。</w:t>
                  </w:r>
                </w:p>
              </w:tc>
              <w:tc>
                <w:tcPr>
                  <w:tcW w:w="550" w:type="pct"/>
                  <w:noWrap w:val="0"/>
                  <w:vAlign w:val="center"/>
                </w:tcPr>
                <w:p w14:paraId="04AC4952">
                  <w:pPr>
                    <w:jc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3CE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3492F5FC">
                  <w:pPr>
                    <w:pStyle w:val="58"/>
                    <w:spacing w:line="240" w:lineRule="exact"/>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olor w:val="auto"/>
                      <w:sz w:val="21"/>
                      <w:szCs w:val="21"/>
                      <w:highlight w:val="none"/>
                    </w:rPr>
                    <w:t>关于印发《全国防沙治沙规划（2021－2030年）》的通知</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林规发〔2022〕115号</w:t>
                  </w:r>
                </w:p>
              </w:tc>
              <w:tc>
                <w:tcPr>
                  <w:tcW w:w="2187" w:type="pct"/>
                  <w:noWrap w:val="0"/>
                  <w:vAlign w:val="center"/>
                </w:tcPr>
                <w:p w14:paraId="39EA9BC4">
                  <w:pPr>
                    <w:pStyle w:val="58"/>
                    <w:spacing w:line="240" w:lineRule="exact"/>
                    <w:ind w:firstLine="0" w:firstLineChars="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11.毛乌素沙地生态保护修复区，陕西省重点县包含：榆林市榆阳区、横山区、榆阳区、府谷县、靖边县、定边县、佳县。</w:t>
                  </w:r>
                </w:p>
                <w:p w14:paraId="47260391">
                  <w:pPr>
                    <w:pStyle w:val="26"/>
                    <w:rPr>
                      <w:rFonts w:hint="eastAsia"/>
                      <w:color w:val="auto"/>
                      <w:sz w:val="21"/>
                      <w:szCs w:val="21"/>
                      <w:highlight w:val="none"/>
                    </w:rPr>
                  </w:pPr>
                  <w:r>
                    <w:rPr>
                      <w:rFonts w:hint="eastAsia"/>
                      <w:b w:val="0"/>
                      <w:bCs w:val="0"/>
                      <w:color w:val="auto"/>
                      <w:sz w:val="21"/>
                      <w:szCs w:val="21"/>
                      <w:highlight w:val="none"/>
                      <w:lang w:val="en-US" w:eastAsia="zh-CN"/>
                    </w:rPr>
                    <w:t>主要防治措施：</w:t>
                  </w:r>
                  <w:r>
                    <w:rPr>
                      <w:rFonts w:hint="default"/>
                      <w:b w:val="0"/>
                      <w:bCs w:val="0"/>
                      <w:color w:val="auto"/>
                      <w:sz w:val="21"/>
                      <w:szCs w:val="21"/>
                      <w:highlight w:val="none"/>
                      <w:lang w:val="en-US" w:eastAsia="zh-CN"/>
                    </w:rPr>
                    <w:t>严格管护；推进沙地北部及中部流动沙丘、半固定沙丘治理；在沙地南部风蚀水蚀交错区，开展水土流失治理；实施矿区生态修复，恢复林草植被。</w:t>
                  </w:r>
                </w:p>
              </w:tc>
              <w:tc>
                <w:tcPr>
                  <w:tcW w:w="1391" w:type="pct"/>
                  <w:noWrap w:val="0"/>
                  <w:vAlign w:val="center"/>
                </w:tcPr>
                <w:p w14:paraId="7974F05E">
                  <w:pPr>
                    <w:jc w:val="center"/>
                    <w:rPr>
                      <w:rFonts w:hint="default"/>
                      <w:color w:val="auto"/>
                      <w:sz w:val="21"/>
                      <w:szCs w:val="21"/>
                      <w:highlight w:val="none"/>
                      <w:lang w:val="en-US" w:eastAsia="zh-CN"/>
                    </w:rPr>
                  </w:pPr>
                  <w:r>
                    <w:rPr>
                      <w:rFonts w:hint="eastAsia" w:ascii="Times New Roman" w:hAnsi="Times New Roman"/>
                      <w:color w:val="auto"/>
                      <w:sz w:val="21"/>
                      <w:szCs w:val="21"/>
                      <w:highlight w:val="none"/>
                      <w:lang w:val="en-US" w:eastAsia="zh-CN"/>
                    </w:rPr>
                    <w:t>本项目位于陕西省榆林市府谷县，属于毛乌素沙地生态保护修复区的重点县，属于</w:t>
                  </w:r>
                  <w:r>
                    <w:rPr>
                      <w:rFonts w:hint="default"/>
                      <w:b w:val="0"/>
                      <w:bCs w:val="0"/>
                      <w:color w:val="auto"/>
                      <w:sz w:val="21"/>
                      <w:szCs w:val="21"/>
                      <w:highlight w:val="none"/>
                      <w:lang w:val="en-US" w:eastAsia="zh-CN"/>
                    </w:rPr>
                    <w:t>沙地南部风蚀水蚀交错区，</w:t>
                  </w:r>
                  <w:r>
                    <w:rPr>
                      <w:rFonts w:hint="eastAsia"/>
                      <w:b w:val="0"/>
                      <w:bCs w:val="0"/>
                      <w:color w:val="auto"/>
                      <w:sz w:val="21"/>
                      <w:szCs w:val="21"/>
                      <w:highlight w:val="none"/>
                      <w:lang w:val="en-US" w:eastAsia="zh-CN"/>
                    </w:rPr>
                    <w:t>水土流失防治重点为工程建设期。本次评价要求施工期严格管护，前期针对施工过程中对于施工过程中涉及堆土全部采取挡护、苫盖等措施，并对施工区扰动地表采取碾压、洒水等临时防护措施。后期施工结束后，厂区进行内和厂区周边适当绿化。</w:t>
                  </w:r>
                </w:p>
              </w:tc>
              <w:tc>
                <w:tcPr>
                  <w:tcW w:w="550" w:type="pct"/>
                  <w:noWrap w:val="0"/>
                  <w:vAlign w:val="center"/>
                </w:tcPr>
                <w:p w14:paraId="265070F2">
                  <w:pPr>
                    <w:jc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62D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6A540A7B">
                  <w:pPr>
                    <w:autoSpaceDE w:val="0"/>
                    <w:autoSpaceDN w:val="0"/>
                    <w:adjustRightInd w:val="0"/>
                    <w:snapToGrid w:val="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kern w:val="0"/>
                      <w:szCs w:val="21"/>
                      <w:highlight w:val="none"/>
                    </w:rPr>
                    <w:t>《榆林市生态环境局关于全面推动企业扬尘在线监测及智能降尘系统建设工作》（榆政环发</w:t>
                  </w:r>
                  <w:r>
                    <w:rPr>
                      <w:rFonts w:hint="default" w:ascii="Times New Roman" w:hAnsi="Times New Roman" w:cs="Times New Roman"/>
                      <w:color w:val="auto"/>
                      <w:szCs w:val="21"/>
                      <w:highlight w:val="none"/>
                    </w:rPr>
                    <w:t>〔2021〕</w:t>
                  </w:r>
                  <w:r>
                    <w:rPr>
                      <w:rFonts w:hint="default" w:ascii="Times New Roman" w:hAnsi="Times New Roman" w:cs="Times New Roman"/>
                      <w:color w:val="auto"/>
                      <w:kern w:val="0"/>
                      <w:szCs w:val="21"/>
                      <w:highlight w:val="none"/>
                    </w:rPr>
                    <w:t>73号）</w:t>
                  </w:r>
                </w:p>
              </w:tc>
              <w:tc>
                <w:tcPr>
                  <w:tcW w:w="2187" w:type="pct"/>
                  <w:noWrap w:val="0"/>
                  <w:vAlign w:val="center"/>
                </w:tcPr>
                <w:p w14:paraId="3220C5B4">
                  <w:pPr>
                    <w:autoSpaceDE w:val="0"/>
                    <w:autoSpaceDN w:val="0"/>
                    <w:adjustRightInd w:val="0"/>
                    <w:snapToGrid w:val="0"/>
                    <w:jc w:val="center"/>
                    <w:rPr>
                      <w:rFonts w:hint="eastAsia"/>
                      <w:color w:val="auto"/>
                      <w:sz w:val="21"/>
                      <w:szCs w:val="21"/>
                      <w:highlight w:val="none"/>
                    </w:rPr>
                  </w:pPr>
                  <w:r>
                    <w:rPr>
                      <w:rFonts w:hint="default" w:ascii="Times New Roman" w:hAnsi="Times New Roman" w:cs="Times New Roman"/>
                      <w:color w:val="auto"/>
                      <w:sz w:val="21"/>
                      <w:szCs w:val="21"/>
                      <w:highlight w:val="none"/>
                    </w:rPr>
                    <w:t>全面建成企业厂界扬尘在线监控体系全市范围内涉及扬尘污染的企业，重点包括煤炭开采、储存、洗选加工企业，含有粉煤灰、废渣等物料堆场的工业企业和其它扬尘污染严重的工业企业6月底前全面建成企业厂界扬尘在线监测设施。原则上至少在厂界四角或东西南北建设4台扬尘在线监控设施，规模较大或有特殊布局的企业要在重点区域增加扬尘在线监控设施的数量，保证监测全覆盖。企业扬尘在线监测数据通过环保数采仪接入市大气综合管控平台，接入数据包括点位基本信息和环境温度、湿度风向、风速以及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、TSP浓度等。</w:t>
                  </w:r>
                </w:p>
              </w:tc>
              <w:tc>
                <w:tcPr>
                  <w:tcW w:w="1391" w:type="pct"/>
                  <w:noWrap w:val="0"/>
                  <w:vAlign w:val="center"/>
                </w:tcPr>
                <w:p w14:paraId="34609FFA">
                  <w:pPr>
                    <w:autoSpaceDE w:val="0"/>
                    <w:autoSpaceDN w:val="0"/>
                    <w:adjustRightInd w:val="0"/>
                    <w:snapToGrid w:val="0"/>
                    <w:jc w:val="center"/>
                    <w:rPr>
                      <w:rFonts w:hint="default"/>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现有工程为煤炭洗选，本项目为洗选精煤的储存</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现有厂区含4台扬尘在线监测系统，监测数据包含基本信息和环境温度、湿度风向、风速以及PM10、PM2.5、TSP浓度等。本项目依托厂区现有的4台扬尘在线系统，建成后移至新的厂界四角移动即可。</w:t>
                  </w:r>
                </w:p>
              </w:tc>
              <w:tc>
                <w:tcPr>
                  <w:tcW w:w="550" w:type="pct"/>
                  <w:noWrap w:val="0"/>
                  <w:vAlign w:val="center"/>
                </w:tcPr>
                <w:p w14:paraId="359F2D8F">
                  <w:pPr>
                    <w:autoSpaceDE w:val="0"/>
                    <w:autoSpaceDN w:val="0"/>
                    <w:adjustRightInd w:val="0"/>
                    <w:snapToGrid w:val="0"/>
                    <w:jc w:val="center"/>
                    <w:rPr>
                      <w:rFonts w:hint="eastAsia"/>
                      <w:color w:val="auto"/>
                      <w:sz w:val="21"/>
                      <w:szCs w:val="21"/>
                      <w:highlight w:val="none"/>
                      <w:lang w:val="en-US" w:eastAsia="zh-CN"/>
                    </w:rPr>
                  </w:pPr>
                  <w:r>
                    <w:rPr>
                      <w:rFonts w:hint="default" w:ascii="Times New Roman" w:hAnsi="Times New Roman" w:cs="Times New Roman"/>
                      <w:color w:val="auto"/>
                      <w:kern w:val="0"/>
                      <w:szCs w:val="21"/>
                      <w:highlight w:val="none"/>
                    </w:rPr>
                    <w:t>符合</w:t>
                  </w:r>
                </w:p>
              </w:tc>
            </w:tr>
            <w:tr w14:paraId="07E6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611C5855">
                  <w:pPr>
                    <w:autoSpaceDE w:val="0"/>
                    <w:autoSpaceDN w:val="0"/>
                    <w:adjustRightInd w:val="0"/>
                    <w:jc w:val="center"/>
                    <w:rPr>
                      <w:color w:val="auto"/>
                      <w:sz w:val="21"/>
                      <w:szCs w:val="21"/>
                      <w:highlight w:val="none"/>
                    </w:rPr>
                  </w:pPr>
                  <w:r>
                    <w:rPr>
                      <w:rFonts w:hint="eastAsia" w:ascii="Times New Roman" w:hAnsi="Times New Roman" w:cs="Times New Roman"/>
                      <w:color w:val="auto"/>
                      <w:sz w:val="21"/>
                      <w:szCs w:val="21"/>
                      <w:highlight w:val="none"/>
                    </w:rPr>
                    <w:t>《全市安全生产和黄河流域生态环境保护工作调度会议确定事项》</w:t>
                  </w:r>
                </w:p>
              </w:tc>
              <w:tc>
                <w:tcPr>
                  <w:tcW w:w="2187" w:type="pct"/>
                  <w:noWrap w:val="0"/>
                  <w:vAlign w:val="center"/>
                </w:tcPr>
                <w:p w14:paraId="1C573A03">
                  <w:pPr>
                    <w:jc w:val="center"/>
                    <w:rPr>
                      <w:color w:val="auto"/>
                      <w:sz w:val="21"/>
                      <w:szCs w:val="21"/>
                      <w:highlight w:val="none"/>
                    </w:rPr>
                  </w:pPr>
                  <w:r>
                    <w:rPr>
                      <w:rFonts w:hint="eastAsia"/>
                      <w:color w:val="auto"/>
                      <w:sz w:val="21"/>
                      <w:szCs w:val="21"/>
                      <w:highlight w:val="none"/>
                    </w:rPr>
                    <w:t>(七)储煤场环境问题整治。由市城管局牵头，市能源局、市资源规划局、市生态环境局、市应急局参与，今后除新建煤矿配套需建设的储煤场外，不得再新批单建的储煤场。由各县市区、园区负责，下决心推进环保型储煤场标准化建设。</w:t>
                  </w:r>
                </w:p>
              </w:tc>
              <w:tc>
                <w:tcPr>
                  <w:tcW w:w="1391" w:type="pct"/>
                  <w:noWrap w:val="0"/>
                  <w:vAlign w:val="center"/>
                </w:tcPr>
                <w:p w14:paraId="09C27123">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新建储煤棚功能定位为洗选后精煤储棚，为现有洗煤厂配套工程，旨在一方面解决企业目前原煤和精煤混合储存导致其质量下降情况；另一方面，解决企业产品结构单一，建成后通过增加振动筛层数，从而增加各种粒级的籽煤产品，提高企业的经济效益。故不属于单建的储煤场。</w:t>
                  </w:r>
                </w:p>
              </w:tc>
              <w:tc>
                <w:tcPr>
                  <w:tcW w:w="550" w:type="pct"/>
                  <w:noWrap w:val="0"/>
                  <w:vAlign w:val="center"/>
                </w:tcPr>
                <w:p w14:paraId="1C67CB84">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5F62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4" w:hRule="atLeast"/>
              </w:trPr>
              <w:tc>
                <w:tcPr>
                  <w:tcW w:w="871" w:type="pct"/>
                  <w:noWrap w:val="0"/>
                  <w:vAlign w:val="center"/>
                </w:tcPr>
                <w:p w14:paraId="25EE34A6">
                  <w:pPr>
                    <w:autoSpaceDE w:val="0"/>
                    <w:autoSpaceDN w:val="0"/>
                    <w:adjustRightInd w:val="0"/>
                    <w:jc w:val="center"/>
                    <w:rPr>
                      <w:color w:val="auto"/>
                      <w:sz w:val="21"/>
                      <w:szCs w:val="21"/>
                      <w:highlight w:val="none"/>
                    </w:rPr>
                  </w:pPr>
                  <w:r>
                    <w:rPr>
                      <w:color w:val="auto"/>
                      <w:sz w:val="21"/>
                      <w:szCs w:val="21"/>
                      <w:highlight w:val="none"/>
                    </w:rPr>
                    <w:t>《煤炭产业政策》（2007年第80号）</w:t>
                  </w:r>
                </w:p>
              </w:tc>
              <w:tc>
                <w:tcPr>
                  <w:tcW w:w="2187" w:type="pct"/>
                  <w:noWrap w:val="0"/>
                  <w:vAlign w:val="center"/>
                </w:tcPr>
                <w:p w14:paraId="361E8128">
                  <w:pPr>
                    <w:jc w:val="center"/>
                    <w:rPr>
                      <w:color w:val="auto"/>
                      <w:sz w:val="21"/>
                      <w:szCs w:val="21"/>
                      <w:highlight w:val="none"/>
                    </w:rPr>
                  </w:pPr>
                  <w:r>
                    <w:rPr>
                      <w:color w:val="auto"/>
                      <w:sz w:val="21"/>
                      <w:szCs w:val="21"/>
                      <w:highlight w:val="none"/>
                    </w:rPr>
                    <w:t>第三十三条：煤炭运输应当采取防尘、防晒漏措施</w:t>
                  </w:r>
                </w:p>
              </w:tc>
              <w:tc>
                <w:tcPr>
                  <w:tcW w:w="1391" w:type="pct"/>
                  <w:noWrap w:val="0"/>
                  <w:vAlign w:val="center"/>
                </w:tcPr>
                <w:p w14:paraId="72CC27FB">
                  <w:pPr>
                    <w:jc w:val="center"/>
                    <w:rPr>
                      <w:color w:val="auto"/>
                      <w:sz w:val="21"/>
                      <w:szCs w:val="21"/>
                      <w:highlight w:val="none"/>
                    </w:rPr>
                  </w:pPr>
                  <w:r>
                    <w:rPr>
                      <w:color w:val="auto"/>
                      <w:sz w:val="21"/>
                      <w:szCs w:val="21"/>
                      <w:highlight w:val="none"/>
                    </w:rPr>
                    <w:t>本项目环保煤运输采用厢式汽车进行运输。</w:t>
                  </w:r>
                </w:p>
              </w:tc>
              <w:tc>
                <w:tcPr>
                  <w:tcW w:w="550" w:type="pct"/>
                  <w:noWrap w:val="0"/>
                  <w:vAlign w:val="center"/>
                </w:tcPr>
                <w:p w14:paraId="09B8276F">
                  <w:pPr>
                    <w:jc w:val="center"/>
                    <w:rPr>
                      <w:color w:val="auto"/>
                      <w:sz w:val="21"/>
                      <w:szCs w:val="21"/>
                      <w:highlight w:val="none"/>
                    </w:rPr>
                  </w:pPr>
                  <w:r>
                    <w:rPr>
                      <w:color w:val="auto"/>
                      <w:sz w:val="21"/>
                      <w:szCs w:val="21"/>
                      <w:highlight w:val="none"/>
                    </w:rPr>
                    <w:t>符合</w:t>
                  </w:r>
                </w:p>
              </w:tc>
            </w:tr>
            <w:tr w14:paraId="1F63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615" w:hRule="atLeast"/>
              </w:trPr>
              <w:tc>
                <w:tcPr>
                  <w:tcW w:w="871" w:type="pct"/>
                  <w:vMerge w:val="restart"/>
                  <w:noWrap w:val="0"/>
                  <w:vAlign w:val="center"/>
                </w:tcPr>
                <w:p w14:paraId="35FFF345">
                  <w:pPr>
                    <w:autoSpaceDE w:val="0"/>
                    <w:autoSpaceDN w:val="0"/>
                    <w:adjustRightInd w:val="0"/>
                    <w:jc w:val="center"/>
                    <w:rPr>
                      <w:color w:val="auto"/>
                      <w:sz w:val="21"/>
                      <w:szCs w:val="21"/>
                      <w:highlight w:val="none"/>
                    </w:rPr>
                  </w:pPr>
                  <w:r>
                    <w:rPr>
                      <w:color w:val="auto"/>
                      <w:sz w:val="21"/>
                      <w:szCs w:val="21"/>
                      <w:highlight w:val="none"/>
                    </w:rPr>
                    <w:t>《煤炭经营监管办法》（国家发展改革委令第13号）</w:t>
                  </w:r>
                </w:p>
              </w:tc>
              <w:tc>
                <w:tcPr>
                  <w:tcW w:w="2187" w:type="pct"/>
                  <w:noWrap w:val="0"/>
                  <w:vAlign w:val="center"/>
                </w:tcPr>
                <w:p w14:paraId="3A97E33A">
                  <w:pPr>
                    <w:autoSpaceDE w:val="0"/>
                    <w:autoSpaceDN w:val="0"/>
                    <w:adjustRightInd w:val="0"/>
                    <w:jc w:val="center"/>
                    <w:rPr>
                      <w:color w:val="auto"/>
                      <w:sz w:val="21"/>
                      <w:szCs w:val="21"/>
                      <w:highlight w:val="none"/>
                    </w:rPr>
                  </w:pPr>
                  <w:r>
                    <w:rPr>
                      <w:color w:val="auto"/>
                      <w:sz w:val="21"/>
                      <w:szCs w:val="21"/>
                      <w:highlight w:val="none"/>
                    </w:rPr>
                    <w:t>用于煤炭经营的储煤场地，布局应当科学合理，符合土地利用总体规划；不得设在风景名胜区、重要生态功能区等环境敏感区域</w:t>
                  </w:r>
                </w:p>
              </w:tc>
              <w:tc>
                <w:tcPr>
                  <w:tcW w:w="1391" w:type="pct"/>
                  <w:noWrap w:val="0"/>
                  <w:vAlign w:val="center"/>
                </w:tcPr>
                <w:p w14:paraId="05461E32">
                  <w:pPr>
                    <w:autoSpaceDE w:val="0"/>
                    <w:autoSpaceDN w:val="0"/>
                    <w:adjustRightInd w:val="0"/>
                    <w:jc w:val="center"/>
                    <w:rPr>
                      <w:color w:val="auto"/>
                      <w:sz w:val="21"/>
                      <w:szCs w:val="21"/>
                      <w:highlight w:val="none"/>
                    </w:rPr>
                  </w:pPr>
                  <w:r>
                    <w:rPr>
                      <w:color w:val="auto"/>
                      <w:sz w:val="21"/>
                      <w:szCs w:val="21"/>
                      <w:highlight w:val="none"/>
                    </w:rPr>
                    <w:t>本项目选址符合城镇总体规划、土地利用规划等，不在风景名胜区、重要生态功能区等环境敏感区域内</w:t>
                  </w:r>
                </w:p>
              </w:tc>
              <w:tc>
                <w:tcPr>
                  <w:tcW w:w="550" w:type="pct"/>
                  <w:noWrap w:val="0"/>
                  <w:vAlign w:val="center"/>
                </w:tcPr>
                <w:p w14:paraId="17954465">
                  <w:pPr>
                    <w:jc w:val="center"/>
                    <w:rPr>
                      <w:color w:val="auto"/>
                      <w:sz w:val="21"/>
                      <w:szCs w:val="21"/>
                      <w:highlight w:val="none"/>
                    </w:rPr>
                  </w:pPr>
                  <w:r>
                    <w:rPr>
                      <w:color w:val="auto"/>
                      <w:sz w:val="21"/>
                      <w:szCs w:val="21"/>
                      <w:highlight w:val="none"/>
                    </w:rPr>
                    <w:t>符合</w:t>
                  </w:r>
                </w:p>
              </w:tc>
            </w:tr>
            <w:tr w14:paraId="204A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40" w:hRule="atLeast"/>
              </w:trPr>
              <w:tc>
                <w:tcPr>
                  <w:tcW w:w="871" w:type="pct"/>
                  <w:vMerge w:val="continue"/>
                  <w:noWrap w:val="0"/>
                  <w:vAlign w:val="center"/>
                </w:tcPr>
                <w:p w14:paraId="6B5BDF49">
                  <w:pPr>
                    <w:autoSpaceDE w:val="0"/>
                    <w:autoSpaceDN w:val="0"/>
                    <w:adjustRightInd w:val="0"/>
                    <w:jc w:val="center"/>
                    <w:rPr>
                      <w:color w:val="auto"/>
                      <w:sz w:val="21"/>
                      <w:szCs w:val="21"/>
                      <w:highlight w:val="none"/>
                    </w:rPr>
                  </w:pPr>
                </w:p>
              </w:tc>
              <w:tc>
                <w:tcPr>
                  <w:tcW w:w="2187" w:type="pct"/>
                  <w:noWrap w:val="0"/>
                  <w:vAlign w:val="center"/>
                </w:tcPr>
                <w:p w14:paraId="16CA26DB">
                  <w:pPr>
                    <w:autoSpaceDE w:val="0"/>
                    <w:autoSpaceDN w:val="0"/>
                    <w:adjustRightInd w:val="0"/>
                    <w:jc w:val="center"/>
                    <w:rPr>
                      <w:color w:val="auto"/>
                      <w:sz w:val="21"/>
                      <w:szCs w:val="21"/>
                      <w:highlight w:val="none"/>
                    </w:rPr>
                  </w:pPr>
                  <w:r>
                    <w:rPr>
                      <w:color w:val="auto"/>
                      <w:sz w:val="21"/>
                      <w:szCs w:val="21"/>
                      <w:highlight w:val="none"/>
                    </w:rPr>
                    <w:t>城市大型储煤场地应实现封闭储存或建设防风抑尘、防燃、污水处理设施，不得对周边环境造成污染</w:t>
                  </w:r>
                </w:p>
              </w:tc>
              <w:tc>
                <w:tcPr>
                  <w:tcW w:w="1391" w:type="pct"/>
                  <w:noWrap w:val="0"/>
                  <w:vAlign w:val="center"/>
                </w:tcPr>
                <w:p w14:paraId="0CB20F96">
                  <w:pPr>
                    <w:autoSpaceDE w:val="0"/>
                    <w:autoSpaceDN w:val="0"/>
                    <w:adjustRightInd w:val="0"/>
                    <w:jc w:val="center"/>
                    <w:rPr>
                      <w:color w:val="auto"/>
                      <w:sz w:val="21"/>
                      <w:szCs w:val="21"/>
                      <w:highlight w:val="none"/>
                    </w:rPr>
                  </w:pPr>
                  <w:r>
                    <w:rPr>
                      <w:color w:val="auto"/>
                      <w:sz w:val="21"/>
                      <w:szCs w:val="21"/>
                      <w:highlight w:val="none"/>
                    </w:rPr>
                    <w:t>本项目储煤棚为全封闭储煤棚</w:t>
                  </w:r>
                </w:p>
              </w:tc>
              <w:tc>
                <w:tcPr>
                  <w:tcW w:w="550" w:type="pct"/>
                  <w:noWrap w:val="0"/>
                  <w:vAlign w:val="center"/>
                </w:tcPr>
                <w:p w14:paraId="74FA9527">
                  <w:pPr>
                    <w:jc w:val="center"/>
                    <w:rPr>
                      <w:color w:val="auto"/>
                      <w:sz w:val="21"/>
                      <w:szCs w:val="21"/>
                      <w:highlight w:val="none"/>
                    </w:rPr>
                  </w:pPr>
                  <w:r>
                    <w:rPr>
                      <w:color w:val="auto"/>
                      <w:sz w:val="21"/>
                      <w:szCs w:val="21"/>
                      <w:highlight w:val="none"/>
                    </w:rPr>
                    <w:t>符合</w:t>
                  </w:r>
                </w:p>
              </w:tc>
            </w:tr>
            <w:tr w14:paraId="04CE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5" w:hRule="atLeast"/>
              </w:trPr>
              <w:tc>
                <w:tcPr>
                  <w:tcW w:w="871" w:type="pct"/>
                  <w:vMerge w:val="continue"/>
                  <w:noWrap w:val="0"/>
                  <w:vAlign w:val="center"/>
                </w:tcPr>
                <w:p w14:paraId="7FD7CA89">
                  <w:pPr>
                    <w:autoSpaceDE w:val="0"/>
                    <w:autoSpaceDN w:val="0"/>
                    <w:adjustRightInd w:val="0"/>
                    <w:jc w:val="center"/>
                    <w:rPr>
                      <w:color w:val="auto"/>
                      <w:sz w:val="21"/>
                      <w:szCs w:val="21"/>
                      <w:highlight w:val="none"/>
                    </w:rPr>
                  </w:pPr>
                </w:p>
              </w:tc>
              <w:tc>
                <w:tcPr>
                  <w:tcW w:w="2187" w:type="pct"/>
                  <w:noWrap w:val="0"/>
                  <w:vAlign w:val="center"/>
                </w:tcPr>
                <w:p w14:paraId="1DE367C2">
                  <w:pPr>
                    <w:autoSpaceDE w:val="0"/>
                    <w:autoSpaceDN w:val="0"/>
                    <w:adjustRightInd w:val="0"/>
                    <w:jc w:val="center"/>
                    <w:rPr>
                      <w:color w:val="auto"/>
                      <w:sz w:val="21"/>
                      <w:szCs w:val="21"/>
                      <w:highlight w:val="none"/>
                    </w:rPr>
                  </w:pPr>
                  <w:r>
                    <w:rPr>
                      <w:color w:val="auto"/>
                      <w:sz w:val="21"/>
                      <w:szCs w:val="21"/>
                      <w:highlight w:val="none"/>
                    </w:rPr>
                    <w:t>煤炭经营主体在煤炭装卸、储存、</w:t>
                  </w:r>
                </w:p>
                <w:p w14:paraId="03C9D638">
                  <w:pPr>
                    <w:autoSpaceDE w:val="0"/>
                    <w:autoSpaceDN w:val="0"/>
                    <w:adjustRightInd w:val="0"/>
                    <w:jc w:val="center"/>
                    <w:rPr>
                      <w:color w:val="auto"/>
                      <w:sz w:val="21"/>
                      <w:szCs w:val="21"/>
                      <w:highlight w:val="none"/>
                    </w:rPr>
                  </w:pPr>
                  <w:r>
                    <w:rPr>
                      <w:color w:val="auto"/>
                      <w:sz w:val="21"/>
                      <w:szCs w:val="21"/>
                      <w:highlight w:val="none"/>
                    </w:rPr>
                    <w:t>加工和运输过程中，应采取必要措施，减少无组织粉尘排放。</w:t>
                  </w:r>
                </w:p>
              </w:tc>
              <w:tc>
                <w:tcPr>
                  <w:tcW w:w="1391" w:type="pct"/>
                  <w:noWrap w:val="0"/>
                  <w:vAlign w:val="center"/>
                </w:tcPr>
                <w:p w14:paraId="1FBA2EAF">
                  <w:pPr>
                    <w:autoSpaceDE w:val="0"/>
                    <w:autoSpaceDN w:val="0"/>
                    <w:adjustRightInd w:val="0"/>
                    <w:jc w:val="center"/>
                    <w:rPr>
                      <w:rFonts w:hint="default"/>
                      <w:color w:val="auto"/>
                      <w:sz w:val="21"/>
                      <w:szCs w:val="21"/>
                      <w:highlight w:val="none"/>
                      <w:lang w:val="en-US"/>
                    </w:rPr>
                  </w:pPr>
                  <w:r>
                    <w:rPr>
                      <w:rFonts w:hint="eastAsia"/>
                      <w:color w:val="auto"/>
                      <w:sz w:val="21"/>
                      <w:szCs w:val="21"/>
                      <w:highlight w:val="none"/>
                      <w:lang w:val="en-US" w:eastAsia="zh-CN"/>
                    </w:rPr>
                    <w:t>本项目原煤和产品煤炭装卸、储存全封闭，原煤棚和运输过程设置喷雾抑尘装置和喷淋洒水装置，可极大程度的减少无组织粉尘的排放</w:t>
                  </w:r>
                </w:p>
              </w:tc>
              <w:tc>
                <w:tcPr>
                  <w:tcW w:w="550" w:type="pct"/>
                  <w:noWrap w:val="0"/>
                  <w:vAlign w:val="center"/>
                </w:tcPr>
                <w:p w14:paraId="204A9DB9">
                  <w:pPr>
                    <w:jc w:val="center"/>
                    <w:rPr>
                      <w:color w:val="auto"/>
                      <w:sz w:val="21"/>
                      <w:szCs w:val="21"/>
                      <w:highlight w:val="none"/>
                    </w:rPr>
                  </w:pPr>
                  <w:r>
                    <w:rPr>
                      <w:color w:val="auto"/>
                      <w:sz w:val="21"/>
                      <w:szCs w:val="21"/>
                      <w:highlight w:val="none"/>
                    </w:rPr>
                    <w:t>符合</w:t>
                  </w:r>
                </w:p>
              </w:tc>
            </w:tr>
            <w:tr w14:paraId="79D7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5" w:hRule="atLeast"/>
              </w:trPr>
              <w:tc>
                <w:tcPr>
                  <w:tcW w:w="871" w:type="pct"/>
                  <w:vMerge w:val="restart"/>
                  <w:noWrap w:val="0"/>
                  <w:vAlign w:val="center"/>
                </w:tcPr>
                <w:p w14:paraId="5805F67D">
                  <w:pPr>
                    <w:autoSpaceDE w:val="0"/>
                    <w:autoSpaceDN w:val="0"/>
                    <w:adjustRightInd w:val="0"/>
                    <w:jc w:val="center"/>
                    <w:rPr>
                      <w:color w:val="auto"/>
                      <w:sz w:val="21"/>
                      <w:szCs w:val="21"/>
                      <w:highlight w:val="none"/>
                    </w:rPr>
                  </w:pPr>
                  <w:r>
                    <w:rPr>
                      <w:rFonts w:hint="eastAsia"/>
                      <w:color w:val="auto"/>
                      <w:sz w:val="21"/>
                      <w:szCs w:val="21"/>
                      <w:highlight w:val="none"/>
                    </w:rPr>
                    <w:t>《榆林市环保型储煤场建设整治实施方案》（榆政能发〔</w:t>
                  </w:r>
                  <w:r>
                    <w:rPr>
                      <w:color w:val="auto"/>
                      <w:sz w:val="21"/>
                      <w:szCs w:val="21"/>
                      <w:highlight w:val="none"/>
                    </w:rPr>
                    <w:t>2018</w:t>
                  </w:r>
                  <w:r>
                    <w:rPr>
                      <w:rFonts w:hint="eastAsia"/>
                      <w:color w:val="auto"/>
                      <w:sz w:val="21"/>
                      <w:szCs w:val="21"/>
                      <w:highlight w:val="none"/>
                    </w:rPr>
                    <w:t>〕</w:t>
                  </w:r>
                  <w:r>
                    <w:rPr>
                      <w:color w:val="auto"/>
                      <w:sz w:val="21"/>
                      <w:szCs w:val="21"/>
                      <w:highlight w:val="none"/>
                    </w:rPr>
                    <w:t>253</w:t>
                  </w:r>
                  <w:r>
                    <w:rPr>
                      <w:rFonts w:hint="eastAsia"/>
                      <w:color w:val="auto"/>
                      <w:sz w:val="21"/>
                      <w:szCs w:val="21"/>
                      <w:highlight w:val="none"/>
                    </w:rPr>
                    <w:t>号）</w:t>
                  </w:r>
                </w:p>
              </w:tc>
              <w:tc>
                <w:tcPr>
                  <w:tcW w:w="2187" w:type="pct"/>
                  <w:noWrap w:val="0"/>
                  <w:vAlign w:val="center"/>
                </w:tcPr>
                <w:p w14:paraId="3D72ADBB">
                  <w:pPr>
                    <w:autoSpaceDE w:val="0"/>
                    <w:autoSpaceDN w:val="0"/>
                    <w:adjustRightInd w:val="0"/>
                    <w:jc w:val="center"/>
                    <w:rPr>
                      <w:color w:val="auto"/>
                      <w:sz w:val="21"/>
                      <w:szCs w:val="21"/>
                      <w:highlight w:val="none"/>
                    </w:rPr>
                  </w:pPr>
                  <w:r>
                    <w:rPr>
                      <w:color w:val="auto"/>
                      <w:sz w:val="21"/>
                      <w:szCs w:val="21"/>
                      <w:highlight w:val="none"/>
                    </w:rPr>
                    <w:t>1.</w:t>
                  </w:r>
                  <w:r>
                    <w:rPr>
                      <w:rFonts w:hint="eastAsia"/>
                      <w:color w:val="auto"/>
                      <w:sz w:val="21"/>
                      <w:szCs w:val="21"/>
                      <w:highlight w:val="none"/>
                    </w:rPr>
                    <w:t>全市范围内所有经营性储煤场地和工业企业内部储煤场地，封闭形式优先推荐筒仓存储，达不到仓储要求的储煤场地应建设全封闭煤棚，严禁露天堆存和装卸作业。</w:t>
                  </w:r>
                  <w:r>
                    <w:rPr>
                      <w:color w:val="auto"/>
                      <w:sz w:val="21"/>
                      <w:szCs w:val="21"/>
                      <w:highlight w:val="none"/>
                    </w:rPr>
                    <w:t>2.</w:t>
                  </w:r>
                  <w:r>
                    <w:rPr>
                      <w:rFonts w:hint="eastAsia"/>
                      <w:color w:val="auto"/>
                      <w:sz w:val="21"/>
                      <w:szCs w:val="21"/>
                      <w:highlight w:val="none"/>
                    </w:rPr>
                    <w:t>储煤棚底部必须全部硬化，采用钢筋混凝土做基础，原煤输送皮带、破碎、筛选、转载等环节必须在棚内密闭作业。</w:t>
                  </w:r>
                  <w:r>
                    <w:rPr>
                      <w:color w:val="auto"/>
                      <w:sz w:val="21"/>
                      <w:szCs w:val="21"/>
                      <w:highlight w:val="none"/>
                    </w:rPr>
                    <w:t>3.</w:t>
                  </w:r>
                  <w:r>
                    <w:rPr>
                      <w:rFonts w:hint="eastAsia"/>
                      <w:color w:val="auto"/>
                      <w:sz w:val="21"/>
                      <w:szCs w:val="21"/>
                      <w:highlight w:val="none"/>
                    </w:rPr>
                    <w:t>储煤棚建设期间应选用隔音降噪材料，确保工业厂界噪声达标。</w:t>
                  </w:r>
                  <w:r>
                    <w:rPr>
                      <w:color w:val="auto"/>
                      <w:sz w:val="21"/>
                      <w:szCs w:val="21"/>
                      <w:highlight w:val="none"/>
                    </w:rPr>
                    <w:t>4.</w:t>
                  </w:r>
                  <w:r>
                    <w:rPr>
                      <w:rFonts w:hint="eastAsia"/>
                      <w:color w:val="auto"/>
                      <w:sz w:val="21"/>
                      <w:szCs w:val="21"/>
                      <w:highlight w:val="none"/>
                    </w:rPr>
                    <w:t>储煤棚内设置喷雾洒水装置进行抑尘。</w:t>
                  </w:r>
                  <w:r>
                    <w:rPr>
                      <w:color w:val="auto"/>
                      <w:sz w:val="21"/>
                      <w:szCs w:val="21"/>
                      <w:highlight w:val="none"/>
                    </w:rPr>
                    <w:t>5.</w:t>
                  </w:r>
                  <w:r>
                    <w:rPr>
                      <w:rFonts w:hint="eastAsia"/>
                      <w:color w:val="auto"/>
                      <w:sz w:val="21"/>
                      <w:szCs w:val="21"/>
                      <w:highlight w:val="none"/>
                    </w:rPr>
                    <w:t>运煤车辆驶离煤棚前必须加盖篷布，防止抛洒、扬尘。</w:t>
                  </w:r>
                  <w:r>
                    <w:rPr>
                      <w:color w:val="auto"/>
                      <w:sz w:val="21"/>
                      <w:szCs w:val="21"/>
                      <w:highlight w:val="none"/>
                    </w:rPr>
                    <w:t>6.</w:t>
                  </w:r>
                  <w:r>
                    <w:rPr>
                      <w:rFonts w:hint="eastAsia"/>
                      <w:color w:val="auto"/>
                      <w:sz w:val="21"/>
                      <w:szCs w:val="21"/>
                      <w:highlight w:val="none"/>
                    </w:rPr>
                    <w:t>储煤场出口处必须设置车辆清洗设施及配套的排水、煤</w:t>
                  </w:r>
                  <w:r>
                    <w:rPr>
                      <w:rFonts w:hint="eastAsia"/>
                      <w:color w:val="auto"/>
                      <w:spacing w:val="-6"/>
                      <w:sz w:val="21"/>
                      <w:szCs w:val="21"/>
                      <w:highlight w:val="none"/>
                    </w:rPr>
                    <w:t>泥沉淀设施，运煤车辆驶离时应当冲洗，不得带泥上路。</w:t>
                  </w:r>
                  <w:r>
                    <w:rPr>
                      <w:color w:val="auto"/>
                      <w:spacing w:val="-6"/>
                      <w:sz w:val="21"/>
                      <w:szCs w:val="21"/>
                      <w:highlight w:val="none"/>
                    </w:rPr>
                    <w:t>7</w:t>
                  </w:r>
                  <w:r>
                    <w:rPr>
                      <w:rFonts w:hint="eastAsia"/>
                      <w:color w:val="auto"/>
                      <w:spacing w:val="-6"/>
                      <w:sz w:val="21"/>
                      <w:szCs w:val="21"/>
                      <w:highlight w:val="none"/>
                    </w:rPr>
                    <w:t>、厂区要做到地面硬化，实现雨污分流，建设足够规模的初期雨水池和废水收集系统。厂区前期雨水和生产废水要实现闭路循环，不得外排。</w:t>
                  </w:r>
                  <w:r>
                    <w:rPr>
                      <w:color w:val="auto"/>
                      <w:spacing w:val="-6"/>
                      <w:sz w:val="21"/>
                      <w:szCs w:val="21"/>
                      <w:highlight w:val="none"/>
                    </w:rPr>
                    <w:t>8.</w:t>
                  </w:r>
                  <w:r>
                    <w:rPr>
                      <w:rFonts w:hint="eastAsia"/>
                      <w:color w:val="auto"/>
                      <w:spacing w:val="-6"/>
                      <w:sz w:val="21"/>
                      <w:szCs w:val="21"/>
                      <w:highlight w:val="none"/>
                    </w:rPr>
                    <w:t>厂区内必须配备洒水车和吸尘车，防止扬尘污染。</w:t>
                  </w:r>
                </w:p>
              </w:tc>
              <w:tc>
                <w:tcPr>
                  <w:tcW w:w="1391" w:type="pct"/>
                  <w:noWrap w:val="0"/>
                  <w:vAlign w:val="center"/>
                </w:tcPr>
                <w:p w14:paraId="45E4ED55">
                  <w:pPr>
                    <w:autoSpaceDE w:val="0"/>
                    <w:autoSpaceDN w:val="0"/>
                    <w:adjustRightInd w:val="0"/>
                    <w:jc w:val="center"/>
                    <w:rPr>
                      <w:color w:val="auto"/>
                      <w:sz w:val="21"/>
                      <w:szCs w:val="21"/>
                      <w:highlight w:val="none"/>
                    </w:rPr>
                  </w:pPr>
                  <w:r>
                    <w:rPr>
                      <w:rFonts w:hint="eastAsia"/>
                      <w:color w:val="auto"/>
                      <w:sz w:val="21"/>
                      <w:szCs w:val="21"/>
                      <w:highlight w:val="none"/>
                    </w:rPr>
                    <w:t>本项目为</w:t>
                  </w:r>
                  <w:r>
                    <w:rPr>
                      <w:rFonts w:hint="eastAsia"/>
                      <w:color w:val="auto"/>
                      <w:sz w:val="21"/>
                      <w:szCs w:val="21"/>
                      <w:highlight w:val="none"/>
                      <w:lang w:val="en-US" w:eastAsia="zh-CN"/>
                    </w:rPr>
                    <w:t>洗煤厂</w:t>
                  </w:r>
                  <w:r>
                    <w:rPr>
                      <w:rFonts w:hint="eastAsia"/>
                      <w:color w:val="auto"/>
                      <w:sz w:val="21"/>
                      <w:szCs w:val="21"/>
                      <w:highlight w:val="none"/>
                    </w:rPr>
                    <w:t>配套项目，煤炭储存</w:t>
                  </w:r>
                  <w:r>
                    <w:rPr>
                      <w:rFonts w:hint="eastAsia"/>
                      <w:color w:val="auto"/>
                      <w:sz w:val="21"/>
                      <w:szCs w:val="21"/>
                      <w:highlight w:val="none"/>
                      <w:lang w:val="en-US" w:eastAsia="zh-CN"/>
                    </w:rPr>
                    <w:t>项目。</w:t>
                  </w:r>
                  <w:r>
                    <w:rPr>
                      <w:rFonts w:hint="eastAsia"/>
                      <w:color w:val="auto"/>
                      <w:sz w:val="21"/>
                      <w:szCs w:val="21"/>
                      <w:highlight w:val="none"/>
                    </w:rPr>
                    <w:t>本项目新建的</w:t>
                  </w:r>
                  <w:r>
                    <w:rPr>
                      <w:rFonts w:hint="eastAsia"/>
                      <w:color w:val="auto"/>
                      <w:sz w:val="21"/>
                      <w:szCs w:val="21"/>
                      <w:highlight w:val="none"/>
                      <w:lang w:val="en-US" w:eastAsia="zh-CN"/>
                    </w:rPr>
                    <w:t>全封闭洗精煤</w:t>
                  </w:r>
                  <w:r>
                    <w:rPr>
                      <w:rFonts w:hint="eastAsia"/>
                      <w:color w:val="auto"/>
                      <w:sz w:val="21"/>
                      <w:szCs w:val="21"/>
                      <w:highlight w:val="none"/>
                    </w:rPr>
                    <w:t>储煤棚。运煤车辆驶离煤棚前必须加盖篷布，</w:t>
                  </w:r>
                  <w:r>
                    <w:rPr>
                      <w:rFonts w:hint="eastAsia"/>
                      <w:color w:val="auto"/>
                      <w:sz w:val="21"/>
                      <w:szCs w:val="21"/>
                      <w:highlight w:val="none"/>
                      <w:lang w:val="en-US" w:eastAsia="zh-CN"/>
                    </w:rPr>
                    <w:t>洗煤厂出口处</w:t>
                  </w:r>
                  <w:r>
                    <w:rPr>
                      <w:rFonts w:hint="eastAsia"/>
                      <w:color w:val="auto"/>
                      <w:sz w:val="21"/>
                      <w:szCs w:val="21"/>
                      <w:highlight w:val="none"/>
                    </w:rPr>
                    <w:t>有洗车装置；厂区除绿化区域，其余地面全部硬化，雨污分流，项目场地产生初期雨水经雨水管网至</w:t>
                  </w:r>
                  <w:r>
                    <w:rPr>
                      <w:rFonts w:hint="eastAsia"/>
                      <w:color w:val="auto"/>
                      <w:sz w:val="21"/>
                      <w:szCs w:val="21"/>
                      <w:highlight w:val="none"/>
                      <w:lang w:val="en-US" w:eastAsia="zh-CN"/>
                    </w:rPr>
                    <w:t>洗煤厂现有总容积385</w:t>
                  </w:r>
                  <w:r>
                    <w:rPr>
                      <w:color w:val="auto"/>
                      <w:sz w:val="21"/>
                      <w:szCs w:val="21"/>
                      <w:highlight w:val="none"/>
                    </w:rPr>
                    <w:t>m</w:t>
                  </w:r>
                  <w:r>
                    <w:rPr>
                      <w:color w:val="auto"/>
                      <w:sz w:val="21"/>
                      <w:szCs w:val="21"/>
                      <w:highlight w:val="none"/>
                      <w:vertAlign w:val="superscript"/>
                    </w:rPr>
                    <w:t>3</w:t>
                  </w:r>
                  <w:r>
                    <w:rPr>
                      <w:rFonts w:hint="eastAsia"/>
                      <w:color w:val="7030A0"/>
                      <w:sz w:val="21"/>
                      <w:szCs w:val="21"/>
                      <w:highlight w:val="none"/>
                      <w:vertAlign w:val="baseline"/>
                      <w:lang w:val="en-US" w:eastAsia="zh-CN"/>
                    </w:rPr>
                    <w:t>和新建654</w:t>
                  </w:r>
                  <w:r>
                    <w:rPr>
                      <w:color w:val="7030A0"/>
                      <w:sz w:val="21"/>
                      <w:szCs w:val="21"/>
                      <w:highlight w:val="none"/>
                    </w:rPr>
                    <w:t>m</w:t>
                  </w:r>
                  <w:r>
                    <w:rPr>
                      <w:color w:val="7030A0"/>
                      <w:sz w:val="21"/>
                      <w:szCs w:val="21"/>
                      <w:highlight w:val="none"/>
                      <w:vertAlign w:val="superscript"/>
                    </w:rPr>
                    <w:t>3</w:t>
                  </w:r>
                  <w:r>
                    <w:rPr>
                      <w:rFonts w:hint="eastAsia"/>
                      <w:color w:val="7030A0"/>
                      <w:sz w:val="21"/>
                      <w:szCs w:val="21"/>
                      <w:highlight w:val="none"/>
                      <w:vertAlign w:val="baseline"/>
                      <w:lang w:val="en-US" w:eastAsia="zh-CN"/>
                    </w:rPr>
                    <w:t>的</w:t>
                  </w:r>
                  <w:r>
                    <w:rPr>
                      <w:rFonts w:hint="eastAsia"/>
                      <w:color w:val="7030A0"/>
                      <w:sz w:val="21"/>
                      <w:szCs w:val="21"/>
                      <w:highlight w:val="none"/>
                    </w:rPr>
                    <w:t>雨水收集池；</w:t>
                  </w:r>
                  <w:r>
                    <w:rPr>
                      <w:rFonts w:hint="eastAsia"/>
                      <w:color w:val="auto"/>
                      <w:sz w:val="21"/>
                      <w:szCs w:val="21"/>
                      <w:highlight w:val="none"/>
                    </w:rPr>
                    <w:t>本项目煤棚储煤棚底部全部硬化，采用钢筋混凝土做基础，储煤棚建设期间选用隔音降噪材料，确保工业厂界噪声达标。</w:t>
                  </w:r>
                </w:p>
              </w:tc>
              <w:tc>
                <w:tcPr>
                  <w:tcW w:w="550" w:type="pct"/>
                  <w:noWrap w:val="0"/>
                  <w:vAlign w:val="center"/>
                </w:tcPr>
                <w:p w14:paraId="637FD71F">
                  <w:pPr>
                    <w:jc w:val="center"/>
                    <w:rPr>
                      <w:color w:val="auto"/>
                      <w:sz w:val="21"/>
                      <w:szCs w:val="21"/>
                      <w:highlight w:val="none"/>
                    </w:rPr>
                  </w:pPr>
                  <w:r>
                    <w:rPr>
                      <w:rFonts w:hint="eastAsia"/>
                      <w:color w:val="auto"/>
                      <w:sz w:val="21"/>
                      <w:szCs w:val="21"/>
                      <w:highlight w:val="none"/>
                    </w:rPr>
                    <w:t>符合</w:t>
                  </w:r>
                </w:p>
              </w:tc>
            </w:tr>
            <w:tr w14:paraId="030D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5" w:hRule="atLeast"/>
              </w:trPr>
              <w:tc>
                <w:tcPr>
                  <w:tcW w:w="871" w:type="pct"/>
                  <w:vMerge w:val="continue"/>
                  <w:noWrap w:val="0"/>
                  <w:vAlign w:val="center"/>
                </w:tcPr>
                <w:p w14:paraId="07237B91">
                  <w:pPr>
                    <w:autoSpaceDE w:val="0"/>
                    <w:autoSpaceDN w:val="0"/>
                    <w:adjustRightInd w:val="0"/>
                    <w:jc w:val="center"/>
                    <w:rPr>
                      <w:rFonts w:hint="eastAsia"/>
                      <w:color w:val="auto"/>
                      <w:sz w:val="21"/>
                      <w:szCs w:val="21"/>
                      <w:highlight w:val="none"/>
                    </w:rPr>
                  </w:pPr>
                </w:p>
              </w:tc>
              <w:tc>
                <w:tcPr>
                  <w:tcW w:w="2187" w:type="pct"/>
                  <w:noWrap w:val="0"/>
                  <w:vAlign w:val="center"/>
                </w:tcPr>
                <w:p w14:paraId="404C1C4F">
                  <w:pPr>
                    <w:autoSpaceDE w:val="0"/>
                    <w:autoSpaceDN w:val="0"/>
                    <w:adjustRightInd w:val="0"/>
                    <w:jc w:val="center"/>
                    <w:rPr>
                      <w:rFonts w:hint="eastAsia"/>
                      <w:color w:val="auto"/>
                      <w:sz w:val="21"/>
                      <w:szCs w:val="21"/>
                      <w:highlight w:val="none"/>
                    </w:rPr>
                  </w:pPr>
                  <w:r>
                    <w:rPr>
                      <w:rFonts w:hint="eastAsia"/>
                      <w:color w:val="auto"/>
                      <w:sz w:val="21"/>
                      <w:szCs w:val="21"/>
                      <w:highlight w:val="none"/>
                    </w:rPr>
                    <w:t>1.煤</w:t>
                  </w:r>
                  <w:r>
                    <w:rPr>
                      <w:rFonts w:hint="eastAsia"/>
                      <w:color w:val="auto"/>
                      <w:sz w:val="21"/>
                      <w:szCs w:val="21"/>
                      <w:highlight w:val="none"/>
                      <w:lang w:eastAsia="zh-CN"/>
                    </w:rPr>
                    <w:t>（</w:t>
                  </w:r>
                  <w:r>
                    <w:rPr>
                      <w:rFonts w:hint="eastAsia"/>
                      <w:color w:val="auto"/>
                      <w:sz w:val="21"/>
                      <w:szCs w:val="21"/>
                      <w:highlight w:val="none"/>
                    </w:rPr>
                    <w:t>筒</w:t>
                  </w:r>
                  <w:r>
                    <w:rPr>
                      <w:rFonts w:hint="eastAsia"/>
                      <w:color w:val="auto"/>
                      <w:sz w:val="21"/>
                      <w:szCs w:val="21"/>
                      <w:highlight w:val="none"/>
                      <w:lang w:eastAsia="zh-CN"/>
                    </w:rPr>
                    <w:t>）</w:t>
                  </w:r>
                  <w:r>
                    <w:rPr>
                      <w:rFonts w:hint="eastAsia"/>
                      <w:color w:val="auto"/>
                      <w:sz w:val="21"/>
                      <w:szCs w:val="21"/>
                      <w:highlight w:val="none"/>
                    </w:rPr>
                    <w:t>仓上方、封闭的地面煤</w:t>
                  </w:r>
                  <w:r>
                    <w:rPr>
                      <w:rFonts w:hint="eastAsia"/>
                      <w:color w:val="auto"/>
                      <w:sz w:val="21"/>
                      <w:szCs w:val="21"/>
                      <w:highlight w:val="none"/>
                      <w:lang w:eastAsia="zh-CN"/>
                    </w:rPr>
                    <w:t>（</w:t>
                  </w:r>
                  <w:r>
                    <w:rPr>
                      <w:rFonts w:hint="eastAsia"/>
                      <w:color w:val="auto"/>
                      <w:sz w:val="21"/>
                      <w:szCs w:val="21"/>
                      <w:highlight w:val="none"/>
                    </w:rPr>
                    <w:t>筒</w:t>
                  </w:r>
                  <w:r>
                    <w:rPr>
                      <w:rFonts w:hint="eastAsia"/>
                      <w:color w:val="auto"/>
                      <w:sz w:val="21"/>
                      <w:szCs w:val="21"/>
                      <w:highlight w:val="none"/>
                      <w:lang w:eastAsia="zh-CN"/>
                    </w:rPr>
                    <w:t>）</w:t>
                  </w:r>
                  <w:r>
                    <w:rPr>
                      <w:rFonts w:hint="eastAsia"/>
                      <w:color w:val="auto"/>
                      <w:sz w:val="21"/>
                      <w:szCs w:val="21"/>
                      <w:highlight w:val="none"/>
                    </w:rPr>
                    <w:t>仓</w:t>
                  </w:r>
                  <w:r>
                    <w:rPr>
                      <w:rFonts w:hint="eastAsia"/>
                      <w:color w:val="auto"/>
                      <w:sz w:val="21"/>
                      <w:szCs w:val="21"/>
                      <w:highlight w:val="none"/>
                      <w:lang w:eastAsia="zh-CN"/>
                    </w:rPr>
                    <w:t>下方</w:t>
                  </w:r>
                  <w:r>
                    <w:rPr>
                      <w:rFonts w:hint="eastAsia"/>
                      <w:color w:val="auto"/>
                      <w:sz w:val="21"/>
                      <w:szCs w:val="21"/>
                      <w:highlight w:val="none"/>
                    </w:rPr>
                    <w:t>、封闭的带式输送机地面走廊上方、储煤棚内等瓦斯易集聚的部位应设置甲烷传感器并实现瓦斯电（煤仓、封闭的带式输送机地面走廊及储煤棚内生产设备电源）闭锁。</w:t>
                  </w:r>
                </w:p>
                <w:p w14:paraId="497D3262">
                  <w:pPr>
                    <w:autoSpaceDE w:val="0"/>
                    <w:autoSpaceDN w:val="0"/>
                    <w:adjustRightInd w:val="0"/>
                    <w:jc w:val="center"/>
                    <w:rPr>
                      <w:rFonts w:hint="eastAsia"/>
                      <w:color w:val="auto"/>
                      <w:sz w:val="21"/>
                      <w:szCs w:val="21"/>
                      <w:highlight w:val="none"/>
                    </w:rPr>
                  </w:pPr>
                  <w:r>
                    <w:rPr>
                      <w:rFonts w:hint="eastAsia"/>
                      <w:color w:val="auto"/>
                      <w:sz w:val="21"/>
                      <w:szCs w:val="21"/>
                      <w:highlight w:val="none"/>
                    </w:rPr>
                    <w:t>2.储煤棚内应安设粉尘、温度、烟雾、一氧化碳传感器</w:t>
                  </w:r>
                  <w:r>
                    <w:rPr>
                      <w:rFonts w:hint="eastAsia"/>
                      <w:color w:val="auto"/>
                      <w:sz w:val="21"/>
                      <w:szCs w:val="21"/>
                      <w:highlight w:val="none"/>
                      <w:lang w:eastAsia="zh-CN"/>
                    </w:rPr>
                    <w:t>，</w:t>
                  </w:r>
                  <w:r>
                    <w:rPr>
                      <w:rFonts w:hint="eastAsia"/>
                      <w:color w:val="auto"/>
                      <w:sz w:val="21"/>
                      <w:szCs w:val="21"/>
                      <w:highlight w:val="none"/>
                    </w:rPr>
                    <w:t>并具备声光报警功能，可靠运行。</w:t>
                  </w:r>
                </w:p>
                <w:p w14:paraId="4010D743">
                  <w:pPr>
                    <w:autoSpaceDE w:val="0"/>
                    <w:autoSpaceDN w:val="0"/>
                    <w:adjustRightInd w:val="0"/>
                    <w:jc w:val="center"/>
                    <w:rPr>
                      <w:rFonts w:hint="eastAsia"/>
                      <w:color w:val="auto"/>
                      <w:sz w:val="21"/>
                      <w:szCs w:val="21"/>
                      <w:highlight w:val="none"/>
                    </w:rPr>
                  </w:pPr>
                  <w:r>
                    <w:rPr>
                      <w:rFonts w:hint="eastAsia"/>
                      <w:color w:val="auto"/>
                      <w:sz w:val="21"/>
                      <w:szCs w:val="21"/>
                      <w:highlight w:val="none"/>
                    </w:rPr>
                    <w:t>3.煤</w:t>
                  </w:r>
                  <w:r>
                    <w:rPr>
                      <w:rFonts w:hint="eastAsia"/>
                      <w:color w:val="auto"/>
                      <w:sz w:val="21"/>
                      <w:szCs w:val="21"/>
                      <w:highlight w:val="none"/>
                      <w:lang w:eastAsia="zh-CN"/>
                    </w:rPr>
                    <w:t>（</w:t>
                  </w:r>
                  <w:r>
                    <w:rPr>
                      <w:rFonts w:hint="eastAsia"/>
                      <w:color w:val="auto"/>
                      <w:sz w:val="21"/>
                      <w:szCs w:val="21"/>
                      <w:highlight w:val="none"/>
                    </w:rPr>
                    <w:t>筒</w:t>
                  </w:r>
                  <w:r>
                    <w:rPr>
                      <w:rFonts w:hint="eastAsia"/>
                      <w:color w:val="auto"/>
                      <w:sz w:val="21"/>
                      <w:szCs w:val="21"/>
                      <w:highlight w:val="none"/>
                      <w:lang w:eastAsia="zh-CN"/>
                    </w:rPr>
                    <w:t>）</w:t>
                  </w:r>
                  <w:r>
                    <w:rPr>
                      <w:rFonts w:hint="eastAsia"/>
                      <w:color w:val="auto"/>
                      <w:sz w:val="21"/>
                      <w:szCs w:val="21"/>
                      <w:highlight w:val="none"/>
                    </w:rPr>
                    <w:t>仓上部侧面、储煤棚顶部或侧面应留设通风口，通风口数量和大小根据煤仓直径、储煤棚大小确定，实现煤仓储煤棚内自然通风。</w:t>
                  </w:r>
                </w:p>
                <w:p w14:paraId="17E761D3">
                  <w:pPr>
                    <w:autoSpaceDE w:val="0"/>
                    <w:autoSpaceDN w:val="0"/>
                    <w:adjustRightInd w:val="0"/>
                    <w:jc w:val="center"/>
                    <w:rPr>
                      <w:color w:val="auto"/>
                      <w:sz w:val="21"/>
                      <w:szCs w:val="21"/>
                      <w:highlight w:val="none"/>
                    </w:rPr>
                  </w:pPr>
                  <w:r>
                    <w:rPr>
                      <w:rFonts w:hint="eastAsia"/>
                      <w:color w:val="auto"/>
                      <w:sz w:val="21"/>
                      <w:szCs w:val="21"/>
                      <w:highlight w:val="none"/>
                    </w:rPr>
                    <w:t>4.建立安全监测监控系统，实时监测数据并配有专职监控人员。</w:t>
                  </w:r>
                </w:p>
              </w:tc>
              <w:tc>
                <w:tcPr>
                  <w:tcW w:w="1391" w:type="pct"/>
                  <w:noWrap w:val="0"/>
                  <w:vAlign w:val="center"/>
                </w:tcPr>
                <w:p w14:paraId="7776973A">
                  <w:pPr>
                    <w:autoSpaceDE w:val="0"/>
                    <w:autoSpaceDN w:val="0"/>
                    <w:adjustRightInd w:val="0"/>
                    <w:jc w:val="center"/>
                    <w:rPr>
                      <w:rFonts w:hint="default" w:eastAsia="宋体"/>
                      <w:color w:val="auto"/>
                      <w:sz w:val="21"/>
                      <w:szCs w:val="21"/>
                      <w:highlight w:val="none"/>
                      <w:lang w:val="en-US" w:eastAsia="zh-CN"/>
                    </w:rPr>
                  </w:pPr>
                  <w:r>
                    <w:rPr>
                      <w:rFonts w:hint="eastAsia"/>
                      <w:color w:val="auto"/>
                      <w:sz w:val="21"/>
                      <w:szCs w:val="21"/>
                      <w:highlight w:val="none"/>
                    </w:rPr>
                    <w:t>本项目</w:t>
                  </w:r>
                  <w:r>
                    <w:rPr>
                      <w:rFonts w:hint="eastAsia"/>
                      <w:color w:val="auto"/>
                      <w:sz w:val="21"/>
                      <w:szCs w:val="21"/>
                      <w:highlight w:val="none"/>
                      <w:lang w:val="en-US" w:eastAsia="zh-CN"/>
                    </w:rPr>
                    <w:t>仅涉及洗选后精煤的储存，洗选后的精煤含水量大，自燃风险低；另外洗选后精煤灰分低，且储煤棚顶部设置通风口可保证通风良好，故本次</w:t>
                  </w:r>
                  <w:r>
                    <w:rPr>
                      <w:rFonts w:hint="eastAsia"/>
                      <w:color w:val="auto"/>
                      <w:highlight w:val="none"/>
                      <w:lang w:eastAsia="zh-CN"/>
                    </w:rPr>
                    <w:t>无须设置</w:t>
                  </w:r>
                  <w:r>
                    <w:rPr>
                      <w:rFonts w:hint="eastAsia"/>
                      <w:color w:val="auto"/>
                      <w:sz w:val="21"/>
                      <w:szCs w:val="21"/>
                      <w:highlight w:val="none"/>
                      <w:lang w:val="en-US" w:eastAsia="zh-CN"/>
                    </w:rPr>
                    <w:t>传感器和监控系统</w:t>
                  </w:r>
                </w:p>
              </w:tc>
              <w:tc>
                <w:tcPr>
                  <w:tcW w:w="550" w:type="pct"/>
                  <w:noWrap w:val="0"/>
                  <w:vAlign w:val="center"/>
                </w:tcPr>
                <w:p w14:paraId="3DAE1BAB">
                  <w:pPr>
                    <w:jc w:val="center"/>
                    <w:rPr>
                      <w:rFonts w:hint="eastAsia"/>
                      <w:color w:val="auto"/>
                      <w:sz w:val="21"/>
                      <w:szCs w:val="21"/>
                      <w:highlight w:val="none"/>
                    </w:rPr>
                  </w:pPr>
                  <w:r>
                    <w:rPr>
                      <w:rFonts w:hint="eastAsia"/>
                      <w:color w:val="auto"/>
                      <w:sz w:val="21"/>
                      <w:szCs w:val="21"/>
                      <w:highlight w:val="none"/>
                    </w:rPr>
                    <w:t>符合</w:t>
                  </w:r>
                </w:p>
              </w:tc>
            </w:tr>
            <w:tr w14:paraId="61A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871" w:type="pct"/>
                  <w:noWrap w:val="0"/>
                  <w:vAlign w:val="center"/>
                </w:tcPr>
                <w:p w14:paraId="4406F2D3">
                  <w:pPr>
                    <w:autoSpaceDE w:val="0"/>
                    <w:autoSpaceDN w:val="0"/>
                    <w:adjustRightInd w:val="0"/>
                    <w:jc w:val="center"/>
                    <w:rPr>
                      <w:color w:val="auto"/>
                      <w:sz w:val="21"/>
                      <w:szCs w:val="21"/>
                      <w:highlight w:val="none"/>
                    </w:rPr>
                  </w:pPr>
                  <w:r>
                    <w:rPr>
                      <w:color w:val="auto"/>
                      <w:sz w:val="21"/>
                      <w:szCs w:val="21"/>
                      <w:highlight w:val="none"/>
                    </w:rPr>
                    <w:t>《陕西省大气污染治理专项行动方案</w:t>
                  </w:r>
                  <w:r>
                    <w:rPr>
                      <w:rFonts w:hint="eastAsia"/>
                      <w:color w:val="auto"/>
                      <w:sz w:val="21"/>
                      <w:szCs w:val="21"/>
                      <w:highlight w:val="none"/>
                      <w:lang w:eastAsia="zh-CN"/>
                    </w:rPr>
                    <w:t>（</w:t>
                  </w:r>
                  <w:r>
                    <w:rPr>
                      <w:color w:val="auto"/>
                      <w:sz w:val="21"/>
                      <w:szCs w:val="21"/>
                      <w:highlight w:val="none"/>
                    </w:rPr>
                    <w:t>2023-2027年</w:t>
                  </w:r>
                  <w:r>
                    <w:rPr>
                      <w:rFonts w:hint="eastAsia"/>
                      <w:color w:val="auto"/>
                      <w:sz w:val="21"/>
                      <w:szCs w:val="21"/>
                      <w:highlight w:val="none"/>
                      <w:lang w:eastAsia="zh-CN"/>
                    </w:rPr>
                    <w:t>）</w:t>
                  </w:r>
                  <w:r>
                    <w:rPr>
                      <w:color w:val="auto"/>
                      <w:sz w:val="21"/>
                      <w:szCs w:val="21"/>
                      <w:highlight w:val="none"/>
                    </w:rPr>
                    <w:t>》</w:t>
                  </w:r>
                </w:p>
              </w:tc>
              <w:tc>
                <w:tcPr>
                  <w:tcW w:w="2187" w:type="pct"/>
                  <w:noWrap w:val="0"/>
                  <w:vAlign w:val="center"/>
                </w:tcPr>
                <w:p w14:paraId="075B9E81">
                  <w:pPr>
                    <w:jc w:val="center"/>
                    <w:rPr>
                      <w:color w:val="auto"/>
                      <w:sz w:val="21"/>
                      <w:szCs w:val="21"/>
                      <w:highlight w:val="none"/>
                    </w:rPr>
                  </w:pPr>
                  <w:r>
                    <w:rPr>
                      <w:color w:val="auto"/>
                      <w:sz w:val="21"/>
                      <w:szCs w:val="21"/>
                      <w:highlight w:val="none"/>
                    </w:rPr>
                    <w:t>推动四大结构调整、实施五大治理工程和开展四大专项行动三个方面，共13 项内容，分别为能源消费结构调整、城市供热结构调整、产业发展结构调整、交通运输结构调整，散煤治理工程、集聚提升工程、车辆优化工程、扬尘治理工程、环保产业培育工程，工业企业深度治理行动、重污染天气应对行动、夏季臭氧应对行动和面源综合治理行动。</w:t>
                  </w:r>
                </w:p>
              </w:tc>
              <w:tc>
                <w:tcPr>
                  <w:tcW w:w="1391" w:type="pct"/>
                  <w:noWrap w:val="0"/>
                  <w:vAlign w:val="center"/>
                </w:tcPr>
                <w:p w14:paraId="0BDAE583">
                  <w:pPr>
                    <w:jc w:val="center"/>
                    <w:rPr>
                      <w:color w:val="auto"/>
                      <w:sz w:val="21"/>
                      <w:szCs w:val="21"/>
                      <w:highlight w:val="none"/>
                    </w:rPr>
                  </w:pPr>
                  <w:r>
                    <w:rPr>
                      <w:color w:val="auto"/>
                      <w:sz w:val="21"/>
                      <w:szCs w:val="21"/>
                      <w:highlight w:val="none"/>
                    </w:rPr>
                    <w:t>本项目煤炭堆场实施全封闭集中堆放，并采取</w:t>
                  </w:r>
                  <w:r>
                    <w:rPr>
                      <w:rFonts w:hint="eastAsia"/>
                      <w:color w:val="auto"/>
                      <w:sz w:val="21"/>
                      <w:szCs w:val="21"/>
                      <w:highlight w:val="none"/>
                      <w:lang w:val="en-US" w:eastAsia="zh-CN"/>
                    </w:rPr>
                    <w:t>喷雾</w:t>
                  </w:r>
                  <w:r>
                    <w:rPr>
                      <w:color w:val="auto"/>
                      <w:sz w:val="21"/>
                      <w:szCs w:val="21"/>
                      <w:highlight w:val="none"/>
                    </w:rPr>
                    <w:t>洒水</w:t>
                  </w:r>
                  <w:r>
                    <w:rPr>
                      <w:rFonts w:hint="eastAsia"/>
                      <w:color w:val="auto"/>
                      <w:sz w:val="21"/>
                      <w:szCs w:val="21"/>
                      <w:highlight w:val="none"/>
                      <w:lang w:eastAsia="zh-CN"/>
                    </w:rPr>
                    <w:t>、</w:t>
                  </w:r>
                  <w:r>
                    <w:rPr>
                      <w:rFonts w:hint="eastAsia"/>
                      <w:color w:val="auto"/>
                      <w:sz w:val="21"/>
                      <w:szCs w:val="21"/>
                      <w:highlight w:val="none"/>
                      <w:lang w:val="en-US" w:eastAsia="zh-CN"/>
                    </w:rPr>
                    <w:t>喷雾抑尘装置抑尘</w:t>
                  </w:r>
                  <w:r>
                    <w:rPr>
                      <w:color w:val="auto"/>
                      <w:sz w:val="21"/>
                      <w:szCs w:val="21"/>
                      <w:highlight w:val="none"/>
                    </w:rPr>
                    <w:t>等措施抑尘。</w:t>
                  </w:r>
                </w:p>
              </w:tc>
              <w:tc>
                <w:tcPr>
                  <w:tcW w:w="550" w:type="pct"/>
                  <w:noWrap w:val="0"/>
                  <w:vAlign w:val="center"/>
                </w:tcPr>
                <w:p w14:paraId="062BA49B">
                  <w:pPr>
                    <w:jc w:val="center"/>
                    <w:rPr>
                      <w:color w:val="auto"/>
                      <w:sz w:val="21"/>
                      <w:szCs w:val="21"/>
                      <w:highlight w:val="none"/>
                    </w:rPr>
                  </w:pPr>
                  <w:r>
                    <w:rPr>
                      <w:color w:val="auto"/>
                      <w:sz w:val="21"/>
                      <w:szCs w:val="21"/>
                      <w:highlight w:val="none"/>
                    </w:rPr>
                    <w:t>符合</w:t>
                  </w:r>
                </w:p>
              </w:tc>
            </w:tr>
            <w:tr w14:paraId="62F6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871" w:type="pct"/>
                  <w:vMerge w:val="restart"/>
                  <w:noWrap w:val="0"/>
                  <w:vAlign w:val="center"/>
                </w:tcPr>
                <w:p w14:paraId="04A45D24">
                  <w:pPr>
                    <w:autoSpaceDE w:val="0"/>
                    <w:autoSpaceDN w:val="0"/>
                    <w:adjustRightInd w:val="0"/>
                    <w:jc w:val="left"/>
                    <w:rPr>
                      <w:color w:val="auto"/>
                      <w:sz w:val="21"/>
                      <w:szCs w:val="21"/>
                      <w:highlight w:val="none"/>
                    </w:rPr>
                  </w:pPr>
                  <w:r>
                    <w:rPr>
                      <w:rFonts w:hint="eastAsia"/>
                      <w:color w:val="auto"/>
                      <w:sz w:val="21"/>
                      <w:szCs w:val="21"/>
                      <w:highlight w:val="none"/>
                    </w:rPr>
                    <w:t>《榆林市十四五生态环境保护规划》</w:t>
                  </w:r>
                </w:p>
              </w:tc>
              <w:tc>
                <w:tcPr>
                  <w:tcW w:w="2187" w:type="pct"/>
                  <w:noWrap w:val="0"/>
                  <w:vAlign w:val="center"/>
                </w:tcPr>
                <w:p w14:paraId="482C000A">
                  <w:pPr>
                    <w:autoSpaceDE w:val="0"/>
                    <w:autoSpaceDN w:val="0"/>
                    <w:adjustRightInd w:val="0"/>
                    <w:jc w:val="left"/>
                    <w:rPr>
                      <w:color w:val="auto"/>
                      <w:sz w:val="21"/>
                      <w:szCs w:val="21"/>
                      <w:highlight w:val="none"/>
                    </w:rPr>
                  </w:pPr>
                  <w:r>
                    <w:rPr>
                      <w:rFonts w:hint="eastAsia"/>
                      <w:color w:val="auto"/>
                      <w:sz w:val="21"/>
                      <w:szCs w:val="21"/>
                      <w:highlight w:val="none"/>
                    </w:rPr>
                    <w:t>严格控制焦化、煤化、水泥、金属冶炼等行业物料储存、输送及生产工艺过程中无组织排放。</w:t>
                  </w:r>
                </w:p>
              </w:tc>
              <w:tc>
                <w:tcPr>
                  <w:tcW w:w="1391" w:type="pct"/>
                  <w:noWrap w:val="0"/>
                  <w:vAlign w:val="center"/>
                </w:tcPr>
                <w:p w14:paraId="246E2C12">
                  <w:pPr>
                    <w:autoSpaceDE w:val="0"/>
                    <w:autoSpaceDN w:val="0"/>
                    <w:adjustRightInd w:val="0"/>
                    <w:jc w:val="left"/>
                    <w:rPr>
                      <w:color w:val="auto"/>
                      <w:sz w:val="21"/>
                      <w:szCs w:val="21"/>
                      <w:highlight w:val="none"/>
                    </w:rPr>
                  </w:pPr>
                  <w:r>
                    <w:rPr>
                      <w:rFonts w:hint="eastAsia"/>
                      <w:color w:val="auto"/>
                      <w:sz w:val="21"/>
                      <w:szCs w:val="21"/>
                      <w:highlight w:val="none"/>
                    </w:rPr>
                    <w:t>本项目物料储存、输送采用全封闭输送带，</w:t>
                  </w:r>
                  <w:r>
                    <w:rPr>
                      <w:rFonts w:hint="eastAsia"/>
                      <w:color w:val="auto"/>
                      <w:sz w:val="21"/>
                      <w:szCs w:val="21"/>
                      <w:highlight w:val="none"/>
                      <w:lang w:val="en-US" w:eastAsia="zh-CN"/>
                    </w:rPr>
                    <w:t>设置喷雾洒水装置和喷雾抑尘装置抑尘</w:t>
                  </w:r>
                  <w:r>
                    <w:rPr>
                      <w:rFonts w:hint="eastAsia"/>
                      <w:color w:val="auto"/>
                      <w:sz w:val="21"/>
                      <w:szCs w:val="21"/>
                      <w:highlight w:val="none"/>
                    </w:rPr>
                    <w:t>，减少无组织排放。</w:t>
                  </w:r>
                </w:p>
              </w:tc>
              <w:tc>
                <w:tcPr>
                  <w:tcW w:w="550" w:type="pct"/>
                  <w:noWrap w:val="0"/>
                  <w:vAlign w:val="center"/>
                </w:tcPr>
                <w:p w14:paraId="4017C684">
                  <w:pPr>
                    <w:jc w:val="center"/>
                    <w:rPr>
                      <w:color w:val="auto"/>
                      <w:sz w:val="21"/>
                      <w:szCs w:val="21"/>
                      <w:highlight w:val="none"/>
                    </w:rPr>
                  </w:pPr>
                  <w:r>
                    <w:rPr>
                      <w:color w:val="auto"/>
                      <w:sz w:val="21"/>
                      <w:szCs w:val="21"/>
                      <w:highlight w:val="none"/>
                    </w:rPr>
                    <w:t>符合</w:t>
                  </w:r>
                </w:p>
              </w:tc>
            </w:tr>
            <w:tr w14:paraId="4B69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871" w:type="pct"/>
                  <w:vMerge w:val="continue"/>
                  <w:noWrap w:val="0"/>
                  <w:vAlign w:val="center"/>
                </w:tcPr>
                <w:p w14:paraId="7D7F1934">
                  <w:pPr>
                    <w:autoSpaceDE w:val="0"/>
                    <w:autoSpaceDN w:val="0"/>
                    <w:adjustRightInd w:val="0"/>
                    <w:jc w:val="left"/>
                    <w:rPr>
                      <w:rFonts w:hint="eastAsia"/>
                      <w:color w:val="auto"/>
                      <w:sz w:val="21"/>
                      <w:szCs w:val="21"/>
                      <w:highlight w:val="none"/>
                    </w:rPr>
                  </w:pPr>
                </w:p>
              </w:tc>
              <w:tc>
                <w:tcPr>
                  <w:tcW w:w="2187" w:type="pct"/>
                  <w:noWrap w:val="0"/>
                  <w:vAlign w:val="center"/>
                </w:tcPr>
                <w:p w14:paraId="4B2F32FD">
                  <w:pPr>
                    <w:autoSpaceDE w:val="0"/>
                    <w:autoSpaceDN w:val="0"/>
                    <w:adjustRightInd w:val="0"/>
                    <w:jc w:val="left"/>
                    <w:rPr>
                      <w:color w:val="auto"/>
                      <w:sz w:val="21"/>
                      <w:szCs w:val="21"/>
                      <w:highlight w:val="none"/>
                    </w:rPr>
                  </w:pPr>
                  <w:r>
                    <w:rPr>
                      <w:rFonts w:hint="eastAsia"/>
                      <w:color w:val="auto"/>
                      <w:sz w:val="21"/>
                      <w:szCs w:val="21"/>
                      <w:highlight w:val="none"/>
                    </w:rPr>
                    <w:t>深入推进大宗固体废物整治管理。加强固体废物源头减量和资源化利用，推广固体废物资源化、无害化处理处置新技术，创新大宗固体废物协同利用机制，最大限度减少填埋量。</w:t>
                  </w:r>
                </w:p>
              </w:tc>
              <w:tc>
                <w:tcPr>
                  <w:tcW w:w="1391" w:type="pct"/>
                  <w:noWrap w:val="0"/>
                  <w:vAlign w:val="center"/>
                </w:tcPr>
                <w:p w14:paraId="5356E084">
                  <w:pPr>
                    <w:autoSpaceDE w:val="0"/>
                    <w:autoSpaceDN w:val="0"/>
                    <w:adjustRightInd w:val="0"/>
                    <w:jc w:val="left"/>
                    <w:rPr>
                      <w:color w:val="auto"/>
                      <w:sz w:val="21"/>
                      <w:szCs w:val="21"/>
                      <w:highlight w:val="none"/>
                    </w:rPr>
                  </w:pPr>
                  <w:r>
                    <w:rPr>
                      <w:rFonts w:hint="eastAsia"/>
                      <w:color w:val="auto"/>
                      <w:sz w:val="21"/>
                      <w:szCs w:val="21"/>
                      <w:highlight w:val="none"/>
                    </w:rPr>
                    <w:t>本项目为</w:t>
                  </w:r>
                  <w:r>
                    <w:rPr>
                      <w:rFonts w:hint="eastAsia"/>
                      <w:color w:val="auto"/>
                      <w:sz w:val="21"/>
                      <w:szCs w:val="21"/>
                      <w:highlight w:val="none"/>
                      <w:lang w:val="en-US" w:eastAsia="zh-CN"/>
                    </w:rPr>
                    <w:t>精煤棚</w:t>
                  </w:r>
                  <w:r>
                    <w:rPr>
                      <w:rFonts w:hint="eastAsia"/>
                      <w:color w:val="auto"/>
                      <w:sz w:val="21"/>
                      <w:szCs w:val="21"/>
                      <w:highlight w:val="none"/>
                    </w:rPr>
                    <w:t>建设项目。</w:t>
                  </w:r>
                </w:p>
              </w:tc>
              <w:tc>
                <w:tcPr>
                  <w:tcW w:w="550" w:type="pct"/>
                  <w:noWrap w:val="0"/>
                  <w:vAlign w:val="center"/>
                </w:tcPr>
                <w:p w14:paraId="55524245">
                  <w:pPr>
                    <w:jc w:val="center"/>
                    <w:rPr>
                      <w:color w:val="auto"/>
                      <w:sz w:val="21"/>
                      <w:szCs w:val="21"/>
                      <w:highlight w:val="none"/>
                    </w:rPr>
                  </w:pPr>
                  <w:r>
                    <w:rPr>
                      <w:color w:val="auto"/>
                      <w:sz w:val="21"/>
                      <w:szCs w:val="21"/>
                      <w:highlight w:val="none"/>
                    </w:rPr>
                    <w:t>符合</w:t>
                  </w:r>
                </w:p>
              </w:tc>
            </w:tr>
            <w:tr w14:paraId="2D84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871" w:type="pct"/>
                  <w:noWrap w:val="0"/>
                  <w:vAlign w:val="center"/>
                </w:tcPr>
                <w:p w14:paraId="23780F75">
                  <w:pPr>
                    <w:autoSpaceDE w:val="0"/>
                    <w:autoSpaceDN w:val="0"/>
                    <w:adjustRightInd w:val="0"/>
                    <w:jc w:val="left"/>
                    <w:rPr>
                      <w:rFonts w:hint="eastAsia"/>
                      <w:color w:val="auto"/>
                      <w:sz w:val="21"/>
                      <w:szCs w:val="21"/>
                      <w:highlight w:val="none"/>
                    </w:rPr>
                  </w:pPr>
                  <w:r>
                    <w:rPr>
                      <w:color w:val="auto"/>
                      <w:sz w:val="21"/>
                      <w:szCs w:val="21"/>
                      <w:highlight w:val="none"/>
                    </w:rPr>
                    <w:t>《榆林市扬尘污染防治条例》（榆林市人民代表大会常务委员会公告〔四届〕第十三号）</w:t>
                  </w:r>
                </w:p>
              </w:tc>
              <w:tc>
                <w:tcPr>
                  <w:tcW w:w="2187" w:type="pct"/>
                  <w:noWrap w:val="0"/>
                  <w:vAlign w:val="center"/>
                </w:tcPr>
                <w:p w14:paraId="658C1004">
                  <w:pPr>
                    <w:autoSpaceDE w:val="0"/>
                    <w:autoSpaceDN w:val="0"/>
                    <w:adjustRightInd w:val="0"/>
                    <w:jc w:val="left"/>
                    <w:rPr>
                      <w:rFonts w:hint="eastAsia"/>
                      <w:color w:val="auto"/>
                      <w:sz w:val="21"/>
                      <w:szCs w:val="21"/>
                      <w:highlight w:val="none"/>
                    </w:rPr>
                  </w:pPr>
                  <w:r>
                    <w:rPr>
                      <w:color w:val="auto"/>
                      <w:sz w:val="21"/>
                      <w:szCs w:val="21"/>
                      <w:highlight w:val="none"/>
                    </w:rPr>
                    <w:t>（一）施工工地应当设置硬质密闭围挡；（二）施工工地内暂时不能开工的裸露地面应当进行覆盖；超过三个月的，应当进行绿化、铺装或者遮盖；（三）施工期间，应当在工地建筑结构脚手架外侧设置有效抑尘的密目防尘网或防尘布；（四）施工现场的主要道路及材料加工区地面应当进行硬化处理，并采取洒水、喷淋、冲洗地面等防尘措施；（五）施工工地内堆放水泥、灰土、砂石等易产生扬尘污染物料，应当遮盖或者在库房内存放；（六）土方、拆除、铣刨工程作业时应当分段作业，采取洒水压尘措施；气象预报风速达到四级以上或者出现重污染天气状况时，城市市区应当停止土石方作业、拆除工程以及其他可能产生扬尘污染的施工；（七）施工工地出入口应当设置车辆清洗设施及配套的排水、泥浆沉淀设施，车辆冲洗干净后方可驶出；（八）建筑土方、工程渣土及建筑垃圾应当及时清运；不能及时清运的，应当采用密闭式防尘网遮盖；（九）城市市区施工工地禁止现场搅拌混凝土和砂浆；其他区域的建设工程在现场搅拌砂浆机的，应当配备降尘防尘装置。</w:t>
                  </w:r>
                </w:p>
              </w:tc>
              <w:tc>
                <w:tcPr>
                  <w:tcW w:w="1391" w:type="pct"/>
                  <w:noWrap w:val="0"/>
                  <w:vAlign w:val="center"/>
                </w:tcPr>
                <w:p w14:paraId="127483E6">
                  <w:pPr>
                    <w:autoSpaceDE w:val="0"/>
                    <w:autoSpaceDN w:val="0"/>
                    <w:adjustRightInd w:val="0"/>
                    <w:jc w:val="left"/>
                    <w:rPr>
                      <w:rFonts w:hint="eastAsia"/>
                      <w:color w:val="auto"/>
                      <w:sz w:val="21"/>
                      <w:szCs w:val="21"/>
                      <w:highlight w:val="none"/>
                    </w:rPr>
                  </w:pPr>
                  <w:r>
                    <w:rPr>
                      <w:color w:val="auto"/>
                      <w:sz w:val="21"/>
                      <w:szCs w:val="21"/>
                      <w:highlight w:val="none"/>
                    </w:rPr>
                    <w:t>本项目施工期要求做到周边围挡，物料堆放覆盖毡布，土方开挖湿法作业，同时路面硬化并对运输车辆进行清洗，渣土运输车密闭，经过村庄时减速慢行，施工现场装视频监控系统，对施工扬尘进行实时监控。封闭储棚，用于原料和产品储存，地面硬化，一般防渗，设喷雾洒水装置、粉尘。厂区进出口安装有车辆冲洗台，车辆清洗废水沉淀后循环使用，不外排。车辆装卸在储棚内，采用洒水抑尘。运输车辆遮盖苫布，</w:t>
                  </w:r>
                  <w:r>
                    <w:rPr>
                      <w:rFonts w:hint="eastAsia"/>
                      <w:color w:val="auto"/>
                      <w:sz w:val="21"/>
                      <w:szCs w:val="21"/>
                      <w:highlight w:val="none"/>
                      <w:lang w:val="en-US" w:eastAsia="zh-CN"/>
                    </w:rPr>
                    <w:t>厂区、</w:t>
                  </w:r>
                  <w:r>
                    <w:rPr>
                      <w:color w:val="auto"/>
                      <w:sz w:val="21"/>
                      <w:szCs w:val="21"/>
                      <w:highlight w:val="none"/>
                    </w:rPr>
                    <w:t>进场道路定期洒水。</w:t>
                  </w:r>
                </w:p>
              </w:tc>
              <w:tc>
                <w:tcPr>
                  <w:tcW w:w="550" w:type="pct"/>
                  <w:noWrap w:val="0"/>
                  <w:vAlign w:val="center"/>
                </w:tcPr>
                <w:p w14:paraId="5699FCFE">
                  <w:pPr>
                    <w:jc w:val="center"/>
                    <w:rPr>
                      <w:color w:val="auto"/>
                      <w:sz w:val="21"/>
                      <w:szCs w:val="21"/>
                      <w:highlight w:val="none"/>
                    </w:rPr>
                  </w:pPr>
                  <w:r>
                    <w:rPr>
                      <w:color w:val="auto"/>
                      <w:sz w:val="21"/>
                      <w:szCs w:val="21"/>
                      <w:highlight w:val="none"/>
                    </w:rPr>
                    <w:t>符合</w:t>
                  </w:r>
                </w:p>
              </w:tc>
            </w:tr>
            <w:tr w14:paraId="1FD5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5" w:hRule="atLeast"/>
              </w:trPr>
              <w:tc>
                <w:tcPr>
                  <w:tcW w:w="871" w:type="pct"/>
                  <w:vMerge w:val="restart"/>
                  <w:noWrap w:val="0"/>
                  <w:vAlign w:val="center"/>
                </w:tcPr>
                <w:p w14:paraId="4350F15C">
                  <w:pPr>
                    <w:autoSpaceDE w:val="0"/>
                    <w:autoSpaceDN w:val="0"/>
                    <w:adjustRightInd w:val="0"/>
                    <w:jc w:val="center"/>
                    <w:rPr>
                      <w:color w:val="auto"/>
                      <w:sz w:val="21"/>
                      <w:szCs w:val="21"/>
                      <w:highlight w:val="none"/>
                    </w:rPr>
                  </w:pPr>
                  <w:r>
                    <w:rPr>
                      <w:rFonts w:hint="eastAsia"/>
                      <w:color w:val="FF0000"/>
                      <w:sz w:val="21"/>
                      <w:szCs w:val="21"/>
                      <w:highlight w:val="none"/>
                    </w:rPr>
                    <w:t>关于印发《陕西省重点用车企业环保门禁及视频监控系统建设技术指南(试行)》的通知</w:t>
                  </w:r>
                  <w:r>
                    <w:rPr>
                      <w:rFonts w:hint="eastAsia"/>
                      <w:color w:val="FF0000"/>
                      <w:sz w:val="21"/>
                      <w:szCs w:val="21"/>
                      <w:highlight w:val="none"/>
                      <w:lang w:eastAsia="zh-CN"/>
                    </w:rPr>
                    <w:t>（</w:t>
                  </w:r>
                  <w:r>
                    <w:rPr>
                      <w:rFonts w:hint="eastAsia"/>
                      <w:color w:val="FF0000"/>
                      <w:sz w:val="21"/>
                      <w:szCs w:val="21"/>
                      <w:highlight w:val="none"/>
                    </w:rPr>
                    <w:t>陕环发〔2023〕64号</w:t>
                  </w:r>
                  <w:r>
                    <w:rPr>
                      <w:rFonts w:hint="eastAsia"/>
                      <w:color w:val="FF0000"/>
                      <w:sz w:val="21"/>
                      <w:szCs w:val="21"/>
                      <w:highlight w:val="none"/>
                      <w:lang w:eastAsia="zh-CN"/>
                    </w:rPr>
                    <w:t>）</w:t>
                  </w:r>
                </w:p>
              </w:tc>
              <w:tc>
                <w:tcPr>
                  <w:tcW w:w="2187" w:type="pct"/>
                  <w:noWrap w:val="0"/>
                  <w:vAlign w:val="center"/>
                </w:tcPr>
                <w:p w14:paraId="7D926122">
                  <w:pPr>
                    <w:autoSpaceDE w:val="0"/>
                    <w:autoSpaceDN w:val="0"/>
                    <w:adjustRightInd w:val="0"/>
                    <w:jc w:val="center"/>
                    <w:rPr>
                      <w:rFonts w:hint="eastAsia"/>
                      <w:color w:val="FF0000"/>
                      <w:sz w:val="21"/>
                      <w:szCs w:val="21"/>
                      <w:highlight w:val="none"/>
                      <w:lang w:val="zh-CN"/>
                    </w:rPr>
                  </w:pPr>
                  <w:r>
                    <w:rPr>
                      <w:rFonts w:hint="eastAsia"/>
                      <w:color w:val="FF0000"/>
                      <w:sz w:val="21"/>
                      <w:szCs w:val="21"/>
                      <w:highlight w:val="none"/>
                      <w:lang w:val="zh-CN"/>
                    </w:rPr>
                    <w:t>3.1重点用车企业</w:t>
                  </w:r>
                </w:p>
                <w:p w14:paraId="07F98F7A">
                  <w:pPr>
                    <w:autoSpaceDE w:val="0"/>
                    <w:autoSpaceDN w:val="0"/>
                    <w:adjustRightInd w:val="0"/>
                    <w:jc w:val="center"/>
                    <w:rPr>
                      <w:color w:val="auto"/>
                      <w:sz w:val="21"/>
                      <w:szCs w:val="21"/>
                      <w:highlight w:val="none"/>
                    </w:rPr>
                  </w:pPr>
                  <w:r>
                    <w:rPr>
                      <w:rFonts w:hint="eastAsia"/>
                      <w:color w:val="FF0000"/>
                      <w:sz w:val="21"/>
                      <w:szCs w:val="21"/>
                      <w:highlight w:val="none"/>
                      <w:lang w:val="zh-CN"/>
                    </w:rPr>
                    <w:t>年度日均载货车辆进出10辆次及以上或日运输量150吨及以上的单位。</w:t>
                  </w:r>
                </w:p>
              </w:tc>
              <w:tc>
                <w:tcPr>
                  <w:tcW w:w="1391" w:type="pct"/>
                  <w:vMerge w:val="restart"/>
                  <w:noWrap w:val="0"/>
                  <w:vAlign w:val="center"/>
                </w:tcPr>
                <w:p w14:paraId="7A580BE5">
                  <w:pPr>
                    <w:autoSpaceDE w:val="0"/>
                    <w:autoSpaceDN w:val="0"/>
                    <w:adjustRightInd w:val="0"/>
                    <w:jc w:val="center"/>
                    <w:rPr>
                      <w:color w:val="auto"/>
                      <w:sz w:val="21"/>
                      <w:szCs w:val="21"/>
                      <w:highlight w:val="none"/>
                    </w:rPr>
                  </w:pPr>
                  <w:r>
                    <w:rPr>
                      <w:rFonts w:hint="eastAsia"/>
                      <w:color w:val="FF0000"/>
                      <w:sz w:val="21"/>
                      <w:szCs w:val="21"/>
                      <w:highlight w:val="none"/>
                      <w:lang w:val="en-US" w:eastAsia="zh-CN"/>
                    </w:rPr>
                    <w:t>全厂原料及产品等均需要货车运输，年运输辆约240万吨，日均运输量约7273吨，为重点用车企业。企业按照要求新建1套环保门禁机视频监控系统，并联网。</w:t>
                  </w:r>
                </w:p>
              </w:tc>
              <w:tc>
                <w:tcPr>
                  <w:tcW w:w="550" w:type="pct"/>
                  <w:vMerge w:val="restart"/>
                  <w:noWrap w:val="0"/>
                  <w:vAlign w:val="center"/>
                </w:tcPr>
                <w:p w14:paraId="415DB0F0">
                  <w:pPr>
                    <w:jc w:val="center"/>
                    <w:rPr>
                      <w:color w:val="auto"/>
                      <w:sz w:val="21"/>
                      <w:szCs w:val="21"/>
                      <w:highlight w:val="none"/>
                    </w:rPr>
                  </w:pPr>
                  <w:r>
                    <w:rPr>
                      <w:rFonts w:hint="eastAsia"/>
                      <w:color w:val="FF0000"/>
                      <w:sz w:val="21"/>
                      <w:szCs w:val="21"/>
                      <w:highlight w:val="none"/>
                      <w:lang w:val="en-US" w:eastAsia="zh-CN"/>
                    </w:rPr>
                    <w:t>符合</w:t>
                  </w:r>
                </w:p>
              </w:tc>
            </w:tr>
            <w:tr w14:paraId="7804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5" w:hRule="atLeast"/>
              </w:trPr>
              <w:tc>
                <w:tcPr>
                  <w:tcW w:w="871" w:type="pct"/>
                  <w:vMerge w:val="continue"/>
                  <w:noWrap w:val="0"/>
                  <w:vAlign w:val="center"/>
                </w:tcPr>
                <w:p w14:paraId="77DC415A">
                  <w:pPr>
                    <w:autoSpaceDE w:val="0"/>
                    <w:autoSpaceDN w:val="0"/>
                    <w:adjustRightInd w:val="0"/>
                    <w:jc w:val="center"/>
                  </w:pPr>
                </w:p>
              </w:tc>
              <w:tc>
                <w:tcPr>
                  <w:tcW w:w="2187" w:type="pct"/>
                  <w:noWrap w:val="0"/>
                  <w:vAlign w:val="center"/>
                </w:tcPr>
                <w:p w14:paraId="6FDD0764">
                  <w:pPr>
                    <w:autoSpaceDE w:val="0"/>
                    <w:autoSpaceDN w:val="0"/>
                    <w:adjustRightInd w:val="0"/>
                    <w:jc w:val="center"/>
                    <w:rPr>
                      <w:color w:val="auto"/>
                      <w:sz w:val="21"/>
                      <w:szCs w:val="21"/>
                      <w:highlight w:val="none"/>
                    </w:rPr>
                  </w:pPr>
                  <w:r>
                    <w:rPr>
                      <w:rFonts w:hint="eastAsia"/>
                      <w:color w:val="FF0000"/>
                      <w:sz w:val="21"/>
                      <w:szCs w:val="21"/>
                      <w:highlight w:val="none"/>
                      <w:lang w:val="zh-CN"/>
                    </w:rPr>
                    <w:t>重点用车企业应建立环保门禁及视频监控系统，接收市级监管平台的管控策略、异常车辆名单和疑似问题车辆名单，对进出车辆进行识别和管控，同时按统一数据格式要求通过 VPN或专线与市级监管平台联网，实时报送相关数据</w:t>
                  </w:r>
                </w:p>
              </w:tc>
              <w:tc>
                <w:tcPr>
                  <w:tcW w:w="1391" w:type="pct"/>
                  <w:vMerge w:val="continue"/>
                  <w:noWrap w:val="0"/>
                  <w:vAlign w:val="center"/>
                </w:tcPr>
                <w:p w14:paraId="4B52EBBE">
                  <w:pPr>
                    <w:autoSpaceDE w:val="0"/>
                    <w:autoSpaceDN w:val="0"/>
                    <w:adjustRightInd w:val="0"/>
                    <w:jc w:val="left"/>
                    <w:rPr>
                      <w:color w:val="auto"/>
                      <w:sz w:val="21"/>
                      <w:szCs w:val="21"/>
                      <w:highlight w:val="none"/>
                    </w:rPr>
                  </w:pPr>
                </w:p>
              </w:tc>
              <w:tc>
                <w:tcPr>
                  <w:tcW w:w="550" w:type="pct"/>
                  <w:vMerge w:val="continue"/>
                  <w:noWrap w:val="0"/>
                  <w:vAlign w:val="center"/>
                </w:tcPr>
                <w:p w14:paraId="540582E7">
                  <w:pPr>
                    <w:autoSpaceDE w:val="0"/>
                    <w:autoSpaceDN w:val="0"/>
                    <w:adjustRightInd w:val="0"/>
                    <w:jc w:val="left"/>
                    <w:rPr>
                      <w:color w:val="auto"/>
                      <w:sz w:val="21"/>
                      <w:szCs w:val="21"/>
                      <w:highlight w:val="none"/>
                    </w:rPr>
                  </w:pPr>
                </w:p>
              </w:tc>
            </w:tr>
            <w:tr w14:paraId="57EE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2" w:hRule="atLeast"/>
              </w:trPr>
              <w:tc>
                <w:tcPr>
                  <w:tcW w:w="871" w:type="pct"/>
                  <w:vMerge w:val="restart"/>
                  <w:noWrap w:val="0"/>
                  <w:vAlign w:val="center"/>
                </w:tcPr>
                <w:p w14:paraId="04FB2243">
                  <w:pPr>
                    <w:autoSpaceDE w:val="0"/>
                    <w:autoSpaceDN w:val="0"/>
                    <w:adjustRightInd w:val="0"/>
                    <w:jc w:val="left"/>
                    <w:rPr>
                      <w:color w:val="112ADE"/>
                      <w:sz w:val="21"/>
                      <w:szCs w:val="21"/>
                      <w:highlight w:val="none"/>
                    </w:rPr>
                  </w:pPr>
                  <w:r>
                    <w:rPr>
                      <w:rFonts w:hint="eastAsia"/>
                      <w:color w:val="112ADE"/>
                      <w:sz w:val="21"/>
                      <w:szCs w:val="21"/>
                      <w:highlight w:val="none"/>
                    </w:rPr>
                    <w:t>关于印发《府谷县2025年生态环境保护铁腕治污攻坚行动方案》的通知</w:t>
                  </w:r>
                  <w:r>
                    <w:rPr>
                      <w:rFonts w:hint="eastAsia"/>
                      <w:color w:val="112ADE"/>
                      <w:sz w:val="21"/>
                      <w:szCs w:val="21"/>
                      <w:highlight w:val="none"/>
                      <w:lang w:eastAsia="zh-CN"/>
                    </w:rPr>
                    <w:t>（</w:t>
                  </w:r>
                  <w:r>
                    <w:rPr>
                      <w:rFonts w:hint="eastAsia"/>
                      <w:color w:val="112ADE"/>
                      <w:sz w:val="21"/>
                      <w:szCs w:val="21"/>
                      <w:highlight w:val="none"/>
                    </w:rPr>
                    <w:t>府办字〔202</w:t>
                  </w:r>
                  <w:r>
                    <w:rPr>
                      <w:rFonts w:hint="eastAsia"/>
                      <w:color w:val="112ADE"/>
                      <w:sz w:val="21"/>
                      <w:szCs w:val="21"/>
                      <w:highlight w:val="none"/>
                      <w:lang w:val="en-US" w:eastAsia="zh-CN"/>
                    </w:rPr>
                    <w:t>5</w:t>
                  </w:r>
                  <w:r>
                    <w:rPr>
                      <w:rFonts w:hint="eastAsia"/>
                      <w:color w:val="112ADE"/>
                      <w:sz w:val="21"/>
                      <w:szCs w:val="21"/>
                      <w:highlight w:val="none"/>
                    </w:rPr>
                    <w:t>〕</w:t>
                  </w:r>
                  <w:r>
                    <w:rPr>
                      <w:rFonts w:hint="eastAsia"/>
                      <w:color w:val="112ADE"/>
                      <w:sz w:val="21"/>
                      <w:szCs w:val="21"/>
                      <w:highlight w:val="none"/>
                      <w:lang w:val="en-US" w:eastAsia="zh-CN"/>
                    </w:rPr>
                    <w:t>5</w:t>
                  </w:r>
                  <w:r>
                    <w:rPr>
                      <w:rFonts w:hint="eastAsia"/>
                      <w:color w:val="112ADE"/>
                      <w:sz w:val="21"/>
                      <w:szCs w:val="21"/>
                      <w:highlight w:val="none"/>
                    </w:rPr>
                    <w:t>号</w:t>
                  </w:r>
                  <w:r>
                    <w:rPr>
                      <w:rFonts w:hint="eastAsia"/>
                      <w:color w:val="112ADE"/>
                      <w:sz w:val="21"/>
                      <w:szCs w:val="21"/>
                      <w:highlight w:val="none"/>
                      <w:lang w:eastAsia="zh-CN"/>
                    </w:rPr>
                    <w:t>）</w:t>
                  </w:r>
                </w:p>
              </w:tc>
              <w:tc>
                <w:tcPr>
                  <w:tcW w:w="2187" w:type="pct"/>
                  <w:noWrap w:val="0"/>
                  <w:vAlign w:val="center"/>
                </w:tcPr>
                <w:p w14:paraId="152788B2">
                  <w:pPr>
                    <w:autoSpaceDE w:val="0"/>
                    <w:autoSpaceDN w:val="0"/>
                    <w:adjustRightInd w:val="0"/>
                    <w:jc w:val="left"/>
                    <w:rPr>
                      <w:rFonts w:hint="eastAsia" w:eastAsia="宋体"/>
                      <w:color w:val="112ADE"/>
                      <w:sz w:val="21"/>
                      <w:szCs w:val="21"/>
                      <w:highlight w:val="none"/>
                      <w:lang w:eastAsia="zh-CN"/>
                    </w:rPr>
                  </w:pPr>
                  <w:r>
                    <w:rPr>
                      <w:rFonts w:hint="eastAsia"/>
                      <w:color w:val="112ADE"/>
                      <w:sz w:val="21"/>
                      <w:szCs w:val="21"/>
                      <w:highlight w:val="none"/>
                    </w:rPr>
                    <w:t>(一)扬尘整治精细化管控行动。严格落实企业主体责任和建筑工地扬尘管控“六个百分之百”措施，将防治扬尘污染费用纳入工程造价</w:t>
                  </w:r>
                  <w:r>
                    <w:rPr>
                      <w:rFonts w:hint="eastAsia"/>
                      <w:color w:val="112ADE"/>
                      <w:sz w:val="21"/>
                      <w:szCs w:val="21"/>
                      <w:highlight w:val="none"/>
                      <w:lang w:eastAsia="zh-CN"/>
                    </w:rPr>
                    <w:t>；</w:t>
                  </w:r>
                </w:p>
              </w:tc>
              <w:tc>
                <w:tcPr>
                  <w:tcW w:w="1391" w:type="pct"/>
                  <w:noWrap w:val="0"/>
                  <w:vAlign w:val="center"/>
                </w:tcPr>
                <w:p w14:paraId="778F66AD">
                  <w:pPr>
                    <w:autoSpaceDE w:val="0"/>
                    <w:autoSpaceDN w:val="0"/>
                    <w:adjustRightInd w:val="0"/>
                    <w:jc w:val="left"/>
                    <w:rPr>
                      <w:color w:val="112ADE"/>
                      <w:sz w:val="21"/>
                      <w:szCs w:val="21"/>
                      <w:highlight w:val="none"/>
                    </w:rPr>
                  </w:pPr>
                  <w:r>
                    <w:rPr>
                      <w:rFonts w:hint="eastAsia" w:cs="宋体"/>
                      <w:color w:val="112ADE"/>
                      <w:sz w:val="21"/>
                      <w:szCs w:val="21"/>
                      <w:highlight w:val="none"/>
                      <w:lang w:bidi="ar"/>
                    </w:rPr>
                    <w:t>项目施工期建设单位严格按照方案中各项扬尘控制措施进行施工，做到工地周边围挡、物料裸土覆盖、土方开挖（拆迁）湿法作业、路面硬化、出入车辆清洗、渣土车辆封闭运输“六个百分之百”，地基开挖、桩基施工、渣土运输等施工阶段，洒水、覆盖、冲洗等防尘措施持续进行。将防治扬尘污染费用纳入工程造价。</w:t>
                  </w:r>
                </w:p>
              </w:tc>
              <w:tc>
                <w:tcPr>
                  <w:tcW w:w="550" w:type="pct"/>
                  <w:noWrap w:val="0"/>
                  <w:vAlign w:val="center"/>
                </w:tcPr>
                <w:p w14:paraId="77116942">
                  <w:pPr>
                    <w:jc w:val="center"/>
                    <w:rPr>
                      <w:color w:val="112ADE"/>
                      <w:sz w:val="21"/>
                      <w:szCs w:val="21"/>
                      <w:highlight w:val="none"/>
                    </w:rPr>
                  </w:pPr>
                  <w:r>
                    <w:rPr>
                      <w:rFonts w:hint="eastAsia"/>
                      <w:color w:val="112ADE"/>
                      <w:sz w:val="21"/>
                      <w:szCs w:val="21"/>
                      <w:highlight w:val="none"/>
                    </w:rPr>
                    <w:t>符合</w:t>
                  </w:r>
                </w:p>
              </w:tc>
            </w:tr>
            <w:tr w14:paraId="7193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2" w:hRule="atLeast"/>
              </w:trPr>
              <w:tc>
                <w:tcPr>
                  <w:tcW w:w="871" w:type="pct"/>
                  <w:vMerge w:val="continue"/>
                  <w:noWrap w:val="0"/>
                  <w:vAlign w:val="center"/>
                </w:tcPr>
                <w:p w14:paraId="71FDD424">
                  <w:pPr>
                    <w:autoSpaceDE w:val="0"/>
                    <w:autoSpaceDN w:val="0"/>
                    <w:adjustRightInd w:val="0"/>
                    <w:jc w:val="left"/>
                    <w:rPr>
                      <w:rFonts w:hint="eastAsia"/>
                      <w:color w:val="112ADE"/>
                      <w:sz w:val="21"/>
                      <w:szCs w:val="21"/>
                      <w:highlight w:val="none"/>
                    </w:rPr>
                  </w:pPr>
                </w:p>
              </w:tc>
              <w:tc>
                <w:tcPr>
                  <w:tcW w:w="2187" w:type="pct"/>
                  <w:noWrap w:val="0"/>
                  <w:vAlign w:val="center"/>
                </w:tcPr>
                <w:p w14:paraId="622E1F9A">
                  <w:pPr>
                    <w:autoSpaceDE w:val="0"/>
                    <w:autoSpaceDN w:val="0"/>
                    <w:adjustRightInd w:val="0"/>
                    <w:jc w:val="left"/>
                    <w:rPr>
                      <w:rFonts w:hint="eastAsia" w:eastAsia="宋体"/>
                      <w:color w:val="112ADE"/>
                      <w:sz w:val="21"/>
                      <w:szCs w:val="21"/>
                      <w:highlight w:val="none"/>
                      <w:lang w:eastAsia="zh-CN"/>
                    </w:rPr>
                  </w:pPr>
                  <w:r>
                    <w:rPr>
                      <w:rFonts w:hint="eastAsia"/>
                      <w:color w:val="112ADE"/>
                      <w:sz w:val="21"/>
                      <w:szCs w:val="21"/>
                      <w:highlight w:val="none"/>
                    </w:rPr>
                    <w:t>强化裸土整治。持续开展府谷县城区裸露土地排查,按照“属地管理”和“谁使用，谁治理”的原则，3个月内不扰动的裸土必须采取绿化或硬化、覆盖等防风抑尘措施</w:t>
                  </w:r>
                  <w:r>
                    <w:rPr>
                      <w:rFonts w:hint="eastAsia"/>
                      <w:color w:val="112ADE"/>
                      <w:sz w:val="21"/>
                      <w:szCs w:val="21"/>
                      <w:highlight w:val="none"/>
                      <w:lang w:eastAsia="zh-CN"/>
                    </w:rPr>
                    <w:t>。</w:t>
                  </w:r>
                </w:p>
              </w:tc>
              <w:tc>
                <w:tcPr>
                  <w:tcW w:w="1391" w:type="pct"/>
                  <w:noWrap w:val="0"/>
                  <w:vAlign w:val="center"/>
                </w:tcPr>
                <w:p w14:paraId="60014388">
                  <w:pPr>
                    <w:autoSpaceDE w:val="0"/>
                    <w:autoSpaceDN w:val="0"/>
                    <w:adjustRightInd w:val="0"/>
                    <w:jc w:val="left"/>
                    <w:rPr>
                      <w:rFonts w:hint="default" w:eastAsia="宋体" w:cs="宋体"/>
                      <w:color w:val="112ADE"/>
                      <w:sz w:val="21"/>
                      <w:szCs w:val="21"/>
                      <w:highlight w:val="none"/>
                      <w:lang w:val="en-US" w:eastAsia="zh-CN" w:bidi="ar"/>
                    </w:rPr>
                  </w:pPr>
                  <w:r>
                    <w:rPr>
                      <w:rFonts w:hint="eastAsia" w:cs="宋体"/>
                      <w:color w:val="112ADE"/>
                      <w:sz w:val="21"/>
                      <w:szCs w:val="21"/>
                      <w:highlight w:val="none"/>
                      <w:lang w:val="en-US" w:eastAsia="zh-CN" w:bidi="ar"/>
                    </w:rPr>
                    <w:t>评价要求企业</w:t>
                  </w:r>
                  <w:r>
                    <w:rPr>
                      <w:rFonts w:hint="eastAsia"/>
                      <w:color w:val="112ADE"/>
                      <w:sz w:val="21"/>
                      <w:szCs w:val="21"/>
                      <w:highlight w:val="none"/>
                    </w:rPr>
                    <w:t>3个月内不扰动的裸土必须采取绿化或硬化、覆盖等防风抑尘措施</w:t>
                  </w:r>
                  <w:r>
                    <w:rPr>
                      <w:rFonts w:hint="eastAsia"/>
                      <w:color w:val="112ADE"/>
                      <w:sz w:val="21"/>
                      <w:szCs w:val="21"/>
                      <w:highlight w:val="none"/>
                      <w:lang w:eastAsia="zh-CN"/>
                    </w:rPr>
                    <w:t>。</w:t>
                  </w:r>
                </w:p>
              </w:tc>
              <w:tc>
                <w:tcPr>
                  <w:tcW w:w="550" w:type="pct"/>
                  <w:noWrap w:val="0"/>
                  <w:vAlign w:val="center"/>
                </w:tcPr>
                <w:p w14:paraId="7E59117D">
                  <w:pPr>
                    <w:jc w:val="center"/>
                    <w:rPr>
                      <w:rFonts w:hint="eastAsia" w:eastAsia="宋体"/>
                      <w:color w:val="112ADE"/>
                      <w:sz w:val="21"/>
                      <w:szCs w:val="21"/>
                      <w:highlight w:val="none"/>
                      <w:lang w:val="en-US" w:eastAsia="zh-CN"/>
                    </w:rPr>
                  </w:pPr>
                  <w:r>
                    <w:rPr>
                      <w:rFonts w:hint="eastAsia"/>
                      <w:color w:val="112ADE"/>
                      <w:sz w:val="21"/>
                      <w:szCs w:val="21"/>
                      <w:highlight w:val="none"/>
                      <w:lang w:val="en-US" w:eastAsia="zh-CN"/>
                    </w:rPr>
                    <w:t>符合</w:t>
                  </w:r>
                </w:p>
              </w:tc>
            </w:tr>
            <w:tr w14:paraId="10CA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2" w:hRule="atLeast"/>
              </w:trPr>
              <w:tc>
                <w:tcPr>
                  <w:tcW w:w="871" w:type="pct"/>
                  <w:vMerge w:val="continue"/>
                  <w:noWrap w:val="0"/>
                  <w:vAlign w:val="center"/>
                </w:tcPr>
                <w:p w14:paraId="1504A857">
                  <w:pPr>
                    <w:autoSpaceDE w:val="0"/>
                    <w:autoSpaceDN w:val="0"/>
                    <w:adjustRightInd w:val="0"/>
                    <w:jc w:val="left"/>
                    <w:rPr>
                      <w:rFonts w:hint="eastAsia"/>
                      <w:color w:val="112ADE"/>
                      <w:sz w:val="21"/>
                      <w:szCs w:val="21"/>
                      <w:highlight w:val="none"/>
                    </w:rPr>
                  </w:pPr>
                </w:p>
              </w:tc>
              <w:tc>
                <w:tcPr>
                  <w:tcW w:w="2187" w:type="pct"/>
                  <w:noWrap w:val="0"/>
                  <w:vAlign w:val="center"/>
                </w:tcPr>
                <w:p w14:paraId="2606DC76">
                  <w:pPr>
                    <w:autoSpaceDE w:val="0"/>
                    <w:autoSpaceDN w:val="0"/>
                    <w:adjustRightInd w:val="0"/>
                    <w:jc w:val="left"/>
                    <w:rPr>
                      <w:rFonts w:hint="eastAsia"/>
                      <w:color w:val="112ADE"/>
                      <w:sz w:val="21"/>
                      <w:szCs w:val="21"/>
                      <w:highlight w:val="none"/>
                    </w:rPr>
                  </w:pPr>
                  <w:r>
                    <w:rPr>
                      <w:rFonts w:hint="eastAsia"/>
                      <w:color w:val="112ADE"/>
                      <w:sz w:val="21"/>
                      <w:szCs w:val="21"/>
                      <w:highlight w:val="none"/>
                    </w:rPr>
                    <w:t>(四)机动车尾气管控行动。县交警大队要加强机动车污染物协同控制，逐步淘汰国三及以下排放标准柴油货车。市生态环境局府谷分局落实《陕西省重点用车企业环保门禁及视频监控系统建设技术指南》，全部建立门禁系统，实施移动源管控。</w:t>
                  </w:r>
                </w:p>
              </w:tc>
              <w:tc>
                <w:tcPr>
                  <w:tcW w:w="1391" w:type="pct"/>
                  <w:noWrap w:val="0"/>
                  <w:vAlign w:val="center"/>
                </w:tcPr>
                <w:p w14:paraId="22C8381C">
                  <w:pPr>
                    <w:autoSpaceDE w:val="0"/>
                    <w:autoSpaceDN w:val="0"/>
                    <w:adjustRightInd w:val="0"/>
                    <w:jc w:val="left"/>
                    <w:rPr>
                      <w:rFonts w:hint="eastAsia" w:eastAsia="宋体" w:cs="宋体"/>
                      <w:color w:val="112ADE"/>
                      <w:sz w:val="21"/>
                      <w:szCs w:val="21"/>
                      <w:highlight w:val="none"/>
                      <w:lang w:val="en-US" w:eastAsia="zh-CN" w:bidi="ar"/>
                    </w:rPr>
                  </w:pPr>
                  <w:r>
                    <w:rPr>
                      <w:rFonts w:hint="eastAsia" w:cs="宋体"/>
                      <w:color w:val="112ADE"/>
                      <w:sz w:val="21"/>
                      <w:szCs w:val="21"/>
                      <w:highlight w:val="none"/>
                      <w:lang w:val="en-US" w:eastAsia="zh-CN" w:bidi="ar"/>
                    </w:rPr>
                    <w:t>评价要求企业禁止使用</w:t>
                  </w:r>
                  <w:r>
                    <w:rPr>
                      <w:rFonts w:hint="eastAsia"/>
                      <w:color w:val="112ADE"/>
                      <w:sz w:val="21"/>
                      <w:szCs w:val="21"/>
                      <w:highlight w:val="none"/>
                    </w:rPr>
                    <w:t>国三及以下排放标准柴油货车</w:t>
                  </w:r>
                  <w:r>
                    <w:rPr>
                      <w:rFonts w:hint="eastAsia"/>
                      <w:color w:val="112ADE"/>
                      <w:sz w:val="21"/>
                      <w:szCs w:val="21"/>
                      <w:highlight w:val="none"/>
                      <w:lang w:eastAsia="zh-CN"/>
                    </w:rPr>
                    <w:t>，</w:t>
                  </w:r>
                  <w:r>
                    <w:rPr>
                      <w:rFonts w:hint="eastAsia"/>
                      <w:color w:val="112ADE"/>
                      <w:sz w:val="21"/>
                      <w:szCs w:val="21"/>
                      <w:highlight w:val="none"/>
                      <w:lang w:val="en-US" w:eastAsia="zh-CN"/>
                    </w:rPr>
                    <w:t>采用新能源或国六排放标准的车辆。企业属于重点用车企业，新建1套</w:t>
                  </w:r>
                  <w:r>
                    <w:rPr>
                      <w:rFonts w:hint="eastAsia"/>
                      <w:color w:val="112ADE"/>
                      <w:sz w:val="21"/>
                      <w:szCs w:val="21"/>
                      <w:highlight w:val="none"/>
                    </w:rPr>
                    <w:t>环保门禁及视频监控系统</w:t>
                  </w:r>
                  <w:r>
                    <w:rPr>
                      <w:rFonts w:hint="eastAsia"/>
                      <w:color w:val="112ADE"/>
                      <w:sz w:val="21"/>
                      <w:szCs w:val="21"/>
                      <w:highlight w:val="none"/>
                      <w:lang w:eastAsia="zh-CN"/>
                    </w:rPr>
                    <w:t>。</w:t>
                  </w:r>
                </w:p>
              </w:tc>
              <w:tc>
                <w:tcPr>
                  <w:tcW w:w="550" w:type="pct"/>
                  <w:noWrap w:val="0"/>
                  <w:vAlign w:val="center"/>
                </w:tcPr>
                <w:p w14:paraId="30EB4266">
                  <w:pPr>
                    <w:jc w:val="center"/>
                    <w:rPr>
                      <w:rFonts w:hint="default"/>
                      <w:color w:val="112ADE"/>
                      <w:sz w:val="21"/>
                      <w:szCs w:val="21"/>
                      <w:highlight w:val="none"/>
                      <w:lang w:val="en-US" w:eastAsia="zh-CN"/>
                    </w:rPr>
                  </w:pPr>
                  <w:r>
                    <w:rPr>
                      <w:rFonts w:hint="eastAsia"/>
                      <w:color w:val="112ADE"/>
                      <w:sz w:val="21"/>
                      <w:szCs w:val="21"/>
                      <w:highlight w:val="none"/>
                      <w:lang w:val="en-US" w:eastAsia="zh-CN"/>
                    </w:rPr>
                    <w:t>符合</w:t>
                  </w:r>
                </w:p>
              </w:tc>
            </w:tr>
            <w:tr w14:paraId="6AFF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871" w:type="pct"/>
                  <w:vMerge w:val="continue"/>
                  <w:noWrap w:val="0"/>
                  <w:vAlign w:val="center"/>
                </w:tcPr>
                <w:p w14:paraId="773F92E6">
                  <w:pPr>
                    <w:autoSpaceDE w:val="0"/>
                    <w:autoSpaceDN w:val="0"/>
                    <w:adjustRightInd w:val="0"/>
                    <w:jc w:val="left"/>
                    <w:rPr>
                      <w:rFonts w:hint="eastAsia"/>
                      <w:color w:val="112ADE"/>
                      <w:sz w:val="21"/>
                      <w:szCs w:val="21"/>
                      <w:highlight w:val="none"/>
                    </w:rPr>
                  </w:pPr>
                </w:p>
              </w:tc>
              <w:tc>
                <w:tcPr>
                  <w:tcW w:w="2187" w:type="pct"/>
                  <w:noWrap w:val="0"/>
                  <w:vAlign w:val="center"/>
                </w:tcPr>
                <w:p w14:paraId="296941C7">
                  <w:pPr>
                    <w:autoSpaceDE w:val="0"/>
                    <w:autoSpaceDN w:val="0"/>
                    <w:adjustRightInd w:val="0"/>
                    <w:jc w:val="both"/>
                    <w:rPr>
                      <w:color w:val="112ADE"/>
                      <w:sz w:val="21"/>
                      <w:szCs w:val="21"/>
                      <w:highlight w:val="none"/>
                    </w:rPr>
                  </w:pPr>
                  <w:r>
                    <w:rPr>
                      <w:rFonts w:hint="eastAsia"/>
                      <w:color w:val="112ADE"/>
                      <w:sz w:val="21"/>
                      <w:szCs w:val="21"/>
                      <w:highlight w:val="none"/>
                      <w:lang w:val="zh-CN"/>
                    </w:rPr>
                    <w:t>(六)货物运输优化调整行动。加快推动铁路专用线项目建设，着力提升大宗货物中长距离铁路运输量。电力等行业以及年大宗货物运输量在100万吨以上的企业、物流园的清洁运输比例提高到 30%；年运量150万吨以上大型工矿企业中长距离运输(运距500公里以上)的煤炭和焦炭中，铁路运输比例力争达到90%。</w:t>
                  </w:r>
                </w:p>
              </w:tc>
              <w:tc>
                <w:tcPr>
                  <w:tcW w:w="1391" w:type="pct"/>
                  <w:noWrap w:val="0"/>
                  <w:vAlign w:val="center"/>
                </w:tcPr>
                <w:p w14:paraId="4FE84066">
                  <w:pPr>
                    <w:autoSpaceDE w:val="0"/>
                    <w:autoSpaceDN w:val="0"/>
                    <w:adjustRightInd w:val="0"/>
                    <w:jc w:val="left"/>
                    <w:rPr>
                      <w:rFonts w:hint="default" w:eastAsia="宋体"/>
                      <w:color w:val="112ADE"/>
                      <w:sz w:val="21"/>
                      <w:szCs w:val="21"/>
                      <w:highlight w:val="none"/>
                      <w:lang w:val="en-US" w:eastAsia="zh-CN"/>
                    </w:rPr>
                  </w:pPr>
                  <w:r>
                    <w:rPr>
                      <w:rFonts w:hint="eastAsia"/>
                      <w:color w:val="112ADE"/>
                      <w:sz w:val="21"/>
                      <w:szCs w:val="21"/>
                      <w:highlight w:val="none"/>
                      <w:lang w:val="zh-CN"/>
                    </w:rPr>
                    <w:t>本项目建设</w:t>
                  </w:r>
                  <w:r>
                    <w:rPr>
                      <w:rFonts w:hint="eastAsia"/>
                      <w:color w:val="112ADE"/>
                      <w:sz w:val="21"/>
                      <w:szCs w:val="21"/>
                      <w:highlight w:val="none"/>
                      <w:lang w:val="en-US" w:eastAsia="zh-CN"/>
                    </w:rPr>
                    <w:t>全</w:t>
                  </w:r>
                  <w:r>
                    <w:rPr>
                      <w:rFonts w:hint="eastAsia"/>
                      <w:color w:val="112ADE"/>
                      <w:sz w:val="21"/>
                      <w:szCs w:val="21"/>
                      <w:highlight w:val="none"/>
                      <w:lang w:val="zh-CN"/>
                    </w:rPr>
                    <w:t>封闭式</w:t>
                  </w:r>
                  <w:r>
                    <w:rPr>
                      <w:rFonts w:hint="eastAsia"/>
                      <w:color w:val="112ADE"/>
                      <w:sz w:val="21"/>
                      <w:szCs w:val="21"/>
                      <w:highlight w:val="none"/>
                      <w:lang w:val="en-US" w:eastAsia="zh-CN"/>
                    </w:rPr>
                    <w:t>精煤</w:t>
                  </w:r>
                  <w:r>
                    <w:rPr>
                      <w:rFonts w:hint="eastAsia"/>
                      <w:color w:val="112ADE"/>
                      <w:sz w:val="21"/>
                      <w:szCs w:val="21"/>
                      <w:highlight w:val="none"/>
                      <w:lang w:val="zh-CN"/>
                    </w:rPr>
                    <w:t>储煤棚</w:t>
                  </w:r>
                  <w:r>
                    <w:rPr>
                      <w:color w:val="112ADE"/>
                      <w:sz w:val="21"/>
                      <w:szCs w:val="21"/>
                      <w:highlight w:val="none"/>
                      <w:lang w:val="zh-CN"/>
                    </w:rPr>
                    <w:t>1</w:t>
                  </w:r>
                  <w:r>
                    <w:rPr>
                      <w:rFonts w:hint="eastAsia"/>
                      <w:color w:val="112ADE"/>
                      <w:sz w:val="21"/>
                      <w:szCs w:val="21"/>
                      <w:highlight w:val="none"/>
                      <w:lang w:val="zh-CN"/>
                    </w:rPr>
                    <w:t>座。</w:t>
                  </w:r>
                  <w:r>
                    <w:rPr>
                      <w:rFonts w:hint="eastAsia"/>
                      <w:color w:val="112ADE"/>
                      <w:sz w:val="21"/>
                      <w:szCs w:val="21"/>
                      <w:highlight w:val="none"/>
                      <w:lang w:val="en-US" w:eastAsia="zh-CN"/>
                    </w:rPr>
                    <w:t>企业原煤均来自附近煤矿，产品等就近销售（运距小于500公里），属于短距离运输。企业大宗货物运输量超过100万吨，评价要求，原料、产品、固废等的全部采用新能源或国六排放标准的车辆。</w:t>
                  </w:r>
                </w:p>
              </w:tc>
              <w:tc>
                <w:tcPr>
                  <w:tcW w:w="550" w:type="pct"/>
                  <w:noWrap w:val="0"/>
                  <w:vAlign w:val="center"/>
                </w:tcPr>
                <w:p w14:paraId="04981C6E">
                  <w:pPr>
                    <w:jc w:val="center"/>
                    <w:rPr>
                      <w:color w:val="112ADE"/>
                      <w:sz w:val="21"/>
                      <w:szCs w:val="21"/>
                      <w:highlight w:val="none"/>
                    </w:rPr>
                  </w:pPr>
                  <w:r>
                    <w:rPr>
                      <w:rFonts w:hint="eastAsia"/>
                      <w:color w:val="112ADE"/>
                      <w:sz w:val="21"/>
                      <w:szCs w:val="21"/>
                      <w:highlight w:val="none"/>
                    </w:rPr>
                    <w:t>符合</w:t>
                  </w:r>
                </w:p>
              </w:tc>
            </w:tr>
          </w:tbl>
          <w:p w14:paraId="4D5E1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bCs/>
                <w:color w:val="auto"/>
                <w:kern w:val="24"/>
                <w:sz w:val="24"/>
                <w:highlight w:val="none"/>
                <w:lang w:val="zh-CN"/>
              </w:rPr>
            </w:pPr>
            <w:r>
              <w:rPr>
                <w:rFonts w:hint="eastAsia" w:ascii="Times New Roman" w:hAnsi="Times New Roman" w:eastAsia="宋体"/>
                <w:b/>
                <w:bCs/>
                <w:color w:val="auto"/>
                <w:kern w:val="24"/>
                <w:sz w:val="24"/>
                <w:highlight w:val="none"/>
                <w:lang w:val="en-US" w:eastAsia="zh-CN"/>
              </w:rPr>
              <w:t>6、选址的环境可行性</w:t>
            </w:r>
            <w:r>
              <w:rPr>
                <w:rFonts w:hint="eastAsia" w:ascii="Times New Roman" w:hAnsi="Times New Roman" w:eastAsia="宋体"/>
                <w:b/>
                <w:bCs/>
                <w:color w:val="auto"/>
                <w:kern w:val="24"/>
                <w:sz w:val="24"/>
                <w:highlight w:val="none"/>
                <w:lang w:val="zh-CN" w:eastAsia="zh-CN"/>
              </w:rPr>
              <w:t>分析</w:t>
            </w:r>
          </w:p>
          <w:p w14:paraId="7D423E5E">
            <w:pPr>
              <w:pStyle w:val="75"/>
              <w:adjustRightInd w:val="0"/>
              <w:snapToGrid w:val="0"/>
              <w:spacing w:line="360" w:lineRule="auto"/>
              <w:ind w:firstLine="472" w:firstLineChars="200"/>
              <w:rPr>
                <w:rFonts w:hint="default" w:ascii="Times New Roman" w:hAnsi="Times New Roman" w:cs="Times New Roman"/>
                <w:b w:val="0"/>
                <w:bCs w:val="0"/>
                <w:color w:val="auto"/>
                <w:spacing w:val="-2"/>
                <w:sz w:val="24"/>
                <w:szCs w:val="24"/>
                <w:highlight w:val="none"/>
              </w:rPr>
            </w:pPr>
            <w:r>
              <w:rPr>
                <w:rFonts w:hint="default" w:ascii="Times New Roman" w:hAnsi="Times New Roman" w:cs="Times New Roman"/>
                <w:b w:val="0"/>
                <w:bCs w:val="0"/>
                <w:color w:val="auto"/>
                <w:spacing w:val="-2"/>
                <w:sz w:val="24"/>
                <w:szCs w:val="24"/>
                <w:highlight w:val="none"/>
              </w:rPr>
              <w:t>项目位于</w:t>
            </w:r>
            <w:r>
              <w:rPr>
                <w:rFonts w:hint="default" w:ascii="Times New Roman" w:hAnsi="Times New Roman" w:cs="Times New Roman"/>
                <w:b w:val="0"/>
                <w:bCs w:val="0"/>
                <w:color w:val="auto"/>
                <w:spacing w:val="-2"/>
                <w:sz w:val="24"/>
                <w:szCs w:val="24"/>
                <w:highlight w:val="none"/>
                <w:lang w:val="en-US" w:eastAsia="zh-CN"/>
              </w:rPr>
              <w:t>新民镇芦草畔村府谷县鸿凯经贸开发有限公司洗煤厂</w:t>
            </w:r>
            <w:r>
              <w:rPr>
                <w:rFonts w:hint="eastAsia" w:ascii="Times New Roman" w:hAnsi="Times New Roman" w:cs="Times New Roman"/>
                <w:b w:val="0"/>
                <w:bCs w:val="0"/>
                <w:color w:val="auto"/>
                <w:spacing w:val="-2"/>
                <w:sz w:val="24"/>
                <w:szCs w:val="24"/>
                <w:highlight w:val="none"/>
                <w:lang w:val="en-US" w:eastAsia="zh-CN"/>
              </w:rPr>
              <w:t>西</w:t>
            </w:r>
            <w:r>
              <w:rPr>
                <w:rFonts w:hint="default" w:ascii="Times New Roman" w:hAnsi="Times New Roman" w:cs="Times New Roman"/>
                <w:b w:val="0"/>
                <w:bCs w:val="0"/>
                <w:color w:val="auto"/>
                <w:spacing w:val="-2"/>
                <w:sz w:val="24"/>
                <w:szCs w:val="24"/>
                <w:highlight w:val="none"/>
                <w:lang w:val="en-US" w:eastAsia="zh-CN"/>
              </w:rPr>
              <w:t>侧</w:t>
            </w:r>
            <w:r>
              <w:rPr>
                <w:rFonts w:hint="default" w:ascii="Times New Roman" w:hAnsi="Times New Roman" w:cs="Times New Roman"/>
                <w:b w:val="0"/>
                <w:bCs w:val="0"/>
                <w:color w:val="auto"/>
                <w:spacing w:val="-2"/>
                <w:sz w:val="24"/>
                <w:szCs w:val="24"/>
                <w:highlight w:val="none"/>
              </w:rPr>
              <w:t>建设，新增占地</w:t>
            </w:r>
            <w:r>
              <w:rPr>
                <w:rFonts w:hint="default" w:ascii="Times New Roman" w:hAnsi="Times New Roman" w:cs="Times New Roman"/>
                <w:b w:val="0"/>
                <w:bCs w:val="0"/>
                <w:color w:val="auto"/>
                <w:spacing w:val="-2"/>
                <w:sz w:val="24"/>
                <w:szCs w:val="24"/>
                <w:highlight w:val="none"/>
                <w:lang w:val="en-US" w:eastAsia="zh-CN"/>
              </w:rPr>
              <w:t>面积25.5亩</w:t>
            </w:r>
            <w:r>
              <w:rPr>
                <w:rFonts w:hint="default" w:ascii="Times New Roman" w:hAnsi="Times New Roman" w:cs="Times New Roman"/>
                <w:b w:val="0"/>
                <w:bCs w:val="0"/>
                <w:color w:val="auto"/>
                <w:spacing w:val="-2"/>
                <w:sz w:val="24"/>
                <w:szCs w:val="24"/>
                <w:highlight w:val="none"/>
              </w:rPr>
              <w:t>，用地属工</w:t>
            </w:r>
            <w:r>
              <w:rPr>
                <w:rFonts w:hint="default" w:ascii="Times New Roman" w:hAnsi="Times New Roman" w:cs="Times New Roman"/>
                <w:b w:val="0"/>
                <w:bCs w:val="0"/>
                <w:color w:val="auto"/>
                <w:spacing w:val="-2"/>
                <w:sz w:val="24"/>
                <w:szCs w:val="24"/>
                <w:highlight w:val="none"/>
                <w:lang w:val="en-US" w:eastAsia="zh-CN"/>
              </w:rPr>
              <w:t>矿</w:t>
            </w:r>
            <w:r>
              <w:rPr>
                <w:rFonts w:hint="default" w:ascii="Times New Roman" w:hAnsi="Times New Roman" w:cs="Times New Roman"/>
                <w:b w:val="0"/>
                <w:bCs w:val="0"/>
                <w:color w:val="auto"/>
                <w:spacing w:val="-2"/>
                <w:sz w:val="24"/>
                <w:szCs w:val="24"/>
                <w:highlight w:val="none"/>
              </w:rPr>
              <w:t>用地。项目生产用水及生活用水依托公司</w:t>
            </w:r>
            <w:r>
              <w:rPr>
                <w:rFonts w:hint="default" w:ascii="Times New Roman" w:hAnsi="Times New Roman" w:cs="Times New Roman"/>
                <w:b w:val="0"/>
                <w:bCs w:val="0"/>
                <w:color w:val="auto"/>
                <w:spacing w:val="-2"/>
                <w:sz w:val="24"/>
                <w:szCs w:val="24"/>
                <w:highlight w:val="none"/>
                <w:lang w:val="en-US" w:eastAsia="zh-CN"/>
              </w:rPr>
              <w:t>洗煤厂</w:t>
            </w:r>
            <w:r>
              <w:rPr>
                <w:rFonts w:hint="default" w:ascii="Times New Roman" w:hAnsi="Times New Roman" w:cs="Times New Roman"/>
                <w:b w:val="0"/>
                <w:bCs w:val="0"/>
                <w:color w:val="auto"/>
                <w:spacing w:val="-2"/>
                <w:sz w:val="24"/>
                <w:szCs w:val="24"/>
                <w:highlight w:val="none"/>
              </w:rPr>
              <w:t>现有供水系统，水质、水量可满足项目生活用水需要；供电依托公司现有供电系统，供电有保障；区内交通便利，有利于物流的转输。</w:t>
            </w:r>
          </w:p>
          <w:p w14:paraId="102ACF0F">
            <w:pPr>
              <w:pStyle w:val="75"/>
              <w:adjustRightInd w:val="0"/>
              <w:snapToGrid w:val="0"/>
              <w:spacing w:line="360" w:lineRule="auto"/>
              <w:ind w:firstLine="472" w:firstLineChars="200"/>
              <w:rPr>
                <w:rFonts w:hint="default" w:ascii="Times New Roman" w:hAnsi="Times New Roman" w:cs="Times New Roman"/>
                <w:b w:val="0"/>
                <w:bCs w:val="0"/>
                <w:color w:val="auto"/>
                <w:spacing w:val="-2"/>
                <w:sz w:val="24"/>
                <w:szCs w:val="24"/>
                <w:highlight w:val="none"/>
              </w:rPr>
            </w:pPr>
            <w:r>
              <w:rPr>
                <w:rFonts w:hint="default" w:ascii="Times New Roman" w:hAnsi="Times New Roman" w:cs="Times New Roman"/>
                <w:b w:val="0"/>
                <w:bCs w:val="0"/>
                <w:color w:val="auto"/>
                <w:spacing w:val="-2"/>
                <w:sz w:val="24"/>
                <w:szCs w:val="24"/>
                <w:highlight w:val="none"/>
              </w:rPr>
              <w:t>项目对各污染物采取相应的污染防治措施后，可实现达标排放，对环境影响较小。区内无自然保护区、文物古迹，受制约条件较小。项目500m</w:t>
            </w:r>
            <w:r>
              <w:rPr>
                <w:rFonts w:hint="default" w:ascii="Times New Roman" w:hAnsi="Times New Roman" w:cs="Times New Roman"/>
                <w:b w:val="0"/>
                <w:bCs w:val="0"/>
                <w:color w:val="auto"/>
                <w:spacing w:val="-2"/>
                <w:sz w:val="24"/>
                <w:szCs w:val="24"/>
                <w:highlight w:val="none"/>
                <w:lang w:val="en-US" w:eastAsia="zh-CN"/>
              </w:rPr>
              <w:t>范围内</w:t>
            </w:r>
            <w:r>
              <w:rPr>
                <w:rFonts w:hint="default" w:ascii="Times New Roman" w:hAnsi="Times New Roman" w:cs="Times New Roman"/>
                <w:b w:val="0"/>
                <w:bCs w:val="0"/>
                <w:color w:val="auto"/>
                <w:spacing w:val="-2"/>
                <w:sz w:val="24"/>
                <w:szCs w:val="24"/>
                <w:highlight w:val="none"/>
              </w:rPr>
              <w:t>环境敏感点较少，项目采取完善的环保措施后，对其影响较小。</w:t>
            </w:r>
          </w:p>
          <w:p w14:paraId="228E540F">
            <w:pPr>
              <w:pStyle w:val="75"/>
              <w:adjustRightInd w:val="0"/>
              <w:snapToGrid w:val="0"/>
              <w:spacing w:line="360" w:lineRule="auto"/>
              <w:ind w:firstLine="472" w:firstLineChars="200"/>
              <w:rPr>
                <w:rFonts w:hint="default" w:ascii="Times New Roman" w:hAnsi="Times New Roman" w:cs="Times New Roman"/>
                <w:b w:val="0"/>
                <w:bCs w:val="0"/>
                <w:color w:val="auto"/>
                <w:spacing w:val="-2"/>
                <w:sz w:val="24"/>
                <w:szCs w:val="24"/>
                <w:highlight w:val="none"/>
              </w:rPr>
            </w:pPr>
            <w:r>
              <w:rPr>
                <w:rFonts w:hint="default" w:ascii="Times New Roman" w:hAnsi="Times New Roman" w:cs="Times New Roman"/>
                <w:b w:val="0"/>
                <w:bCs w:val="0"/>
                <w:color w:val="auto"/>
                <w:spacing w:val="-2"/>
                <w:sz w:val="24"/>
                <w:szCs w:val="24"/>
                <w:highlight w:val="none"/>
              </w:rPr>
              <w:t>综上所述，项目供水、供电、交通及物流条件较好，在采取项目环评提出的污染防治措施后，可将项目对环境的不利影响控制在环境可接受的程度和范围内。从满足环境质量目标要求分析，项目建设可行。</w:t>
            </w:r>
          </w:p>
          <w:p w14:paraId="26C07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4"/>
                <w:sz w:val="24"/>
                <w:highlight w:val="none"/>
                <w:lang w:val="en-US" w:eastAsia="zh-CN"/>
              </w:rPr>
            </w:pPr>
            <w:r>
              <w:rPr>
                <w:rFonts w:hint="default" w:ascii="Times New Roman" w:hAnsi="Times New Roman" w:eastAsia="宋体" w:cs="Times New Roman"/>
                <w:b/>
                <w:bCs/>
                <w:color w:val="auto"/>
                <w:kern w:val="24"/>
                <w:sz w:val="24"/>
                <w:highlight w:val="none"/>
                <w:lang w:val="en-US" w:eastAsia="zh-CN"/>
              </w:rPr>
              <w:t>二、编制依据</w:t>
            </w:r>
          </w:p>
          <w:p w14:paraId="3088FE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default" w:ascii="Times New Roman" w:hAnsi="Times New Roman" w:eastAsia="宋体" w:cs="Times New Roman"/>
                <w:b w:val="0"/>
                <w:bCs w:val="0"/>
                <w:color w:val="auto"/>
                <w:kern w:val="24"/>
                <w:sz w:val="24"/>
                <w:highlight w:val="none"/>
                <w:lang w:val="zh-CN" w:eastAsia="zh-CN"/>
              </w:rPr>
              <w:t>本项目新建</w:t>
            </w:r>
            <w:r>
              <w:rPr>
                <w:rFonts w:hint="default" w:ascii="Times New Roman" w:hAnsi="Times New Roman" w:eastAsia="宋体" w:cs="Times New Roman"/>
                <w:b w:val="0"/>
                <w:bCs w:val="0"/>
                <w:color w:val="auto"/>
                <w:kern w:val="24"/>
                <w:sz w:val="24"/>
                <w:highlight w:val="none"/>
                <w:lang w:val="en-US" w:eastAsia="zh-CN"/>
              </w:rPr>
              <w:t>1</w:t>
            </w:r>
            <w:r>
              <w:rPr>
                <w:rFonts w:hint="default" w:ascii="Times New Roman" w:hAnsi="Times New Roman" w:eastAsia="宋体" w:cs="Times New Roman"/>
                <w:b w:val="0"/>
                <w:bCs w:val="0"/>
                <w:color w:val="auto"/>
                <w:kern w:val="24"/>
                <w:sz w:val="24"/>
                <w:highlight w:val="none"/>
                <w:lang w:val="zh-CN" w:eastAsia="zh-CN"/>
              </w:rPr>
              <w:t>座</w:t>
            </w:r>
            <w:r>
              <w:rPr>
                <w:rFonts w:hint="default" w:ascii="Times New Roman" w:hAnsi="Times New Roman" w:eastAsia="宋体" w:cs="Times New Roman"/>
                <w:b w:val="0"/>
                <w:bCs w:val="0"/>
                <w:color w:val="auto"/>
                <w:kern w:val="24"/>
                <w:sz w:val="24"/>
                <w:highlight w:val="none"/>
                <w:lang w:val="en-US" w:eastAsia="zh-CN"/>
              </w:rPr>
              <w:t>15000m</w:t>
            </w:r>
            <w:r>
              <w:rPr>
                <w:rFonts w:hint="default" w:ascii="Times New Roman" w:hAnsi="Times New Roman" w:eastAsia="宋体" w:cs="Times New Roman"/>
                <w:b w:val="0"/>
                <w:bCs w:val="0"/>
                <w:color w:val="auto"/>
                <w:kern w:val="24"/>
                <w:sz w:val="24"/>
                <w:highlight w:val="none"/>
                <w:vertAlign w:val="superscript"/>
                <w:lang w:val="en-US" w:eastAsia="zh-CN"/>
              </w:rPr>
              <w:t>2</w:t>
            </w:r>
            <w:r>
              <w:rPr>
                <w:rFonts w:hint="default" w:ascii="Times New Roman" w:hAnsi="Times New Roman" w:eastAsia="宋体" w:cs="Times New Roman"/>
                <w:b w:val="0"/>
                <w:bCs w:val="0"/>
                <w:color w:val="auto"/>
                <w:kern w:val="24"/>
                <w:sz w:val="24"/>
                <w:highlight w:val="none"/>
                <w:lang w:val="zh-CN" w:eastAsia="zh-CN"/>
              </w:rPr>
              <w:t>钢结构</w:t>
            </w:r>
            <w:r>
              <w:rPr>
                <w:rFonts w:hint="default" w:ascii="Times New Roman" w:hAnsi="Times New Roman" w:eastAsia="宋体" w:cs="Times New Roman"/>
                <w:b w:val="0"/>
                <w:bCs w:val="0"/>
                <w:color w:val="auto"/>
                <w:kern w:val="24"/>
                <w:sz w:val="24"/>
                <w:highlight w:val="none"/>
                <w:lang w:val="en-US" w:eastAsia="zh-CN"/>
              </w:rPr>
              <w:t>的全封闭储煤棚</w:t>
            </w:r>
            <w:r>
              <w:rPr>
                <w:rFonts w:hint="default" w:ascii="Times New Roman" w:hAnsi="Times New Roman" w:eastAsia="宋体" w:cs="Times New Roman"/>
                <w:b w:val="0"/>
                <w:bCs w:val="0"/>
                <w:color w:val="auto"/>
                <w:kern w:val="24"/>
                <w:sz w:val="24"/>
                <w:highlight w:val="none"/>
                <w:lang w:val="zh-CN" w:eastAsia="zh-CN"/>
              </w:rPr>
              <w:t>，用于</w:t>
            </w:r>
            <w:r>
              <w:rPr>
                <w:rFonts w:hint="eastAsia" w:cs="Times New Roman"/>
                <w:b w:val="0"/>
                <w:bCs w:val="0"/>
                <w:color w:val="auto"/>
                <w:kern w:val="24"/>
                <w:sz w:val="24"/>
                <w:highlight w:val="none"/>
                <w:lang w:val="en-US" w:eastAsia="zh-CN"/>
              </w:rPr>
              <w:t>精煤产品</w:t>
            </w:r>
            <w:r>
              <w:rPr>
                <w:rFonts w:hint="default" w:ascii="Times New Roman" w:hAnsi="Times New Roman" w:eastAsia="宋体" w:cs="Times New Roman"/>
                <w:b w:val="0"/>
                <w:bCs w:val="0"/>
                <w:color w:val="auto"/>
                <w:kern w:val="24"/>
                <w:sz w:val="24"/>
                <w:highlight w:val="none"/>
                <w:lang w:val="zh-CN" w:eastAsia="zh-CN"/>
              </w:rPr>
              <w:t>的储存。项目对照《建设项目环境影响评价分类管理名录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2021年版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24"/>
                <w:sz w:val="24"/>
                <w:highlight w:val="none"/>
                <w:lang w:val="zh-CN" w:eastAsia="zh-CN"/>
              </w:rPr>
              <w:t>》中项目类别应属于“四、煤炭开采和洗选业”</w:t>
            </w:r>
            <w:r>
              <w:rPr>
                <w:rFonts w:hint="default" w:ascii="Times New Roman" w:hAnsi="Times New Roman" w:eastAsia="宋体" w:cs="Times New Roman"/>
                <w:b w:val="0"/>
                <w:bCs w:val="0"/>
                <w:color w:val="auto"/>
                <w:kern w:val="24"/>
                <w:sz w:val="24"/>
                <w:highlight w:val="none"/>
                <w:lang w:val="en-US" w:eastAsia="zh-CN"/>
              </w:rPr>
              <w:t>中</w:t>
            </w:r>
            <w:r>
              <w:rPr>
                <w:rFonts w:hint="default" w:ascii="Times New Roman" w:hAnsi="Times New Roman" w:eastAsia="宋体" w:cs="Times New Roman"/>
                <w:b w:val="0"/>
                <w:bCs w:val="0"/>
                <w:color w:val="auto"/>
                <w:kern w:val="24"/>
                <w:sz w:val="24"/>
                <w:highlight w:val="none"/>
                <w:lang w:val="zh-CN" w:eastAsia="zh-CN"/>
              </w:rPr>
              <w:t>“煤炭储存、集运”，应编制建设项目环境影响报告表。</w:t>
            </w:r>
          </w:p>
        </w:tc>
      </w:tr>
    </w:tbl>
    <w:p w14:paraId="483335AF">
      <w:pPr>
        <w:rPr>
          <w:rFonts w:ascii="Times New Roman" w:hAnsi="Times New Roman" w:eastAsia="宋体"/>
          <w:color w:val="auto"/>
        </w:rPr>
      </w:pPr>
    </w:p>
    <w:bookmarkEnd w:id="4"/>
    <w:p w14:paraId="62403666">
      <w:pPr>
        <w:spacing w:line="360" w:lineRule="auto"/>
        <w:outlineLvl w:val="9"/>
        <w:rPr>
          <w:rFonts w:ascii="Times New Roman" w:hAnsi="Times New Roman" w:eastAsia="宋体"/>
          <w:color w:val="auto"/>
          <w:sz w:val="30"/>
        </w:rPr>
        <w:sectPr>
          <w:footerReference r:id="rId5" w:type="default"/>
          <w:pgSz w:w="11906" w:h="16838"/>
          <w:pgMar w:top="1701" w:right="1531" w:bottom="1701" w:left="1531" w:header="964" w:footer="964" w:gutter="0"/>
          <w:pgNumType w:fmt="decimal" w:start="1"/>
          <w:cols w:space="720" w:num="1"/>
          <w:docGrid w:linePitch="312" w:charSpace="0"/>
        </w:sectPr>
      </w:pPr>
    </w:p>
    <w:p w14:paraId="4FBC6BF5">
      <w:pPr>
        <w:pStyle w:val="24"/>
        <w:jc w:val="center"/>
        <w:outlineLvl w:val="0"/>
        <w:rPr>
          <w:rFonts w:ascii="Times New Roman" w:hAnsi="Times New Roman" w:eastAsia="宋体"/>
          <w:b/>
          <w:bCs/>
          <w:snapToGrid w:val="0"/>
          <w:color w:val="auto"/>
          <w:sz w:val="30"/>
          <w:szCs w:val="30"/>
        </w:rPr>
      </w:pPr>
      <w:bookmarkStart w:id="5" w:name="_Toc8120"/>
      <w:r>
        <w:rPr>
          <w:rFonts w:ascii="Times New Roman" w:hAnsi="Times New Roman" w:eastAsia="宋体"/>
          <w:b/>
          <w:bCs/>
          <w:snapToGrid w:val="0"/>
          <w:color w:val="auto"/>
          <w:sz w:val="30"/>
          <w:szCs w:val="30"/>
        </w:rPr>
        <w:t>二、建设内容</w:t>
      </w:r>
      <w:bookmarkEnd w:id="5"/>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14:paraId="04825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9" w:hRule="atLeast"/>
          <w:jc w:val="center"/>
        </w:trPr>
        <w:tc>
          <w:tcPr>
            <w:tcW w:w="384" w:type="dxa"/>
            <w:vMerge w:val="restart"/>
            <w:noWrap w:val="0"/>
            <w:vAlign w:val="center"/>
          </w:tcPr>
          <w:p w14:paraId="67161A12">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建设内容</w:t>
            </w:r>
          </w:p>
        </w:tc>
        <w:tc>
          <w:tcPr>
            <w:tcW w:w="8138" w:type="dxa"/>
            <w:noWrap w:val="0"/>
            <w:vAlign w:val="center"/>
          </w:tcPr>
          <w:p w14:paraId="5168D62C">
            <w:pPr>
              <w:adjustRightInd w:val="0"/>
              <w:snapToGrid w:val="0"/>
              <w:spacing w:line="360" w:lineRule="auto"/>
              <w:ind w:firstLine="482" w:firstLineChars="200"/>
              <w:rPr>
                <w:rFonts w:hint="eastAsia" w:ascii="Times New Roman" w:hAnsi="Times New Roman" w:eastAsia="宋体"/>
                <w:b/>
                <w:color w:val="auto"/>
                <w:sz w:val="24"/>
                <w:highlight w:val="none"/>
                <w:lang w:val="en-US" w:eastAsia="zh-CN"/>
              </w:rPr>
            </w:pPr>
            <w:r>
              <w:rPr>
                <w:rFonts w:ascii="Times New Roman" w:hAnsi="Times New Roman" w:eastAsia="宋体"/>
                <w:b/>
                <w:color w:val="auto"/>
                <w:sz w:val="24"/>
                <w:highlight w:val="none"/>
              </w:rPr>
              <w:t>1、项目</w:t>
            </w:r>
            <w:r>
              <w:rPr>
                <w:rFonts w:hint="eastAsia" w:ascii="Times New Roman" w:hAnsi="Times New Roman" w:eastAsia="宋体"/>
                <w:b/>
                <w:color w:val="auto"/>
                <w:sz w:val="24"/>
                <w:highlight w:val="none"/>
                <w:lang w:val="en-US" w:eastAsia="zh-CN"/>
              </w:rPr>
              <w:t>由来</w:t>
            </w:r>
          </w:p>
          <w:p w14:paraId="26F6E5AD">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府谷县鸿凯经贸开发有限公司成立于2010年3月3日，位于陕西省榆林市府谷县新民镇芦草畔村。2010年，公司投资1800万元在芦草畔村新建洗选煤项目，采用“跳汰+浮选”工艺，年洗选原煤120万吨。2010年3月31日，由原府谷县环境保护局府环发〔2010〕13号文出具“关于府谷县鸿凯经贸开发有限公司新建120万吨/年洗选煤项目环境影响报告书的批复”；2016年10月27日，原府谷县环境保护局府环清理〔2016〕30号文出具“关于府谷县鸿凯经贸开发有限公司新建120万吨/年洗选煤项目竣工环境保护验收的批复”，由于产品单一，企业收益差，洗煤厂目前处于停产状态。</w:t>
            </w:r>
          </w:p>
          <w:p w14:paraId="68313273">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洗煤厂现有1座储煤棚，混合储存原煤、精煤、末煤，混合储存一方面会导致精煤质量下降，另一方面混合储存可能会导致粉尘浓度不均匀，进而增加粉尘爆炸的风险。为解决以上问题，同时对精煤产品精细化分类，府谷县鸿凯经贸开发有限公司企业投资800万元在洗煤厂西北建设1座15000m</w:t>
            </w:r>
            <w:r>
              <w:rPr>
                <w:rFonts w:hint="eastAsia" w:ascii="Times New Roman" w:hAnsi="Times New Roman" w:eastAsia="宋体"/>
                <w:color w:val="auto"/>
                <w:sz w:val="24"/>
                <w:highlight w:val="none"/>
                <w:vertAlign w:val="superscript"/>
                <w:lang w:val="en-US" w:eastAsia="zh-CN"/>
              </w:rPr>
              <w:t>2</w:t>
            </w:r>
            <w:r>
              <w:rPr>
                <w:rFonts w:hint="eastAsia" w:ascii="Times New Roman" w:hAnsi="Times New Roman" w:eastAsia="宋体"/>
                <w:color w:val="auto"/>
                <w:sz w:val="24"/>
                <w:highlight w:val="none"/>
                <w:vertAlign w:val="baseline"/>
                <w:lang w:val="en-US" w:eastAsia="zh-CN"/>
              </w:rPr>
              <w:t>的精煤</w:t>
            </w:r>
            <w:r>
              <w:rPr>
                <w:rFonts w:hint="eastAsia" w:ascii="Times New Roman" w:hAnsi="Times New Roman" w:eastAsia="宋体"/>
                <w:color w:val="auto"/>
                <w:sz w:val="24"/>
                <w:highlight w:val="none"/>
                <w:lang w:val="en-US" w:eastAsia="zh-CN"/>
              </w:rPr>
              <w:t>储煤棚，主要储存洗选后的产品，同时对现有精煤振动筛增加筛选粒级，对精煤产品进一步细分，项目建成后产品和原煤单独储存，便于企业管理、提高煤炭质量、降低风险，同时精细化分类的精煤产品可根据粒级不同灵活的应用于冶金、化工以及电厂等各个行业，进一步提高企业的经济效益。项目已于2023年5月22日在府谷县发展改革和科局会完成备案。</w:t>
            </w:r>
          </w:p>
          <w:p w14:paraId="191E7A22">
            <w:pPr>
              <w:adjustRightInd w:val="0"/>
              <w:snapToGrid w:val="0"/>
              <w:spacing w:line="360" w:lineRule="auto"/>
              <w:ind w:firstLine="482" w:firstLineChars="200"/>
              <w:rPr>
                <w:rFonts w:hint="default" w:ascii="Times New Roman" w:hAnsi="Times New Roman" w:eastAsia="宋体"/>
                <w:color w:val="auto"/>
                <w:sz w:val="24"/>
                <w:highlight w:val="none"/>
                <w:lang w:val="en-US"/>
              </w:rPr>
            </w:pPr>
            <w:r>
              <w:rPr>
                <w:rFonts w:hint="eastAsia" w:ascii="Times New Roman" w:hAnsi="Times New Roman" w:eastAsia="宋体"/>
                <w:b/>
                <w:color w:val="auto"/>
                <w:sz w:val="24"/>
                <w:highlight w:val="none"/>
                <w:lang w:val="en-US" w:eastAsia="zh-CN"/>
              </w:rPr>
              <w:t>2</w:t>
            </w:r>
            <w:r>
              <w:rPr>
                <w:rFonts w:ascii="Times New Roman" w:hAnsi="Times New Roman" w:eastAsia="宋体"/>
                <w:b/>
                <w:color w:val="auto"/>
                <w:sz w:val="24"/>
                <w:highlight w:val="none"/>
              </w:rPr>
              <w:t>、</w:t>
            </w:r>
            <w:r>
              <w:rPr>
                <w:rFonts w:hint="eastAsia" w:ascii="Times New Roman" w:hAnsi="Times New Roman" w:eastAsia="宋体"/>
                <w:b/>
                <w:color w:val="auto"/>
                <w:sz w:val="24"/>
                <w:highlight w:val="none"/>
                <w:lang w:val="en-US" w:eastAsia="zh-CN"/>
              </w:rPr>
              <w:t>地理位置</w:t>
            </w:r>
          </w:p>
          <w:p w14:paraId="39E58BD3">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项目位于</w:t>
            </w:r>
            <w:r>
              <w:rPr>
                <w:rFonts w:hint="eastAsia" w:ascii="Times New Roman" w:hAnsi="Times New Roman" w:eastAsia="宋体"/>
                <w:color w:val="auto"/>
                <w:sz w:val="24"/>
                <w:highlight w:val="none"/>
              </w:rPr>
              <w:t>府谷县新民镇芦草畔村</w:t>
            </w:r>
            <w:r>
              <w:rPr>
                <w:rFonts w:ascii="Times New Roman" w:hAnsi="Times New Roman" w:eastAsia="宋体"/>
                <w:color w:val="auto"/>
                <w:sz w:val="24"/>
                <w:highlight w:val="none"/>
              </w:rPr>
              <w:t>，项目地理</w:t>
            </w:r>
            <w:r>
              <w:rPr>
                <w:rFonts w:hint="eastAsia" w:ascii="Times New Roman" w:hAnsi="Times New Roman" w:eastAsia="宋体"/>
                <w:color w:val="auto"/>
                <w:sz w:val="24"/>
                <w:highlight w:val="none"/>
                <w:lang w:val="en-US" w:eastAsia="zh-CN"/>
              </w:rPr>
              <w:t>中心</w:t>
            </w:r>
            <w:r>
              <w:rPr>
                <w:rFonts w:ascii="Times New Roman" w:hAnsi="Times New Roman" w:eastAsia="宋体"/>
                <w:color w:val="auto"/>
                <w:sz w:val="24"/>
                <w:highlight w:val="none"/>
              </w:rPr>
              <w:t>坐标</w:t>
            </w:r>
            <w:r>
              <w:rPr>
                <w:rFonts w:hint="eastAsia" w:ascii="Times New Roman" w:hAnsi="Times New Roman" w:eastAsia="宋体"/>
                <w:color w:val="auto"/>
                <w:sz w:val="24"/>
                <w:highlight w:val="none"/>
              </w:rPr>
              <w:t>110°39′7.59</w:t>
            </w:r>
            <w:r>
              <w:rPr>
                <w:rFonts w:hint="eastAsia" w:ascii="Times New Roman" w:hAnsi="Times New Roman" w:eastAsia="宋体"/>
                <w:color w:val="auto"/>
                <w:sz w:val="24"/>
                <w:highlight w:val="none"/>
                <w:lang w:val="en-US" w:eastAsia="zh-CN"/>
              </w:rPr>
              <w:t>6</w:t>
            </w:r>
            <w:r>
              <w:rPr>
                <w:rFonts w:hint="eastAsia" w:ascii="Times New Roman" w:hAnsi="Times New Roman" w:eastAsia="宋体"/>
                <w:color w:val="auto"/>
                <w:sz w:val="24"/>
                <w:highlight w:val="none"/>
              </w:rPr>
              <w:t>″</w:t>
            </w:r>
            <w:r>
              <w:rPr>
                <w:color w:val="auto"/>
                <w:sz w:val="24"/>
                <w:szCs w:val="24"/>
                <w:highlight w:val="none"/>
              </w:rPr>
              <w:t>，纬度：</w:t>
            </w:r>
            <w:r>
              <w:rPr>
                <w:rFonts w:hint="eastAsia"/>
                <w:color w:val="auto"/>
                <w:sz w:val="24"/>
                <w:szCs w:val="24"/>
                <w:highlight w:val="none"/>
              </w:rPr>
              <w:t>39°3′15.737″</w:t>
            </w:r>
            <w:r>
              <w:rPr>
                <w:rFonts w:hint="eastAsia"/>
                <w:color w:val="auto"/>
                <w:sz w:val="24"/>
                <w:szCs w:val="24"/>
                <w:highlight w:val="none"/>
                <w:lang w:eastAsia="zh-CN"/>
              </w:rPr>
              <w:t>。</w:t>
            </w:r>
            <w:r>
              <w:rPr>
                <w:rFonts w:ascii="Times New Roman" w:hAnsi="Times New Roman" w:eastAsia="宋体"/>
                <w:color w:val="auto"/>
                <w:sz w:val="24"/>
                <w:highlight w:val="none"/>
              </w:rPr>
              <w:t>项目</w:t>
            </w:r>
            <w:r>
              <w:rPr>
                <w:rFonts w:hint="eastAsia" w:ascii="Times New Roman" w:hAnsi="Times New Roman" w:eastAsia="宋体"/>
                <w:color w:val="auto"/>
                <w:sz w:val="24"/>
                <w:highlight w:val="none"/>
                <w:lang w:val="en-US" w:eastAsia="zh-CN"/>
              </w:rPr>
              <w:t>东侧77m</w:t>
            </w:r>
            <w:r>
              <w:rPr>
                <w:rFonts w:ascii="Times New Roman" w:hAnsi="Times New Roman" w:eastAsia="宋体"/>
                <w:color w:val="auto"/>
                <w:sz w:val="24"/>
                <w:highlight w:val="none"/>
              </w:rPr>
              <w:t>处为</w:t>
            </w:r>
            <w:r>
              <w:rPr>
                <w:rFonts w:hint="eastAsia" w:ascii="Times New Roman" w:hAnsi="Times New Roman" w:eastAsia="宋体"/>
                <w:color w:val="auto"/>
                <w:sz w:val="24"/>
                <w:highlight w:val="none"/>
                <w:lang w:val="en-US" w:eastAsia="zh-CN"/>
              </w:rPr>
              <w:t>芦草畔村一户村民，西侧为洗煤厂，南侧为新芦路，北侧为空地</w:t>
            </w:r>
            <w:r>
              <w:rPr>
                <w:rFonts w:ascii="Times New Roman" w:hAnsi="Times New Roman" w:eastAsia="宋体"/>
                <w:color w:val="auto"/>
                <w:sz w:val="24"/>
                <w:highlight w:val="none"/>
              </w:rPr>
              <w:t>。区域交通便利</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条件优越</w:t>
            </w:r>
            <w:r>
              <w:rPr>
                <w:rFonts w:ascii="Times New Roman" w:hAnsi="Times New Roman" w:eastAsia="宋体"/>
                <w:color w:val="auto"/>
                <w:sz w:val="24"/>
                <w:highlight w:val="none"/>
              </w:rPr>
              <w:t>。项目地理位置及交通图附图1。项目四邻关系见图2-1。</w:t>
            </w:r>
          </w:p>
          <w:p w14:paraId="58E748AF">
            <w:pPr>
              <w:snapToGrid w:val="0"/>
              <w:jc w:val="center"/>
              <w:rPr>
                <w:rFonts w:ascii="Times New Roman" w:hAnsi="Times New Roman" w:eastAsia="宋体"/>
                <w:color w:val="auto"/>
                <w:spacing w:val="-6"/>
                <w:szCs w:val="28"/>
                <w:highlight w:val="none"/>
              </w:rPr>
            </w:pPr>
            <w:r>
              <w:rPr>
                <w:color w:val="auto"/>
                <w:highlight w:val="none"/>
              </w:rPr>
              <w:drawing>
                <wp:anchor distT="0" distB="0" distL="114300" distR="114300" simplePos="0" relativeHeight="251666432" behindDoc="0" locked="0" layoutInCell="1" allowOverlap="1">
                  <wp:simplePos x="0" y="0"/>
                  <wp:positionH relativeFrom="column">
                    <wp:posOffset>4354195</wp:posOffset>
                  </wp:positionH>
                  <wp:positionV relativeFrom="paragraph">
                    <wp:posOffset>1884680</wp:posOffset>
                  </wp:positionV>
                  <wp:extent cx="685800" cy="666750"/>
                  <wp:effectExtent l="0" t="0" r="0" b="0"/>
                  <wp:wrapNone/>
                  <wp:docPr id="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0"/>
                          <pic:cNvPicPr>
                            <a:picLocks noChangeAspect="1"/>
                          </pic:cNvPicPr>
                        </pic:nvPicPr>
                        <pic:blipFill>
                          <a:blip r:embed="rId9"/>
                          <a:stretch>
                            <a:fillRect/>
                          </a:stretch>
                        </pic:blipFill>
                        <pic:spPr>
                          <a:xfrm>
                            <a:off x="0" y="0"/>
                            <a:ext cx="685800" cy="666750"/>
                          </a:xfrm>
                          <a:prstGeom prst="rect">
                            <a:avLst/>
                          </a:prstGeom>
                          <a:noFill/>
                          <a:ln>
                            <a:noFill/>
                          </a:ln>
                        </pic:spPr>
                      </pic:pic>
                    </a:graphicData>
                  </a:graphic>
                </wp:anchor>
              </w:drawing>
            </w: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83185</wp:posOffset>
                      </wp:positionH>
                      <wp:positionV relativeFrom="paragraph">
                        <wp:posOffset>2145665</wp:posOffset>
                      </wp:positionV>
                      <wp:extent cx="229870" cy="118745"/>
                      <wp:effectExtent l="9525" t="9525" r="27305" b="24130"/>
                      <wp:wrapNone/>
                      <wp:docPr id="11" name="矩形 175"/>
                      <wp:cNvGraphicFramePr/>
                      <a:graphic xmlns:a="http://schemas.openxmlformats.org/drawingml/2006/main">
                        <a:graphicData uri="http://schemas.microsoft.com/office/word/2010/wordprocessingShape">
                          <wps:wsp>
                            <wps:cNvSpPr/>
                            <wps:spPr>
                              <a:xfrm>
                                <a:off x="0" y="0"/>
                                <a:ext cx="229870" cy="118745"/>
                              </a:xfrm>
                              <a:prstGeom prst="rect">
                                <a:avLst/>
                              </a:prstGeom>
                              <a:solidFill>
                                <a:srgbClr val="FFFFFF"/>
                              </a:solidFill>
                              <a:ln w="19050" cap="flat" cmpd="sng">
                                <a:solidFill>
                                  <a:srgbClr val="17C913"/>
                                </a:solidFill>
                                <a:prstDash val="solid"/>
                                <a:miter/>
                                <a:headEnd type="none" w="med" len="med"/>
                                <a:tailEnd type="none" w="med" len="med"/>
                              </a:ln>
                            </wps:spPr>
                            <wps:bodyPr vert="horz" wrap="square" anchor="t" anchorCtr="0" upright="1"/>
                          </wps:wsp>
                        </a:graphicData>
                      </a:graphic>
                    </wp:anchor>
                  </w:drawing>
                </mc:Choice>
                <mc:Fallback>
                  <w:pict>
                    <v:rect id="矩形 175" o:spid="_x0000_s1026" o:spt="1" style="position:absolute;left:0pt;margin-left:6.55pt;margin-top:168.95pt;height:9.35pt;width:18.1pt;z-index:251669504;mso-width-relative:page;mso-height-relative:page;" fillcolor="#FFFFFF" filled="t" stroked="t" coordsize="21600,21600" o:gfxdata="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okfnY&#10;AAAACQEAAA8AAAAAAAAAAQAgAAAAIgAAAGRycy9kb3ducmV2LnhtbFBLAQIUABQAAAAIAIdO4kAc&#10;lSh7IAIAAFQEAAAOAAAAAAAAAAEAIAAAACcBAABkcnMvZTJvRG9jLnhtbFBLBQYAAAAABgAGAFkB&#10;AAC5BQAAAAA=&#10;">
                      <v:fill on="t" focussize="0,0"/>
                      <v:stroke weight="1.5pt" color="#17C91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73660</wp:posOffset>
                      </wp:positionH>
                      <wp:positionV relativeFrom="paragraph">
                        <wp:posOffset>1896110</wp:posOffset>
                      </wp:positionV>
                      <wp:extent cx="229870" cy="118745"/>
                      <wp:effectExtent l="5080" t="4445" r="12700" b="10160"/>
                      <wp:wrapNone/>
                      <wp:docPr id="10" name="矩形 174"/>
                      <wp:cNvGraphicFramePr/>
                      <a:graphic xmlns:a="http://schemas.openxmlformats.org/drawingml/2006/main">
                        <a:graphicData uri="http://schemas.microsoft.com/office/word/2010/wordprocessingShape">
                          <wps:wsp>
                            <wps:cNvSpPr/>
                            <wps:spPr>
                              <a:xfrm>
                                <a:off x="0" y="0"/>
                                <a:ext cx="229870" cy="118745"/>
                              </a:xfrm>
                              <a:prstGeom prst="rect">
                                <a:avLst/>
                              </a:prstGeom>
                              <a:solidFill>
                                <a:srgbClr val="C6D9F1"/>
                              </a:solid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174" o:spid="_x0000_s1026" o:spt="1" style="position:absolute;left:0pt;margin-left:5.8pt;margin-top:149.3pt;height:9.35pt;width:18.1pt;z-index:251668480;mso-width-relative:page;mso-height-relative:page;" fillcolor="#C6D9F1" filled="t" stroked="t" coordsize="21600,21600" o:gfxdata="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gmFn/Z&#10;AAAACQEAAA8AAAAAAAAAAQAgAAAAIgAAAGRycy9kb3ducmV2LnhtbFBLAQIUABQAAAAIAIdO4kBx&#10;P6sfHwIAAFMEAAAOAAAAAAAAAAEAIAAAACgBAABkcnMvZTJvRG9jLnhtbFBLBQYAAAAABgAGAFkB&#10;AAC5BQAAAAA=&#10;">
                      <v:fill on="t" focussize="0,0"/>
                      <v:stroke color="#FF0000"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1577340</wp:posOffset>
                      </wp:positionV>
                      <wp:extent cx="1508760" cy="968375"/>
                      <wp:effectExtent l="5080" t="4445" r="10160" b="17780"/>
                      <wp:wrapNone/>
                      <wp:docPr id="9" name="文本框 173"/>
                      <wp:cNvGraphicFramePr/>
                      <a:graphic xmlns:a="http://schemas.openxmlformats.org/drawingml/2006/main">
                        <a:graphicData uri="http://schemas.microsoft.com/office/word/2010/wordprocessingShape">
                          <wps:wsp>
                            <wps:cNvSpPr txBox="1"/>
                            <wps:spPr>
                              <a:xfrm>
                                <a:off x="0" y="0"/>
                                <a:ext cx="1508760" cy="968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9F90A9">
                                  <w:pPr>
                                    <w:ind w:firstLine="800" w:firstLineChars="400"/>
                                    <w:rPr>
                                      <w:rFonts w:hint="eastAsia" w:eastAsia="宋体"/>
                                      <w:lang w:val="en-US" w:eastAsia="zh-CN"/>
                                    </w:rPr>
                                  </w:pPr>
                                  <w:r>
                                    <w:rPr>
                                      <w:rFonts w:hint="eastAsia"/>
                                      <w:lang w:val="en-US" w:eastAsia="zh-CN"/>
                                    </w:rPr>
                                    <w:t>图例</w:t>
                                  </w:r>
                                </w:p>
                                <w:p w14:paraId="20D4E4B9">
                                  <w:pPr>
                                    <w:rPr>
                                      <w:rFonts w:hint="eastAsia"/>
                                      <w:sz w:val="16"/>
                                      <w:szCs w:val="18"/>
                                      <w:lang w:val="en-US" w:eastAsia="zh-CN"/>
                                    </w:rPr>
                                  </w:pPr>
                                </w:p>
                                <w:p w14:paraId="01AB2C27">
                                  <w:pPr>
                                    <w:ind w:firstLine="480" w:firstLineChars="300"/>
                                    <w:rPr>
                                      <w:rFonts w:hint="default"/>
                                      <w:sz w:val="16"/>
                                      <w:szCs w:val="18"/>
                                      <w:lang w:val="en-US" w:eastAsia="zh-CN"/>
                                    </w:rPr>
                                  </w:pPr>
                                  <w:r>
                                    <w:rPr>
                                      <w:rFonts w:hint="eastAsia"/>
                                      <w:sz w:val="16"/>
                                      <w:szCs w:val="18"/>
                                      <w:lang w:val="en-US" w:eastAsia="zh-CN"/>
                                    </w:rPr>
                                    <w:t>洗煤厂用地范围</w:t>
                                  </w:r>
                                </w:p>
                                <w:p w14:paraId="558AB6F0">
                                  <w:pPr>
                                    <w:rPr>
                                      <w:rFonts w:hint="eastAsia"/>
                                      <w:sz w:val="16"/>
                                      <w:szCs w:val="18"/>
                                      <w:lang w:val="en-US" w:eastAsia="zh-CN"/>
                                    </w:rPr>
                                  </w:pPr>
                                </w:p>
                                <w:p w14:paraId="293D8086">
                                  <w:pPr>
                                    <w:ind w:firstLine="480" w:firstLineChars="300"/>
                                    <w:rPr>
                                      <w:rFonts w:hint="default"/>
                                      <w:sz w:val="16"/>
                                      <w:szCs w:val="18"/>
                                      <w:lang w:val="en-US" w:eastAsia="zh-CN"/>
                                    </w:rPr>
                                  </w:pPr>
                                  <w:r>
                                    <w:rPr>
                                      <w:rFonts w:hint="eastAsia"/>
                                      <w:sz w:val="16"/>
                                      <w:szCs w:val="18"/>
                                      <w:lang w:val="en-US" w:eastAsia="zh-CN"/>
                                    </w:rPr>
                                    <w:t>本项目新增用地范围</w:t>
                                  </w:r>
                                </w:p>
                              </w:txbxContent>
                            </wps:txbx>
                            <wps:bodyPr vert="horz" wrap="square" anchor="t" anchorCtr="0" upright="1"/>
                          </wps:wsp>
                        </a:graphicData>
                      </a:graphic>
                    </wp:anchor>
                  </w:drawing>
                </mc:Choice>
                <mc:Fallback>
                  <w:pict>
                    <v:shape id="文本框 173" o:spid="_x0000_s1026" o:spt="202" type="#_x0000_t202" style="position:absolute;left:0pt;margin-left:1pt;margin-top:124.2pt;height:76.25pt;width:118.8pt;z-index:251667456;mso-width-relative:page;mso-height-relative:page;" fillcolor="#FFFFFF" filled="t" stroked="t" coordsize="21600,21600" o:gfxdata="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aL/MXZAAAACQEAAA8AAAAAAAAAAQAgAAAAIgAAAGRycy9kb3ducmV2LnhtbFBLAQIU&#10;ABQAAAAIAIdO4kCxDZEKKwIAAGsEAAAOAAAAAAAAAAEAIAAAACgBAABkcnMvZTJvRG9jLnhtbFBL&#10;BQYAAAAABgAGAFkBAADFBQAAAAA=&#10;">
                      <v:fill on="t" focussize="0,0"/>
                      <v:stroke color="#000000" joinstyle="miter"/>
                      <v:imagedata o:title=""/>
                      <o:lock v:ext="edit" aspectratio="f"/>
                      <v:textbox>
                        <w:txbxContent>
                          <w:p w14:paraId="1F9F90A9">
                            <w:pPr>
                              <w:ind w:firstLine="800" w:firstLineChars="400"/>
                              <w:rPr>
                                <w:rFonts w:hint="eastAsia" w:eastAsia="宋体"/>
                                <w:lang w:val="en-US" w:eastAsia="zh-CN"/>
                              </w:rPr>
                            </w:pPr>
                            <w:r>
                              <w:rPr>
                                <w:rFonts w:hint="eastAsia"/>
                                <w:lang w:val="en-US" w:eastAsia="zh-CN"/>
                              </w:rPr>
                              <w:t>图例</w:t>
                            </w:r>
                          </w:p>
                          <w:p w14:paraId="20D4E4B9">
                            <w:pPr>
                              <w:rPr>
                                <w:rFonts w:hint="eastAsia"/>
                                <w:sz w:val="16"/>
                                <w:szCs w:val="18"/>
                                <w:lang w:val="en-US" w:eastAsia="zh-CN"/>
                              </w:rPr>
                            </w:pPr>
                          </w:p>
                          <w:p w14:paraId="01AB2C27">
                            <w:pPr>
                              <w:ind w:firstLine="480" w:firstLineChars="300"/>
                              <w:rPr>
                                <w:rFonts w:hint="default"/>
                                <w:sz w:val="16"/>
                                <w:szCs w:val="18"/>
                                <w:lang w:val="en-US" w:eastAsia="zh-CN"/>
                              </w:rPr>
                            </w:pPr>
                            <w:r>
                              <w:rPr>
                                <w:rFonts w:hint="eastAsia"/>
                                <w:sz w:val="16"/>
                                <w:szCs w:val="18"/>
                                <w:lang w:val="en-US" w:eastAsia="zh-CN"/>
                              </w:rPr>
                              <w:t>洗煤厂用地范围</w:t>
                            </w:r>
                          </w:p>
                          <w:p w14:paraId="558AB6F0">
                            <w:pPr>
                              <w:rPr>
                                <w:rFonts w:hint="eastAsia"/>
                                <w:sz w:val="16"/>
                                <w:szCs w:val="18"/>
                                <w:lang w:val="en-US" w:eastAsia="zh-CN"/>
                              </w:rPr>
                            </w:pPr>
                          </w:p>
                          <w:p w14:paraId="293D8086">
                            <w:pPr>
                              <w:ind w:firstLine="480" w:firstLineChars="300"/>
                              <w:rPr>
                                <w:rFonts w:hint="default"/>
                                <w:sz w:val="16"/>
                                <w:szCs w:val="18"/>
                                <w:lang w:val="en-US" w:eastAsia="zh-CN"/>
                              </w:rPr>
                            </w:pPr>
                            <w:r>
                              <w:rPr>
                                <w:rFonts w:hint="eastAsia"/>
                                <w:sz w:val="16"/>
                                <w:szCs w:val="18"/>
                                <w:lang w:val="en-US" w:eastAsia="zh-CN"/>
                              </w:rPr>
                              <w:t>本项目新增用地范围</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3100070</wp:posOffset>
                      </wp:positionH>
                      <wp:positionV relativeFrom="paragraph">
                        <wp:posOffset>1029335</wp:posOffset>
                      </wp:positionV>
                      <wp:extent cx="533400" cy="145415"/>
                      <wp:effectExtent l="1270" t="25400" r="17780" b="19685"/>
                      <wp:wrapNone/>
                      <wp:docPr id="6" name="直线 158"/>
                      <wp:cNvGraphicFramePr/>
                      <a:graphic xmlns:a="http://schemas.openxmlformats.org/drawingml/2006/main">
                        <a:graphicData uri="http://schemas.microsoft.com/office/word/2010/wordprocessingShape">
                          <wps:wsp>
                            <wps:cNvCnPr/>
                            <wps:spPr>
                              <a:xfrm flipV="1">
                                <a:off x="0" y="0"/>
                                <a:ext cx="533400" cy="145415"/>
                              </a:xfrm>
                              <a:prstGeom prst="line">
                                <a:avLst/>
                              </a:prstGeom>
                              <a:ln w="9525" cap="flat" cmpd="sng">
                                <a:solidFill>
                                  <a:srgbClr val="FFFF00"/>
                                </a:solidFill>
                                <a:prstDash val="solid"/>
                                <a:headEnd type="none" w="med" len="med"/>
                                <a:tailEnd type="arrow" w="med" len="med"/>
                              </a:ln>
                            </wps:spPr>
                            <wps:bodyPr upright="1"/>
                          </wps:wsp>
                        </a:graphicData>
                      </a:graphic>
                    </wp:anchor>
                  </w:drawing>
                </mc:Choice>
                <mc:Fallback>
                  <w:pict>
                    <v:line id="直线 158" o:spid="_x0000_s1026" o:spt="20" style="position:absolute;left:0pt;flip:y;margin-left:244.1pt;margin-top:81.05pt;height:11.45pt;width:42pt;z-index:251664384;mso-width-relative:page;mso-height-relative:page;" filled="f" stroked="t" coordsize="21600,21600" o:gfxdata="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Uxn3WAAAACwEAAA8AAAAAAAAAAQAgAAAAIgAAAGRycy9kb3ducmV2Lnht&#10;bFBLAQIUABQAAAAIAIdO4kCwdwOR+wEAAOwDAAAOAAAAAAAAAAEAIAAAACUBAABkcnMvZTJvRG9j&#10;LnhtbFBLBQYAAAAABgAGAFkBAACSBQAAAAA=&#10;">
                      <v:fill on="f" focussize="0,0"/>
                      <v:stroke color="#FFFF00" joinstyle="round" endarrow="open"/>
                      <v:imagedata o:title=""/>
                      <o:lock v:ext="edit" aspectratio="f"/>
                    </v:line>
                  </w:pict>
                </mc:Fallback>
              </mc:AlternateContent>
            </w:r>
            <w:r>
              <w:rPr>
                <w:rFonts w:ascii="Times New Roman" w:hAnsi="Times New Roman" w:eastAsia="宋体"/>
                <w:color w:val="auto"/>
                <w:sz w:val="24"/>
                <w:highlight w:val="none"/>
              </w:rPr>
              <mc:AlternateContent>
                <mc:Choice Requires="wps">
                  <w:drawing>
                    <wp:anchor distT="45720" distB="45720" distL="114300" distR="114300" simplePos="0" relativeHeight="251662336" behindDoc="0" locked="0" layoutInCell="1" allowOverlap="1">
                      <wp:simplePos x="0" y="0"/>
                      <wp:positionH relativeFrom="column">
                        <wp:posOffset>3098800</wp:posOffset>
                      </wp:positionH>
                      <wp:positionV relativeFrom="paragraph">
                        <wp:posOffset>829945</wp:posOffset>
                      </wp:positionV>
                      <wp:extent cx="474345" cy="255905"/>
                      <wp:effectExtent l="0" t="0" r="0" b="0"/>
                      <wp:wrapNone/>
                      <wp:docPr id="4" name="文本框 2"/>
                      <wp:cNvGraphicFramePr/>
                      <a:graphic xmlns:a="http://schemas.openxmlformats.org/drawingml/2006/main">
                        <a:graphicData uri="http://schemas.microsoft.com/office/word/2010/wordprocessingShape">
                          <wps:wsp>
                            <wps:cNvSpPr txBox="1"/>
                            <wps:spPr>
                              <a:xfrm>
                                <a:off x="0" y="0"/>
                                <a:ext cx="474345" cy="255905"/>
                              </a:xfrm>
                              <a:prstGeom prst="rect">
                                <a:avLst/>
                              </a:prstGeom>
                              <a:noFill/>
                              <a:ln>
                                <a:noFill/>
                              </a:ln>
                            </wps:spPr>
                            <wps:txbx>
                              <w:txbxContent>
                                <w:p w14:paraId="0FA527D0">
                                  <w:pPr>
                                    <w:rPr>
                                      <w:rFonts w:hint="default" w:eastAsia="宋体"/>
                                      <w:b/>
                                      <w:bCs/>
                                      <w:color w:val="FFFF00"/>
                                      <w:lang w:val="en-US" w:eastAsia="zh-CN"/>
                                    </w:rPr>
                                  </w:pPr>
                                  <w:r>
                                    <w:rPr>
                                      <w:rFonts w:hint="eastAsia"/>
                                      <w:b/>
                                      <w:bCs/>
                                      <w:color w:val="FFFF00"/>
                                      <w:lang w:val="en-US" w:eastAsia="zh-CN"/>
                                    </w:rPr>
                                    <w:t>77m</w:t>
                                  </w:r>
                                </w:p>
                              </w:txbxContent>
                            </wps:txbx>
                            <wps:bodyPr vert="horz" wrap="square" anchor="t" anchorCtr="0" upright="1">
                              <a:spAutoFit/>
                            </wps:bodyPr>
                          </wps:wsp>
                        </a:graphicData>
                      </a:graphic>
                    </wp:anchor>
                  </w:drawing>
                </mc:Choice>
                <mc:Fallback>
                  <w:pict>
                    <v:shape id="文本框 2" o:spid="_x0000_s1026" o:spt="202" type="#_x0000_t202" style="position:absolute;left:0pt;margin-left:244pt;margin-top:65.35pt;height:20.15pt;width:37.35pt;z-index:251662336;mso-width-relative:page;mso-height-relative:page;" filled="f" stroked="f" coordsize="21600,21600" o:gfxdata="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u9RlNgAAAALAQAADwAAAAAAAAAB&#10;ACAAAAAiAAAAZHJzL2Rvd25yZXYueG1sUEsBAhQAFAAAAAgAh07iQFG+I0TXAQAAmgMAAA4AAAAA&#10;AAAAAQAgAAAAJwEAAGRycy9lMm9Eb2MueG1sUEsFBgAAAAAGAAYAWQEAAHAFAAAAAA==&#10;">
                      <v:fill on="f" focussize="0,0"/>
                      <v:stroke on="f"/>
                      <v:imagedata o:title=""/>
                      <o:lock v:ext="edit" aspectratio="f"/>
                      <v:textbox style="mso-fit-shape-to-text:t;">
                        <w:txbxContent>
                          <w:p w14:paraId="0FA527D0">
                            <w:pPr>
                              <w:rPr>
                                <w:rFonts w:hint="default" w:eastAsia="宋体"/>
                                <w:b/>
                                <w:bCs/>
                                <w:color w:val="FFFF00"/>
                                <w:lang w:val="en-US" w:eastAsia="zh-CN"/>
                              </w:rPr>
                            </w:pPr>
                            <w:r>
                              <w:rPr>
                                <w:rFonts w:hint="eastAsia"/>
                                <w:b/>
                                <w:bCs/>
                                <w:color w:val="FFFF00"/>
                                <w:lang w:val="en-US" w:eastAsia="zh-CN"/>
                              </w:rPr>
                              <w:t>77m</w:t>
                            </w:r>
                          </w:p>
                        </w:txbxContent>
                      </v:textbox>
                    </v:shape>
                  </w:pict>
                </mc:Fallback>
              </mc:AlternateContent>
            </w:r>
            <w:r>
              <w:rPr>
                <w:rFonts w:ascii="Times New Roman" w:hAnsi="Times New Roman" w:eastAsia="宋体"/>
                <w:color w:val="auto"/>
                <w:sz w:val="24"/>
                <w:highlight w:val="none"/>
              </w:rPr>
              <mc:AlternateContent>
                <mc:Choice Requires="wps">
                  <w:drawing>
                    <wp:anchor distT="45720" distB="45720" distL="114300" distR="114300" simplePos="0" relativeHeight="251661312" behindDoc="0" locked="0" layoutInCell="1" allowOverlap="1">
                      <wp:simplePos x="0" y="0"/>
                      <wp:positionH relativeFrom="column">
                        <wp:posOffset>2827020</wp:posOffset>
                      </wp:positionH>
                      <wp:positionV relativeFrom="paragraph">
                        <wp:posOffset>1651635</wp:posOffset>
                      </wp:positionV>
                      <wp:extent cx="665480" cy="255905"/>
                      <wp:effectExtent l="0" t="0" r="0" b="0"/>
                      <wp:wrapNone/>
                      <wp:docPr id="3" name="文本框 2"/>
                      <wp:cNvGraphicFramePr/>
                      <a:graphic xmlns:a="http://schemas.openxmlformats.org/drawingml/2006/main">
                        <a:graphicData uri="http://schemas.microsoft.com/office/word/2010/wordprocessingShape">
                          <wps:wsp>
                            <wps:cNvSpPr txBox="1"/>
                            <wps:spPr>
                              <a:xfrm>
                                <a:off x="0" y="0"/>
                                <a:ext cx="665480" cy="255905"/>
                              </a:xfrm>
                              <a:prstGeom prst="rect">
                                <a:avLst/>
                              </a:prstGeom>
                              <a:noFill/>
                              <a:ln>
                                <a:noFill/>
                              </a:ln>
                            </wps:spPr>
                            <wps:txbx>
                              <w:txbxContent>
                                <w:p w14:paraId="1BF83CFC">
                                  <w:pPr>
                                    <w:rPr>
                                      <w:rFonts w:hint="default" w:eastAsia="宋体"/>
                                      <w:b/>
                                      <w:bCs/>
                                      <w:color w:val="FFC000"/>
                                      <w:lang w:val="en-US" w:eastAsia="zh-CN"/>
                                    </w:rPr>
                                  </w:pPr>
                                  <w:r>
                                    <w:rPr>
                                      <w:rFonts w:hint="eastAsia"/>
                                      <w:b/>
                                      <w:bCs/>
                                      <w:color w:val="FFC000"/>
                                      <w:lang w:val="en-US" w:eastAsia="zh-CN"/>
                                    </w:rPr>
                                    <w:t>新芦路</w:t>
                                  </w:r>
                                </w:p>
                              </w:txbxContent>
                            </wps:txbx>
                            <wps:bodyPr vert="horz" wrap="square" anchor="t" anchorCtr="0" upright="1">
                              <a:spAutoFit/>
                            </wps:bodyPr>
                          </wps:wsp>
                        </a:graphicData>
                      </a:graphic>
                    </wp:anchor>
                  </w:drawing>
                </mc:Choice>
                <mc:Fallback>
                  <w:pict>
                    <v:shape id="文本框 2" o:spid="_x0000_s1026" o:spt="202" type="#_x0000_t202" style="position:absolute;left:0pt;margin-left:222.6pt;margin-top:130.05pt;height:20.15pt;width:52.4pt;z-index:251661312;mso-width-relative:page;mso-height-relative:page;" filled="f" stroked="f" coordsize="21600,21600" o:gfxdata="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jIA92AAAAAsBAAAPAAAAAAAAAAEA&#10;IAAAACIAAABkcnMvZG93bnJldi54bWxQSwECFAAUAAAACACHTuJAJ1HOxNYBAACaAwAADgAAAAAA&#10;AAABACAAAAAnAQAAZHJzL2Uyb0RvYy54bWxQSwUGAAAAAAYABgBZAQAAbwUAAAAA&#10;">
                      <v:fill on="f" focussize="0,0"/>
                      <v:stroke on="f"/>
                      <v:imagedata o:title=""/>
                      <o:lock v:ext="edit" aspectratio="f"/>
                      <v:textbox style="mso-fit-shape-to-text:t;">
                        <w:txbxContent>
                          <w:p w14:paraId="1BF83CFC">
                            <w:pPr>
                              <w:rPr>
                                <w:rFonts w:hint="default" w:eastAsia="宋体"/>
                                <w:b/>
                                <w:bCs/>
                                <w:color w:val="FFC000"/>
                                <w:lang w:val="en-US" w:eastAsia="zh-CN"/>
                              </w:rPr>
                            </w:pPr>
                            <w:r>
                              <w:rPr>
                                <w:rFonts w:hint="eastAsia"/>
                                <w:b/>
                                <w:bCs/>
                                <w:color w:val="FFC000"/>
                                <w:lang w:val="en-US" w:eastAsia="zh-CN"/>
                              </w:rPr>
                              <w:t>新芦路</w:t>
                            </w:r>
                          </w:p>
                        </w:txbxContent>
                      </v:textbox>
                    </v:shape>
                  </w:pict>
                </mc:Fallback>
              </mc:AlternateContent>
            </w:r>
            <w:r>
              <w:rPr>
                <w:rFonts w:ascii="Times New Roman" w:hAnsi="Times New Roman" w:eastAsia="宋体"/>
                <w:color w:val="auto"/>
                <w:sz w:val="24"/>
                <w:highlight w:val="none"/>
              </w:rPr>
              <mc:AlternateContent>
                <mc:Choice Requires="wps">
                  <w:drawing>
                    <wp:anchor distT="45720" distB="45720" distL="114300" distR="114300" simplePos="0" relativeHeight="251659264" behindDoc="0" locked="0" layoutInCell="1" allowOverlap="1">
                      <wp:simplePos x="0" y="0"/>
                      <wp:positionH relativeFrom="column">
                        <wp:posOffset>2077085</wp:posOffset>
                      </wp:positionH>
                      <wp:positionV relativeFrom="paragraph">
                        <wp:posOffset>421640</wp:posOffset>
                      </wp:positionV>
                      <wp:extent cx="725805" cy="1772285"/>
                      <wp:effectExtent l="0" t="0" r="0" b="0"/>
                      <wp:wrapNone/>
                      <wp:docPr id="1" name="文本框 2"/>
                      <wp:cNvGraphicFramePr/>
                      <a:graphic xmlns:a="http://schemas.openxmlformats.org/drawingml/2006/main">
                        <a:graphicData uri="http://schemas.microsoft.com/office/word/2010/wordprocessingShape">
                          <wps:wsp>
                            <wps:cNvSpPr txBox="1"/>
                            <wps:spPr>
                              <a:xfrm>
                                <a:off x="0" y="0"/>
                                <a:ext cx="725805" cy="1772285"/>
                              </a:xfrm>
                              <a:prstGeom prst="rect">
                                <a:avLst/>
                              </a:prstGeom>
                              <a:noFill/>
                              <a:ln>
                                <a:noFill/>
                              </a:ln>
                            </wps:spPr>
                            <wps:txbx>
                              <w:txbxContent>
                                <w:p w14:paraId="505E5B68">
                                  <w:pPr>
                                    <w:rPr>
                                      <w:rFonts w:hint="eastAsia" w:eastAsia="宋体"/>
                                      <w:b/>
                                      <w:bCs/>
                                      <w:color w:val="FFC000"/>
                                      <w:lang w:val="en-US" w:eastAsia="zh-CN"/>
                                    </w:rPr>
                                  </w:pPr>
                                  <w:r>
                                    <w:rPr>
                                      <w:rFonts w:hint="eastAsia"/>
                                      <w:b/>
                                      <w:bCs/>
                                      <w:color w:val="FFC000"/>
                                      <w:lang w:val="en-US" w:eastAsia="zh-CN"/>
                                    </w:rPr>
                                    <w:t>空地</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3.55pt;margin-top:33.2pt;height:139.55pt;width:57.15pt;z-index:251659264;mso-width-relative:page;mso-height-relative:margin;mso-height-percent:200;" filled="f" stroked="f" coordsize="21600,21600" o:gfxdata="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bawtdgAAAAKAQAADwAAAAAAAAABACAAAAAiAAAAZHJzL2Rvd25yZXYu&#10;eG1sUEsBAhQAFAAAAAgAh07iQG6sqfvCAQAAdgMAAA4AAAAAAAAAAQAgAAAAJwEAAGRycy9lMm9E&#10;b2MueG1sUEsFBgAAAAAGAAYAWQEAAFsFAAAAAA==&#10;">
                      <v:fill on="f" focussize="0,0"/>
                      <v:stroke on="f"/>
                      <v:imagedata o:title=""/>
                      <o:lock v:ext="edit" aspectratio="f"/>
                      <v:textbox style="mso-fit-shape-to-text:t;">
                        <w:txbxContent>
                          <w:p w14:paraId="505E5B68">
                            <w:pPr>
                              <w:rPr>
                                <w:rFonts w:hint="eastAsia" w:eastAsia="宋体"/>
                                <w:b/>
                                <w:bCs/>
                                <w:color w:val="FFC000"/>
                                <w:lang w:val="en-US" w:eastAsia="zh-CN"/>
                              </w:rPr>
                            </w:pPr>
                            <w:r>
                              <w:rPr>
                                <w:rFonts w:hint="eastAsia"/>
                                <w:b/>
                                <w:bCs/>
                                <w:color w:val="FFC000"/>
                                <w:lang w:val="en-US" w:eastAsia="zh-CN"/>
                              </w:rPr>
                              <w:t>空地</w:t>
                            </w:r>
                          </w:p>
                        </w:txbxContent>
                      </v:textbox>
                    </v:shape>
                  </w:pict>
                </mc:Fallback>
              </mc:AlternateContent>
            </w:r>
            <w:r>
              <w:rPr>
                <w:rFonts w:ascii="Times New Roman" w:hAnsi="Times New Roman" w:eastAsia="宋体"/>
                <w:color w:val="auto"/>
                <w:sz w:val="24"/>
                <w:highlight w:val="none"/>
              </w:rPr>
              <mc:AlternateContent>
                <mc:Choice Requires="wps">
                  <w:drawing>
                    <wp:anchor distT="45720" distB="45720" distL="114300" distR="114300" simplePos="0" relativeHeight="251660288" behindDoc="0" locked="0" layoutInCell="1" allowOverlap="1">
                      <wp:simplePos x="0" y="0"/>
                      <wp:positionH relativeFrom="column">
                        <wp:posOffset>1638300</wp:posOffset>
                      </wp:positionH>
                      <wp:positionV relativeFrom="paragraph">
                        <wp:posOffset>1205865</wp:posOffset>
                      </wp:positionV>
                      <wp:extent cx="894715" cy="3282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894715" cy="328295"/>
                              </a:xfrm>
                              <a:prstGeom prst="rect">
                                <a:avLst/>
                              </a:prstGeom>
                              <a:noFill/>
                              <a:ln>
                                <a:noFill/>
                              </a:ln>
                            </wps:spPr>
                            <wps:txbx>
                              <w:txbxContent>
                                <w:p w14:paraId="0ACCA328">
                                  <w:pPr>
                                    <w:rPr>
                                      <w:rFonts w:hint="default" w:eastAsia="宋体"/>
                                      <w:b/>
                                      <w:bCs/>
                                      <w:color w:val="FFC000"/>
                                      <w:lang w:val="en-US" w:eastAsia="zh-CN"/>
                                    </w:rPr>
                                  </w:pPr>
                                  <w:r>
                                    <w:rPr>
                                      <w:rFonts w:hint="eastAsia"/>
                                      <w:b/>
                                      <w:bCs/>
                                      <w:color w:val="FFC000"/>
                                      <w:lang w:val="en-US" w:eastAsia="zh-CN"/>
                                    </w:rPr>
                                    <w:t>本项目厂址</w:t>
                                  </w:r>
                                </w:p>
                              </w:txbxContent>
                            </wps:txbx>
                            <wps:bodyPr vert="horz" wrap="square" anchor="t" anchorCtr="0" upright="1"/>
                          </wps:wsp>
                        </a:graphicData>
                      </a:graphic>
                    </wp:anchor>
                  </w:drawing>
                </mc:Choice>
                <mc:Fallback>
                  <w:pict>
                    <v:shape id="_x0000_s1026" o:spid="_x0000_s1026" o:spt="202" type="#_x0000_t202" style="position:absolute;left:0pt;margin-left:129pt;margin-top:94.95pt;height:25.85pt;width:70.45pt;z-index:251660288;mso-width-relative:page;mso-height-relative:page;" filled="f" stroked="f" coordsize="21600,21600" o:gfxdata="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R3wZdgAAAALAQAADwAAAAAAAAABACAAAAAiAAAAZHJz&#10;L2Rvd25yZXYueG1sUEsBAhQAFAAAAAgAh07iQDSa0yLLAQAAgAMAAA4AAAAAAAAAAQAgAAAAJwEA&#10;AGRycy9lMm9Eb2MueG1sUEsFBgAAAAAGAAYAWQEAAGQFAAAAAA==&#10;">
                      <v:fill on="f" focussize="0,0"/>
                      <v:stroke on="f"/>
                      <v:imagedata o:title=""/>
                      <o:lock v:ext="edit" aspectratio="f"/>
                      <v:textbox>
                        <w:txbxContent>
                          <w:p w14:paraId="0ACCA328">
                            <w:pPr>
                              <w:rPr>
                                <w:rFonts w:hint="default" w:eastAsia="宋体"/>
                                <w:b/>
                                <w:bCs/>
                                <w:color w:val="FFC000"/>
                                <w:lang w:val="en-US" w:eastAsia="zh-CN"/>
                              </w:rPr>
                            </w:pPr>
                            <w:r>
                              <w:rPr>
                                <w:rFonts w:hint="eastAsia"/>
                                <w:b/>
                                <w:bCs/>
                                <w:color w:val="FFC000"/>
                                <w:lang w:val="en-US" w:eastAsia="zh-CN"/>
                              </w:rPr>
                              <w:t>本项目厂址</w:t>
                            </w:r>
                          </w:p>
                        </w:txbxContent>
                      </v:textbox>
                    </v:shape>
                  </w:pict>
                </mc:Fallback>
              </mc:AlternateContent>
            </w:r>
            <w:r>
              <w:rPr>
                <w:rFonts w:ascii="Times New Roman" w:hAnsi="Times New Roman" w:eastAsia="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2339340</wp:posOffset>
                      </wp:positionH>
                      <wp:positionV relativeFrom="paragraph">
                        <wp:posOffset>1137285</wp:posOffset>
                      </wp:positionV>
                      <wp:extent cx="659130" cy="1772285"/>
                      <wp:effectExtent l="0" t="0" r="0" b="0"/>
                      <wp:wrapNone/>
                      <wp:docPr id="5" name="文本框 2"/>
                      <wp:cNvGraphicFramePr/>
                      <a:graphic xmlns:a="http://schemas.openxmlformats.org/drawingml/2006/main">
                        <a:graphicData uri="http://schemas.microsoft.com/office/word/2010/wordprocessingShape">
                          <wps:wsp>
                            <wps:cNvSpPr txBox="1"/>
                            <wps:spPr>
                              <a:xfrm>
                                <a:off x="0" y="0"/>
                                <a:ext cx="659130" cy="1772285"/>
                              </a:xfrm>
                              <a:prstGeom prst="rect">
                                <a:avLst/>
                              </a:prstGeom>
                              <a:noFill/>
                              <a:ln>
                                <a:noFill/>
                              </a:ln>
                            </wps:spPr>
                            <wps:txbx>
                              <w:txbxContent>
                                <w:p w14:paraId="64835E8F">
                                  <w:pPr>
                                    <w:rPr>
                                      <w:rFonts w:hint="default" w:eastAsia="宋体"/>
                                      <w:b/>
                                      <w:bCs/>
                                      <w:color w:val="FFC000"/>
                                      <w:lang w:val="en-US" w:eastAsia="zh-CN"/>
                                    </w:rPr>
                                  </w:pPr>
                                  <w:r>
                                    <w:rPr>
                                      <w:rFonts w:hint="eastAsia" w:eastAsia="宋体"/>
                                      <w:b/>
                                      <w:bCs/>
                                      <w:color w:val="FFC000"/>
                                      <w:lang w:val="en-US" w:eastAsia="zh-CN"/>
                                    </w:rPr>
                                    <w:t>洗煤厂</w:t>
                                  </w:r>
                                </w:p>
                              </w:txbxContent>
                            </wps:txbx>
                            <wps:bodyPr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4.2pt;margin-top:89.55pt;height:139.55pt;width:51.9pt;z-index:251663360;mso-width-relative:page;mso-height-relative:margin;mso-height-percent:200;" filled="f" stroked="f" coordsize="21600,21600" o:gfxdata="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uE7Z3ZAAAACwEAAA8AAAAAAAAA&#10;AQAgAAAAIgAAAGRycy9kb3ducmV2LnhtbFBLAQIUABQAAAAIAIdO4kAgJ/Zb1wEAAJsDAAAOAAAA&#10;AAAAAAEAIAAAACgBAABkcnMvZTJvRG9jLnhtbFBLBQYAAAAABgAGAFkBAABxBQAAAAA=&#10;">
                      <v:fill on="f" focussize="0,0"/>
                      <v:stroke on="f"/>
                      <v:imagedata o:title=""/>
                      <o:lock v:ext="edit" aspectratio="f"/>
                      <v:textbox style="mso-fit-shape-to-text:t;">
                        <w:txbxContent>
                          <w:p w14:paraId="64835E8F">
                            <w:pPr>
                              <w:rPr>
                                <w:rFonts w:hint="default" w:eastAsia="宋体"/>
                                <w:b/>
                                <w:bCs/>
                                <w:color w:val="FFC000"/>
                                <w:lang w:val="en-US" w:eastAsia="zh-CN"/>
                              </w:rPr>
                            </w:pPr>
                            <w:r>
                              <w:rPr>
                                <w:rFonts w:hint="eastAsia" w:eastAsia="宋体"/>
                                <w:b/>
                                <w:bCs/>
                                <w:color w:val="FFC000"/>
                                <w:lang w:val="en-US" w:eastAsia="zh-CN"/>
                              </w:rPr>
                              <w:t>洗煤厂</w:t>
                            </w:r>
                          </w:p>
                        </w:txbxContent>
                      </v:textbox>
                    </v:shape>
                  </w:pict>
                </mc:Fallback>
              </mc:AlternateContent>
            </w:r>
            <w:r>
              <w:rPr>
                <w:rFonts w:hint="eastAsia" w:ascii="Times New Roman" w:hAnsi="Times New Roman" w:eastAsia="宋体"/>
                <w:color w:val="auto"/>
                <w:spacing w:val="-6"/>
                <w:szCs w:val="28"/>
                <w:highlight w:val="none"/>
                <w:lang w:eastAsia="zh-CN"/>
              </w:rPr>
              <w:drawing>
                <wp:anchor distT="0" distB="0" distL="114300" distR="114300" simplePos="0" relativeHeight="251665408" behindDoc="0" locked="0" layoutInCell="1" allowOverlap="1">
                  <wp:simplePos x="0" y="0"/>
                  <wp:positionH relativeFrom="column">
                    <wp:posOffset>4189730</wp:posOffset>
                  </wp:positionH>
                  <wp:positionV relativeFrom="paragraph">
                    <wp:posOffset>8255</wp:posOffset>
                  </wp:positionV>
                  <wp:extent cx="838200" cy="1000125"/>
                  <wp:effectExtent l="0" t="0" r="0" b="9525"/>
                  <wp:wrapNone/>
                  <wp:docPr id="7" name="图片 159" descr="daecb33847107cf237fc1fe5136a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9" descr="daecb33847107cf237fc1fe5136a4f3"/>
                          <pic:cNvPicPr>
                            <a:picLocks noChangeAspect="1"/>
                          </pic:cNvPicPr>
                        </pic:nvPicPr>
                        <pic:blipFill>
                          <a:blip r:embed="rId10"/>
                          <a:stretch>
                            <a:fillRect/>
                          </a:stretch>
                        </pic:blipFill>
                        <pic:spPr>
                          <a:xfrm>
                            <a:off x="0" y="0"/>
                            <a:ext cx="838200" cy="1000125"/>
                          </a:xfrm>
                          <a:prstGeom prst="rect">
                            <a:avLst/>
                          </a:prstGeom>
                          <a:noFill/>
                          <a:ln>
                            <a:noFill/>
                          </a:ln>
                        </pic:spPr>
                      </pic:pic>
                    </a:graphicData>
                  </a:graphic>
                </wp:anchor>
              </w:drawing>
            </w:r>
            <w:r>
              <w:rPr>
                <w:color w:val="auto"/>
                <w:highlight w:val="none"/>
              </w:rPr>
              <w:drawing>
                <wp:inline distT="0" distB="0" distL="114300" distR="114300">
                  <wp:extent cx="5027930" cy="2568575"/>
                  <wp:effectExtent l="0" t="0" r="1270" b="3175"/>
                  <wp:docPr id="1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2"/>
                          <pic:cNvPicPr>
                            <a:picLocks noChangeAspect="1"/>
                          </pic:cNvPicPr>
                        </pic:nvPicPr>
                        <pic:blipFill>
                          <a:blip r:embed="rId11"/>
                          <a:stretch>
                            <a:fillRect/>
                          </a:stretch>
                        </pic:blipFill>
                        <pic:spPr>
                          <a:xfrm>
                            <a:off x="0" y="0"/>
                            <a:ext cx="5027930" cy="2568575"/>
                          </a:xfrm>
                          <a:prstGeom prst="rect">
                            <a:avLst/>
                          </a:prstGeom>
                          <a:noFill/>
                          <a:ln>
                            <a:noFill/>
                          </a:ln>
                        </pic:spPr>
                      </pic:pic>
                    </a:graphicData>
                  </a:graphic>
                </wp:inline>
              </w:drawing>
            </w:r>
          </w:p>
          <w:p w14:paraId="55DB8908">
            <w:pPr>
              <w:snapToGrid w:val="0"/>
              <w:jc w:val="center"/>
              <w:rPr>
                <w:rFonts w:hint="eastAsia" w:ascii="Times New Roman" w:hAnsi="Times New Roman" w:eastAsia="宋体"/>
                <w:color w:val="auto"/>
                <w:spacing w:val="-6"/>
                <w:szCs w:val="28"/>
                <w:highlight w:val="none"/>
                <w:lang w:eastAsia="zh-CN"/>
              </w:rPr>
            </w:pPr>
            <w:r>
              <w:rPr>
                <w:rFonts w:ascii="Times New Roman" w:hAnsi="Times New Roman" w:eastAsia="宋体"/>
                <w:b/>
                <w:bCs/>
                <w:color w:val="auto"/>
                <w:spacing w:val="-6"/>
                <w:sz w:val="24"/>
                <w:szCs w:val="40"/>
                <w:highlight w:val="none"/>
              </w:rPr>
              <w:t>图2-1   项目四邻关系图</w:t>
            </w:r>
          </w:p>
        </w:tc>
      </w:tr>
      <w:tr w14:paraId="11C7F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84" w:type="dxa"/>
            <w:vMerge w:val="continue"/>
            <w:noWrap w:val="0"/>
            <w:vAlign w:val="center"/>
          </w:tcPr>
          <w:p w14:paraId="2B7CEEE7">
            <w:pPr>
              <w:adjustRightInd w:val="0"/>
              <w:snapToGrid w:val="0"/>
              <w:jc w:val="center"/>
              <w:rPr>
                <w:rFonts w:ascii="Times New Roman" w:hAnsi="Times New Roman" w:eastAsia="宋体"/>
                <w:color w:val="auto"/>
                <w:sz w:val="24"/>
                <w:highlight w:val="none"/>
              </w:rPr>
            </w:pPr>
          </w:p>
        </w:tc>
        <w:tc>
          <w:tcPr>
            <w:tcW w:w="8138" w:type="dxa"/>
            <w:noWrap w:val="0"/>
            <w:vAlign w:val="center"/>
          </w:tcPr>
          <w:p w14:paraId="49D8C55B">
            <w:pPr>
              <w:adjustRightInd w:val="0"/>
              <w:snapToGrid w:val="0"/>
              <w:spacing w:line="360" w:lineRule="auto"/>
              <w:ind w:firstLine="482" w:firstLineChars="200"/>
              <w:jc w:val="both"/>
              <w:rPr>
                <w:rFonts w:hint="default" w:ascii="Times New Roman" w:hAnsi="Times New Roman" w:eastAsia="宋体"/>
                <w:b/>
                <w:color w:val="auto"/>
                <w:sz w:val="24"/>
                <w:highlight w:val="none"/>
                <w:lang w:val="en-US" w:eastAsia="zh-CN"/>
              </w:rPr>
            </w:pPr>
            <w:r>
              <w:rPr>
                <w:rFonts w:hint="eastAsia" w:ascii="Times New Roman" w:hAnsi="Times New Roman" w:eastAsia="宋体"/>
                <w:b/>
                <w:color w:val="auto"/>
                <w:sz w:val="24"/>
                <w:highlight w:val="none"/>
                <w:lang w:val="en-US" w:eastAsia="zh-CN"/>
              </w:rPr>
              <w:t>3、建设内容</w:t>
            </w:r>
          </w:p>
          <w:p w14:paraId="5130F148">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r>
              <w:rPr>
                <w:rFonts w:hint="eastAsia" w:ascii="Times New Roman" w:hAnsi="Times New Roman" w:eastAsia="宋体"/>
                <w:b w:val="0"/>
                <w:bCs/>
                <w:color w:val="auto"/>
                <w:sz w:val="24"/>
                <w:highlight w:val="none"/>
                <w:lang w:val="en-US" w:eastAsia="zh-CN"/>
              </w:rPr>
              <w:t>本项目主要建设内容为1座15000m</w:t>
            </w:r>
            <w:r>
              <w:rPr>
                <w:rFonts w:hint="eastAsia" w:ascii="Times New Roman" w:hAnsi="Times New Roman" w:eastAsia="宋体"/>
                <w:b w:val="0"/>
                <w:bCs/>
                <w:color w:val="auto"/>
                <w:sz w:val="24"/>
                <w:highlight w:val="none"/>
                <w:vertAlign w:val="superscript"/>
                <w:lang w:val="en-US" w:eastAsia="zh-CN"/>
              </w:rPr>
              <w:t>2</w:t>
            </w:r>
            <w:r>
              <w:rPr>
                <w:rFonts w:hint="eastAsia" w:ascii="Times New Roman" w:hAnsi="Times New Roman" w:eastAsia="宋体"/>
                <w:b w:val="0"/>
                <w:bCs/>
                <w:color w:val="auto"/>
                <w:sz w:val="24"/>
                <w:highlight w:val="none"/>
                <w:vertAlign w:val="baseline"/>
                <w:lang w:val="en-US" w:eastAsia="zh-CN"/>
              </w:rPr>
              <w:t>的洗精煤</w:t>
            </w:r>
            <w:r>
              <w:rPr>
                <w:rFonts w:hint="eastAsia" w:ascii="Times New Roman" w:hAnsi="Times New Roman" w:eastAsia="宋体"/>
                <w:b w:val="0"/>
                <w:bCs/>
                <w:color w:val="auto"/>
                <w:sz w:val="24"/>
                <w:highlight w:val="none"/>
                <w:lang w:val="en-US" w:eastAsia="zh-CN"/>
              </w:rPr>
              <w:t>储煤棚及配套的辅助工程、环保工程等。</w:t>
            </w:r>
            <w:r>
              <w:rPr>
                <w:rFonts w:ascii="Times New Roman" w:hAnsi="Times New Roman" w:eastAsia="宋体"/>
                <w:color w:val="auto"/>
                <w:sz w:val="24"/>
                <w:highlight w:val="none"/>
              </w:rPr>
              <w:t>项目组成见表2-1。</w:t>
            </w:r>
          </w:p>
          <w:p w14:paraId="2991863B">
            <w:pPr>
              <w:pStyle w:val="50"/>
              <w:widowControl/>
              <w:ind w:left="480" w:hanging="48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 xml:space="preserve">表2-1  </w:t>
            </w:r>
            <w:r>
              <w:rPr>
                <w:rFonts w:hint="eastAsia" w:ascii="Times New Roman" w:hAnsi="Times New Roman" w:eastAsia="宋体" w:cs="Times New Roman"/>
                <w:b/>
                <w:bCs/>
                <w:color w:val="auto"/>
                <w:highlight w:val="none"/>
                <w:lang w:val="en-US" w:eastAsia="zh-CN"/>
              </w:rPr>
              <w:t>项目</w:t>
            </w:r>
            <w:r>
              <w:rPr>
                <w:rFonts w:ascii="Times New Roman" w:hAnsi="Times New Roman" w:eastAsia="宋体" w:cs="Times New Roman"/>
                <w:b/>
                <w:bCs/>
                <w:color w:val="auto"/>
                <w:highlight w:val="none"/>
              </w:rPr>
              <w:t>组成表</w:t>
            </w:r>
          </w:p>
          <w:tbl>
            <w:tblPr>
              <w:tblStyle w:val="27"/>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2"/>
              <w:gridCol w:w="889"/>
              <w:gridCol w:w="4819"/>
              <w:gridCol w:w="815"/>
            </w:tblGrid>
            <w:tr w14:paraId="5E4F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2" w:type="pct"/>
                  <w:noWrap w:val="0"/>
                  <w:vAlign w:val="center"/>
                </w:tcPr>
                <w:p w14:paraId="570FAA8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558" w:type="pct"/>
                  <w:noWrap w:val="0"/>
                  <w:vAlign w:val="center"/>
                </w:tcPr>
                <w:p w14:paraId="775C385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项目名称</w:t>
                  </w:r>
                </w:p>
              </w:tc>
              <w:tc>
                <w:tcPr>
                  <w:tcW w:w="3648" w:type="pct"/>
                  <w:gridSpan w:val="2"/>
                  <w:noWrap w:val="0"/>
                  <w:vAlign w:val="center"/>
                </w:tcPr>
                <w:p w14:paraId="61DF5AB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521" w:type="pct"/>
                  <w:noWrap w:val="0"/>
                  <w:vAlign w:val="center"/>
                </w:tcPr>
                <w:p w14:paraId="693C2098">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w:t>
                  </w:r>
                </w:p>
              </w:tc>
            </w:tr>
            <w:tr w14:paraId="6656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noWrap w:val="0"/>
                  <w:vAlign w:val="center"/>
                </w:tcPr>
                <w:p w14:paraId="0974B46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558" w:type="pct"/>
                  <w:noWrap w:val="0"/>
                  <w:vAlign w:val="center"/>
                </w:tcPr>
                <w:p w14:paraId="4EAD6B7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洗精煤储煤棚</w:t>
                  </w:r>
                </w:p>
              </w:tc>
              <w:tc>
                <w:tcPr>
                  <w:tcW w:w="3648" w:type="pct"/>
                  <w:gridSpan w:val="2"/>
                  <w:noWrap w:val="0"/>
                  <w:vAlign w:val="center"/>
                </w:tcPr>
                <w:p w14:paraId="07F4A47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座，单层</w:t>
                  </w:r>
                  <w:r>
                    <w:rPr>
                      <w:rFonts w:hint="default" w:ascii="Times New Roman" w:hAnsi="Times New Roman" w:cs="Times New Roman"/>
                      <w:color w:val="auto"/>
                      <w:sz w:val="21"/>
                      <w:szCs w:val="21"/>
                      <w:highlight w:val="none"/>
                      <w:lang w:val="en-US" w:eastAsia="zh-CN"/>
                    </w:rPr>
                    <w:t>钢网壳密闭结构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上方为单层彩钢网壳结构，顶端设置通风屋脊，</w:t>
                  </w:r>
                  <w:r>
                    <w:rPr>
                      <w:rFonts w:hint="eastAsia" w:ascii="Times New Roman" w:hAnsi="Times New Roman"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建筑面积为</w:t>
                  </w:r>
                  <w:r>
                    <w:rPr>
                      <w:rFonts w:hint="default" w:ascii="Times New Roman" w:hAnsi="Times New Roman" w:cs="Times New Roman"/>
                      <w:color w:val="auto"/>
                      <w:sz w:val="21"/>
                      <w:szCs w:val="22"/>
                      <w:highlight w:val="none"/>
                      <w:vertAlign w:val="baseline"/>
                      <w:lang w:val="en-US" w:eastAsia="zh-CN"/>
                    </w:rPr>
                    <w:t>15000</w:t>
                  </w:r>
                  <w:r>
                    <w:rPr>
                      <w:rFonts w:hint="default" w:ascii="Times New Roman" w:hAnsi="Times New Roman" w:cs="Times New Roman"/>
                      <w:color w:val="auto"/>
                      <w:sz w:val="21"/>
                      <w:szCs w:val="22"/>
                      <w:highlight w:val="none"/>
                      <w:lang w:val="en-US" w:eastAsia="zh-CN"/>
                    </w:rPr>
                    <w:t>m</w:t>
                  </w:r>
                  <w:r>
                    <w:rPr>
                      <w:rFonts w:hint="default" w:ascii="Times New Roman" w:hAnsi="Times New Roman" w:cs="Times New Roman"/>
                      <w:color w:val="auto"/>
                      <w:sz w:val="21"/>
                      <w:szCs w:val="22"/>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，储煤棚内按照消防要求将煤场划分为</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个堆煤区域，地面全部硬化，采用钢筋混凝土做基础，棚顶留设</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个</w:t>
                  </w:r>
                  <w:r>
                    <w:rPr>
                      <w:rFonts w:hint="eastAsia" w:ascii="Times New Roman" w:hAnsi="Times New Roman" w:cs="Times New Roman"/>
                      <w:color w:val="auto"/>
                      <w:sz w:val="21"/>
                      <w:szCs w:val="21"/>
                      <w:highlight w:val="none"/>
                      <w:lang w:val="en-US" w:eastAsia="zh-CN"/>
                    </w:rPr>
                    <w:t>百叶窗式通风口</w:t>
                  </w:r>
                  <w:r>
                    <w:rPr>
                      <w:rFonts w:hint="eastAsia" w:cs="Times New Roman"/>
                      <w:color w:val="auto"/>
                      <w:sz w:val="21"/>
                      <w:szCs w:val="21"/>
                      <w:highlight w:val="none"/>
                      <w:lang w:val="en-US" w:eastAsia="zh-CN"/>
                    </w:rPr>
                    <w:t>，</w:t>
                  </w:r>
                  <w:r>
                    <w:rPr>
                      <w:rFonts w:hint="eastAsia" w:cs="Times New Roman"/>
                      <w:color w:val="7030A0"/>
                      <w:sz w:val="21"/>
                      <w:szCs w:val="21"/>
                      <w:highlight w:val="none"/>
                      <w:lang w:val="en-US" w:eastAsia="zh-CN"/>
                    </w:rPr>
                    <w:t>新建洗精煤储煤棚进出口设置挡水围堰</w:t>
                  </w:r>
                  <w:r>
                    <w:rPr>
                      <w:rFonts w:hint="default" w:ascii="Times New Roman" w:hAnsi="Times New Roman" w:cs="Times New Roman"/>
                      <w:color w:val="7030A0"/>
                      <w:sz w:val="21"/>
                      <w:szCs w:val="21"/>
                      <w:highlight w:val="none"/>
                      <w:lang w:val="en-US" w:eastAsia="zh-CN"/>
                    </w:rPr>
                    <w:t>；</w:t>
                  </w:r>
                  <w:r>
                    <w:rPr>
                      <w:rFonts w:hint="default" w:ascii="Times New Roman" w:hAnsi="Times New Roman" w:cs="Times New Roman"/>
                      <w:color w:val="auto"/>
                      <w:sz w:val="21"/>
                      <w:szCs w:val="21"/>
                      <w:highlight w:val="none"/>
                      <w:lang w:val="en-US" w:eastAsia="zh-CN"/>
                    </w:rPr>
                    <w:t>内含精煤、中煤以及末煤的卸载点以及相对应的皮带输送机</w:t>
                  </w:r>
                  <w:r>
                    <w:rPr>
                      <w:rFonts w:hint="eastAsia" w:ascii="Times New Roman" w:hAnsi="Times New Roman" w:cs="Times New Roman"/>
                      <w:color w:val="auto"/>
                      <w:sz w:val="21"/>
                      <w:szCs w:val="21"/>
                      <w:highlight w:val="none"/>
                      <w:lang w:val="en-US" w:eastAsia="zh-CN"/>
                    </w:rPr>
                    <w:t>，其中精煤储存区有分为4个小区，分别储存四种粒径的精煤。</w:t>
                  </w:r>
                </w:p>
              </w:tc>
              <w:tc>
                <w:tcPr>
                  <w:tcW w:w="521" w:type="pct"/>
                  <w:noWrap w:val="0"/>
                  <w:vAlign w:val="center"/>
                </w:tcPr>
                <w:p w14:paraId="1917714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新建</w:t>
                  </w:r>
                </w:p>
              </w:tc>
            </w:tr>
            <w:tr w14:paraId="7763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2" w:type="pct"/>
                  <w:vMerge w:val="restart"/>
                  <w:noWrap w:val="0"/>
                  <w:vAlign w:val="center"/>
                </w:tcPr>
                <w:p w14:paraId="548165E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w:t>
                  </w:r>
                </w:p>
                <w:p w14:paraId="08ECF24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558" w:type="pct"/>
                  <w:noWrap w:val="0"/>
                  <w:vAlign w:val="center"/>
                </w:tcPr>
                <w:p w14:paraId="30AAD20C">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带式输送机栈桥</w:t>
                  </w:r>
                </w:p>
              </w:tc>
              <w:tc>
                <w:tcPr>
                  <w:tcW w:w="3648" w:type="pct"/>
                  <w:gridSpan w:val="2"/>
                  <w:noWrap w:val="0"/>
                  <w:vAlign w:val="center"/>
                </w:tcPr>
                <w:p w14:paraId="283CFA74">
                  <w:pPr>
                    <w:adjustRightInd w:val="0"/>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3条</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采用钢桁架，压型钢板底模现浇楼板，彩色岩棉夹芯板围护</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塑钢窗户，中空玻璃。钢桁架中间支架采用钢支架。</w:t>
                  </w:r>
                  <w:r>
                    <w:rPr>
                      <w:rFonts w:hint="eastAsia" w:ascii="Times New Roman" w:hAnsi="Times New Roman" w:cs="Times New Roman"/>
                      <w:color w:val="auto"/>
                      <w:sz w:val="21"/>
                      <w:szCs w:val="21"/>
                      <w:highlight w:val="none"/>
                      <w:lang w:val="en-US" w:eastAsia="zh-CN"/>
                    </w:rPr>
                    <w:t>运力Q=2500t/h。带式输送机均为密闭输送，转载点等易产尘部位均设置干雾抑尘装置。</w:t>
                  </w:r>
                </w:p>
              </w:tc>
              <w:tc>
                <w:tcPr>
                  <w:tcW w:w="521" w:type="pct"/>
                  <w:noWrap w:val="0"/>
                  <w:vAlign w:val="center"/>
                </w:tcPr>
                <w:p w14:paraId="2737B28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利旧改造</w:t>
                  </w:r>
                </w:p>
              </w:tc>
            </w:tr>
            <w:tr w14:paraId="7B14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2" w:type="pct"/>
                  <w:vMerge w:val="continue"/>
                  <w:noWrap w:val="0"/>
                  <w:vAlign w:val="center"/>
                </w:tcPr>
                <w:p w14:paraId="1E72B963">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73C6051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原煤棚</w:t>
                  </w:r>
                </w:p>
              </w:tc>
              <w:tc>
                <w:tcPr>
                  <w:tcW w:w="3648" w:type="pct"/>
                  <w:gridSpan w:val="2"/>
                  <w:noWrap w:val="0"/>
                  <w:vAlign w:val="center"/>
                </w:tcPr>
                <w:p w14:paraId="1449A346">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现有储煤棚改造，</w:t>
                  </w:r>
                  <w:r>
                    <w:rPr>
                      <w:rFonts w:hint="default" w:ascii="Times New Roman" w:hAnsi="Times New Roman" w:cs="Times New Roman"/>
                      <w:color w:val="auto"/>
                      <w:sz w:val="21"/>
                      <w:szCs w:val="21"/>
                      <w:highlight w:val="none"/>
                      <w:lang w:val="en-US" w:eastAsia="zh-CN"/>
                    </w:rPr>
                    <w:t>上方为单层彩钢网壳结构，顶端设置通风屋脊，</w:t>
                  </w:r>
                  <w:r>
                    <w:rPr>
                      <w:rFonts w:hint="eastAsia" w:ascii="Times New Roman" w:hAnsi="Times New Roman" w:cs="Times New Roman"/>
                      <w:color w:val="auto"/>
                      <w:sz w:val="21"/>
                      <w:szCs w:val="21"/>
                      <w:highlight w:val="none"/>
                      <w:lang w:val="en-US" w:eastAsia="zh-CN"/>
                    </w:rPr>
                    <w:t>建筑面积6000m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，现有2台喷雾抑尘装置，新增2台喷雾抑尘装置，将储煤棚全封闭，车辆进出口设置自动卷帘门</w:t>
                  </w:r>
                </w:p>
              </w:tc>
              <w:tc>
                <w:tcPr>
                  <w:tcW w:w="521" w:type="pct"/>
                  <w:vMerge w:val="restart"/>
                  <w:noWrap w:val="0"/>
                  <w:vAlign w:val="center"/>
                </w:tcPr>
                <w:p w14:paraId="5AC83EC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利旧改造</w:t>
                  </w:r>
                </w:p>
              </w:tc>
            </w:tr>
            <w:tr w14:paraId="1E51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2" w:type="pct"/>
                  <w:vMerge w:val="continue"/>
                  <w:noWrap w:val="0"/>
                  <w:vAlign w:val="center"/>
                </w:tcPr>
                <w:p w14:paraId="070E8862">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364DEA9D">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煤泥棚</w:t>
                  </w:r>
                </w:p>
              </w:tc>
              <w:tc>
                <w:tcPr>
                  <w:tcW w:w="3648" w:type="pct"/>
                  <w:gridSpan w:val="2"/>
                  <w:noWrap w:val="0"/>
                  <w:vAlign w:val="center"/>
                </w:tcPr>
                <w:p w14:paraId="595256AA">
                  <w:pPr>
                    <w:adjustRightInd w:val="0"/>
                    <w:snapToGrid w:val="0"/>
                    <w:jc w:val="both"/>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占地面积为30*30m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lang w:val="en-US" w:eastAsia="zh-CN"/>
                    </w:rPr>
                    <w:t>的煤泥棚1座，本次将煤泥棚全封闭</w:t>
                  </w:r>
                </w:p>
              </w:tc>
              <w:tc>
                <w:tcPr>
                  <w:tcW w:w="521" w:type="pct"/>
                  <w:vMerge w:val="continue"/>
                  <w:noWrap w:val="0"/>
                  <w:vAlign w:val="center"/>
                </w:tcPr>
                <w:p w14:paraId="478BA55F">
                  <w:pPr>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5286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2" w:type="pct"/>
                  <w:vMerge w:val="continue"/>
                  <w:noWrap w:val="0"/>
                  <w:vAlign w:val="center"/>
                </w:tcPr>
                <w:p w14:paraId="277FEAD3">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7C4BFF5A">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矸石棚</w:t>
                  </w:r>
                </w:p>
              </w:tc>
              <w:tc>
                <w:tcPr>
                  <w:tcW w:w="3648" w:type="pct"/>
                  <w:gridSpan w:val="2"/>
                  <w:noWrap w:val="0"/>
                  <w:vAlign w:val="center"/>
                </w:tcPr>
                <w:p w14:paraId="0B834998">
                  <w:pPr>
                    <w:adjustRightInd w:val="0"/>
                    <w:snapToGrid w:val="0"/>
                    <w:jc w:val="both"/>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占地面积为30*30m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lang w:val="en-US" w:eastAsia="zh-CN"/>
                    </w:rPr>
                    <w:t>的矸石棚1座，本次将矸石棚全封闭</w:t>
                  </w:r>
                </w:p>
              </w:tc>
              <w:tc>
                <w:tcPr>
                  <w:tcW w:w="521" w:type="pct"/>
                  <w:vMerge w:val="continue"/>
                  <w:noWrap w:val="0"/>
                  <w:vAlign w:val="center"/>
                </w:tcPr>
                <w:p w14:paraId="52502166">
                  <w:pPr>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6B99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72" w:type="pct"/>
                  <w:vMerge w:val="restart"/>
                  <w:noWrap w:val="0"/>
                  <w:vAlign w:val="center"/>
                </w:tcPr>
                <w:p w14:paraId="53DD3D2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w:t>
                  </w:r>
                </w:p>
                <w:p w14:paraId="7A36647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558" w:type="pct"/>
                  <w:noWrap w:val="0"/>
                  <w:vAlign w:val="center"/>
                </w:tcPr>
                <w:p w14:paraId="712F901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648" w:type="pct"/>
                  <w:gridSpan w:val="2"/>
                  <w:noWrap w:val="0"/>
                  <w:vAlign w:val="center"/>
                </w:tcPr>
                <w:p w14:paraId="52F41D17">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依托洗煤厂供电系统</w:t>
                  </w:r>
                </w:p>
              </w:tc>
              <w:tc>
                <w:tcPr>
                  <w:tcW w:w="521" w:type="pct"/>
                  <w:noWrap w:val="0"/>
                  <w:vAlign w:val="center"/>
                </w:tcPr>
                <w:p w14:paraId="2763EB39">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w:t>
                  </w:r>
                </w:p>
              </w:tc>
            </w:tr>
            <w:tr w14:paraId="24D6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noWrap w:val="0"/>
                  <w:vAlign w:val="center"/>
                </w:tcPr>
                <w:p w14:paraId="1D0C1712">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0364953B">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供水</w:t>
                  </w:r>
                </w:p>
              </w:tc>
              <w:tc>
                <w:tcPr>
                  <w:tcW w:w="3648" w:type="pct"/>
                  <w:gridSpan w:val="2"/>
                  <w:noWrap w:val="0"/>
                  <w:vAlign w:val="center"/>
                </w:tcPr>
                <w:p w14:paraId="485010E6">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依托洗煤厂供水系统</w:t>
                  </w:r>
                </w:p>
              </w:tc>
              <w:tc>
                <w:tcPr>
                  <w:tcW w:w="521" w:type="pct"/>
                  <w:noWrap w:val="0"/>
                  <w:vAlign w:val="center"/>
                </w:tcPr>
                <w:p w14:paraId="01A0CA82">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w:t>
                  </w:r>
                </w:p>
              </w:tc>
            </w:tr>
            <w:tr w14:paraId="48F2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72" w:type="pct"/>
                  <w:vMerge w:val="continue"/>
                  <w:noWrap w:val="0"/>
                  <w:vAlign w:val="center"/>
                </w:tcPr>
                <w:p w14:paraId="7EB4094B">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13DD636B">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通风</w:t>
                  </w:r>
                </w:p>
              </w:tc>
              <w:tc>
                <w:tcPr>
                  <w:tcW w:w="3648" w:type="pct"/>
                  <w:gridSpan w:val="2"/>
                  <w:noWrap w:val="0"/>
                  <w:vAlign w:val="center"/>
                </w:tcPr>
                <w:p w14:paraId="7DA9E80B">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全封闭储煤棚采用自然通风方式，在棚顶或侧墙高处设置百叶通风窗。</w:t>
                  </w:r>
                </w:p>
              </w:tc>
              <w:tc>
                <w:tcPr>
                  <w:tcW w:w="521" w:type="pct"/>
                  <w:noWrap w:val="0"/>
                  <w:vAlign w:val="center"/>
                </w:tcPr>
                <w:p w14:paraId="6E10B010">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新建</w:t>
                  </w:r>
                </w:p>
              </w:tc>
            </w:tr>
            <w:tr w14:paraId="4AE5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272" w:type="pct"/>
                  <w:vMerge w:val="restart"/>
                  <w:noWrap w:val="0"/>
                  <w:vAlign w:val="center"/>
                </w:tcPr>
                <w:p w14:paraId="13646C2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w:t>
                  </w:r>
                </w:p>
                <w:p w14:paraId="0D5C1DE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558" w:type="pct"/>
                  <w:vMerge w:val="restart"/>
                  <w:noWrap w:val="0"/>
                  <w:vAlign w:val="center"/>
                </w:tcPr>
                <w:p w14:paraId="633BA9D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废气</w:t>
                  </w:r>
                </w:p>
              </w:tc>
              <w:tc>
                <w:tcPr>
                  <w:tcW w:w="568" w:type="pct"/>
                  <w:noWrap w:val="0"/>
                  <w:vAlign w:val="center"/>
                </w:tcPr>
                <w:p w14:paraId="4D585B88">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储存、转载无组织粉尘</w:t>
                  </w:r>
                </w:p>
              </w:tc>
              <w:tc>
                <w:tcPr>
                  <w:tcW w:w="3080" w:type="pct"/>
                  <w:noWrap w:val="0"/>
                  <w:vAlign w:val="center"/>
                </w:tcPr>
                <w:p w14:paraId="375468B0">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① 储煤棚全封闭</w:t>
                  </w:r>
                  <w:r>
                    <w:rPr>
                      <w:rFonts w:hint="eastAsia"/>
                      <w:color w:val="auto"/>
                      <w:sz w:val="24"/>
                      <w:szCs w:val="24"/>
                      <w:highlight w:val="none"/>
                      <w:lang w:val="en-US" w:eastAsia="zh-CN"/>
                    </w:rPr>
                    <w:t>，</w:t>
                  </w:r>
                  <w:r>
                    <w:rPr>
                      <w:rFonts w:hint="eastAsia"/>
                      <w:color w:val="auto"/>
                      <w:sz w:val="21"/>
                      <w:szCs w:val="21"/>
                      <w:highlight w:val="none"/>
                      <w:lang w:val="en-US" w:eastAsia="zh-CN"/>
                    </w:rPr>
                    <w:t>设4台</w:t>
                  </w:r>
                  <w:r>
                    <w:rPr>
                      <w:rFonts w:hint="eastAsia"/>
                      <w:color w:val="auto"/>
                      <w:sz w:val="21"/>
                      <w:szCs w:val="21"/>
                      <w:highlight w:val="none"/>
                      <w:lang w:eastAsia="zh-CN"/>
                    </w:rPr>
                    <w:t>喷雾抑尘装置</w:t>
                  </w:r>
                  <w:r>
                    <w:rPr>
                      <w:rFonts w:hint="eastAsia"/>
                      <w:color w:val="auto"/>
                      <w:sz w:val="21"/>
                      <w:szCs w:val="21"/>
                      <w:highlight w:val="none"/>
                    </w:rPr>
                    <w:t>进行抑尘</w:t>
                  </w:r>
                  <w:r>
                    <w:rPr>
                      <w:rFonts w:hint="eastAsia"/>
                      <w:color w:val="auto"/>
                      <w:sz w:val="24"/>
                      <w:szCs w:val="24"/>
                      <w:highlight w:val="none"/>
                      <w:lang w:val="en-US" w:eastAsia="zh-CN"/>
                    </w:rPr>
                    <w:t>；</w:t>
                  </w:r>
                </w:p>
                <w:p w14:paraId="2509952A">
                  <w:pPr>
                    <w:adjustRightInd w:val="0"/>
                    <w:snapToGrid w:val="0"/>
                    <w:jc w:val="both"/>
                    <w:rPr>
                      <w:rFonts w:hint="eastAsia"/>
                      <w:color w:val="auto"/>
                      <w:sz w:val="21"/>
                      <w:szCs w:val="21"/>
                      <w:highlight w:val="none"/>
                      <w:lang w:val="en-US" w:eastAsia="zh-CN"/>
                    </w:rPr>
                  </w:pPr>
                  <w:r>
                    <w:rPr>
                      <w:rFonts w:hint="eastAsia"/>
                      <w:color w:val="auto"/>
                      <w:sz w:val="21"/>
                      <w:szCs w:val="21"/>
                      <w:highlight w:val="none"/>
                      <w:lang w:val="en-US" w:eastAsia="zh-CN"/>
                    </w:rPr>
                    <w:t>② 各卸载点设喷雾洒水抑尘装置；</w:t>
                  </w:r>
                </w:p>
                <w:p w14:paraId="2605B0D8">
                  <w:pPr>
                    <w:adjustRightInd w:val="0"/>
                    <w:snapToGrid w:val="0"/>
                    <w:jc w:val="center"/>
                    <w:rPr>
                      <w:rFonts w:hint="default"/>
                      <w:color w:val="auto"/>
                      <w:highlight w:val="none"/>
                      <w:lang w:val="en-US" w:eastAsia="zh-CN"/>
                    </w:rPr>
                  </w:pPr>
                  <w:r>
                    <w:rPr>
                      <w:rFonts w:hint="eastAsia"/>
                      <w:color w:val="auto"/>
                      <w:sz w:val="21"/>
                      <w:szCs w:val="21"/>
                      <w:highlight w:val="none"/>
                      <w:lang w:val="en-US" w:eastAsia="zh-CN"/>
                    </w:rPr>
                    <w:t>③ 棚顶或侧墙高处设置奈叶通风窗，采用自然通风方式。</w:t>
                  </w:r>
                </w:p>
              </w:tc>
              <w:tc>
                <w:tcPr>
                  <w:tcW w:w="521" w:type="pct"/>
                  <w:noWrap w:val="0"/>
                  <w:vAlign w:val="center"/>
                </w:tcPr>
                <w:p w14:paraId="554D21F0">
                  <w:pPr>
                    <w:pStyle w:val="13"/>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3B5F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72" w:type="pct"/>
                  <w:vMerge w:val="continue"/>
                  <w:noWrap w:val="0"/>
                  <w:vAlign w:val="center"/>
                </w:tcPr>
                <w:p w14:paraId="30FE246C">
                  <w:pPr>
                    <w:adjustRightInd w:val="0"/>
                    <w:snapToGrid w:val="0"/>
                    <w:jc w:val="center"/>
                    <w:rPr>
                      <w:rFonts w:hint="default" w:ascii="Times New Roman" w:hAnsi="Times New Roman" w:cs="Times New Roman"/>
                      <w:color w:val="auto"/>
                      <w:sz w:val="21"/>
                      <w:szCs w:val="21"/>
                      <w:highlight w:val="none"/>
                    </w:rPr>
                  </w:pPr>
                </w:p>
              </w:tc>
              <w:tc>
                <w:tcPr>
                  <w:tcW w:w="558" w:type="pct"/>
                  <w:vMerge w:val="continue"/>
                  <w:noWrap w:val="0"/>
                  <w:vAlign w:val="center"/>
                </w:tcPr>
                <w:p w14:paraId="4F73847D">
                  <w:pPr>
                    <w:adjustRightInd w:val="0"/>
                    <w:snapToGrid w:val="0"/>
                    <w:jc w:val="center"/>
                    <w:rPr>
                      <w:rFonts w:hint="default" w:ascii="Times New Roman" w:hAnsi="Times New Roman" w:cs="Times New Roman"/>
                      <w:color w:val="auto"/>
                      <w:sz w:val="21"/>
                      <w:szCs w:val="21"/>
                      <w:highlight w:val="none"/>
                    </w:rPr>
                  </w:pPr>
                </w:p>
              </w:tc>
              <w:tc>
                <w:tcPr>
                  <w:tcW w:w="568" w:type="pct"/>
                  <w:vMerge w:val="restart"/>
                  <w:noWrap w:val="0"/>
                  <w:vAlign w:val="center"/>
                </w:tcPr>
                <w:p w14:paraId="2D46AC52">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运输过程无组织粉尘</w:t>
                  </w:r>
                </w:p>
              </w:tc>
              <w:tc>
                <w:tcPr>
                  <w:tcW w:w="3080" w:type="pct"/>
                  <w:noWrap w:val="0"/>
                  <w:vAlign w:val="center"/>
                </w:tcPr>
                <w:p w14:paraId="7AD93FFC">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严格控制汽车装载量，保持运输道路清洁和相对湿度，出厂车辆冲洗，固废及产品尽量采用箱式密封车，限制车速。</w:t>
                  </w:r>
                </w:p>
              </w:tc>
              <w:tc>
                <w:tcPr>
                  <w:tcW w:w="521" w:type="pct"/>
                  <w:noWrap w:val="0"/>
                  <w:vAlign w:val="center"/>
                </w:tcPr>
                <w:p w14:paraId="4DE0940D">
                  <w:pPr>
                    <w:pStyle w:val="13"/>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依托</w:t>
                  </w:r>
                </w:p>
              </w:tc>
            </w:tr>
            <w:tr w14:paraId="0263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72" w:type="pct"/>
                  <w:vMerge w:val="continue"/>
                  <w:noWrap w:val="0"/>
                  <w:vAlign w:val="center"/>
                </w:tcPr>
                <w:p w14:paraId="60D60032">
                  <w:pPr>
                    <w:adjustRightInd w:val="0"/>
                    <w:snapToGrid w:val="0"/>
                    <w:jc w:val="center"/>
                  </w:pPr>
                </w:p>
              </w:tc>
              <w:tc>
                <w:tcPr>
                  <w:tcW w:w="558" w:type="pct"/>
                  <w:vMerge w:val="continue"/>
                  <w:noWrap w:val="0"/>
                  <w:vAlign w:val="center"/>
                </w:tcPr>
                <w:p w14:paraId="0E8C8C9E">
                  <w:pPr>
                    <w:adjustRightInd w:val="0"/>
                    <w:snapToGrid w:val="0"/>
                    <w:jc w:val="center"/>
                  </w:pPr>
                </w:p>
              </w:tc>
              <w:tc>
                <w:tcPr>
                  <w:tcW w:w="568" w:type="pct"/>
                  <w:vMerge w:val="continue"/>
                  <w:noWrap w:val="0"/>
                  <w:vAlign w:val="center"/>
                </w:tcPr>
                <w:p w14:paraId="153969CE">
                  <w:pPr>
                    <w:adjustRightInd w:val="0"/>
                    <w:snapToGrid w:val="0"/>
                    <w:jc w:val="center"/>
                  </w:pPr>
                </w:p>
              </w:tc>
              <w:tc>
                <w:tcPr>
                  <w:tcW w:w="3080" w:type="pct"/>
                  <w:noWrap w:val="0"/>
                  <w:vAlign w:val="center"/>
                </w:tcPr>
                <w:p w14:paraId="138773E7">
                  <w:pPr>
                    <w:adjustRightInd w:val="0"/>
                    <w:snapToGrid w:val="0"/>
                    <w:jc w:val="center"/>
                    <w:rPr>
                      <w:rFonts w:hint="eastAsia"/>
                      <w:color w:val="FF0000"/>
                      <w:sz w:val="21"/>
                      <w:szCs w:val="21"/>
                      <w:highlight w:val="none"/>
                      <w:lang w:val="en-US" w:eastAsia="zh-CN"/>
                    </w:rPr>
                  </w:pPr>
                  <w:r>
                    <w:rPr>
                      <w:rFonts w:hint="eastAsia"/>
                      <w:color w:val="FF0000"/>
                      <w:sz w:val="21"/>
                      <w:szCs w:val="21"/>
                      <w:lang w:val="en-US" w:eastAsia="zh-CN"/>
                    </w:rPr>
                    <w:t>安装环保门禁及视频监控系统</w:t>
                  </w:r>
                </w:p>
              </w:tc>
              <w:tc>
                <w:tcPr>
                  <w:tcW w:w="521" w:type="pct"/>
                  <w:noWrap w:val="0"/>
                  <w:vAlign w:val="center"/>
                </w:tcPr>
                <w:p w14:paraId="3924B70C">
                  <w:pPr>
                    <w:adjustRightInd w:val="0"/>
                    <w:snapToGrid w:val="0"/>
                    <w:jc w:val="center"/>
                    <w:rPr>
                      <w:rFonts w:hint="default"/>
                      <w:color w:val="FF0000"/>
                      <w:sz w:val="21"/>
                      <w:szCs w:val="21"/>
                      <w:highlight w:val="none"/>
                      <w:lang w:val="en-US" w:eastAsia="zh-CN"/>
                    </w:rPr>
                  </w:pPr>
                  <w:r>
                    <w:rPr>
                      <w:rFonts w:hint="eastAsia"/>
                      <w:color w:val="FF0000"/>
                      <w:sz w:val="21"/>
                      <w:szCs w:val="21"/>
                      <w:highlight w:val="none"/>
                      <w:lang w:val="en-US" w:eastAsia="zh-CN"/>
                    </w:rPr>
                    <w:t>新建</w:t>
                  </w:r>
                </w:p>
              </w:tc>
            </w:tr>
            <w:tr w14:paraId="0477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72" w:type="pct"/>
                  <w:vMerge w:val="continue"/>
                  <w:noWrap w:val="0"/>
                  <w:vAlign w:val="center"/>
                </w:tcPr>
                <w:p w14:paraId="7501F9C2">
                  <w:pPr>
                    <w:adjustRightInd w:val="0"/>
                    <w:snapToGrid w:val="0"/>
                    <w:jc w:val="center"/>
                    <w:rPr>
                      <w:rFonts w:hint="default" w:ascii="Times New Roman" w:hAnsi="Times New Roman" w:cs="Times New Roman"/>
                      <w:color w:val="auto"/>
                      <w:sz w:val="21"/>
                      <w:szCs w:val="21"/>
                      <w:highlight w:val="none"/>
                    </w:rPr>
                  </w:pPr>
                </w:p>
              </w:tc>
              <w:tc>
                <w:tcPr>
                  <w:tcW w:w="558" w:type="pct"/>
                  <w:vMerge w:val="continue"/>
                  <w:noWrap w:val="0"/>
                  <w:vAlign w:val="center"/>
                </w:tcPr>
                <w:p w14:paraId="3B6C7D6F">
                  <w:pPr>
                    <w:adjustRightInd w:val="0"/>
                    <w:snapToGrid w:val="0"/>
                    <w:jc w:val="center"/>
                    <w:rPr>
                      <w:rFonts w:hint="default" w:ascii="Times New Roman" w:hAnsi="Times New Roman" w:cs="Times New Roman"/>
                      <w:color w:val="auto"/>
                      <w:sz w:val="21"/>
                      <w:szCs w:val="21"/>
                      <w:highlight w:val="none"/>
                    </w:rPr>
                  </w:pPr>
                </w:p>
              </w:tc>
              <w:tc>
                <w:tcPr>
                  <w:tcW w:w="568" w:type="pct"/>
                  <w:noWrap w:val="0"/>
                  <w:vAlign w:val="center"/>
                </w:tcPr>
                <w:p w14:paraId="46836E16">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联网扬尘在线监控系统</w:t>
                  </w:r>
                </w:p>
              </w:tc>
              <w:tc>
                <w:tcPr>
                  <w:tcW w:w="3080" w:type="pct"/>
                  <w:noWrap w:val="0"/>
                  <w:vAlign w:val="center"/>
                </w:tcPr>
                <w:p w14:paraId="1CCDFB8E">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依托洗煤厂现有4台扬尘在线监测系统，实时监测厂区无组织扬尘浓度</w:t>
                  </w:r>
                </w:p>
              </w:tc>
              <w:tc>
                <w:tcPr>
                  <w:tcW w:w="521" w:type="pct"/>
                  <w:noWrap w:val="0"/>
                  <w:vAlign w:val="center"/>
                </w:tcPr>
                <w:p w14:paraId="458310F2">
                  <w:pPr>
                    <w:pStyle w:val="13"/>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依托</w:t>
                  </w:r>
                </w:p>
              </w:tc>
            </w:tr>
            <w:tr w14:paraId="2927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noWrap w:val="0"/>
                  <w:vAlign w:val="center"/>
                </w:tcPr>
                <w:p w14:paraId="79B26C96">
                  <w:pPr>
                    <w:adjustRightInd w:val="0"/>
                    <w:snapToGrid w:val="0"/>
                    <w:jc w:val="center"/>
                    <w:rPr>
                      <w:rFonts w:hint="default" w:ascii="Times New Roman" w:hAnsi="Times New Roman" w:cs="Times New Roman"/>
                      <w:color w:val="auto"/>
                      <w:sz w:val="21"/>
                      <w:szCs w:val="21"/>
                      <w:highlight w:val="none"/>
                    </w:rPr>
                  </w:pPr>
                </w:p>
              </w:tc>
              <w:tc>
                <w:tcPr>
                  <w:tcW w:w="558" w:type="pct"/>
                  <w:vMerge w:val="restart"/>
                  <w:noWrap w:val="0"/>
                  <w:vAlign w:val="center"/>
                </w:tcPr>
                <w:p w14:paraId="1FCDBAE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568" w:type="pct"/>
                  <w:noWrap w:val="0"/>
                  <w:vAlign w:val="center"/>
                </w:tcPr>
                <w:p w14:paraId="65FA23B0">
                  <w:pPr>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生产废水</w:t>
                  </w:r>
                </w:p>
              </w:tc>
              <w:tc>
                <w:tcPr>
                  <w:tcW w:w="3080" w:type="pct"/>
                  <w:noWrap w:val="0"/>
                  <w:vAlign w:val="center"/>
                </w:tcPr>
                <w:p w14:paraId="331EC1CF">
                  <w:pPr>
                    <w:adjustRightInd w:val="0"/>
                    <w:snapToGrid w:val="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洗车台依托现有洗车台，设置沉淀池1座（15m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），经沉淀后循环利用，不外排</w:t>
                  </w:r>
                </w:p>
              </w:tc>
              <w:tc>
                <w:tcPr>
                  <w:tcW w:w="521" w:type="pct"/>
                  <w:noWrap w:val="0"/>
                  <w:vAlign w:val="center"/>
                </w:tcPr>
                <w:p w14:paraId="5714E6B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14:paraId="7C9B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noWrap w:val="0"/>
                  <w:vAlign w:val="center"/>
                </w:tcPr>
                <w:p w14:paraId="75E44ABD">
                  <w:pPr>
                    <w:adjustRightInd w:val="0"/>
                    <w:snapToGrid w:val="0"/>
                    <w:jc w:val="center"/>
                    <w:rPr>
                      <w:rFonts w:hint="default" w:ascii="Times New Roman" w:hAnsi="Times New Roman" w:cs="Times New Roman"/>
                      <w:color w:val="auto"/>
                      <w:sz w:val="21"/>
                      <w:szCs w:val="21"/>
                      <w:highlight w:val="none"/>
                    </w:rPr>
                  </w:pPr>
                </w:p>
              </w:tc>
              <w:tc>
                <w:tcPr>
                  <w:tcW w:w="558" w:type="pct"/>
                  <w:vMerge w:val="continue"/>
                  <w:noWrap w:val="0"/>
                  <w:vAlign w:val="center"/>
                </w:tcPr>
                <w:p w14:paraId="3CD8A243">
                  <w:pPr>
                    <w:adjustRightInd w:val="0"/>
                    <w:snapToGrid w:val="0"/>
                    <w:jc w:val="center"/>
                    <w:rPr>
                      <w:rFonts w:hint="default" w:ascii="Times New Roman" w:hAnsi="Times New Roman" w:cs="Times New Roman"/>
                      <w:color w:val="auto"/>
                      <w:sz w:val="21"/>
                      <w:szCs w:val="21"/>
                      <w:highlight w:val="none"/>
                    </w:rPr>
                  </w:pPr>
                </w:p>
              </w:tc>
              <w:tc>
                <w:tcPr>
                  <w:tcW w:w="568" w:type="pct"/>
                  <w:noWrap w:val="0"/>
                  <w:vAlign w:val="center"/>
                </w:tcPr>
                <w:p w14:paraId="15BEBB21">
                  <w:pPr>
                    <w:adjustRightInd w:val="0"/>
                    <w:snapToGrid w:val="0"/>
                    <w:jc w:val="center"/>
                    <w:rPr>
                      <w:rFonts w:hint="default" w:ascii="宋体" w:hAnsi="宋体" w:eastAsia="宋体" w:cs="宋体"/>
                      <w:color w:val="7030A0"/>
                      <w:sz w:val="21"/>
                      <w:szCs w:val="21"/>
                      <w:highlight w:val="none"/>
                      <w:lang w:val="en-US" w:eastAsia="zh-CN"/>
                    </w:rPr>
                  </w:pPr>
                  <w:r>
                    <w:rPr>
                      <w:rFonts w:hint="eastAsia" w:ascii="宋体" w:hAnsi="宋体" w:cs="宋体"/>
                      <w:color w:val="7030A0"/>
                      <w:sz w:val="21"/>
                      <w:szCs w:val="21"/>
                      <w:highlight w:val="none"/>
                      <w:lang w:val="en-US" w:eastAsia="zh-CN"/>
                    </w:rPr>
                    <w:t>初期雨水</w:t>
                  </w:r>
                </w:p>
              </w:tc>
              <w:tc>
                <w:tcPr>
                  <w:tcW w:w="3080" w:type="pct"/>
                  <w:noWrap w:val="0"/>
                  <w:vAlign w:val="center"/>
                </w:tcPr>
                <w:p w14:paraId="16818277">
                  <w:pPr>
                    <w:adjustRightInd w:val="0"/>
                    <w:snapToGrid w:val="0"/>
                    <w:jc w:val="center"/>
                    <w:rPr>
                      <w:rFonts w:hint="default" w:ascii="Times New Roman" w:hAnsi="Times New Roman" w:eastAsia="宋体" w:cs="Times New Roman"/>
                      <w:color w:val="7030A0"/>
                      <w:kern w:val="0"/>
                      <w:sz w:val="21"/>
                      <w:szCs w:val="21"/>
                      <w:highlight w:val="none"/>
                      <w:lang w:val="en-US" w:eastAsia="zh-CN"/>
                    </w:rPr>
                  </w:pPr>
                  <w:r>
                    <w:rPr>
                      <w:rFonts w:hint="default" w:ascii="Times New Roman" w:hAnsi="Times New Roman" w:cs="Times New Roman"/>
                      <w:color w:val="7030A0"/>
                      <w:kern w:val="0"/>
                      <w:sz w:val="21"/>
                      <w:szCs w:val="21"/>
                      <w:highlight w:val="none"/>
                      <w:lang w:val="en-US" w:eastAsia="zh-CN"/>
                    </w:rPr>
                    <w:t>新建容积不小于</w:t>
                  </w:r>
                  <w:r>
                    <w:rPr>
                      <w:rFonts w:hint="eastAsia" w:cs="Times New Roman"/>
                      <w:color w:val="7030A0"/>
                      <w:sz w:val="21"/>
                      <w:szCs w:val="21"/>
                      <w:highlight w:val="none"/>
                      <w:lang w:val="en-US" w:eastAsia="zh-CN"/>
                    </w:rPr>
                    <w:t>654m</w:t>
                  </w:r>
                  <w:r>
                    <w:rPr>
                      <w:rFonts w:hint="eastAsia" w:cs="Times New Roman"/>
                      <w:color w:val="7030A0"/>
                      <w:sz w:val="24"/>
                      <w:szCs w:val="24"/>
                      <w:highlight w:val="none"/>
                      <w:vertAlign w:val="superscript"/>
                      <w:lang w:val="en-US" w:eastAsia="zh-CN"/>
                    </w:rPr>
                    <w:t>3</w:t>
                  </w:r>
                  <w:r>
                    <w:rPr>
                      <w:rFonts w:hint="default" w:ascii="Times New Roman" w:hAnsi="Times New Roman" w:cs="Times New Roman"/>
                      <w:color w:val="7030A0"/>
                      <w:kern w:val="0"/>
                      <w:sz w:val="21"/>
                      <w:szCs w:val="21"/>
                      <w:highlight w:val="none"/>
                      <w:lang w:val="en-US" w:eastAsia="zh-CN"/>
                    </w:rPr>
                    <w:t>的初期雨水池</w:t>
                  </w:r>
                  <w:r>
                    <w:rPr>
                      <w:rFonts w:hint="eastAsia" w:cs="Times New Roman"/>
                      <w:color w:val="7030A0"/>
                      <w:kern w:val="0"/>
                      <w:sz w:val="21"/>
                      <w:szCs w:val="21"/>
                      <w:highlight w:val="none"/>
                      <w:lang w:val="en-US" w:eastAsia="zh-CN"/>
                    </w:rPr>
                    <w:t>，</w:t>
                  </w:r>
                  <w:r>
                    <w:rPr>
                      <w:rFonts w:hint="eastAsia"/>
                      <w:color w:val="7030A0"/>
                      <w:highlight w:val="none"/>
                      <w:lang w:val="en-US" w:eastAsia="zh-CN"/>
                    </w:rPr>
                    <w:t>雨水经沉淀后作为洗车用水、洒水抑尘用水、绿化用水等回用，不外排</w:t>
                  </w:r>
                </w:p>
              </w:tc>
              <w:tc>
                <w:tcPr>
                  <w:tcW w:w="521" w:type="pct"/>
                  <w:noWrap w:val="0"/>
                  <w:vAlign w:val="center"/>
                </w:tcPr>
                <w:p w14:paraId="63601C17">
                  <w:pPr>
                    <w:adjustRightInd w:val="0"/>
                    <w:snapToGrid w:val="0"/>
                    <w:jc w:val="center"/>
                    <w:rPr>
                      <w:rFonts w:hint="eastAsia" w:cs="Times New Roman"/>
                      <w:color w:val="7030A0"/>
                      <w:sz w:val="21"/>
                      <w:szCs w:val="21"/>
                      <w:highlight w:val="none"/>
                      <w:lang w:val="en-US" w:eastAsia="zh-CN"/>
                    </w:rPr>
                  </w:pPr>
                  <w:r>
                    <w:rPr>
                      <w:rFonts w:hint="default" w:ascii="Times New Roman" w:hAnsi="Times New Roman" w:cs="Times New Roman"/>
                      <w:color w:val="7030A0"/>
                      <w:sz w:val="21"/>
                      <w:szCs w:val="21"/>
                      <w:highlight w:val="none"/>
                      <w:lang w:val="en-US" w:eastAsia="zh-CN"/>
                    </w:rPr>
                    <w:t>新建</w:t>
                  </w:r>
                </w:p>
              </w:tc>
            </w:tr>
            <w:tr w14:paraId="0C7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noWrap w:val="0"/>
                  <w:vAlign w:val="center"/>
                </w:tcPr>
                <w:p w14:paraId="65E56958">
                  <w:pPr>
                    <w:adjustRightInd w:val="0"/>
                    <w:snapToGrid w:val="0"/>
                    <w:jc w:val="center"/>
                    <w:rPr>
                      <w:rFonts w:hint="default" w:ascii="Times New Roman" w:hAnsi="Times New Roman" w:cs="Times New Roman"/>
                      <w:color w:val="auto"/>
                      <w:sz w:val="21"/>
                      <w:szCs w:val="21"/>
                      <w:highlight w:val="none"/>
                    </w:rPr>
                  </w:pPr>
                </w:p>
              </w:tc>
              <w:tc>
                <w:tcPr>
                  <w:tcW w:w="558" w:type="pct"/>
                  <w:vMerge w:val="continue"/>
                  <w:noWrap w:val="0"/>
                  <w:vAlign w:val="center"/>
                </w:tcPr>
                <w:p w14:paraId="1785FC44">
                  <w:pPr>
                    <w:adjustRightInd w:val="0"/>
                    <w:snapToGrid w:val="0"/>
                    <w:jc w:val="center"/>
                    <w:rPr>
                      <w:rFonts w:hint="default" w:ascii="Times New Roman" w:hAnsi="Times New Roman" w:cs="Times New Roman"/>
                      <w:color w:val="auto"/>
                      <w:sz w:val="21"/>
                      <w:szCs w:val="21"/>
                      <w:highlight w:val="none"/>
                    </w:rPr>
                  </w:pPr>
                </w:p>
              </w:tc>
              <w:tc>
                <w:tcPr>
                  <w:tcW w:w="568" w:type="pct"/>
                  <w:noWrap w:val="0"/>
                  <w:vAlign w:val="center"/>
                </w:tcPr>
                <w:p w14:paraId="6E2EE589">
                  <w:pPr>
                    <w:adjustRightInd w:val="0"/>
                    <w:snapToGrid w:val="0"/>
                    <w:jc w:val="center"/>
                    <w:rPr>
                      <w:rFonts w:hint="default" w:ascii="宋体" w:hAnsi="宋体" w:cs="宋体"/>
                      <w:color w:val="7030A0"/>
                      <w:sz w:val="21"/>
                      <w:szCs w:val="21"/>
                      <w:highlight w:val="none"/>
                      <w:lang w:val="en-US" w:eastAsia="zh-CN"/>
                    </w:rPr>
                  </w:pPr>
                  <w:r>
                    <w:rPr>
                      <w:rFonts w:hint="eastAsia" w:ascii="宋体" w:hAnsi="宋体" w:cs="宋体"/>
                      <w:color w:val="7030A0"/>
                      <w:sz w:val="21"/>
                      <w:szCs w:val="21"/>
                      <w:highlight w:val="none"/>
                      <w:lang w:val="en-US" w:eastAsia="zh-CN"/>
                    </w:rPr>
                    <w:t>事故水</w:t>
                  </w:r>
                </w:p>
              </w:tc>
              <w:tc>
                <w:tcPr>
                  <w:tcW w:w="3080" w:type="pct"/>
                  <w:noWrap w:val="0"/>
                  <w:vAlign w:val="center"/>
                </w:tcPr>
                <w:p w14:paraId="7FDDDF52">
                  <w:pPr>
                    <w:adjustRightInd w:val="0"/>
                    <w:snapToGrid w:val="0"/>
                    <w:jc w:val="center"/>
                    <w:rPr>
                      <w:rFonts w:hint="default" w:ascii="Times New Roman" w:hAnsi="Times New Roman" w:eastAsia="宋体" w:cs="Times New Roman"/>
                      <w:color w:val="7030A0"/>
                      <w:kern w:val="0"/>
                      <w:sz w:val="21"/>
                      <w:szCs w:val="21"/>
                      <w:highlight w:val="none"/>
                      <w:lang w:val="en-US" w:eastAsia="zh-CN"/>
                    </w:rPr>
                  </w:pPr>
                  <w:r>
                    <w:rPr>
                      <w:rFonts w:hint="default" w:ascii="Times New Roman" w:hAnsi="Times New Roman" w:eastAsia="宋体" w:cs="Times New Roman"/>
                      <w:color w:val="7030A0"/>
                      <w:kern w:val="0"/>
                      <w:sz w:val="21"/>
                      <w:szCs w:val="21"/>
                      <w:highlight w:val="none"/>
                      <w:lang w:val="en-US" w:eastAsia="zh-CN"/>
                    </w:rPr>
                    <w:t>新建</w:t>
                  </w:r>
                  <w:r>
                    <w:rPr>
                      <w:rFonts w:hint="eastAsia" w:cs="Times New Roman"/>
                      <w:color w:val="7030A0"/>
                      <w:kern w:val="0"/>
                      <w:sz w:val="21"/>
                      <w:szCs w:val="21"/>
                      <w:highlight w:val="none"/>
                      <w:lang w:val="en-US" w:eastAsia="zh-CN"/>
                    </w:rPr>
                    <w:t>1200</w:t>
                  </w:r>
                  <w:r>
                    <w:rPr>
                      <w:rFonts w:hint="default" w:ascii="Times New Roman" w:hAnsi="Times New Roman" w:eastAsia="宋体" w:cs="Times New Roman"/>
                      <w:color w:val="7030A0"/>
                      <w:sz w:val="21"/>
                      <w:szCs w:val="21"/>
                      <w:highlight w:val="none"/>
                      <w:lang w:val="en-US" w:eastAsia="zh-CN"/>
                    </w:rPr>
                    <w:t>m</w:t>
                  </w:r>
                  <w:r>
                    <w:rPr>
                      <w:rFonts w:hint="default" w:ascii="Times New Roman" w:hAnsi="Times New Roman" w:eastAsia="宋体" w:cs="Times New Roman"/>
                      <w:color w:val="7030A0"/>
                      <w:sz w:val="21"/>
                      <w:szCs w:val="21"/>
                      <w:highlight w:val="none"/>
                      <w:vertAlign w:val="superscript"/>
                      <w:lang w:val="en-US" w:eastAsia="zh-CN"/>
                    </w:rPr>
                    <w:t>3</w:t>
                  </w:r>
                  <w:r>
                    <w:rPr>
                      <w:rFonts w:hint="default" w:ascii="Times New Roman" w:hAnsi="Times New Roman" w:eastAsia="宋体" w:cs="Times New Roman"/>
                      <w:color w:val="7030A0"/>
                      <w:sz w:val="21"/>
                      <w:szCs w:val="21"/>
                      <w:highlight w:val="none"/>
                      <w:vertAlign w:val="baseline"/>
                      <w:lang w:val="en-US" w:eastAsia="zh-CN"/>
                    </w:rPr>
                    <w:t>的事故</w:t>
                  </w:r>
                  <w:bookmarkStart w:id="24" w:name="_GoBack"/>
                  <w:r>
                    <w:rPr>
                      <w:rFonts w:hint="default" w:ascii="Times New Roman" w:hAnsi="Times New Roman" w:eastAsia="宋体" w:cs="Times New Roman"/>
                      <w:color w:val="7030A0"/>
                      <w:sz w:val="21"/>
                      <w:szCs w:val="21"/>
                      <w:highlight w:val="none"/>
                      <w:vertAlign w:val="baseline"/>
                      <w:lang w:val="en-US" w:eastAsia="zh-CN"/>
                    </w:rPr>
                    <w:t>水池</w:t>
                  </w:r>
                  <w:bookmarkEnd w:id="24"/>
                </w:p>
              </w:tc>
              <w:tc>
                <w:tcPr>
                  <w:tcW w:w="521" w:type="pct"/>
                  <w:noWrap w:val="0"/>
                  <w:vAlign w:val="center"/>
                </w:tcPr>
                <w:p w14:paraId="18106692">
                  <w:pPr>
                    <w:adjustRightInd w:val="0"/>
                    <w:snapToGrid w:val="0"/>
                    <w:jc w:val="center"/>
                    <w:rPr>
                      <w:rFonts w:hint="default" w:cs="Times New Roman"/>
                      <w:color w:val="7030A0"/>
                      <w:sz w:val="21"/>
                      <w:szCs w:val="21"/>
                      <w:highlight w:val="none"/>
                      <w:lang w:val="en-US" w:eastAsia="zh-CN"/>
                    </w:rPr>
                  </w:pPr>
                  <w:r>
                    <w:rPr>
                      <w:rFonts w:hint="eastAsia" w:cs="Times New Roman"/>
                      <w:color w:val="7030A0"/>
                      <w:sz w:val="21"/>
                      <w:szCs w:val="21"/>
                      <w:highlight w:val="none"/>
                      <w:lang w:val="en-US" w:eastAsia="zh-CN"/>
                    </w:rPr>
                    <w:t>新建</w:t>
                  </w:r>
                </w:p>
              </w:tc>
            </w:tr>
            <w:tr w14:paraId="3C83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noWrap w:val="0"/>
                  <w:vAlign w:val="center"/>
                </w:tcPr>
                <w:p w14:paraId="7B624C9B">
                  <w:pPr>
                    <w:adjustRightInd w:val="0"/>
                    <w:snapToGrid w:val="0"/>
                    <w:jc w:val="center"/>
                    <w:rPr>
                      <w:rFonts w:hint="default" w:ascii="Times New Roman" w:hAnsi="Times New Roman" w:cs="Times New Roman"/>
                      <w:color w:val="auto"/>
                      <w:sz w:val="21"/>
                      <w:szCs w:val="21"/>
                      <w:highlight w:val="none"/>
                    </w:rPr>
                  </w:pPr>
                </w:p>
              </w:tc>
              <w:tc>
                <w:tcPr>
                  <w:tcW w:w="558" w:type="pct"/>
                  <w:vMerge w:val="continue"/>
                  <w:noWrap w:val="0"/>
                  <w:vAlign w:val="center"/>
                </w:tcPr>
                <w:p w14:paraId="56DE953C">
                  <w:pPr>
                    <w:adjustRightInd w:val="0"/>
                    <w:snapToGrid w:val="0"/>
                    <w:jc w:val="center"/>
                    <w:rPr>
                      <w:rFonts w:hint="default" w:ascii="Times New Roman" w:hAnsi="Times New Roman" w:cs="Times New Roman"/>
                      <w:color w:val="auto"/>
                      <w:sz w:val="21"/>
                      <w:szCs w:val="21"/>
                      <w:highlight w:val="none"/>
                    </w:rPr>
                  </w:pPr>
                </w:p>
              </w:tc>
              <w:tc>
                <w:tcPr>
                  <w:tcW w:w="568" w:type="pct"/>
                  <w:noWrap w:val="0"/>
                  <w:vAlign w:val="center"/>
                </w:tcPr>
                <w:p w14:paraId="50EB9795">
                  <w:pPr>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生活污水</w:t>
                  </w:r>
                </w:p>
              </w:tc>
              <w:tc>
                <w:tcPr>
                  <w:tcW w:w="3080" w:type="pct"/>
                  <w:noWrap w:val="0"/>
                  <w:vAlign w:val="center"/>
                </w:tcPr>
                <w:p w14:paraId="7F3F7CA5">
                  <w:pPr>
                    <w:adjustRightInd w:val="0"/>
                    <w:snapToGrid w:val="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厂区设旱厕，后用于农田堆肥</w:t>
                  </w:r>
                </w:p>
              </w:tc>
              <w:tc>
                <w:tcPr>
                  <w:tcW w:w="521" w:type="pct"/>
                  <w:noWrap w:val="0"/>
                  <w:vAlign w:val="center"/>
                </w:tcPr>
                <w:p w14:paraId="3D49686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14:paraId="6700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 w:type="pct"/>
                  <w:vMerge w:val="continue"/>
                  <w:noWrap w:val="0"/>
                  <w:vAlign w:val="center"/>
                </w:tcPr>
                <w:p w14:paraId="1BDE879E">
                  <w:pPr>
                    <w:adjustRightInd w:val="0"/>
                    <w:snapToGrid w:val="0"/>
                    <w:jc w:val="center"/>
                    <w:rPr>
                      <w:rFonts w:hint="default" w:ascii="Times New Roman" w:hAnsi="Times New Roman" w:cs="Times New Roman"/>
                      <w:color w:val="auto"/>
                      <w:sz w:val="21"/>
                      <w:szCs w:val="21"/>
                      <w:highlight w:val="none"/>
                    </w:rPr>
                  </w:pPr>
                </w:p>
              </w:tc>
              <w:tc>
                <w:tcPr>
                  <w:tcW w:w="558" w:type="pct"/>
                  <w:noWrap w:val="0"/>
                  <w:vAlign w:val="center"/>
                </w:tcPr>
                <w:p w14:paraId="6F64EFD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3648" w:type="pct"/>
                  <w:gridSpan w:val="2"/>
                  <w:noWrap w:val="0"/>
                  <w:vAlign w:val="center"/>
                </w:tcPr>
                <w:p w14:paraId="16303A7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设备维修产生的废机油暂存于洗煤厂现有危废暂存库，定期交由有资质单位处置；对</w:t>
                  </w:r>
                  <w:r>
                    <w:rPr>
                      <w:rFonts w:hint="eastAsia" w:ascii="Times New Roman" w:hAnsi="Times New Roman" w:eastAsia="宋体"/>
                      <w:color w:val="auto"/>
                      <w:sz w:val="21"/>
                      <w:szCs w:val="21"/>
                      <w:highlight w:val="none"/>
                      <w:lang w:val="en-US" w:eastAsia="zh-CN"/>
                    </w:rPr>
                    <w:t>现有危废暂存库地面按照《危险废物贮存污染控制标准》（GB18597-2023）进行基础防渗，防渗层为至少1m厚黏土层（渗透系数不大于10</w:t>
                  </w:r>
                  <w:r>
                    <w:rPr>
                      <w:rFonts w:hint="eastAsia" w:ascii="Times New Roman" w:hAnsi="Times New Roman" w:eastAsia="宋体"/>
                      <w:color w:val="auto"/>
                      <w:sz w:val="21"/>
                      <w:szCs w:val="21"/>
                      <w:highlight w:val="none"/>
                      <w:vertAlign w:val="superscript"/>
                      <w:lang w:val="en-US" w:eastAsia="zh-CN"/>
                    </w:rPr>
                    <w:t>-7</w:t>
                  </w:r>
                  <w:r>
                    <w:rPr>
                      <w:rFonts w:hint="eastAsia" w:ascii="Times New Roman" w:hAnsi="Times New Roman" w:eastAsia="宋体"/>
                      <w:color w:val="auto"/>
                      <w:sz w:val="21"/>
                      <w:szCs w:val="21"/>
                      <w:highlight w:val="none"/>
                      <w:lang w:val="en-US" w:eastAsia="zh-CN"/>
                    </w:rPr>
                    <w:t>cm/s），或至少2mm厚高密度聚乙烯膜等人工防渗材料（渗透系数不大于10-10 cm/s），或其他防渗性能等效的材料；按照</w:t>
                  </w:r>
                  <w:r>
                    <w:rPr>
                      <w:rFonts w:hint="eastAsia" w:ascii="Times New Roman" w:hAnsi="Times New Roman" w:eastAsia="宋体"/>
                      <w:bCs/>
                      <w:color w:val="auto"/>
                      <w:sz w:val="21"/>
                      <w:szCs w:val="21"/>
                      <w:highlight w:val="none"/>
                    </w:rPr>
                    <w:t>《危险废物识别标志设置技术规范》（HJ1276-2022）</w:t>
                  </w:r>
                  <w:r>
                    <w:rPr>
                      <w:rFonts w:hint="eastAsia" w:ascii="Times New Roman" w:hAnsi="Times New Roman" w:eastAsia="宋体"/>
                      <w:bCs/>
                      <w:color w:val="auto"/>
                      <w:sz w:val="21"/>
                      <w:szCs w:val="21"/>
                      <w:highlight w:val="none"/>
                      <w:lang w:val="en-US" w:eastAsia="zh-CN"/>
                    </w:rPr>
                    <w:t>对现有危废暂存库完善标识标牌</w:t>
                  </w:r>
                </w:p>
              </w:tc>
              <w:tc>
                <w:tcPr>
                  <w:tcW w:w="521" w:type="pct"/>
                  <w:noWrap w:val="0"/>
                  <w:vAlign w:val="center"/>
                </w:tcPr>
                <w:p w14:paraId="79DD36FE">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利旧改造</w:t>
                  </w:r>
                </w:p>
              </w:tc>
            </w:tr>
            <w:tr w14:paraId="5AEF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72" w:type="pct"/>
                  <w:vMerge w:val="continue"/>
                  <w:noWrap w:val="0"/>
                  <w:vAlign w:val="center"/>
                </w:tcPr>
                <w:p w14:paraId="57885C9A">
                  <w:pPr>
                    <w:adjustRightInd w:val="0"/>
                    <w:snapToGrid w:val="0"/>
                    <w:jc w:val="both"/>
                    <w:rPr>
                      <w:rFonts w:hint="default" w:ascii="Times New Roman" w:hAnsi="Times New Roman" w:eastAsia="宋体" w:cs="Times New Roman"/>
                      <w:color w:val="auto"/>
                      <w:sz w:val="21"/>
                      <w:szCs w:val="21"/>
                      <w:highlight w:val="none"/>
                      <w:lang w:val="en-US" w:eastAsia="zh-CN"/>
                    </w:rPr>
                  </w:pPr>
                </w:p>
              </w:tc>
              <w:tc>
                <w:tcPr>
                  <w:tcW w:w="558" w:type="pct"/>
                  <w:noWrap w:val="0"/>
                  <w:vAlign w:val="center"/>
                </w:tcPr>
                <w:p w14:paraId="0A21DC7C">
                  <w:pPr>
                    <w:adjustRightInd w:val="0"/>
                    <w:snapToGrid w:val="0"/>
                    <w:jc w:val="center"/>
                    <w:rPr>
                      <w:rFonts w:hint="default" w:ascii="Times New Roman" w:hAnsi="Times New Roman" w:cs="Times New Roman"/>
                      <w:bCs/>
                      <w:color w:val="auto"/>
                      <w:spacing w:val="-6"/>
                      <w:sz w:val="21"/>
                      <w:szCs w:val="21"/>
                      <w:highlight w:val="none"/>
                      <w:lang w:val="en-US" w:eastAsia="zh-CN"/>
                    </w:rPr>
                  </w:pPr>
                  <w:r>
                    <w:rPr>
                      <w:rFonts w:hint="default" w:ascii="Times New Roman" w:hAnsi="Times New Roman" w:cs="Times New Roman"/>
                      <w:color w:val="auto"/>
                      <w:sz w:val="21"/>
                      <w:szCs w:val="21"/>
                      <w:highlight w:val="none"/>
                    </w:rPr>
                    <w:t>噪声</w:t>
                  </w:r>
                </w:p>
              </w:tc>
              <w:tc>
                <w:tcPr>
                  <w:tcW w:w="3648" w:type="pct"/>
                  <w:gridSpan w:val="2"/>
                  <w:noWrap w:val="0"/>
                  <w:vAlign w:val="center"/>
                </w:tcPr>
                <w:p w14:paraId="59E2E73A">
                  <w:pPr>
                    <w:adjustRightInd w:val="0"/>
                    <w:snapToGrid w:val="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rPr>
                    <w:t>采取选用低噪声设备、基础减振、厂房隔声等措施</w:t>
                  </w:r>
                </w:p>
              </w:tc>
              <w:tc>
                <w:tcPr>
                  <w:tcW w:w="521" w:type="pct"/>
                  <w:noWrap w:val="0"/>
                  <w:vAlign w:val="center"/>
                </w:tcPr>
                <w:p w14:paraId="6F23FF43">
                  <w:pPr>
                    <w:adjustRightInd w:val="0"/>
                    <w:snapToGrid w:val="0"/>
                    <w:jc w:val="center"/>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新建</w:t>
                  </w:r>
                </w:p>
              </w:tc>
            </w:tr>
            <w:tr w14:paraId="124A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72" w:type="pct"/>
                  <w:vMerge w:val="continue"/>
                  <w:noWrap w:val="0"/>
                  <w:vAlign w:val="center"/>
                </w:tcPr>
                <w:p w14:paraId="38B1EE40">
                  <w:pPr>
                    <w:adjustRightInd w:val="0"/>
                    <w:snapToGrid w:val="0"/>
                    <w:jc w:val="both"/>
                    <w:rPr>
                      <w:rFonts w:hint="default" w:ascii="Times New Roman" w:hAnsi="Times New Roman" w:eastAsia="宋体" w:cs="Times New Roman"/>
                      <w:color w:val="auto"/>
                      <w:sz w:val="21"/>
                      <w:szCs w:val="21"/>
                      <w:highlight w:val="none"/>
                      <w:lang w:val="en-US" w:eastAsia="zh-CN"/>
                    </w:rPr>
                  </w:pPr>
                </w:p>
              </w:tc>
              <w:tc>
                <w:tcPr>
                  <w:tcW w:w="558" w:type="pct"/>
                  <w:noWrap w:val="0"/>
                  <w:vAlign w:val="center"/>
                </w:tcPr>
                <w:p w14:paraId="33168E6F">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绿化</w:t>
                  </w:r>
                </w:p>
              </w:tc>
              <w:tc>
                <w:tcPr>
                  <w:tcW w:w="3648" w:type="pct"/>
                  <w:gridSpan w:val="2"/>
                  <w:noWrap w:val="0"/>
                  <w:vAlign w:val="center"/>
                </w:tcPr>
                <w:p w14:paraId="35AA03FF">
                  <w:pPr>
                    <w:adjustRightInd w:val="0"/>
                    <w:snapToGrid w:val="0"/>
                    <w:jc w:val="center"/>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加强厂区绿化，使绿化率达到20%</w:t>
                  </w:r>
                </w:p>
              </w:tc>
              <w:tc>
                <w:tcPr>
                  <w:tcW w:w="521" w:type="pct"/>
                  <w:noWrap w:val="0"/>
                  <w:vAlign w:val="center"/>
                </w:tcPr>
                <w:p w14:paraId="5128C0E5">
                  <w:pPr>
                    <w:adjustRightInd w:val="0"/>
                    <w:snapToGrid w:val="0"/>
                    <w:jc w:val="center"/>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依托</w:t>
                  </w:r>
                </w:p>
              </w:tc>
            </w:tr>
          </w:tbl>
          <w:p w14:paraId="015E53AC">
            <w:pPr>
              <w:pStyle w:val="81"/>
              <w:spacing w:line="360" w:lineRule="auto"/>
              <w:ind w:firstLine="480"/>
              <w:jc w:val="both"/>
              <w:rPr>
                <w:rFonts w:hint="default"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4</w:t>
            </w:r>
            <w:r>
              <w:rPr>
                <w:rFonts w:ascii="Times New Roman" w:hAnsi="Times New Roman" w:eastAsia="宋体"/>
                <w:b/>
                <w:bCs/>
                <w:color w:val="auto"/>
                <w:sz w:val="24"/>
                <w:highlight w:val="none"/>
              </w:rPr>
              <w:t>、</w:t>
            </w:r>
            <w:r>
              <w:rPr>
                <w:rFonts w:hint="eastAsia" w:ascii="Times New Roman" w:hAnsi="Times New Roman" w:eastAsia="宋体"/>
                <w:b/>
                <w:bCs/>
                <w:color w:val="auto"/>
                <w:sz w:val="24"/>
                <w:highlight w:val="none"/>
                <w:lang w:val="en-US" w:eastAsia="zh-CN"/>
              </w:rPr>
              <w:t>依托可行性分析</w:t>
            </w:r>
          </w:p>
          <w:p w14:paraId="290A7EBE">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b w:val="0"/>
                <w:bCs w:val="0"/>
                <w:color w:val="auto"/>
                <w:sz w:val="24"/>
                <w:highlight w:val="none"/>
                <w:lang w:val="en-US" w:eastAsia="zh-CN"/>
              </w:rPr>
            </w:pPr>
            <w:r>
              <w:rPr>
                <w:rFonts w:hint="eastAsia" w:ascii="宋体" w:hAnsi="宋体" w:eastAsia="宋体" w:cs="宋体"/>
                <w:color w:val="auto"/>
                <w:sz w:val="24"/>
                <w:szCs w:val="28"/>
                <w:highlight w:val="none"/>
                <w:lang w:val="en-US" w:eastAsia="zh-CN"/>
              </w:rPr>
              <w:t xml:space="preserve">① </w:t>
            </w:r>
            <w:r>
              <w:rPr>
                <w:rFonts w:hint="eastAsia" w:ascii="Times New Roman" w:hAnsi="Times New Roman" w:eastAsia="宋体"/>
                <w:b w:val="0"/>
                <w:bCs w:val="0"/>
                <w:color w:val="auto"/>
                <w:sz w:val="24"/>
                <w:highlight w:val="none"/>
                <w:lang w:val="en-US" w:eastAsia="zh-CN"/>
              </w:rPr>
              <w:t>供电</w:t>
            </w:r>
          </w:p>
          <w:p w14:paraId="04778B7D">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b w:val="0"/>
                <w:bCs w:val="0"/>
                <w:color w:val="auto"/>
                <w:sz w:val="24"/>
                <w:highlight w:val="none"/>
                <w:lang w:val="en-US" w:eastAsia="zh-CN"/>
              </w:rPr>
            </w:pPr>
            <w:r>
              <w:rPr>
                <w:rFonts w:hint="eastAsia" w:ascii="Times New Roman" w:hAnsi="Times New Roman" w:eastAsia="宋体"/>
                <w:b w:val="0"/>
                <w:bCs w:val="0"/>
                <w:color w:val="auto"/>
                <w:sz w:val="24"/>
                <w:highlight w:val="none"/>
                <w:lang w:val="en-US" w:eastAsia="zh-CN"/>
              </w:rPr>
              <w:t>洗煤厂供电为双回路供电，已建成2台800kVA、6kV/0.4kV电力变压器，两回电路同时工作，当一回出现故障时，另一回可保证100%负荷的供电，本项目用电负荷较小，仅喷雾洒水以及监控系统用电，故项目供电系统依托可行。</w:t>
            </w:r>
          </w:p>
          <w:p w14:paraId="04BADA6F">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b w:val="0"/>
                <w:bCs w:val="0"/>
                <w:color w:val="auto"/>
                <w:sz w:val="24"/>
                <w:highlight w:val="none"/>
                <w:lang w:val="en-US" w:eastAsia="zh-CN"/>
              </w:rPr>
            </w:pPr>
            <w:r>
              <w:rPr>
                <w:rFonts w:hint="eastAsia" w:ascii="宋体" w:hAnsi="宋体" w:eastAsia="宋体" w:cs="宋体"/>
                <w:color w:val="auto"/>
                <w:sz w:val="24"/>
                <w:szCs w:val="28"/>
                <w:highlight w:val="none"/>
                <w:lang w:val="en-US" w:eastAsia="zh-CN"/>
              </w:rPr>
              <w:t xml:space="preserve">② </w:t>
            </w:r>
            <w:r>
              <w:rPr>
                <w:rFonts w:hint="eastAsia" w:ascii="Times New Roman" w:hAnsi="Times New Roman" w:eastAsia="宋体"/>
                <w:b w:val="0"/>
                <w:bCs w:val="0"/>
                <w:color w:val="auto"/>
                <w:sz w:val="24"/>
                <w:highlight w:val="none"/>
                <w:lang w:val="en-US" w:eastAsia="zh-CN"/>
              </w:rPr>
              <w:t>供水</w:t>
            </w:r>
          </w:p>
          <w:p w14:paraId="3D223164">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b w:val="0"/>
                <w:bCs w:val="0"/>
                <w:color w:val="auto"/>
                <w:sz w:val="24"/>
                <w:highlight w:val="none"/>
                <w:lang w:val="en-US" w:eastAsia="zh-CN"/>
              </w:rPr>
            </w:pPr>
            <w:r>
              <w:rPr>
                <w:rFonts w:hint="eastAsia" w:ascii="Times New Roman" w:hAnsi="Times New Roman" w:eastAsia="宋体"/>
                <w:b w:val="0"/>
                <w:bCs w:val="0"/>
                <w:color w:val="auto"/>
                <w:sz w:val="24"/>
                <w:highlight w:val="none"/>
                <w:lang w:val="en-US" w:eastAsia="zh-CN"/>
              </w:rPr>
              <w:t>洗煤厂用水府谷县惠泉水务公司提供，本项目不新增劳动定员，无生活用水。本项目不新增生产和生活用水量，故依托可行。</w:t>
            </w:r>
          </w:p>
          <w:p w14:paraId="22AA10AC">
            <w:pPr>
              <w:pStyle w:val="81"/>
              <w:spacing w:line="360" w:lineRule="auto"/>
              <w:ind w:left="482" w:firstLine="0" w:firstLineChars="0"/>
              <w:rPr>
                <w:rFonts w:hint="default" w:ascii="Times New Roman" w:hAnsi="Times New Roman" w:eastAsia="宋体"/>
                <w:b w:val="0"/>
                <w:bCs w:val="0"/>
                <w:color w:val="auto"/>
                <w:sz w:val="24"/>
                <w:highlight w:val="none"/>
                <w:lang w:val="en-US" w:eastAsia="zh-CN"/>
              </w:rPr>
            </w:pPr>
            <w:r>
              <w:rPr>
                <w:rFonts w:hint="eastAsia" w:ascii="宋体" w:hAnsi="宋体" w:eastAsia="宋体" w:cs="宋体"/>
                <w:color w:val="auto"/>
                <w:sz w:val="24"/>
                <w:szCs w:val="28"/>
                <w:highlight w:val="none"/>
                <w:lang w:val="en-US" w:eastAsia="zh-CN"/>
              </w:rPr>
              <w:t xml:space="preserve">③ </w:t>
            </w:r>
            <w:r>
              <w:rPr>
                <w:rFonts w:hint="eastAsia" w:ascii="Times New Roman" w:hAnsi="Times New Roman" w:eastAsia="宋体"/>
                <w:b w:val="0"/>
                <w:bCs w:val="0"/>
                <w:color w:val="auto"/>
                <w:sz w:val="24"/>
                <w:highlight w:val="none"/>
                <w:lang w:val="en-US" w:eastAsia="zh-CN"/>
              </w:rPr>
              <w:t>洗车装置</w:t>
            </w:r>
          </w:p>
          <w:p w14:paraId="02FE2C40">
            <w:pPr>
              <w:adjustRightInd w:val="0"/>
              <w:snapToGrid w:val="0"/>
              <w:spacing w:line="360" w:lineRule="auto"/>
              <w:ind w:firstLine="480" w:firstLineChars="200"/>
              <w:jc w:val="both"/>
              <w:rPr>
                <w:rFonts w:hint="eastAsia" w:ascii="Times New Roman" w:hAnsi="Times New Roman" w:eastAsia="宋体"/>
                <w:b/>
                <w:color w:val="auto"/>
                <w:sz w:val="24"/>
                <w:highlight w:val="none"/>
                <w:lang w:val="en-US" w:eastAsia="zh-CN"/>
              </w:rPr>
            </w:pPr>
            <w:r>
              <w:rPr>
                <w:rFonts w:hint="eastAsia"/>
                <w:color w:val="auto"/>
                <w:sz w:val="24"/>
                <w:szCs w:val="24"/>
                <w:highlight w:val="none"/>
                <w:lang w:val="en-US" w:eastAsia="zh-CN"/>
              </w:rPr>
              <w:t>洗煤厂出口处设置洗车台及配套冲洗水收集池（15m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），本项目建成后，全厂总运输量不变，洗车台洗车废水量不变，故</w:t>
            </w:r>
            <w:r>
              <w:rPr>
                <w:rFonts w:hint="eastAsia" w:ascii="Times New Roman" w:hAnsi="Times New Roman" w:eastAsia="宋体"/>
                <w:color w:val="auto"/>
                <w:sz w:val="24"/>
                <w:highlight w:val="none"/>
                <w:lang w:val="en-US" w:eastAsia="zh-CN"/>
              </w:rPr>
              <w:t>冲洗水处理设施依托可行。</w:t>
            </w:r>
          </w:p>
          <w:p w14:paraId="0C38B1F9">
            <w:pPr>
              <w:pStyle w:val="81"/>
              <w:spacing w:line="360" w:lineRule="auto"/>
              <w:ind w:left="482" w:firstLine="0" w:firstLineChars="0"/>
              <w:rPr>
                <w:rFonts w:hint="default" w:ascii="Times New Roman" w:hAnsi="Times New Roman" w:eastAsia="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④</w:t>
            </w:r>
            <w:r>
              <w:rPr>
                <w:rFonts w:hint="eastAsia" w:ascii="Times New Roman" w:hAnsi="Times New Roman" w:eastAsia="宋体"/>
                <w:b w:val="0"/>
                <w:bCs w:val="0"/>
                <w:color w:val="auto"/>
                <w:sz w:val="24"/>
                <w:highlight w:val="none"/>
                <w:lang w:val="en-US" w:eastAsia="zh-CN"/>
              </w:rPr>
              <w:t xml:space="preserve"> 扬尘在线监控系统</w:t>
            </w:r>
          </w:p>
          <w:p w14:paraId="127EDD8B">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b w:val="0"/>
                <w:bCs w:val="0"/>
                <w:color w:val="auto"/>
                <w:sz w:val="24"/>
                <w:highlight w:val="none"/>
                <w:lang w:val="en-US" w:eastAsia="zh-CN"/>
              </w:rPr>
            </w:pPr>
            <w:r>
              <w:rPr>
                <w:rFonts w:hint="eastAsia" w:ascii="Times New Roman" w:hAnsi="Times New Roman" w:eastAsia="宋体"/>
                <w:b w:val="0"/>
                <w:bCs w:val="0"/>
                <w:color w:val="auto"/>
                <w:sz w:val="24"/>
                <w:highlight w:val="none"/>
                <w:lang w:val="en-US" w:eastAsia="zh-CN"/>
              </w:rPr>
              <w:t>洗煤厂现有4台联网扬尘在线监控系统，且运行良好，本项目运行后仅需将已有的系统移动位置即可，故扬尘在线监控系统依托可行。</w:t>
            </w:r>
          </w:p>
          <w:p w14:paraId="1D4E4DB4">
            <w:pPr>
              <w:pStyle w:val="81"/>
              <w:spacing w:line="360" w:lineRule="auto"/>
              <w:ind w:left="482" w:firstLine="0" w:firstLineChars="0"/>
              <w:rPr>
                <w:rFonts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5、</w:t>
            </w:r>
            <w:r>
              <w:rPr>
                <w:rFonts w:ascii="Times New Roman" w:hAnsi="Times New Roman" w:eastAsia="宋体"/>
                <w:b/>
                <w:bCs/>
                <w:color w:val="auto"/>
                <w:sz w:val="24"/>
                <w:highlight w:val="none"/>
              </w:rPr>
              <w:t>主要设备清单</w:t>
            </w:r>
          </w:p>
          <w:p w14:paraId="31F024E7">
            <w:pPr>
              <w:pStyle w:val="8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项目主要设备清单见表2-</w:t>
            </w:r>
            <w:r>
              <w:rPr>
                <w:rFonts w:hint="eastAsia" w:ascii="Times New Roman" w:hAnsi="Times New Roman" w:eastAsia="宋体"/>
                <w:color w:val="auto"/>
                <w:sz w:val="24"/>
                <w:highlight w:val="none"/>
                <w:lang w:val="en-US" w:eastAsia="zh-CN"/>
              </w:rPr>
              <w:t>2</w:t>
            </w:r>
            <w:r>
              <w:rPr>
                <w:rFonts w:ascii="Times New Roman" w:hAnsi="Times New Roman" w:eastAsia="宋体"/>
                <w:color w:val="auto"/>
                <w:sz w:val="24"/>
                <w:highlight w:val="none"/>
              </w:rPr>
              <w:t>。</w:t>
            </w:r>
          </w:p>
          <w:p w14:paraId="01BE4F38">
            <w:pPr>
              <w:pStyle w:val="50"/>
              <w:widowControl/>
              <w:snapToGrid/>
              <w:ind w:left="480" w:hanging="48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lang w:val="en-US" w:eastAsia="zh-CN"/>
              </w:rPr>
              <w:t>2</w:t>
            </w:r>
            <w:r>
              <w:rPr>
                <w:rFonts w:ascii="Times New Roman" w:hAnsi="Times New Roman" w:eastAsia="宋体" w:cs="Times New Roman"/>
                <w:b/>
                <w:bCs/>
                <w:color w:val="auto"/>
                <w:highlight w:val="none"/>
              </w:rPr>
              <w:t xml:space="preserve">  项目主要设备清单表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859"/>
              <w:gridCol w:w="3439"/>
              <w:gridCol w:w="838"/>
              <w:gridCol w:w="1221"/>
            </w:tblGrid>
            <w:tr w14:paraId="1287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0" w:type="dxa"/>
                  <w:noWrap w:val="0"/>
                  <w:vAlign w:val="center"/>
                </w:tcPr>
                <w:p w14:paraId="5F6F7BC2">
                  <w:pPr>
                    <w:widowControl/>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序号</w:t>
                  </w:r>
                </w:p>
              </w:tc>
              <w:tc>
                <w:tcPr>
                  <w:tcW w:w="1875" w:type="dxa"/>
                  <w:noWrap w:val="0"/>
                  <w:vAlign w:val="center"/>
                </w:tcPr>
                <w:p w14:paraId="30FAED5E">
                  <w:pPr>
                    <w:widowControl/>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设备名称</w:t>
                  </w:r>
                </w:p>
              </w:tc>
              <w:tc>
                <w:tcPr>
                  <w:tcW w:w="3450" w:type="dxa"/>
                  <w:noWrap w:val="0"/>
                  <w:vAlign w:val="center"/>
                </w:tcPr>
                <w:p w14:paraId="4D9ED374">
                  <w:pPr>
                    <w:widowControl/>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主 要 技 术 特 征</w:t>
                  </w:r>
                </w:p>
              </w:tc>
              <w:tc>
                <w:tcPr>
                  <w:tcW w:w="843" w:type="dxa"/>
                  <w:noWrap w:val="0"/>
                  <w:vAlign w:val="center"/>
                </w:tcPr>
                <w:p w14:paraId="636A8F17">
                  <w:pPr>
                    <w:widowControl/>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选用台数</w:t>
                  </w:r>
                </w:p>
              </w:tc>
              <w:tc>
                <w:tcPr>
                  <w:tcW w:w="1229" w:type="dxa"/>
                  <w:noWrap w:val="0"/>
                  <w:vAlign w:val="center"/>
                </w:tcPr>
                <w:p w14:paraId="0B8ABC85">
                  <w:pPr>
                    <w:widowControl/>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备注</w:t>
                  </w:r>
                </w:p>
              </w:tc>
            </w:tr>
            <w:tr w14:paraId="33B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07FEF594">
                  <w:pPr>
                    <w:widowControl/>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1875" w:type="dxa"/>
                  <w:noWrap w:val="0"/>
                  <w:vAlign w:val="center"/>
                </w:tcPr>
                <w:p w14:paraId="3448AFA2">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精煤</w:t>
                  </w:r>
                  <w:r>
                    <w:rPr>
                      <w:rFonts w:ascii="Times New Roman" w:hAnsi="Times New Roman" w:eastAsia="宋体"/>
                      <w:color w:val="auto"/>
                      <w:sz w:val="21"/>
                      <w:szCs w:val="21"/>
                      <w:highlight w:val="none"/>
                    </w:rPr>
                    <w:t>带式输送机</w:t>
                  </w:r>
                </w:p>
              </w:tc>
              <w:tc>
                <w:tcPr>
                  <w:tcW w:w="3450" w:type="dxa"/>
                  <w:noWrap w:val="0"/>
                  <w:vAlign w:val="center"/>
                </w:tcPr>
                <w:p w14:paraId="3909867C">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B=1600mm Q=2500t/h L=353m</w:t>
                  </w:r>
                </w:p>
              </w:tc>
              <w:tc>
                <w:tcPr>
                  <w:tcW w:w="843" w:type="dxa"/>
                  <w:noWrap w:val="0"/>
                  <w:vAlign w:val="center"/>
                </w:tcPr>
                <w:p w14:paraId="487B62FE">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1229" w:type="dxa"/>
                  <w:noWrap w:val="0"/>
                  <w:vAlign w:val="center"/>
                </w:tcPr>
                <w:p w14:paraId="78A17671">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利旧改造</w:t>
                  </w:r>
                </w:p>
              </w:tc>
            </w:tr>
            <w:tr w14:paraId="7F40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3B651878">
                  <w:pPr>
                    <w:widowControl/>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1875" w:type="dxa"/>
                  <w:noWrap w:val="0"/>
                  <w:vAlign w:val="center"/>
                </w:tcPr>
                <w:p w14:paraId="22D02BEC">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中煤带式输送机</w:t>
                  </w:r>
                </w:p>
              </w:tc>
              <w:tc>
                <w:tcPr>
                  <w:tcW w:w="3450" w:type="dxa"/>
                  <w:noWrap w:val="0"/>
                  <w:vAlign w:val="center"/>
                </w:tcPr>
                <w:p w14:paraId="66D06714">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B=1600mm</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Q=2500t/h，L=22.6m</w:t>
                  </w:r>
                </w:p>
              </w:tc>
              <w:tc>
                <w:tcPr>
                  <w:tcW w:w="843" w:type="dxa"/>
                  <w:noWrap w:val="0"/>
                  <w:vAlign w:val="center"/>
                </w:tcPr>
                <w:p w14:paraId="29499E79">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1229" w:type="dxa"/>
                  <w:noWrap w:val="0"/>
                  <w:vAlign w:val="center"/>
                </w:tcPr>
                <w:p w14:paraId="4E8F63C3">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利旧改造</w:t>
                  </w:r>
                </w:p>
              </w:tc>
            </w:tr>
            <w:tr w14:paraId="470F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74AB1C73">
                  <w:pPr>
                    <w:widowControl/>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w:t>
                  </w:r>
                </w:p>
              </w:tc>
              <w:tc>
                <w:tcPr>
                  <w:tcW w:w="1875" w:type="dxa"/>
                  <w:noWrap w:val="0"/>
                  <w:vAlign w:val="center"/>
                </w:tcPr>
                <w:p w14:paraId="76F92CF8">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末煤带式输送机</w:t>
                  </w:r>
                </w:p>
              </w:tc>
              <w:tc>
                <w:tcPr>
                  <w:tcW w:w="3450" w:type="dxa"/>
                  <w:noWrap w:val="0"/>
                  <w:vAlign w:val="center"/>
                </w:tcPr>
                <w:p w14:paraId="3B31CB64">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B=1600mm</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Q=2500t/h</w:t>
                  </w:r>
                </w:p>
              </w:tc>
              <w:tc>
                <w:tcPr>
                  <w:tcW w:w="843" w:type="dxa"/>
                  <w:noWrap w:val="0"/>
                  <w:vAlign w:val="center"/>
                </w:tcPr>
                <w:p w14:paraId="30C393DA">
                  <w:pPr>
                    <w:widowControl/>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1229" w:type="dxa"/>
                  <w:noWrap w:val="0"/>
                  <w:vAlign w:val="center"/>
                </w:tcPr>
                <w:p w14:paraId="17EA9298">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利旧改造</w:t>
                  </w:r>
                </w:p>
              </w:tc>
            </w:tr>
            <w:tr w14:paraId="7E0C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14577DB6">
                  <w:pPr>
                    <w:widowControl/>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w:t>
                  </w:r>
                </w:p>
              </w:tc>
              <w:tc>
                <w:tcPr>
                  <w:tcW w:w="1875" w:type="dxa"/>
                  <w:noWrap w:val="0"/>
                  <w:vAlign w:val="center"/>
                </w:tcPr>
                <w:p w14:paraId="4041B52A">
                  <w:pPr>
                    <w:widowControl/>
                    <w:jc w:val="center"/>
                    <w:rPr>
                      <w:rFonts w:hint="default" w:ascii="Times New Roman" w:hAnsi="Times New Roman" w:eastAsia="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转载点喷雾洒水装置</w:t>
                  </w:r>
                </w:p>
              </w:tc>
              <w:tc>
                <w:tcPr>
                  <w:tcW w:w="3450" w:type="dxa"/>
                  <w:noWrap w:val="0"/>
                  <w:vAlign w:val="center"/>
                </w:tcPr>
                <w:p w14:paraId="7E619238">
                  <w:pPr>
                    <w:widowControl/>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配套空压机、储气罐、水箱、增压泵及控制装置</w:t>
                  </w:r>
                  <w:r>
                    <w:rPr>
                      <w:rFonts w:hint="eastAsia" w:ascii="Times New Roman" w:hAnsi="Times New Roman" w:eastAsia="宋体"/>
                      <w:color w:val="auto"/>
                      <w:sz w:val="21"/>
                      <w:szCs w:val="21"/>
                      <w:highlight w:val="none"/>
                      <w:lang w:eastAsia="zh-CN"/>
                    </w:rPr>
                    <w:t>，总用电量约238kW，660V，</w:t>
                  </w:r>
                </w:p>
              </w:tc>
              <w:tc>
                <w:tcPr>
                  <w:tcW w:w="843" w:type="dxa"/>
                  <w:noWrap w:val="0"/>
                  <w:vAlign w:val="center"/>
                </w:tcPr>
                <w:p w14:paraId="684192A1">
                  <w:pPr>
                    <w:widowControl/>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5套</w:t>
                  </w:r>
                </w:p>
              </w:tc>
              <w:tc>
                <w:tcPr>
                  <w:tcW w:w="1229" w:type="dxa"/>
                  <w:noWrap w:val="0"/>
                  <w:vAlign w:val="center"/>
                </w:tcPr>
                <w:p w14:paraId="5F4DC8BD">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新增2套</w:t>
                  </w:r>
                </w:p>
              </w:tc>
            </w:tr>
            <w:tr w14:paraId="1A5C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71EE4DCC">
                  <w:pPr>
                    <w:widowControl/>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1875" w:type="dxa"/>
                  <w:noWrap w:val="0"/>
                  <w:vAlign w:val="center"/>
                </w:tcPr>
                <w:p w14:paraId="39481B00">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百叶通风窗</w:t>
                  </w:r>
                </w:p>
              </w:tc>
              <w:tc>
                <w:tcPr>
                  <w:tcW w:w="3450" w:type="dxa"/>
                  <w:noWrap w:val="0"/>
                  <w:vAlign w:val="center"/>
                </w:tcPr>
                <w:p w14:paraId="4B73D9A3">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百叶通风窗</w:t>
                  </w:r>
                </w:p>
              </w:tc>
              <w:tc>
                <w:tcPr>
                  <w:tcW w:w="843" w:type="dxa"/>
                  <w:noWrap w:val="0"/>
                  <w:vAlign w:val="center"/>
                </w:tcPr>
                <w:p w14:paraId="63AC1F8D">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w:t>
                  </w:r>
                </w:p>
              </w:tc>
              <w:tc>
                <w:tcPr>
                  <w:tcW w:w="1229" w:type="dxa"/>
                  <w:noWrap w:val="0"/>
                  <w:vAlign w:val="center"/>
                </w:tcPr>
                <w:p w14:paraId="4EA34039">
                  <w:pPr>
                    <w:widowControl/>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4AB0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noWrap w:val="0"/>
                  <w:vAlign w:val="center"/>
                </w:tcPr>
                <w:p w14:paraId="5FDBB096">
                  <w:pPr>
                    <w:widowControl/>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w:t>
                  </w:r>
                </w:p>
              </w:tc>
              <w:tc>
                <w:tcPr>
                  <w:tcW w:w="1875" w:type="dxa"/>
                  <w:noWrap w:val="0"/>
                  <w:vAlign w:val="center"/>
                </w:tcPr>
                <w:p w14:paraId="0C4C63B9">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喷雾抑尘装置</w:t>
                  </w:r>
                </w:p>
              </w:tc>
              <w:tc>
                <w:tcPr>
                  <w:tcW w:w="3450" w:type="dxa"/>
                  <w:noWrap w:val="0"/>
                  <w:vAlign w:val="center"/>
                </w:tcPr>
                <w:p w14:paraId="6FFC91C9">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843" w:type="dxa"/>
                  <w:noWrap w:val="0"/>
                  <w:vAlign w:val="center"/>
                </w:tcPr>
                <w:p w14:paraId="7AEEDD30">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4套</w:t>
                  </w:r>
                </w:p>
              </w:tc>
              <w:tc>
                <w:tcPr>
                  <w:tcW w:w="1229" w:type="dxa"/>
                  <w:noWrap w:val="0"/>
                  <w:vAlign w:val="center"/>
                </w:tcPr>
                <w:p w14:paraId="46E74074">
                  <w:pPr>
                    <w:widowControl/>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新增2套</w:t>
                  </w:r>
                </w:p>
              </w:tc>
            </w:tr>
          </w:tbl>
          <w:p w14:paraId="1206FAD1">
            <w:pPr>
              <w:adjustRightInd w:val="0"/>
              <w:snapToGrid w:val="0"/>
              <w:spacing w:line="360" w:lineRule="auto"/>
              <w:ind w:firstLine="482" w:firstLineChars="200"/>
              <w:jc w:val="both"/>
              <w:rPr>
                <w:rFonts w:hint="default" w:ascii="Times New Roman" w:hAnsi="Times New Roman" w:eastAsia="宋体"/>
                <w:b/>
                <w:color w:val="auto"/>
                <w:sz w:val="24"/>
                <w:highlight w:val="none"/>
                <w:lang w:val="en-US" w:eastAsia="zh-CN"/>
              </w:rPr>
            </w:pPr>
            <w:r>
              <w:rPr>
                <w:rFonts w:hint="eastAsia" w:ascii="Times New Roman" w:hAnsi="Times New Roman" w:eastAsia="宋体"/>
                <w:b/>
                <w:color w:val="auto"/>
                <w:sz w:val="24"/>
                <w:highlight w:val="none"/>
                <w:lang w:val="en-US" w:eastAsia="zh-CN"/>
              </w:rPr>
              <w:t>6、项目原辅材料消耗</w:t>
            </w:r>
          </w:p>
          <w:p w14:paraId="590EB660">
            <w:pPr>
              <w:spacing w:line="360" w:lineRule="auto"/>
              <w:ind w:firstLine="480" w:firstLineChars="200"/>
              <w:rPr>
                <w:rFonts w:hint="default"/>
                <w:color w:val="auto"/>
                <w:sz w:val="24"/>
                <w:highlight w:val="none"/>
                <w:lang w:val="en-US"/>
              </w:rPr>
            </w:pPr>
            <w:r>
              <w:rPr>
                <w:rFonts w:hint="eastAsia" w:ascii="Times New Roman" w:hAnsi="Times New Roman" w:cs="Times New Roman"/>
                <w:color w:val="auto"/>
                <w:sz w:val="24"/>
                <w:highlight w:val="none"/>
                <w:lang w:val="en-US" w:eastAsia="zh-CN"/>
              </w:rPr>
              <w:t>洗煤厂</w:t>
            </w:r>
            <w:r>
              <w:rPr>
                <w:rFonts w:hint="default" w:ascii="Times New Roman" w:hAnsi="Times New Roman" w:cs="Times New Roman"/>
                <w:color w:val="auto"/>
                <w:sz w:val="24"/>
                <w:highlight w:val="none"/>
              </w:rPr>
              <w:t>设计洗选原煤</w:t>
            </w:r>
            <w:r>
              <w:rPr>
                <w:rFonts w:hint="eastAsia" w:cs="Times New Roman"/>
                <w:color w:val="auto"/>
                <w:sz w:val="24"/>
                <w:highlight w:val="none"/>
                <w:lang w:val="en-US" w:eastAsia="zh-CN"/>
              </w:rPr>
              <w:t>120</w:t>
            </w:r>
            <w:r>
              <w:rPr>
                <w:rFonts w:hint="default" w:ascii="Times New Roman" w:hAnsi="Times New Roman" w:cs="Times New Roman"/>
                <w:color w:val="auto"/>
                <w:sz w:val="24"/>
                <w:highlight w:val="none"/>
              </w:rPr>
              <w:t>万吨/年，</w:t>
            </w:r>
            <w:r>
              <w:rPr>
                <w:rFonts w:hint="eastAsia" w:ascii="Times New Roman" w:hAnsi="Times New Roman" w:cs="Times New Roman"/>
                <w:color w:val="auto"/>
                <w:sz w:val="24"/>
                <w:highlight w:val="none"/>
                <w:lang w:val="en-US" w:eastAsia="zh-CN"/>
              </w:rPr>
              <w:t>洗选工艺为跳汰+浮选，洗选原煤</w:t>
            </w:r>
            <w:r>
              <w:rPr>
                <w:rFonts w:hint="eastAsia" w:cs="Times New Roman"/>
                <w:color w:val="auto"/>
                <w:sz w:val="24"/>
                <w:highlight w:val="none"/>
                <w:lang w:val="en-US" w:eastAsia="zh-CN"/>
              </w:rPr>
              <w:t>全部</w:t>
            </w:r>
            <w:r>
              <w:rPr>
                <w:rFonts w:hint="default" w:ascii="Times New Roman" w:hAnsi="Times New Roman" w:cs="Times New Roman"/>
                <w:color w:val="auto"/>
                <w:sz w:val="24"/>
                <w:highlight w:val="none"/>
              </w:rPr>
              <w:t>来自</w:t>
            </w:r>
            <w:r>
              <w:rPr>
                <w:rFonts w:hint="eastAsia" w:ascii="Times New Roman" w:hAnsi="Times New Roman" w:cs="Times New Roman"/>
                <w:color w:val="auto"/>
                <w:sz w:val="24"/>
                <w:highlight w:val="none"/>
                <w:lang w:val="en-US" w:eastAsia="zh-CN"/>
              </w:rPr>
              <w:t>周边</w:t>
            </w:r>
            <w:r>
              <w:rPr>
                <w:rFonts w:hint="default" w:ascii="Times New Roman" w:hAnsi="Times New Roman" w:cs="Times New Roman"/>
                <w:color w:val="auto"/>
                <w:sz w:val="24"/>
                <w:highlight w:val="none"/>
              </w:rPr>
              <w:t>煤矿</w:t>
            </w:r>
            <w:r>
              <w:rPr>
                <w:rFonts w:hint="eastAsia" w:cs="Times New Roman"/>
                <w:color w:val="auto"/>
                <w:sz w:val="24"/>
                <w:highlight w:val="none"/>
                <w:lang w:eastAsia="zh-CN"/>
              </w:rPr>
              <w:t>，</w:t>
            </w:r>
            <w:r>
              <w:rPr>
                <w:rFonts w:hint="eastAsia" w:cs="Times New Roman"/>
                <w:color w:val="auto"/>
                <w:sz w:val="24"/>
                <w:highlight w:val="none"/>
                <w:lang w:val="en-US" w:eastAsia="zh-CN"/>
              </w:rPr>
              <w:t>本项目建成后，保持原洗选规模和工艺不变。本项目建设储煤棚存储洗选后产品煤，其含量和指标来源《府谷县鸿凯经贸开发有限公司新建洗选煤项目环境影响报告书》，具体见下表：</w:t>
            </w:r>
          </w:p>
          <w:p w14:paraId="5DE21D4A">
            <w:pPr>
              <w:adjustRightInd w:val="0"/>
              <w:snapToGrid w:val="0"/>
              <w:spacing w:before="120" w:beforeLines="50"/>
              <w:jc w:val="center"/>
              <w:rPr>
                <w:rFonts w:hint="default" w:eastAsia="宋体"/>
                <w:b/>
                <w:bCs/>
                <w:color w:val="auto"/>
                <w:sz w:val="24"/>
                <w:highlight w:val="none"/>
                <w:lang w:val="en-US" w:eastAsia="zh-CN"/>
              </w:rPr>
            </w:pPr>
            <w:r>
              <w:rPr>
                <w:rFonts w:hint="eastAsia"/>
                <w:b/>
                <w:bCs/>
                <w:color w:val="auto"/>
                <w:sz w:val="24"/>
                <w:highlight w:val="none"/>
              </w:rPr>
              <w:t>表2-</w:t>
            </w:r>
            <w:r>
              <w:rPr>
                <w:rFonts w:hint="eastAsia"/>
                <w:b/>
                <w:bCs/>
                <w:color w:val="auto"/>
                <w:sz w:val="24"/>
                <w:highlight w:val="none"/>
                <w:lang w:val="en-US" w:eastAsia="zh-CN"/>
              </w:rPr>
              <w:t xml:space="preserve">3   </w:t>
            </w:r>
            <w:r>
              <w:rPr>
                <w:b/>
                <w:bCs/>
                <w:color w:val="auto"/>
                <w:sz w:val="24"/>
                <w:highlight w:val="none"/>
              </w:rPr>
              <w:t>项目</w:t>
            </w:r>
            <w:r>
              <w:rPr>
                <w:rFonts w:hint="eastAsia"/>
                <w:b/>
                <w:bCs/>
                <w:color w:val="auto"/>
                <w:sz w:val="24"/>
                <w:highlight w:val="none"/>
                <w:lang w:val="en-US" w:eastAsia="zh-CN"/>
              </w:rPr>
              <w:t>产品煤炭储存情况</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85"/>
              <w:gridCol w:w="942"/>
              <w:gridCol w:w="1080"/>
              <w:gridCol w:w="953"/>
              <w:gridCol w:w="1133"/>
              <w:gridCol w:w="936"/>
              <w:gridCol w:w="937"/>
            </w:tblGrid>
            <w:tr w14:paraId="3A7BC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 w:type="pct"/>
                  <w:vMerge w:val="restart"/>
                  <w:tcBorders>
                    <w:tl2br w:val="nil"/>
                    <w:tr2bl w:val="nil"/>
                  </w:tcBorders>
                  <w:noWrap w:val="0"/>
                  <w:vAlign w:val="center"/>
                </w:tcPr>
                <w:p w14:paraId="632FF11F">
                  <w:pPr>
                    <w:jc w:val="center"/>
                    <w:rPr>
                      <w:color w:val="auto"/>
                      <w:szCs w:val="21"/>
                      <w:highlight w:val="none"/>
                      <w:lang w:val="en-US" w:eastAsia="zh-CN" w:bidi="ar-SA"/>
                    </w:rPr>
                  </w:pPr>
                  <w:r>
                    <w:rPr>
                      <w:rFonts w:hint="eastAsia"/>
                      <w:color w:val="auto"/>
                      <w:szCs w:val="21"/>
                      <w:highlight w:val="none"/>
                      <w:lang w:val="en-US" w:eastAsia="zh-CN" w:bidi="ar-SA"/>
                    </w:rPr>
                    <w:t>序号</w:t>
                  </w:r>
                </w:p>
              </w:tc>
              <w:tc>
                <w:tcPr>
                  <w:tcW w:w="885" w:type="pct"/>
                  <w:vMerge w:val="restart"/>
                  <w:tcBorders>
                    <w:tl2br w:val="nil"/>
                    <w:tr2bl w:val="nil"/>
                  </w:tcBorders>
                  <w:noWrap w:val="0"/>
                  <w:vAlign w:val="center"/>
                </w:tcPr>
                <w:p w14:paraId="624D072E">
                  <w:pPr>
                    <w:jc w:val="center"/>
                    <w:rPr>
                      <w:color w:val="auto"/>
                      <w:szCs w:val="21"/>
                      <w:highlight w:val="none"/>
                      <w:lang w:val="en-US" w:eastAsia="zh-CN" w:bidi="ar-SA"/>
                    </w:rPr>
                  </w:pPr>
                  <w:r>
                    <w:rPr>
                      <w:rFonts w:hint="eastAsia"/>
                      <w:color w:val="auto"/>
                      <w:szCs w:val="21"/>
                      <w:highlight w:val="none"/>
                      <w:lang w:val="en-US" w:eastAsia="zh-CN" w:bidi="ar-SA"/>
                    </w:rPr>
                    <w:t>产品名称</w:t>
                  </w:r>
                </w:p>
              </w:tc>
              <w:tc>
                <w:tcPr>
                  <w:tcW w:w="2625" w:type="pct"/>
                  <w:gridSpan w:val="4"/>
                  <w:tcBorders>
                    <w:tl2br w:val="nil"/>
                    <w:tr2bl w:val="nil"/>
                  </w:tcBorders>
                  <w:noWrap w:val="0"/>
                  <w:vAlign w:val="center"/>
                </w:tcPr>
                <w:p w14:paraId="6D170175">
                  <w:pPr>
                    <w:jc w:val="center"/>
                    <w:rPr>
                      <w:color w:val="auto"/>
                      <w:szCs w:val="21"/>
                      <w:highlight w:val="none"/>
                      <w:lang w:val="en-US" w:eastAsia="zh-CN" w:bidi="ar-SA"/>
                    </w:rPr>
                  </w:pPr>
                  <w:r>
                    <w:rPr>
                      <w:rFonts w:hint="eastAsia"/>
                      <w:color w:val="auto"/>
                      <w:szCs w:val="21"/>
                      <w:highlight w:val="none"/>
                      <w:lang w:val="en-US" w:eastAsia="zh-CN" w:bidi="ar-SA"/>
                    </w:rPr>
                    <w:t>平均指标</w:t>
                  </w:r>
                </w:p>
              </w:tc>
              <w:tc>
                <w:tcPr>
                  <w:tcW w:w="598" w:type="pct"/>
                  <w:vMerge w:val="restart"/>
                  <w:tcBorders>
                    <w:tl2br w:val="nil"/>
                    <w:tr2bl w:val="nil"/>
                  </w:tcBorders>
                  <w:noWrap w:val="0"/>
                  <w:vAlign w:val="center"/>
                </w:tcPr>
                <w:p w14:paraId="0974683B">
                  <w:pPr>
                    <w:jc w:val="center"/>
                    <w:rPr>
                      <w:color w:val="auto"/>
                      <w:szCs w:val="21"/>
                      <w:highlight w:val="none"/>
                      <w:lang w:val="en-US" w:eastAsia="zh-CN" w:bidi="ar-SA"/>
                    </w:rPr>
                  </w:pPr>
                  <w:r>
                    <w:rPr>
                      <w:rFonts w:hint="eastAsia"/>
                      <w:color w:val="auto"/>
                      <w:szCs w:val="21"/>
                      <w:highlight w:val="none"/>
                      <w:lang w:val="en-US" w:eastAsia="zh-CN" w:bidi="ar-SA"/>
                    </w:rPr>
                    <w:t>产量</w:t>
                  </w:r>
                </w:p>
              </w:tc>
              <w:tc>
                <w:tcPr>
                  <w:tcW w:w="598" w:type="pct"/>
                  <w:vMerge w:val="restart"/>
                  <w:tcBorders>
                    <w:tl2br w:val="nil"/>
                    <w:tr2bl w:val="nil"/>
                  </w:tcBorders>
                  <w:noWrap w:val="0"/>
                  <w:vAlign w:val="center"/>
                </w:tcPr>
                <w:p w14:paraId="25090983">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存储方式</w:t>
                  </w:r>
                </w:p>
              </w:tc>
            </w:tr>
            <w:tr w14:paraId="12D66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l2br w:val="nil"/>
                    <w:tr2bl w:val="nil"/>
                  </w:tcBorders>
                  <w:noWrap w:val="0"/>
                  <w:vAlign w:val="center"/>
                </w:tcPr>
                <w:p w14:paraId="60A40F2A">
                  <w:pPr>
                    <w:jc w:val="center"/>
                    <w:rPr>
                      <w:color w:val="auto"/>
                      <w:szCs w:val="21"/>
                      <w:highlight w:val="none"/>
                      <w:lang w:val="en-US" w:eastAsia="zh-CN" w:bidi="ar-SA"/>
                    </w:rPr>
                  </w:pPr>
                </w:p>
              </w:tc>
              <w:tc>
                <w:tcPr>
                  <w:tcW w:w="885" w:type="pct"/>
                  <w:vMerge w:val="continue"/>
                  <w:tcBorders>
                    <w:tl2br w:val="nil"/>
                    <w:tr2bl w:val="nil"/>
                  </w:tcBorders>
                  <w:noWrap w:val="0"/>
                  <w:vAlign w:val="center"/>
                </w:tcPr>
                <w:p w14:paraId="4F420CD0">
                  <w:pPr>
                    <w:jc w:val="center"/>
                    <w:rPr>
                      <w:color w:val="auto"/>
                      <w:szCs w:val="21"/>
                      <w:highlight w:val="none"/>
                      <w:lang w:val="en-US" w:eastAsia="zh-CN" w:bidi="ar-SA"/>
                    </w:rPr>
                  </w:pPr>
                </w:p>
              </w:tc>
              <w:tc>
                <w:tcPr>
                  <w:tcW w:w="602" w:type="pct"/>
                  <w:tcBorders>
                    <w:tl2br w:val="nil"/>
                    <w:tr2bl w:val="nil"/>
                  </w:tcBorders>
                  <w:noWrap w:val="0"/>
                  <w:vAlign w:val="center"/>
                </w:tcPr>
                <w:p w14:paraId="1D45F8F5">
                  <w:pPr>
                    <w:jc w:val="center"/>
                    <w:rPr>
                      <w:color w:val="auto"/>
                      <w:szCs w:val="21"/>
                      <w:highlight w:val="none"/>
                      <w:lang w:val="en-US" w:eastAsia="zh-CN" w:bidi="ar-SA"/>
                    </w:rPr>
                  </w:pPr>
                  <w:r>
                    <w:rPr>
                      <w:rFonts w:hint="eastAsia"/>
                      <w:color w:val="auto"/>
                      <w:szCs w:val="21"/>
                      <w:highlight w:val="none"/>
                      <w:lang w:val="en-US" w:eastAsia="zh-CN" w:bidi="ar-SA"/>
                    </w:rPr>
                    <w:t>灰分</w:t>
                  </w:r>
                </w:p>
              </w:tc>
              <w:tc>
                <w:tcPr>
                  <w:tcW w:w="690" w:type="pct"/>
                  <w:tcBorders>
                    <w:tl2br w:val="nil"/>
                    <w:tr2bl w:val="nil"/>
                  </w:tcBorders>
                  <w:noWrap w:val="0"/>
                  <w:vAlign w:val="center"/>
                </w:tcPr>
                <w:p w14:paraId="58B91578">
                  <w:pPr>
                    <w:jc w:val="center"/>
                    <w:rPr>
                      <w:color w:val="auto"/>
                      <w:szCs w:val="21"/>
                      <w:highlight w:val="none"/>
                      <w:lang w:val="en-US" w:eastAsia="zh-CN" w:bidi="ar-SA"/>
                    </w:rPr>
                  </w:pPr>
                  <w:r>
                    <w:rPr>
                      <w:color w:val="auto"/>
                      <w:szCs w:val="21"/>
                      <w:highlight w:val="none"/>
                      <w:lang w:val="en-US" w:eastAsia="zh-CN" w:bidi="ar-SA"/>
                    </w:rPr>
                    <w:t>水分</w:t>
                  </w:r>
                </w:p>
              </w:tc>
              <w:tc>
                <w:tcPr>
                  <w:tcW w:w="609" w:type="pct"/>
                  <w:tcBorders>
                    <w:tl2br w:val="nil"/>
                    <w:tr2bl w:val="nil"/>
                  </w:tcBorders>
                  <w:noWrap w:val="0"/>
                  <w:vAlign w:val="center"/>
                </w:tcPr>
                <w:p w14:paraId="2375F767">
                  <w:pPr>
                    <w:jc w:val="center"/>
                    <w:rPr>
                      <w:color w:val="auto"/>
                      <w:szCs w:val="21"/>
                      <w:highlight w:val="none"/>
                      <w:lang w:val="en-US" w:eastAsia="zh-CN" w:bidi="ar-SA"/>
                    </w:rPr>
                  </w:pPr>
                  <w:r>
                    <w:rPr>
                      <w:color w:val="auto"/>
                      <w:szCs w:val="21"/>
                      <w:highlight w:val="none"/>
                      <w:lang w:val="en-US" w:eastAsia="zh-CN" w:bidi="ar-SA"/>
                    </w:rPr>
                    <w:t>全硫</w:t>
                  </w:r>
                </w:p>
              </w:tc>
              <w:tc>
                <w:tcPr>
                  <w:tcW w:w="724" w:type="pct"/>
                  <w:tcBorders>
                    <w:tl2br w:val="nil"/>
                    <w:tr2bl w:val="nil"/>
                  </w:tcBorders>
                  <w:noWrap w:val="0"/>
                  <w:vAlign w:val="center"/>
                </w:tcPr>
                <w:p w14:paraId="468689F3">
                  <w:pPr>
                    <w:jc w:val="center"/>
                    <w:rPr>
                      <w:color w:val="auto"/>
                      <w:szCs w:val="21"/>
                      <w:highlight w:val="none"/>
                      <w:lang w:val="en-US" w:eastAsia="zh-CN" w:bidi="ar-SA"/>
                    </w:rPr>
                  </w:pPr>
                  <w:r>
                    <w:rPr>
                      <w:color w:val="auto"/>
                      <w:szCs w:val="21"/>
                      <w:highlight w:val="none"/>
                      <w:lang w:val="en-US" w:eastAsia="zh-CN" w:bidi="ar-SA"/>
                    </w:rPr>
                    <w:t>低位发热量</w:t>
                  </w:r>
                </w:p>
              </w:tc>
              <w:tc>
                <w:tcPr>
                  <w:tcW w:w="598" w:type="pct"/>
                  <w:vMerge w:val="continue"/>
                  <w:tcBorders>
                    <w:tl2br w:val="nil"/>
                    <w:tr2bl w:val="nil"/>
                  </w:tcBorders>
                  <w:noWrap w:val="0"/>
                  <w:vAlign w:val="center"/>
                </w:tcPr>
                <w:p w14:paraId="7C75A8EF">
                  <w:pPr>
                    <w:jc w:val="center"/>
                    <w:rPr>
                      <w:color w:val="auto"/>
                      <w:szCs w:val="21"/>
                      <w:highlight w:val="none"/>
                      <w:lang w:val="en-US" w:eastAsia="zh-CN" w:bidi="ar-SA"/>
                    </w:rPr>
                  </w:pPr>
                </w:p>
              </w:tc>
              <w:tc>
                <w:tcPr>
                  <w:tcW w:w="598" w:type="pct"/>
                  <w:vMerge w:val="continue"/>
                  <w:tcBorders>
                    <w:tl2br w:val="nil"/>
                    <w:tr2bl w:val="nil"/>
                  </w:tcBorders>
                  <w:noWrap w:val="0"/>
                  <w:vAlign w:val="center"/>
                </w:tcPr>
                <w:p w14:paraId="2DEB7AB4">
                  <w:pPr>
                    <w:jc w:val="center"/>
                    <w:rPr>
                      <w:color w:val="auto"/>
                      <w:szCs w:val="21"/>
                      <w:highlight w:val="none"/>
                      <w:lang w:val="en-US" w:eastAsia="zh-CN" w:bidi="ar-SA"/>
                    </w:rPr>
                  </w:pPr>
                </w:p>
              </w:tc>
            </w:tr>
            <w:tr w14:paraId="2A07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l2br w:val="nil"/>
                    <w:tr2bl w:val="nil"/>
                  </w:tcBorders>
                  <w:noWrap w:val="0"/>
                  <w:vAlign w:val="center"/>
                </w:tcPr>
                <w:p w14:paraId="1A60EF44">
                  <w:pPr>
                    <w:jc w:val="center"/>
                    <w:rPr>
                      <w:color w:val="auto"/>
                      <w:szCs w:val="21"/>
                      <w:highlight w:val="none"/>
                      <w:lang w:val="en-US" w:eastAsia="zh-CN" w:bidi="ar-SA"/>
                    </w:rPr>
                  </w:pPr>
                </w:p>
              </w:tc>
              <w:tc>
                <w:tcPr>
                  <w:tcW w:w="885" w:type="pct"/>
                  <w:vMerge w:val="continue"/>
                  <w:tcBorders>
                    <w:tl2br w:val="nil"/>
                    <w:tr2bl w:val="nil"/>
                  </w:tcBorders>
                  <w:noWrap w:val="0"/>
                  <w:vAlign w:val="center"/>
                </w:tcPr>
                <w:p w14:paraId="0A55FB4F">
                  <w:pPr>
                    <w:jc w:val="center"/>
                    <w:rPr>
                      <w:color w:val="auto"/>
                      <w:szCs w:val="21"/>
                      <w:highlight w:val="none"/>
                      <w:lang w:val="en-US" w:eastAsia="zh-CN" w:bidi="ar-SA"/>
                    </w:rPr>
                  </w:pPr>
                </w:p>
              </w:tc>
              <w:tc>
                <w:tcPr>
                  <w:tcW w:w="602" w:type="pct"/>
                  <w:tcBorders>
                    <w:tl2br w:val="nil"/>
                    <w:tr2bl w:val="nil"/>
                  </w:tcBorders>
                  <w:noWrap w:val="0"/>
                  <w:vAlign w:val="center"/>
                </w:tcPr>
                <w:p w14:paraId="62401550">
                  <w:pPr>
                    <w:jc w:val="center"/>
                    <w:rPr>
                      <w:color w:val="auto"/>
                      <w:szCs w:val="21"/>
                      <w:highlight w:val="none"/>
                      <w:lang w:val="en-US" w:eastAsia="zh-CN" w:bidi="ar-SA"/>
                    </w:rPr>
                  </w:pPr>
                  <w:r>
                    <w:rPr>
                      <w:rFonts w:hint="eastAsia"/>
                      <w:color w:val="auto"/>
                      <w:szCs w:val="21"/>
                      <w:highlight w:val="none"/>
                      <w:lang w:val="en-US" w:eastAsia="zh-CN" w:bidi="ar-SA"/>
                    </w:rPr>
                    <w:t>Aad%</w:t>
                  </w:r>
                </w:p>
              </w:tc>
              <w:tc>
                <w:tcPr>
                  <w:tcW w:w="690" w:type="pct"/>
                  <w:tcBorders>
                    <w:tl2br w:val="nil"/>
                    <w:tr2bl w:val="nil"/>
                  </w:tcBorders>
                  <w:noWrap w:val="0"/>
                  <w:vAlign w:val="center"/>
                </w:tcPr>
                <w:p w14:paraId="3B1D237D">
                  <w:pPr>
                    <w:jc w:val="center"/>
                    <w:rPr>
                      <w:color w:val="auto"/>
                      <w:szCs w:val="21"/>
                      <w:highlight w:val="none"/>
                      <w:lang w:val="en-US" w:eastAsia="zh-CN" w:bidi="ar-SA"/>
                    </w:rPr>
                  </w:pPr>
                  <w:r>
                    <w:rPr>
                      <w:color w:val="auto"/>
                      <w:szCs w:val="21"/>
                      <w:highlight w:val="none"/>
                      <w:lang w:val="en-US" w:eastAsia="zh-CN" w:bidi="ar-SA"/>
                    </w:rPr>
                    <w:t>%</w:t>
                  </w:r>
                </w:p>
              </w:tc>
              <w:tc>
                <w:tcPr>
                  <w:tcW w:w="609" w:type="pct"/>
                  <w:tcBorders>
                    <w:tl2br w:val="nil"/>
                    <w:tr2bl w:val="nil"/>
                  </w:tcBorders>
                  <w:noWrap w:val="0"/>
                  <w:vAlign w:val="center"/>
                </w:tcPr>
                <w:p w14:paraId="09ED9FD3">
                  <w:pPr>
                    <w:jc w:val="center"/>
                    <w:rPr>
                      <w:color w:val="auto"/>
                      <w:szCs w:val="21"/>
                      <w:highlight w:val="none"/>
                      <w:lang w:val="en-US" w:eastAsia="zh-CN" w:bidi="ar-SA"/>
                    </w:rPr>
                  </w:pPr>
                  <w:r>
                    <w:rPr>
                      <w:color w:val="auto"/>
                      <w:szCs w:val="21"/>
                      <w:highlight w:val="none"/>
                      <w:lang w:val="en-US" w:eastAsia="zh-CN" w:bidi="ar-SA"/>
                    </w:rPr>
                    <w:t>S</w:t>
                  </w:r>
                  <w:r>
                    <w:rPr>
                      <w:color w:val="auto"/>
                      <w:szCs w:val="21"/>
                      <w:highlight w:val="none"/>
                      <w:vertAlign w:val="subscript"/>
                      <w:lang w:val="en-US" w:eastAsia="zh-CN" w:bidi="ar-SA"/>
                    </w:rPr>
                    <w:t>td</w:t>
                  </w:r>
                  <w:r>
                    <w:rPr>
                      <w:color w:val="auto"/>
                      <w:szCs w:val="21"/>
                      <w:highlight w:val="none"/>
                      <w:lang w:val="en-US" w:eastAsia="zh-CN" w:bidi="ar-SA"/>
                    </w:rPr>
                    <w:t>%</w:t>
                  </w:r>
                </w:p>
              </w:tc>
              <w:tc>
                <w:tcPr>
                  <w:tcW w:w="724" w:type="pct"/>
                  <w:tcBorders>
                    <w:tl2br w:val="nil"/>
                    <w:tr2bl w:val="nil"/>
                  </w:tcBorders>
                  <w:noWrap w:val="0"/>
                  <w:vAlign w:val="center"/>
                </w:tcPr>
                <w:p w14:paraId="1E620B9A">
                  <w:pPr>
                    <w:jc w:val="center"/>
                    <w:rPr>
                      <w:color w:val="auto"/>
                      <w:szCs w:val="21"/>
                      <w:highlight w:val="none"/>
                      <w:lang w:val="en-US" w:eastAsia="zh-CN" w:bidi="ar-SA"/>
                    </w:rPr>
                  </w:pPr>
                  <w:r>
                    <w:rPr>
                      <w:rFonts w:hint="eastAsia"/>
                      <w:color w:val="auto"/>
                      <w:szCs w:val="21"/>
                      <w:highlight w:val="none"/>
                      <w:lang w:val="en-US" w:eastAsia="zh-CN" w:bidi="ar-SA"/>
                    </w:rPr>
                    <w:t>（MJ</w:t>
                  </w:r>
                  <w:r>
                    <w:rPr>
                      <w:color w:val="auto"/>
                      <w:szCs w:val="21"/>
                      <w:highlight w:val="none"/>
                      <w:lang w:val="en-US" w:eastAsia="zh-CN" w:bidi="ar-SA"/>
                    </w:rPr>
                    <w:t>/kg</w:t>
                  </w:r>
                  <w:r>
                    <w:rPr>
                      <w:rFonts w:hint="eastAsia"/>
                      <w:color w:val="auto"/>
                      <w:szCs w:val="21"/>
                      <w:highlight w:val="none"/>
                      <w:lang w:val="en-US" w:eastAsia="zh-CN" w:bidi="ar-SA"/>
                    </w:rPr>
                    <w:t>）</w:t>
                  </w:r>
                </w:p>
              </w:tc>
              <w:tc>
                <w:tcPr>
                  <w:tcW w:w="598" w:type="pct"/>
                  <w:tcBorders>
                    <w:tl2br w:val="nil"/>
                    <w:tr2bl w:val="nil"/>
                  </w:tcBorders>
                  <w:noWrap w:val="0"/>
                  <w:vAlign w:val="center"/>
                </w:tcPr>
                <w:p w14:paraId="070822B9">
                  <w:pPr>
                    <w:jc w:val="center"/>
                    <w:rPr>
                      <w:color w:val="auto"/>
                      <w:szCs w:val="21"/>
                      <w:highlight w:val="none"/>
                      <w:lang w:val="en-US" w:eastAsia="zh-CN" w:bidi="ar-SA"/>
                    </w:rPr>
                  </w:pPr>
                  <w:r>
                    <w:rPr>
                      <w:color w:val="auto"/>
                      <w:szCs w:val="21"/>
                      <w:highlight w:val="none"/>
                      <w:lang w:val="en-US" w:eastAsia="zh-CN" w:bidi="ar-SA"/>
                    </w:rPr>
                    <w:t>万t/a</w:t>
                  </w:r>
                </w:p>
              </w:tc>
              <w:tc>
                <w:tcPr>
                  <w:tcW w:w="598" w:type="pct"/>
                  <w:vMerge w:val="restart"/>
                  <w:tcBorders>
                    <w:tl2br w:val="nil"/>
                    <w:tr2bl w:val="nil"/>
                  </w:tcBorders>
                  <w:noWrap w:val="0"/>
                  <w:vAlign w:val="center"/>
                </w:tcPr>
                <w:p w14:paraId="0F96185A">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本项目洗精煤储煤棚分区储存</w:t>
                  </w:r>
                </w:p>
              </w:tc>
            </w:tr>
            <w:tr w14:paraId="45899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 w:type="pct"/>
                  <w:tcBorders>
                    <w:tl2br w:val="nil"/>
                    <w:tr2bl w:val="nil"/>
                  </w:tcBorders>
                  <w:noWrap w:val="0"/>
                  <w:vAlign w:val="center"/>
                </w:tcPr>
                <w:p w14:paraId="1D790154">
                  <w:pPr>
                    <w:jc w:val="center"/>
                    <w:rPr>
                      <w:color w:val="auto"/>
                      <w:szCs w:val="21"/>
                      <w:highlight w:val="none"/>
                      <w:lang w:val="en-US" w:eastAsia="zh-CN" w:bidi="ar-SA"/>
                    </w:rPr>
                  </w:pPr>
                  <w:r>
                    <w:rPr>
                      <w:rFonts w:hint="eastAsia"/>
                      <w:color w:val="auto"/>
                      <w:szCs w:val="21"/>
                      <w:highlight w:val="none"/>
                      <w:lang w:val="en-US" w:eastAsia="zh-CN" w:bidi="ar-SA"/>
                    </w:rPr>
                    <w:t>1</w:t>
                  </w:r>
                </w:p>
              </w:tc>
              <w:tc>
                <w:tcPr>
                  <w:tcW w:w="885" w:type="pct"/>
                  <w:tcBorders>
                    <w:tl2br w:val="nil"/>
                    <w:tr2bl w:val="nil"/>
                  </w:tcBorders>
                  <w:noWrap w:val="0"/>
                  <w:vAlign w:val="center"/>
                </w:tcPr>
                <w:p w14:paraId="164B380D">
                  <w:pPr>
                    <w:jc w:val="center"/>
                    <w:rPr>
                      <w:rFonts w:hint="default" w:eastAsia="宋体"/>
                      <w:color w:val="auto"/>
                      <w:szCs w:val="21"/>
                      <w:highlight w:val="none"/>
                      <w:lang w:val="en-US" w:eastAsia="zh-CN" w:bidi="ar-SA"/>
                    </w:rPr>
                  </w:pPr>
                  <w:r>
                    <w:rPr>
                      <w:rFonts w:hint="eastAsia" w:eastAsia="宋体"/>
                      <w:color w:val="auto"/>
                      <w:szCs w:val="21"/>
                      <w:highlight w:val="none"/>
                      <w:lang w:val="en-US" w:eastAsia="zh-CN" w:bidi="ar-SA"/>
                    </w:rPr>
                    <w:t>精煤</w:t>
                  </w:r>
                </w:p>
              </w:tc>
              <w:tc>
                <w:tcPr>
                  <w:tcW w:w="602" w:type="pct"/>
                  <w:tcBorders>
                    <w:tl2br w:val="nil"/>
                    <w:tr2bl w:val="nil"/>
                  </w:tcBorders>
                  <w:noWrap w:val="0"/>
                  <w:vAlign w:val="center"/>
                </w:tcPr>
                <w:p w14:paraId="46F88838">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5.81</w:t>
                  </w:r>
                </w:p>
              </w:tc>
              <w:tc>
                <w:tcPr>
                  <w:tcW w:w="1080" w:type="dxa"/>
                  <w:tcBorders>
                    <w:tl2br w:val="nil"/>
                    <w:tr2bl w:val="nil"/>
                  </w:tcBorders>
                  <w:noWrap w:val="0"/>
                  <w:vAlign w:val="center"/>
                </w:tcPr>
                <w:p w14:paraId="5CC5D5D1">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6.33</w:t>
                  </w:r>
                </w:p>
              </w:tc>
              <w:tc>
                <w:tcPr>
                  <w:tcW w:w="609" w:type="pct"/>
                  <w:tcBorders>
                    <w:tl2br w:val="nil"/>
                    <w:tr2bl w:val="nil"/>
                  </w:tcBorders>
                  <w:noWrap w:val="0"/>
                  <w:vAlign w:val="center"/>
                </w:tcPr>
                <w:p w14:paraId="4C49962D">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0.178</w:t>
                  </w:r>
                </w:p>
              </w:tc>
              <w:tc>
                <w:tcPr>
                  <w:tcW w:w="724" w:type="pct"/>
                  <w:tcBorders>
                    <w:tl2br w:val="nil"/>
                    <w:tr2bl w:val="nil"/>
                  </w:tcBorders>
                  <w:noWrap w:val="0"/>
                  <w:vAlign w:val="center"/>
                </w:tcPr>
                <w:p w14:paraId="5BE84203">
                  <w:pPr>
                    <w:jc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27.58</w:t>
                  </w:r>
                </w:p>
              </w:tc>
              <w:tc>
                <w:tcPr>
                  <w:tcW w:w="598" w:type="pct"/>
                  <w:tcBorders>
                    <w:tl2br w:val="nil"/>
                    <w:tr2bl w:val="nil"/>
                  </w:tcBorders>
                  <w:noWrap w:val="0"/>
                  <w:vAlign w:val="center"/>
                </w:tcPr>
                <w:p w14:paraId="720760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73.9</w:t>
                  </w:r>
                </w:p>
              </w:tc>
              <w:tc>
                <w:tcPr>
                  <w:tcW w:w="598" w:type="pct"/>
                  <w:vMerge w:val="continue"/>
                  <w:tcBorders>
                    <w:tl2br w:val="nil"/>
                    <w:tr2bl w:val="nil"/>
                  </w:tcBorders>
                  <w:noWrap w:val="0"/>
                  <w:vAlign w:val="center"/>
                </w:tcPr>
                <w:p w14:paraId="1FDBC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048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92" w:type="pct"/>
                  <w:tcBorders>
                    <w:tl2br w:val="nil"/>
                    <w:tr2bl w:val="nil"/>
                  </w:tcBorders>
                  <w:noWrap w:val="0"/>
                  <w:vAlign w:val="center"/>
                </w:tcPr>
                <w:p w14:paraId="29992C4F">
                  <w:pPr>
                    <w:jc w:val="center"/>
                    <w:rPr>
                      <w:color w:val="auto"/>
                      <w:szCs w:val="21"/>
                      <w:highlight w:val="none"/>
                      <w:lang w:val="en-US" w:eastAsia="zh-CN" w:bidi="ar-SA"/>
                    </w:rPr>
                  </w:pPr>
                  <w:r>
                    <w:rPr>
                      <w:rFonts w:hint="eastAsia"/>
                      <w:color w:val="auto"/>
                      <w:szCs w:val="21"/>
                      <w:highlight w:val="none"/>
                      <w:lang w:val="en-US" w:eastAsia="zh-CN" w:bidi="ar-SA"/>
                    </w:rPr>
                    <w:t>2</w:t>
                  </w:r>
                </w:p>
              </w:tc>
              <w:tc>
                <w:tcPr>
                  <w:tcW w:w="885" w:type="pct"/>
                  <w:tcBorders>
                    <w:tl2br w:val="nil"/>
                    <w:tr2bl w:val="nil"/>
                  </w:tcBorders>
                  <w:noWrap w:val="0"/>
                  <w:vAlign w:val="center"/>
                </w:tcPr>
                <w:p w14:paraId="584A7C12">
                  <w:pPr>
                    <w:jc w:val="center"/>
                    <w:rPr>
                      <w:rFonts w:hint="default" w:eastAsia="宋体"/>
                      <w:color w:val="auto"/>
                      <w:szCs w:val="21"/>
                      <w:highlight w:val="none"/>
                      <w:lang w:val="en-US" w:eastAsia="zh-CN" w:bidi="ar-SA"/>
                    </w:rPr>
                  </w:pPr>
                  <w:r>
                    <w:rPr>
                      <w:rFonts w:hint="eastAsia" w:eastAsia="宋体"/>
                      <w:color w:val="auto"/>
                      <w:szCs w:val="21"/>
                      <w:highlight w:val="none"/>
                      <w:lang w:val="en-US" w:eastAsia="zh-CN" w:bidi="ar-SA"/>
                    </w:rPr>
                    <w:t>中煤</w:t>
                  </w:r>
                </w:p>
              </w:tc>
              <w:tc>
                <w:tcPr>
                  <w:tcW w:w="602" w:type="pct"/>
                  <w:tcBorders>
                    <w:tl2br w:val="nil"/>
                    <w:tr2bl w:val="nil"/>
                  </w:tcBorders>
                  <w:noWrap w:val="0"/>
                  <w:vAlign w:val="center"/>
                </w:tcPr>
                <w:p w14:paraId="5C3D1BC0">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5.73</w:t>
                  </w:r>
                </w:p>
              </w:tc>
              <w:tc>
                <w:tcPr>
                  <w:tcW w:w="1080" w:type="dxa"/>
                  <w:tcBorders>
                    <w:tl2br w:val="nil"/>
                    <w:tr2bl w:val="nil"/>
                  </w:tcBorders>
                  <w:noWrap w:val="0"/>
                  <w:vAlign w:val="center"/>
                </w:tcPr>
                <w:p w14:paraId="4D9A13D2">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7.11</w:t>
                  </w:r>
                </w:p>
              </w:tc>
              <w:tc>
                <w:tcPr>
                  <w:tcW w:w="609" w:type="pct"/>
                  <w:tcBorders>
                    <w:tl2br w:val="nil"/>
                    <w:tr2bl w:val="nil"/>
                  </w:tcBorders>
                  <w:noWrap w:val="0"/>
                  <w:vAlign w:val="center"/>
                </w:tcPr>
                <w:p w14:paraId="7F4497D9">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0.180</w:t>
                  </w:r>
                </w:p>
              </w:tc>
              <w:tc>
                <w:tcPr>
                  <w:tcW w:w="724" w:type="pct"/>
                  <w:tcBorders>
                    <w:tl2br w:val="nil"/>
                    <w:tr2bl w:val="nil"/>
                  </w:tcBorders>
                  <w:noWrap w:val="0"/>
                  <w:vAlign w:val="center"/>
                </w:tcPr>
                <w:p w14:paraId="41648D0A">
                  <w:pPr>
                    <w:jc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28.96</w:t>
                  </w:r>
                </w:p>
              </w:tc>
              <w:tc>
                <w:tcPr>
                  <w:tcW w:w="598" w:type="pct"/>
                  <w:tcBorders>
                    <w:tl2br w:val="nil"/>
                    <w:tr2bl w:val="nil"/>
                  </w:tcBorders>
                  <w:noWrap w:val="0"/>
                  <w:vAlign w:val="center"/>
                </w:tcPr>
                <w:p w14:paraId="333AC7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12.05</w:t>
                  </w:r>
                </w:p>
              </w:tc>
              <w:tc>
                <w:tcPr>
                  <w:tcW w:w="598" w:type="pct"/>
                  <w:vMerge w:val="continue"/>
                  <w:tcBorders>
                    <w:tl2br w:val="nil"/>
                    <w:tr2bl w:val="nil"/>
                  </w:tcBorders>
                  <w:noWrap w:val="0"/>
                  <w:vAlign w:val="center"/>
                </w:tcPr>
                <w:p w14:paraId="113700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234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92" w:type="pct"/>
                  <w:tcBorders>
                    <w:tl2br w:val="nil"/>
                    <w:tr2bl w:val="nil"/>
                  </w:tcBorders>
                  <w:noWrap w:val="0"/>
                  <w:vAlign w:val="center"/>
                </w:tcPr>
                <w:p w14:paraId="19B8C0D8">
                  <w:pPr>
                    <w:jc w:val="center"/>
                    <w:rPr>
                      <w:color w:val="auto"/>
                      <w:szCs w:val="21"/>
                      <w:highlight w:val="none"/>
                      <w:lang w:val="en-US" w:eastAsia="zh-CN" w:bidi="ar-SA"/>
                    </w:rPr>
                  </w:pPr>
                  <w:r>
                    <w:rPr>
                      <w:rFonts w:hint="eastAsia"/>
                      <w:color w:val="auto"/>
                      <w:szCs w:val="21"/>
                      <w:highlight w:val="none"/>
                      <w:lang w:val="en-US" w:eastAsia="zh-CN" w:bidi="ar-SA"/>
                    </w:rPr>
                    <w:t>3</w:t>
                  </w:r>
                </w:p>
              </w:tc>
              <w:tc>
                <w:tcPr>
                  <w:tcW w:w="885" w:type="pct"/>
                  <w:tcBorders>
                    <w:tl2br w:val="nil"/>
                    <w:tr2bl w:val="nil"/>
                  </w:tcBorders>
                  <w:noWrap w:val="0"/>
                  <w:vAlign w:val="center"/>
                </w:tcPr>
                <w:p w14:paraId="53DC8B38">
                  <w:pPr>
                    <w:jc w:val="center"/>
                    <w:rPr>
                      <w:rFonts w:hint="default" w:eastAsia="宋体"/>
                      <w:color w:val="auto"/>
                      <w:szCs w:val="21"/>
                      <w:highlight w:val="none"/>
                      <w:lang w:val="en-US" w:eastAsia="zh-CN" w:bidi="ar-SA"/>
                    </w:rPr>
                  </w:pPr>
                  <w:r>
                    <w:rPr>
                      <w:rFonts w:hint="eastAsia" w:eastAsia="宋体"/>
                      <w:color w:val="auto"/>
                      <w:szCs w:val="21"/>
                      <w:highlight w:val="none"/>
                      <w:lang w:val="en-US" w:eastAsia="zh-CN" w:bidi="ar-SA"/>
                    </w:rPr>
                    <w:t>末煤</w:t>
                  </w:r>
                </w:p>
              </w:tc>
              <w:tc>
                <w:tcPr>
                  <w:tcW w:w="602" w:type="pct"/>
                  <w:tcBorders>
                    <w:tl2br w:val="nil"/>
                    <w:tr2bl w:val="nil"/>
                  </w:tcBorders>
                  <w:noWrap w:val="0"/>
                  <w:vAlign w:val="center"/>
                </w:tcPr>
                <w:p w14:paraId="1727E2C4">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6.79</w:t>
                  </w:r>
                </w:p>
              </w:tc>
              <w:tc>
                <w:tcPr>
                  <w:tcW w:w="1080" w:type="dxa"/>
                  <w:tcBorders>
                    <w:tl2br w:val="nil"/>
                    <w:tr2bl w:val="nil"/>
                  </w:tcBorders>
                  <w:noWrap w:val="0"/>
                  <w:vAlign w:val="center"/>
                </w:tcPr>
                <w:p w14:paraId="052A3A61">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21.55</w:t>
                  </w:r>
                </w:p>
              </w:tc>
              <w:tc>
                <w:tcPr>
                  <w:tcW w:w="609" w:type="pct"/>
                  <w:tcBorders>
                    <w:tl2br w:val="nil"/>
                    <w:tr2bl w:val="nil"/>
                  </w:tcBorders>
                  <w:noWrap w:val="0"/>
                  <w:vAlign w:val="center"/>
                </w:tcPr>
                <w:p w14:paraId="5153FF1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0.202</w:t>
                  </w:r>
                </w:p>
              </w:tc>
              <w:tc>
                <w:tcPr>
                  <w:tcW w:w="724" w:type="pct"/>
                  <w:tcBorders>
                    <w:tl2br w:val="nil"/>
                    <w:tr2bl w:val="nil"/>
                  </w:tcBorders>
                  <w:noWrap w:val="0"/>
                  <w:vAlign w:val="center"/>
                </w:tcPr>
                <w:p w14:paraId="21D7BFAD">
                  <w:pPr>
                    <w:jc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20.28</w:t>
                  </w:r>
                </w:p>
              </w:tc>
              <w:tc>
                <w:tcPr>
                  <w:tcW w:w="598" w:type="pct"/>
                  <w:tcBorders>
                    <w:tl2br w:val="nil"/>
                    <w:tr2bl w:val="nil"/>
                  </w:tcBorders>
                  <w:noWrap w:val="0"/>
                  <w:vAlign w:val="center"/>
                </w:tcPr>
                <w:p w14:paraId="6916F6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9.76</w:t>
                  </w:r>
                </w:p>
              </w:tc>
              <w:tc>
                <w:tcPr>
                  <w:tcW w:w="598" w:type="pct"/>
                  <w:vMerge w:val="continue"/>
                  <w:tcBorders>
                    <w:tl2br w:val="nil"/>
                    <w:tr2bl w:val="nil"/>
                  </w:tcBorders>
                  <w:noWrap w:val="0"/>
                  <w:vAlign w:val="center"/>
                </w:tcPr>
                <w:p w14:paraId="6B6A6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A056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 w:type="pct"/>
                  <w:tcBorders>
                    <w:tl2br w:val="nil"/>
                    <w:tr2bl w:val="nil"/>
                  </w:tcBorders>
                  <w:noWrap w:val="0"/>
                  <w:vAlign w:val="center"/>
                </w:tcPr>
                <w:p w14:paraId="6F764C85">
                  <w:pPr>
                    <w:jc w:val="center"/>
                    <w:rPr>
                      <w:color w:val="auto"/>
                      <w:szCs w:val="21"/>
                      <w:highlight w:val="none"/>
                      <w:lang w:val="en-US" w:eastAsia="zh-CN" w:bidi="ar-SA"/>
                    </w:rPr>
                  </w:pPr>
                  <w:r>
                    <w:rPr>
                      <w:rFonts w:hint="eastAsia"/>
                      <w:color w:val="auto"/>
                      <w:szCs w:val="21"/>
                      <w:highlight w:val="none"/>
                      <w:lang w:val="en-US" w:eastAsia="zh-CN" w:bidi="ar-SA"/>
                    </w:rPr>
                    <w:t>4</w:t>
                  </w:r>
                </w:p>
              </w:tc>
              <w:tc>
                <w:tcPr>
                  <w:tcW w:w="885" w:type="pct"/>
                  <w:tcBorders>
                    <w:tl2br w:val="nil"/>
                    <w:tr2bl w:val="nil"/>
                  </w:tcBorders>
                  <w:noWrap w:val="0"/>
                  <w:vAlign w:val="center"/>
                </w:tcPr>
                <w:p w14:paraId="0A864C00">
                  <w:pPr>
                    <w:jc w:val="center"/>
                    <w:rPr>
                      <w:color w:val="auto"/>
                      <w:szCs w:val="21"/>
                      <w:highlight w:val="none"/>
                      <w:lang w:val="en-US" w:eastAsia="zh-CN" w:bidi="ar-SA"/>
                    </w:rPr>
                  </w:pPr>
                  <w:r>
                    <w:rPr>
                      <w:rFonts w:hint="eastAsia"/>
                      <w:color w:val="auto"/>
                      <w:szCs w:val="21"/>
                      <w:highlight w:val="none"/>
                      <w:lang w:val="en-US" w:eastAsia="zh-CN" w:bidi="ar-SA"/>
                    </w:rPr>
                    <w:t>煤泥</w:t>
                  </w:r>
                </w:p>
              </w:tc>
              <w:tc>
                <w:tcPr>
                  <w:tcW w:w="602" w:type="pct"/>
                  <w:tcBorders>
                    <w:tl2br w:val="nil"/>
                    <w:tr2bl w:val="nil"/>
                  </w:tcBorders>
                  <w:noWrap w:val="0"/>
                  <w:vAlign w:val="center"/>
                </w:tcPr>
                <w:p w14:paraId="6B015FF6">
                  <w:pPr>
                    <w:keepNext w:val="0"/>
                    <w:keepLines w:val="0"/>
                    <w:widowControl/>
                    <w:suppressLineNumbers w:val="0"/>
                    <w:jc w:val="center"/>
                    <w:textAlignment w:val="center"/>
                    <w:rPr>
                      <w:rFonts w:hint="default"/>
                      <w:color w:val="auto"/>
                      <w:szCs w:val="21"/>
                      <w:highlight w:val="none"/>
                      <w:lang w:val="en-US" w:eastAsia="zh-CN" w:bidi="ar-SA"/>
                    </w:rPr>
                  </w:pPr>
                  <w:r>
                    <w:rPr>
                      <w:rFonts w:hint="eastAsia"/>
                      <w:color w:val="auto"/>
                      <w:szCs w:val="21"/>
                      <w:highlight w:val="none"/>
                      <w:lang w:val="en-US" w:eastAsia="zh-CN" w:bidi="ar-SA"/>
                    </w:rPr>
                    <w:t>21.12</w:t>
                  </w:r>
                </w:p>
              </w:tc>
              <w:tc>
                <w:tcPr>
                  <w:tcW w:w="1080" w:type="dxa"/>
                  <w:tcBorders>
                    <w:tl2br w:val="nil"/>
                    <w:tr2bl w:val="nil"/>
                  </w:tcBorders>
                  <w:noWrap w:val="0"/>
                  <w:vAlign w:val="center"/>
                </w:tcPr>
                <w:p w14:paraId="5FEAF247">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30.43</w:t>
                  </w:r>
                </w:p>
              </w:tc>
              <w:tc>
                <w:tcPr>
                  <w:tcW w:w="609" w:type="pct"/>
                  <w:tcBorders>
                    <w:tl2br w:val="nil"/>
                    <w:tr2bl w:val="nil"/>
                  </w:tcBorders>
                  <w:noWrap w:val="0"/>
                  <w:vAlign w:val="center"/>
                </w:tcPr>
                <w:p w14:paraId="5E9AB44D">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0.283</w:t>
                  </w:r>
                </w:p>
              </w:tc>
              <w:tc>
                <w:tcPr>
                  <w:tcW w:w="724" w:type="pct"/>
                  <w:tcBorders>
                    <w:tl2br w:val="nil"/>
                    <w:tr2bl w:val="nil"/>
                  </w:tcBorders>
                  <w:noWrap w:val="0"/>
                  <w:vAlign w:val="center"/>
                </w:tcPr>
                <w:p w14:paraId="57E90119">
                  <w:pPr>
                    <w:jc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10.11</w:t>
                  </w:r>
                </w:p>
              </w:tc>
              <w:tc>
                <w:tcPr>
                  <w:tcW w:w="598" w:type="pct"/>
                  <w:tcBorders>
                    <w:tl2br w:val="nil"/>
                    <w:tr2bl w:val="nil"/>
                  </w:tcBorders>
                  <w:noWrap w:val="0"/>
                  <w:vAlign w:val="center"/>
                </w:tcPr>
                <w:p w14:paraId="6F1AAA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10.10</w:t>
                  </w:r>
                </w:p>
              </w:tc>
              <w:tc>
                <w:tcPr>
                  <w:tcW w:w="598" w:type="pct"/>
                  <w:vMerge w:val="continue"/>
                  <w:tcBorders>
                    <w:tl2br w:val="nil"/>
                    <w:tr2bl w:val="nil"/>
                  </w:tcBorders>
                  <w:noWrap w:val="0"/>
                  <w:vAlign w:val="center"/>
                </w:tcPr>
                <w:p w14:paraId="2851E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7408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92" w:type="pct"/>
                  <w:tcBorders>
                    <w:tl2br w:val="nil"/>
                    <w:tr2bl w:val="nil"/>
                  </w:tcBorders>
                  <w:noWrap w:val="0"/>
                  <w:vAlign w:val="center"/>
                </w:tcPr>
                <w:p w14:paraId="4059F6BF">
                  <w:pPr>
                    <w:jc w:val="center"/>
                    <w:rPr>
                      <w:color w:val="auto"/>
                      <w:szCs w:val="21"/>
                      <w:highlight w:val="none"/>
                      <w:lang w:val="en-US" w:eastAsia="zh-CN" w:bidi="ar-SA"/>
                    </w:rPr>
                  </w:pPr>
                  <w:r>
                    <w:rPr>
                      <w:rFonts w:hint="eastAsia"/>
                      <w:color w:val="auto"/>
                      <w:szCs w:val="21"/>
                      <w:highlight w:val="none"/>
                      <w:lang w:val="en-US" w:eastAsia="zh-CN" w:bidi="ar-SA"/>
                    </w:rPr>
                    <w:t>5</w:t>
                  </w:r>
                </w:p>
              </w:tc>
              <w:tc>
                <w:tcPr>
                  <w:tcW w:w="885" w:type="pct"/>
                  <w:tcBorders>
                    <w:tl2br w:val="nil"/>
                    <w:tr2bl w:val="nil"/>
                  </w:tcBorders>
                  <w:noWrap w:val="0"/>
                  <w:vAlign w:val="center"/>
                </w:tcPr>
                <w:p w14:paraId="411FF055">
                  <w:pPr>
                    <w:jc w:val="center"/>
                    <w:rPr>
                      <w:color w:val="auto"/>
                      <w:szCs w:val="21"/>
                      <w:highlight w:val="none"/>
                      <w:lang w:val="en-US" w:eastAsia="zh-CN" w:bidi="ar-SA"/>
                    </w:rPr>
                  </w:pPr>
                  <w:r>
                    <w:rPr>
                      <w:rFonts w:hint="eastAsia"/>
                      <w:color w:val="auto"/>
                      <w:szCs w:val="21"/>
                      <w:highlight w:val="none"/>
                      <w:lang w:val="en-US" w:eastAsia="zh-CN" w:bidi="ar-SA"/>
                    </w:rPr>
                    <w:t>矸石</w:t>
                  </w:r>
                </w:p>
              </w:tc>
              <w:tc>
                <w:tcPr>
                  <w:tcW w:w="602" w:type="pct"/>
                  <w:tcBorders>
                    <w:tl2br w:val="nil"/>
                    <w:tr2bl w:val="nil"/>
                  </w:tcBorders>
                  <w:noWrap w:val="0"/>
                  <w:vAlign w:val="center"/>
                </w:tcPr>
                <w:p w14:paraId="2578E842">
                  <w:pPr>
                    <w:keepNext w:val="0"/>
                    <w:keepLines w:val="0"/>
                    <w:widowControl/>
                    <w:suppressLineNumbers w:val="0"/>
                    <w:jc w:val="center"/>
                    <w:textAlignment w:val="center"/>
                    <w:rPr>
                      <w:rFonts w:hint="default"/>
                      <w:color w:val="auto"/>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67.05</w:t>
                  </w:r>
                </w:p>
              </w:tc>
              <w:tc>
                <w:tcPr>
                  <w:tcW w:w="1080" w:type="dxa"/>
                  <w:tcBorders>
                    <w:tl2br w:val="nil"/>
                    <w:tr2bl w:val="nil"/>
                  </w:tcBorders>
                  <w:noWrap w:val="0"/>
                  <w:vAlign w:val="center"/>
                </w:tcPr>
                <w:p w14:paraId="78416A9A">
                  <w:pPr>
                    <w:keepNext w:val="0"/>
                    <w:keepLines w:val="0"/>
                    <w:widowControl/>
                    <w:suppressLineNumbers w:val="0"/>
                    <w:jc w:val="center"/>
                    <w:textAlignment w:val="center"/>
                    <w:rPr>
                      <w:rFonts w:hint="default"/>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10.88</w:t>
                  </w:r>
                </w:p>
              </w:tc>
              <w:tc>
                <w:tcPr>
                  <w:tcW w:w="609" w:type="pct"/>
                  <w:tcBorders>
                    <w:tl2br w:val="nil"/>
                    <w:tr2bl w:val="nil"/>
                  </w:tcBorders>
                  <w:noWrap w:val="0"/>
                  <w:vAlign w:val="center"/>
                </w:tcPr>
                <w:p w14:paraId="7649484D">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0.303</w:t>
                  </w:r>
                </w:p>
              </w:tc>
              <w:tc>
                <w:tcPr>
                  <w:tcW w:w="724" w:type="pct"/>
                  <w:tcBorders>
                    <w:tl2br w:val="nil"/>
                    <w:tr2bl w:val="nil"/>
                  </w:tcBorders>
                  <w:noWrap w:val="0"/>
                  <w:vAlign w:val="center"/>
                </w:tcPr>
                <w:p w14:paraId="10689E94">
                  <w:pPr>
                    <w:jc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6.30</w:t>
                  </w:r>
                </w:p>
              </w:tc>
              <w:tc>
                <w:tcPr>
                  <w:tcW w:w="598" w:type="pct"/>
                  <w:tcBorders>
                    <w:tl2br w:val="nil"/>
                    <w:tr2bl w:val="nil"/>
                  </w:tcBorders>
                  <w:noWrap w:val="0"/>
                  <w:vAlign w:val="center"/>
                </w:tcPr>
                <w:p w14:paraId="3173BF6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14.19</w:t>
                  </w:r>
                </w:p>
              </w:tc>
              <w:tc>
                <w:tcPr>
                  <w:tcW w:w="598" w:type="pct"/>
                  <w:vMerge w:val="continue"/>
                  <w:tcBorders>
                    <w:tl2br w:val="nil"/>
                    <w:tr2bl w:val="nil"/>
                  </w:tcBorders>
                  <w:noWrap w:val="0"/>
                  <w:vAlign w:val="center"/>
                </w:tcPr>
                <w:p w14:paraId="4715F5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3858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02" w:type="pct"/>
                  <w:gridSpan w:val="6"/>
                  <w:tcBorders>
                    <w:tl2br w:val="nil"/>
                    <w:tr2bl w:val="nil"/>
                  </w:tcBorders>
                  <w:noWrap w:val="0"/>
                  <w:vAlign w:val="center"/>
                </w:tcPr>
                <w:p w14:paraId="1CEAEBF4">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bidi="ar-SA"/>
                    </w:rPr>
                    <w:t>合计</w:t>
                  </w:r>
                </w:p>
              </w:tc>
              <w:tc>
                <w:tcPr>
                  <w:tcW w:w="598" w:type="pct"/>
                  <w:tcBorders>
                    <w:tl2br w:val="nil"/>
                    <w:tr2bl w:val="nil"/>
                  </w:tcBorders>
                  <w:noWrap w:val="0"/>
                  <w:vAlign w:val="center"/>
                </w:tcPr>
                <w:p w14:paraId="7B183B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w:t>
                  </w:r>
                </w:p>
              </w:tc>
              <w:tc>
                <w:tcPr>
                  <w:tcW w:w="598" w:type="pct"/>
                  <w:vMerge w:val="continue"/>
                  <w:tcBorders>
                    <w:tl2br w:val="nil"/>
                    <w:tr2bl w:val="nil"/>
                  </w:tcBorders>
                  <w:noWrap w:val="0"/>
                  <w:vAlign w:val="center"/>
                </w:tcPr>
                <w:p w14:paraId="6967CB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6E4F459C">
            <w:pPr>
              <w:adjustRightInd w:val="0"/>
              <w:snapToGrid w:val="0"/>
              <w:spacing w:line="360" w:lineRule="auto"/>
              <w:ind w:firstLine="482" w:firstLineChars="200"/>
              <w:jc w:val="both"/>
              <w:rPr>
                <w:rFonts w:hint="default" w:ascii="Times New Roman" w:hAnsi="Times New Roman" w:eastAsia="宋体"/>
                <w:b/>
                <w:color w:val="auto"/>
                <w:sz w:val="24"/>
                <w:highlight w:val="none"/>
                <w:lang w:val="en-US" w:eastAsia="zh-CN"/>
              </w:rPr>
            </w:pPr>
            <w:r>
              <w:rPr>
                <w:rFonts w:hint="eastAsia" w:ascii="Times New Roman" w:hAnsi="Times New Roman" w:eastAsia="宋体"/>
                <w:b/>
                <w:color w:val="auto"/>
                <w:sz w:val="24"/>
                <w:highlight w:val="none"/>
                <w:lang w:val="en-US" w:eastAsia="zh-CN"/>
              </w:rPr>
              <w:t>7</w:t>
            </w:r>
            <w:r>
              <w:rPr>
                <w:rFonts w:ascii="Times New Roman" w:hAnsi="Times New Roman" w:eastAsia="宋体"/>
                <w:b/>
                <w:color w:val="auto"/>
                <w:sz w:val="24"/>
                <w:highlight w:val="none"/>
              </w:rPr>
              <w:t>、项目</w:t>
            </w:r>
            <w:r>
              <w:rPr>
                <w:rFonts w:hint="eastAsia" w:ascii="Times New Roman" w:hAnsi="Times New Roman" w:eastAsia="宋体"/>
                <w:b/>
                <w:color w:val="auto"/>
                <w:sz w:val="24"/>
                <w:highlight w:val="none"/>
                <w:lang w:val="en-US" w:eastAsia="zh-CN"/>
              </w:rPr>
              <w:t>占地及平面布置</w:t>
            </w:r>
          </w:p>
          <w:p w14:paraId="54198C09">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eastAsia"/>
                <w:color w:val="auto"/>
                <w:sz w:val="24"/>
                <w:szCs w:val="22"/>
                <w:highlight w:val="none"/>
                <w:lang w:val="en-US" w:eastAsia="zh-CN"/>
              </w:rPr>
            </w:pPr>
            <w:r>
              <w:rPr>
                <w:rFonts w:hint="eastAsia"/>
                <w:color w:val="auto"/>
                <w:sz w:val="24"/>
                <w:szCs w:val="22"/>
                <w:highlight w:val="none"/>
                <w:lang w:val="en-US" w:eastAsia="zh-CN"/>
              </w:rPr>
              <w:t>本项目位于府谷县新民镇芦草畔村，项目新增占地17009m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（折合25.5亩）</w:t>
            </w:r>
            <w:r>
              <w:rPr>
                <w:rFonts w:hint="eastAsia"/>
                <w:color w:val="auto"/>
                <w:sz w:val="24"/>
                <w:szCs w:val="22"/>
                <w:highlight w:val="none"/>
                <w:lang w:val="en-US" w:eastAsia="zh-CN"/>
              </w:rPr>
              <w:t>，占地性质为工矿用地。</w:t>
            </w:r>
          </w:p>
          <w:p w14:paraId="0EA317AD">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32"/>
                <w:highlight w:val="none"/>
                <w:lang w:val="en-US" w:eastAsia="zh-CN"/>
              </w:rPr>
            </w:pPr>
            <w:r>
              <w:rPr>
                <w:rFonts w:hint="eastAsia" w:ascii="Times New Roman" w:hAnsi="Times New Roman" w:eastAsia="宋体"/>
                <w:color w:val="auto"/>
                <w:sz w:val="24"/>
                <w:highlight w:val="none"/>
                <w:lang w:val="en-US" w:eastAsia="zh-CN"/>
              </w:rPr>
              <w:t>新建储煤棚为全封闭式储煤棚，主要用于储存洗选后的产品煤，煤棚</w:t>
            </w:r>
            <w:r>
              <w:rPr>
                <w:rFonts w:hint="eastAsia"/>
                <w:color w:val="auto"/>
                <w:sz w:val="24"/>
                <w:szCs w:val="32"/>
                <w:highlight w:val="none"/>
                <w:lang w:val="en-US" w:eastAsia="zh-CN"/>
              </w:rPr>
              <w:t>布置合理利用地形，做到功能分区明确，自北向南分为3个区域，分别是精煤储存区、中煤储存区、末煤储存区。</w:t>
            </w:r>
          </w:p>
          <w:p w14:paraId="3289D023">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color w:val="auto"/>
                <w:sz w:val="24"/>
                <w:szCs w:val="32"/>
                <w:highlight w:val="none"/>
                <w:lang w:val="en-US" w:eastAsia="zh-CN"/>
              </w:rPr>
              <w:t>厂区平面布置见附图4。</w:t>
            </w:r>
          </w:p>
          <w:p w14:paraId="7B012C30">
            <w:pPr>
              <w:pStyle w:val="81"/>
              <w:spacing w:line="360" w:lineRule="auto"/>
              <w:ind w:firstLine="495" w:firstLineChars="0"/>
              <w:jc w:val="both"/>
              <w:rPr>
                <w:rFonts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8</w:t>
            </w:r>
            <w:r>
              <w:rPr>
                <w:rFonts w:ascii="Times New Roman" w:hAnsi="Times New Roman" w:eastAsia="宋体"/>
                <w:b/>
                <w:bCs/>
                <w:color w:val="auto"/>
                <w:sz w:val="24"/>
                <w:highlight w:val="none"/>
              </w:rPr>
              <w:t>、公用工程</w:t>
            </w:r>
          </w:p>
          <w:p w14:paraId="58BB7A33">
            <w:pPr>
              <w:pStyle w:val="82"/>
              <w:adjustRightInd/>
              <w:spacing w:line="360" w:lineRule="auto"/>
              <w:ind w:firstLine="480" w:firstLineChars="200"/>
              <w:jc w:val="both"/>
              <w:rPr>
                <w:rFonts w:ascii="Times New Roman" w:hAnsi="Times New Roman" w:eastAsia="宋体" w:cs="Times New Roman"/>
                <w:color w:val="auto"/>
                <w:highlight w:val="none"/>
              </w:rPr>
            </w:pPr>
            <w:r>
              <w:rPr>
                <w:rFonts w:hint="eastAsia" w:ascii="Times New Roman" w:hAnsi="Times New Roman" w:eastAsia="宋体"/>
                <w:color w:val="auto"/>
                <w:highlight w:val="none"/>
              </w:rPr>
              <w:t>⑴</w:t>
            </w:r>
            <w:r>
              <w:rPr>
                <w:rFonts w:ascii="Times New Roman" w:hAnsi="Times New Roman" w:eastAsia="宋体" w:cs="Times New Roman"/>
                <w:color w:val="auto"/>
                <w:highlight w:val="none"/>
              </w:rPr>
              <w:t xml:space="preserve"> 给水</w:t>
            </w:r>
          </w:p>
          <w:p w14:paraId="4C63DB0E">
            <w:pPr>
              <w:spacing w:line="360" w:lineRule="auto"/>
              <w:ind w:firstLine="480" w:firstLineChars="200"/>
              <w:jc w:val="both"/>
              <w:rPr>
                <w:rFonts w:hint="default" w:ascii="Times New Roman" w:hAnsi="Times New Roman" w:eastAsia="宋体"/>
                <w:color w:val="auto"/>
                <w:highlight w:val="none"/>
                <w:lang w:val="en-US" w:eastAsia="zh-CN"/>
              </w:rPr>
            </w:pPr>
            <w:r>
              <w:rPr>
                <w:rFonts w:ascii="Times New Roman" w:hAnsi="Times New Roman" w:eastAsia="宋体"/>
                <w:color w:val="auto"/>
                <w:sz w:val="24"/>
                <w:highlight w:val="none"/>
              </w:rPr>
              <w:t>本项目水源</w:t>
            </w:r>
            <w:r>
              <w:rPr>
                <w:rFonts w:hint="eastAsia" w:ascii="Times New Roman" w:hAnsi="Times New Roman" w:eastAsia="宋体"/>
                <w:color w:val="auto"/>
                <w:sz w:val="24"/>
                <w:highlight w:val="none"/>
                <w:lang w:val="en-US" w:eastAsia="zh-CN"/>
              </w:rPr>
              <w:t>依托洗煤厂供水系统（府谷县惠泉水务公司提供）</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洗煤厂</w:t>
            </w:r>
            <w:r>
              <w:rPr>
                <w:rFonts w:ascii="Times New Roman" w:hAnsi="Times New Roman" w:eastAsia="宋体"/>
                <w:color w:val="auto"/>
                <w:sz w:val="24"/>
                <w:highlight w:val="none"/>
              </w:rPr>
              <w:t>生产用水包括</w:t>
            </w:r>
            <w:r>
              <w:rPr>
                <w:rFonts w:hint="eastAsia" w:ascii="Times New Roman" w:hAnsi="Times New Roman" w:eastAsia="宋体"/>
                <w:color w:val="auto"/>
                <w:sz w:val="24"/>
                <w:highlight w:val="none"/>
                <w:lang w:val="en-US" w:eastAsia="zh-CN"/>
              </w:rPr>
              <w:t>喷</w:t>
            </w:r>
            <w:r>
              <w:rPr>
                <w:rFonts w:ascii="Times New Roman" w:hAnsi="Times New Roman" w:eastAsia="宋体"/>
                <w:color w:val="auto"/>
                <w:sz w:val="24"/>
                <w:highlight w:val="none"/>
              </w:rPr>
              <w:t>雾抑尘用水</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洗煤用水、地面冲洗用水，本项目不新增生产用水，不新增劳动定员，也不新增生活用水。</w:t>
            </w:r>
          </w:p>
          <w:p w14:paraId="44CDC861">
            <w:pPr>
              <w:pStyle w:val="82"/>
              <w:adjustRightInd/>
              <w:spacing w:line="360" w:lineRule="auto"/>
              <w:ind w:firstLine="480" w:firstLineChars="200"/>
              <w:jc w:val="both"/>
              <w:rPr>
                <w:rFonts w:ascii="Times New Roman" w:hAnsi="Times New Roman" w:eastAsia="宋体" w:cs="Times New Roman"/>
                <w:color w:val="auto"/>
                <w:highlight w:val="none"/>
              </w:rPr>
            </w:pPr>
            <w:r>
              <w:rPr>
                <w:rFonts w:hint="eastAsia" w:ascii="Times New Roman" w:hAnsi="Times New Roman" w:eastAsia="宋体"/>
                <w:color w:val="auto"/>
                <w:highlight w:val="none"/>
              </w:rPr>
              <w:t>⑵</w:t>
            </w:r>
            <w:r>
              <w:rPr>
                <w:rFonts w:ascii="Times New Roman" w:hAnsi="Times New Roman" w:eastAsia="宋体" w:cs="Times New Roman"/>
                <w:color w:val="auto"/>
                <w:highlight w:val="none"/>
              </w:rPr>
              <w:t xml:space="preserve"> 排水</w:t>
            </w:r>
          </w:p>
          <w:p w14:paraId="1780DB29">
            <w:pPr>
              <w:pStyle w:val="82"/>
              <w:adjustRightInd/>
              <w:spacing w:line="360" w:lineRule="auto"/>
              <w:ind w:firstLine="472" w:firstLineChars="200"/>
              <w:jc w:val="both"/>
              <w:rPr>
                <w:rFonts w:hint="default" w:ascii="Times New Roman" w:hAnsi="Times New Roman" w:eastAsia="宋体" w:cs="Times New Roman"/>
                <w:color w:val="auto"/>
                <w:spacing w:val="-2"/>
                <w:highlight w:val="none"/>
                <w:lang w:val="en-US" w:eastAsia="zh-CN"/>
              </w:rPr>
            </w:pPr>
            <w:r>
              <w:rPr>
                <w:rFonts w:ascii="Times New Roman" w:hAnsi="Times New Roman" w:eastAsia="宋体" w:cs="Times New Roman"/>
                <w:color w:val="auto"/>
                <w:spacing w:val="-2"/>
                <w:highlight w:val="none"/>
              </w:rPr>
              <w:t>项目排水采用雨、污分流制排水系统。</w:t>
            </w:r>
            <w:r>
              <w:rPr>
                <w:rFonts w:hint="eastAsia" w:ascii="Times New Roman" w:hAnsi="Times New Roman" w:eastAsia="宋体" w:cs="Times New Roman"/>
                <w:color w:val="auto"/>
                <w:spacing w:val="-2"/>
                <w:highlight w:val="none"/>
                <w:lang w:val="en-US" w:eastAsia="zh-CN"/>
              </w:rPr>
              <w:t>雨水依托现有的初期雨水收集池，收集的雨水经沉淀后回用于厂区洒水抑尘用水、绿化用水、洗车用水等。生活污水，现有旱厕一座，后用于农田堆肥。</w:t>
            </w:r>
          </w:p>
          <w:p w14:paraId="15AAF0B9">
            <w:pPr>
              <w:pStyle w:val="82"/>
              <w:adjustRightInd/>
              <w:spacing w:line="360" w:lineRule="auto"/>
              <w:ind w:firstLine="480" w:firstLineChars="200"/>
              <w:jc w:val="both"/>
              <w:rPr>
                <w:rFonts w:hint="eastAsia" w:ascii="Times New Roman" w:hAnsi="Times New Roman" w:eastAsia="宋体"/>
                <w:color w:val="auto"/>
                <w:highlight w:val="none"/>
              </w:rPr>
            </w:pPr>
            <w:r>
              <w:rPr>
                <w:rFonts w:hint="eastAsia" w:ascii="宋体" w:hAnsi="宋体"/>
                <w:bCs/>
                <w:color w:val="auto"/>
                <w:sz w:val="24"/>
                <w:szCs w:val="24"/>
                <w:highlight w:val="none"/>
              </w:rPr>
              <w:t>项目给排水情况</w:t>
            </w:r>
            <w:r>
              <w:rPr>
                <w:rFonts w:hint="eastAsia" w:hAnsi="宋体"/>
                <w:bCs/>
                <w:color w:val="auto"/>
                <w:sz w:val="24"/>
                <w:szCs w:val="24"/>
                <w:highlight w:val="none"/>
                <w:lang w:val="en-US" w:eastAsia="zh-CN"/>
              </w:rPr>
              <w:t>不变，具体</w:t>
            </w:r>
            <w:r>
              <w:rPr>
                <w:rFonts w:hint="eastAsia" w:ascii="宋体" w:hAnsi="宋体"/>
                <w:bCs/>
                <w:color w:val="auto"/>
                <w:sz w:val="24"/>
                <w:szCs w:val="24"/>
                <w:highlight w:val="none"/>
              </w:rPr>
              <w:t>见表2-</w:t>
            </w:r>
            <w:r>
              <w:rPr>
                <w:rFonts w:hint="eastAsia" w:hAnsi="宋体"/>
                <w:bCs/>
                <w:color w:val="auto"/>
                <w:sz w:val="24"/>
                <w:szCs w:val="24"/>
                <w:highlight w:val="none"/>
                <w:lang w:val="en-US" w:eastAsia="zh-CN"/>
              </w:rPr>
              <w:t>4</w:t>
            </w:r>
            <w:r>
              <w:rPr>
                <w:rFonts w:hint="eastAsia" w:ascii="宋体" w:hAnsi="宋体"/>
                <w:bCs/>
                <w:color w:val="auto"/>
                <w:sz w:val="24"/>
                <w:szCs w:val="24"/>
                <w:highlight w:val="none"/>
              </w:rPr>
              <w:t>，水平衡图见图2-1。</w:t>
            </w:r>
          </w:p>
          <w:p w14:paraId="1B3F1ED1">
            <w:pPr>
              <w:adjustRightInd w:val="0"/>
              <w:snapToGrid w:val="0"/>
              <w:jc w:val="center"/>
              <w:rPr>
                <w:rFonts w:ascii="宋体" w:hAnsi="宋体"/>
                <w:b/>
                <w:color w:val="auto"/>
                <w:sz w:val="24"/>
                <w:szCs w:val="24"/>
                <w:highlight w:val="none"/>
              </w:rPr>
            </w:pPr>
            <w:r>
              <w:rPr>
                <w:rFonts w:hint="eastAsia" w:ascii="宋体" w:hAnsi="宋体"/>
                <w:b/>
                <w:color w:val="auto"/>
                <w:sz w:val="24"/>
                <w:szCs w:val="24"/>
                <w:highlight w:val="none"/>
              </w:rPr>
              <w:t>表2-</w:t>
            </w:r>
            <w:r>
              <w:rPr>
                <w:rFonts w:hint="eastAsia" w:ascii="宋体" w:hAnsi="宋体"/>
                <w:b/>
                <w:color w:val="auto"/>
                <w:sz w:val="24"/>
                <w:szCs w:val="24"/>
                <w:highlight w:val="none"/>
                <w:lang w:val="en-US" w:eastAsia="zh-CN"/>
              </w:rPr>
              <w:t>4</w:t>
            </w:r>
            <w:r>
              <w:rPr>
                <w:rFonts w:hint="eastAsia" w:ascii="宋体" w:hAnsi="宋体"/>
                <w:b/>
                <w:color w:val="auto"/>
                <w:sz w:val="24"/>
                <w:szCs w:val="24"/>
                <w:highlight w:val="none"/>
              </w:rPr>
              <w:t xml:space="preserve">  给排水情况一览表</w:t>
            </w:r>
          </w:p>
          <w:tbl>
            <w:tblPr>
              <w:tblStyle w:val="28"/>
              <w:tblpPr w:leftFromText="180" w:rightFromText="180" w:vertAnchor="text" w:horzAnchor="page" w:tblpXSpec="center" w:tblpY="114"/>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301"/>
              <w:gridCol w:w="1331"/>
              <w:gridCol w:w="1331"/>
              <w:gridCol w:w="1331"/>
              <w:gridCol w:w="1252"/>
            </w:tblGrid>
            <w:tr w14:paraId="7FEA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l2br w:val="nil"/>
                    <w:tr2bl w:val="nil"/>
                  </w:tcBorders>
                  <w:noWrap w:val="0"/>
                  <w:vAlign w:val="center"/>
                </w:tcPr>
                <w:p w14:paraId="79D9F126">
                  <w:pPr>
                    <w:jc w:val="center"/>
                    <w:rPr>
                      <w:b w:val="0"/>
                      <w:bCs w:val="0"/>
                      <w:color w:val="auto"/>
                      <w:szCs w:val="21"/>
                      <w:highlight w:val="none"/>
                      <w:lang w:val="en-US" w:eastAsia="zh-CN" w:bidi="ar-SA"/>
                    </w:rPr>
                  </w:pPr>
                  <w:r>
                    <w:rPr>
                      <w:b w:val="0"/>
                      <w:bCs w:val="0"/>
                      <w:color w:val="auto"/>
                      <w:szCs w:val="21"/>
                      <w:highlight w:val="none"/>
                      <w:lang w:val="en-US" w:eastAsia="zh-CN" w:bidi="ar-SA"/>
                    </w:rPr>
                    <w:t>用水工序</w:t>
                  </w:r>
                </w:p>
              </w:tc>
              <w:tc>
                <w:tcPr>
                  <w:tcW w:w="829" w:type="pct"/>
                  <w:tcBorders>
                    <w:tl2br w:val="nil"/>
                    <w:tr2bl w:val="nil"/>
                  </w:tcBorders>
                  <w:noWrap w:val="0"/>
                  <w:vAlign w:val="center"/>
                </w:tcPr>
                <w:p w14:paraId="79904B90">
                  <w:pPr>
                    <w:jc w:val="center"/>
                    <w:rPr>
                      <w:b w:val="0"/>
                      <w:bCs w:val="0"/>
                      <w:color w:val="auto"/>
                      <w:szCs w:val="21"/>
                      <w:highlight w:val="none"/>
                      <w:lang w:val="en-US" w:eastAsia="zh-CN" w:bidi="ar-SA"/>
                    </w:rPr>
                  </w:pPr>
                  <w:r>
                    <w:rPr>
                      <w:rFonts w:hint="eastAsia" w:ascii="宋体" w:hAnsi="宋体"/>
                      <w:b w:val="0"/>
                      <w:bCs w:val="0"/>
                      <w:color w:val="auto"/>
                      <w:highlight w:val="none"/>
                      <w:lang w:val="en-US" w:eastAsia="zh-CN" w:bidi="ar-SA"/>
                    </w:rPr>
                    <w:t>水务公司提供用水（</w:t>
                  </w:r>
                  <w:r>
                    <w:rPr>
                      <w:rFonts w:hint="eastAsia" w:ascii="宋体" w:hAnsi="宋体" w:cs="宋体"/>
                      <w:b w:val="0"/>
                      <w:bCs w:val="0"/>
                      <w:color w:val="auto"/>
                      <w:highlight w:val="none"/>
                      <w:lang w:val="en-US" w:eastAsia="zh-CN" w:bidi="ar-SA"/>
                    </w:rPr>
                    <w:t>m</w:t>
                  </w:r>
                  <w:r>
                    <w:rPr>
                      <w:rFonts w:hint="eastAsia" w:ascii="宋体" w:hAnsi="宋体" w:cs="宋体"/>
                      <w:b w:val="0"/>
                      <w:bCs w:val="0"/>
                      <w:color w:val="auto"/>
                      <w:highlight w:val="none"/>
                      <w:vertAlign w:val="superscript"/>
                      <w:lang w:val="en-US" w:eastAsia="zh-CN" w:bidi="ar-SA"/>
                    </w:rPr>
                    <w:t>3</w:t>
                  </w:r>
                  <w:r>
                    <w:rPr>
                      <w:rFonts w:hint="eastAsia" w:ascii="宋体" w:hAnsi="宋体" w:cs="宋体"/>
                      <w:b w:val="0"/>
                      <w:bCs w:val="0"/>
                      <w:color w:val="auto"/>
                      <w:highlight w:val="none"/>
                      <w:lang w:val="en-US" w:eastAsia="zh-CN" w:bidi="ar-SA"/>
                    </w:rPr>
                    <w:t>/d</w:t>
                  </w:r>
                  <w:r>
                    <w:rPr>
                      <w:rFonts w:hint="eastAsia" w:ascii="宋体" w:hAnsi="宋体"/>
                      <w:b w:val="0"/>
                      <w:bCs w:val="0"/>
                      <w:color w:val="auto"/>
                      <w:highlight w:val="none"/>
                      <w:lang w:val="en-US" w:eastAsia="zh-CN" w:bidi="ar-SA"/>
                    </w:rPr>
                    <w:t>）</w:t>
                  </w:r>
                </w:p>
              </w:tc>
              <w:tc>
                <w:tcPr>
                  <w:tcW w:w="848" w:type="pct"/>
                  <w:tcBorders>
                    <w:tl2br w:val="nil"/>
                    <w:tr2bl w:val="nil"/>
                  </w:tcBorders>
                  <w:noWrap w:val="0"/>
                  <w:vAlign w:val="center"/>
                </w:tcPr>
                <w:p w14:paraId="0F45769E">
                  <w:pPr>
                    <w:jc w:val="center"/>
                    <w:rPr>
                      <w:b w:val="0"/>
                      <w:bCs w:val="0"/>
                      <w:color w:val="auto"/>
                      <w:szCs w:val="21"/>
                      <w:highlight w:val="none"/>
                      <w:lang w:val="en-US" w:eastAsia="zh-CN" w:bidi="ar-SA"/>
                    </w:rPr>
                  </w:pPr>
                  <w:r>
                    <w:rPr>
                      <w:b w:val="0"/>
                      <w:bCs w:val="0"/>
                      <w:color w:val="auto"/>
                      <w:szCs w:val="21"/>
                      <w:highlight w:val="none"/>
                      <w:lang w:val="en-US" w:eastAsia="zh-CN" w:bidi="ar-SA"/>
                    </w:rPr>
                    <w:t>循环水量（m</w:t>
                  </w:r>
                  <w:r>
                    <w:rPr>
                      <w:b w:val="0"/>
                      <w:bCs w:val="0"/>
                      <w:color w:val="auto"/>
                      <w:szCs w:val="21"/>
                      <w:highlight w:val="none"/>
                      <w:vertAlign w:val="superscript"/>
                      <w:lang w:val="en-US" w:eastAsia="zh-CN" w:bidi="ar-SA"/>
                    </w:rPr>
                    <w:t>3</w:t>
                  </w:r>
                  <w:r>
                    <w:rPr>
                      <w:b w:val="0"/>
                      <w:bCs w:val="0"/>
                      <w:color w:val="auto"/>
                      <w:szCs w:val="21"/>
                      <w:highlight w:val="none"/>
                      <w:lang w:val="en-US" w:eastAsia="zh-CN" w:bidi="ar-SA"/>
                    </w:rPr>
                    <w:t>/d）</w:t>
                  </w:r>
                </w:p>
              </w:tc>
              <w:tc>
                <w:tcPr>
                  <w:tcW w:w="848" w:type="pct"/>
                  <w:tcBorders>
                    <w:tl2br w:val="nil"/>
                    <w:tr2bl w:val="nil"/>
                  </w:tcBorders>
                  <w:noWrap w:val="0"/>
                  <w:vAlign w:val="center"/>
                </w:tcPr>
                <w:p w14:paraId="155C2A48">
                  <w:pPr>
                    <w:jc w:val="center"/>
                    <w:rPr>
                      <w:b w:val="0"/>
                      <w:bCs w:val="0"/>
                      <w:color w:val="auto"/>
                      <w:szCs w:val="21"/>
                      <w:highlight w:val="none"/>
                      <w:lang w:val="en-US" w:eastAsia="zh-CN" w:bidi="ar-SA"/>
                    </w:rPr>
                  </w:pPr>
                  <w:r>
                    <w:rPr>
                      <w:b w:val="0"/>
                      <w:bCs w:val="0"/>
                      <w:color w:val="auto"/>
                      <w:szCs w:val="21"/>
                      <w:highlight w:val="none"/>
                      <w:lang w:val="en-US" w:eastAsia="zh-CN" w:bidi="ar-SA"/>
                    </w:rPr>
                    <w:t>损耗量（m</w:t>
                  </w:r>
                  <w:r>
                    <w:rPr>
                      <w:b w:val="0"/>
                      <w:bCs w:val="0"/>
                      <w:color w:val="auto"/>
                      <w:szCs w:val="21"/>
                      <w:highlight w:val="none"/>
                      <w:vertAlign w:val="superscript"/>
                      <w:lang w:val="en-US" w:eastAsia="zh-CN" w:bidi="ar-SA"/>
                    </w:rPr>
                    <w:t>3</w:t>
                  </w:r>
                  <w:r>
                    <w:rPr>
                      <w:b w:val="0"/>
                      <w:bCs w:val="0"/>
                      <w:color w:val="auto"/>
                      <w:szCs w:val="21"/>
                      <w:highlight w:val="none"/>
                      <w:lang w:val="en-US" w:eastAsia="zh-CN" w:bidi="ar-SA"/>
                    </w:rPr>
                    <w:t>/d）</w:t>
                  </w:r>
                </w:p>
              </w:tc>
              <w:tc>
                <w:tcPr>
                  <w:tcW w:w="848" w:type="pct"/>
                  <w:tcBorders>
                    <w:tl2br w:val="nil"/>
                    <w:tr2bl w:val="nil"/>
                  </w:tcBorders>
                  <w:noWrap w:val="0"/>
                  <w:vAlign w:val="center"/>
                </w:tcPr>
                <w:p w14:paraId="6FF4CC2D">
                  <w:pPr>
                    <w:jc w:val="center"/>
                    <w:rPr>
                      <w:b w:val="0"/>
                      <w:bCs w:val="0"/>
                      <w:color w:val="auto"/>
                      <w:szCs w:val="21"/>
                      <w:highlight w:val="none"/>
                      <w:lang w:val="en-US" w:eastAsia="zh-CN" w:bidi="ar-SA"/>
                    </w:rPr>
                  </w:pPr>
                  <w:r>
                    <w:rPr>
                      <w:rFonts w:hint="eastAsia"/>
                      <w:b w:val="0"/>
                      <w:bCs w:val="0"/>
                      <w:color w:val="auto"/>
                      <w:szCs w:val="21"/>
                      <w:highlight w:val="none"/>
                      <w:lang w:val="en-US" w:eastAsia="zh-CN" w:bidi="ar-SA"/>
                    </w:rPr>
                    <w:t>排放量</w:t>
                  </w:r>
                  <w:r>
                    <w:rPr>
                      <w:b w:val="0"/>
                      <w:bCs w:val="0"/>
                      <w:color w:val="auto"/>
                      <w:szCs w:val="21"/>
                      <w:highlight w:val="none"/>
                      <w:lang w:val="en-US" w:eastAsia="zh-CN" w:bidi="ar-SA"/>
                    </w:rPr>
                    <w:t>（m</w:t>
                  </w:r>
                  <w:r>
                    <w:rPr>
                      <w:b w:val="0"/>
                      <w:bCs w:val="0"/>
                      <w:color w:val="auto"/>
                      <w:szCs w:val="21"/>
                      <w:highlight w:val="none"/>
                      <w:vertAlign w:val="superscript"/>
                      <w:lang w:val="en-US" w:eastAsia="zh-CN" w:bidi="ar-SA"/>
                    </w:rPr>
                    <w:t>3</w:t>
                  </w:r>
                  <w:r>
                    <w:rPr>
                      <w:b w:val="0"/>
                      <w:bCs w:val="0"/>
                      <w:color w:val="auto"/>
                      <w:szCs w:val="21"/>
                      <w:highlight w:val="none"/>
                      <w:lang w:val="en-US" w:eastAsia="zh-CN" w:bidi="ar-SA"/>
                    </w:rPr>
                    <w:t>/d）</w:t>
                  </w:r>
                </w:p>
              </w:tc>
              <w:tc>
                <w:tcPr>
                  <w:tcW w:w="798" w:type="pct"/>
                  <w:tcBorders>
                    <w:tl2br w:val="nil"/>
                    <w:tr2bl w:val="nil"/>
                  </w:tcBorders>
                  <w:noWrap w:val="0"/>
                  <w:vAlign w:val="center"/>
                </w:tcPr>
                <w:p w14:paraId="7CEC33CB">
                  <w:pPr>
                    <w:jc w:val="center"/>
                    <w:rPr>
                      <w:b w:val="0"/>
                      <w:bCs w:val="0"/>
                      <w:color w:val="auto"/>
                      <w:szCs w:val="21"/>
                      <w:highlight w:val="none"/>
                      <w:lang w:val="en-US" w:eastAsia="zh-CN" w:bidi="ar-SA"/>
                    </w:rPr>
                  </w:pPr>
                  <w:r>
                    <w:rPr>
                      <w:rFonts w:hint="eastAsia"/>
                      <w:b w:val="0"/>
                      <w:bCs w:val="0"/>
                      <w:color w:val="auto"/>
                      <w:szCs w:val="21"/>
                      <w:highlight w:val="none"/>
                      <w:lang w:val="en-US" w:eastAsia="zh-CN" w:bidi="ar-SA"/>
                    </w:rPr>
                    <w:t>备注</w:t>
                  </w:r>
                </w:p>
              </w:tc>
            </w:tr>
            <w:tr w14:paraId="28FD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pct"/>
                  <w:tcBorders>
                    <w:tl2br w:val="nil"/>
                    <w:tr2bl w:val="nil"/>
                  </w:tcBorders>
                  <w:noWrap w:val="0"/>
                  <w:vAlign w:val="center"/>
                </w:tcPr>
                <w:p w14:paraId="0A6C5921">
                  <w:pPr>
                    <w:jc w:val="center"/>
                    <w:rPr>
                      <w:color w:val="auto"/>
                      <w:szCs w:val="21"/>
                      <w:highlight w:val="none"/>
                      <w:lang w:val="en-US" w:eastAsia="zh-CN" w:bidi="ar-SA"/>
                    </w:rPr>
                  </w:pPr>
                  <w:r>
                    <w:rPr>
                      <w:color w:val="auto"/>
                      <w:szCs w:val="21"/>
                      <w:highlight w:val="none"/>
                      <w:lang w:val="en-US" w:eastAsia="zh-CN" w:bidi="ar-SA"/>
                    </w:rPr>
                    <w:t>洗选用水</w:t>
                  </w:r>
                </w:p>
              </w:tc>
              <w:tc>
                <w:tcPr>
                  <w:tcW w:w="829" w:type="pct"/>
                  <w:tcBorders>
                    <w:tl2br w:val="nil"/>
                    <w:tr2bl w:val="nil"/>
                  </w:tcBorders>
                  <w:noWrap w:val="0"/>
                  <w:vAlign w:val="center"/>
                </w:tcPr>
                <w:p w14:paraId="4FC11FCE">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229</w:t>
                  </w:r>
                </w:p>
              </w:tc>
              <w:tc>
                <w:tcPr>
                  <w:tcW w:w="848" w:type="pct"/>
                  <w:tcBorders>
                    <w:tl2br w:val="nil"/>
                    <w:tr2bl w:val="nil"/>
                  </w:tcBorders>
                  <w:noWrap w:val="0"/>
                  <w:vAlign w:val="center"/>
                </w:tcPr>
                <w:p w14:paraId="359FB251">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9060</w:t>
                  </w:r>
                </w:p>
              </w:tc>
              <w:tc>
                <w:tcPr>
                  <w:tcW w:w="848" w:type="pct"/>
                  <w:tcBorders>
                    <w:tl2br w:val="nil"/>
                    <w:tr2bl w:val="nil"/>
                  </w:tcBorders>
                  <w:noWrap w:val="0"/>
                  <w:vAlign w:val="center"/>
                </w:tcPr>
                <w:p w14:paraId="29BDB42E">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w:t>
                  </w:r>
                </w:p>
              </w:tc>
              <w:tc>
                <w:tcPr>
                  <w:tcW w:w="848" w:type="pct"/>
                  <w:tcBorders>
                    <w:tl2br w:val="nil"/>
                    <w:tr2bl w:val="nil"/>
                  </w:tcBorders>
                  <w:noWrap w:val="0"/>
                  <w:vAlign w:val="center"/>
                </w:tcPr>
                <w:p w14:paraId="01B07906">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w:t>
                  </w:r>
                </w:p>
              </w:tc>
              <w:tc>
                <w:tcPr>
                  <w:tcW w:w="798" w:type="pct"/>
                  <w:tcBorders>
                    <w:tl2br w:val="nil"/>
                    <w:tr2bl w:val="nil"/>
                  </w:tcBorders>
                  <w:noWrap w:val="0"/>
                  <w:vAlign w:val="center"/>
                </w:tcPr>
                <w:p w14:paraId="367A6302">
                  <w:pPr>
                    <w:jc w:val="center"/>
                    <w:rPr>
                      <w:color w:val="auto"/>
                      <w:szCs w:val="21"/>
                      <w:highlight w:val="none"/>
                      <w:lang w:val="en-US" w:eastAsia="zh-CN" w:bidi="ar-SA"/>
                    </w:rPr>
                  </w:pPr>
                  <w:r>
                    <w:rPr>
                      <w:rFonts w:hint="eastAsia"/>
                      <w:color w:val="auto"/>
                      <w:szCs w:val="21"/>
                      <w:highlight w:val="none"/>
                      <w:lang w:val="en-US" w:eastAsia="zh-CN" w:bidi="ar-SA"/>
                    </w:rPr>
                    <w:t>随产品带出</w:t>
                  </w:r>
                </w:p>
              </w:tc>
            </w:tr>
            <w:tr w14:paraId="5165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l2br w:val="nil"/>
                    <w:tr2bl w:val="nil"/>
                  </w:tcBorders>
                  <w:noWrap w:val="0"/>
                  <w:vAlign w:val="center"/>
                </w:tcPr>
                <w:p w14:paraId="24B37F8C">
                  <w:pPr>
                    <w:jc w:val="center"/>
                    <w:rPr>
                      <w:color w:val="auto"/>
                      <w:szCs w:val="21"/>
                      <w:highlight w:val="none"/>
                      <w:lang w:val="en-US" w:eastAsia="zh-CN" w:bidi="ar-SA"/>
                    </w:rPr>
                  </w:pPr>
                  <w:r>
                    <w:rPr>
                      <w:color w:val="auto"/>
                      <w:szCs w:val="21"/>
                      <w:highlight w:val="none"/>
                      <w:lang w:val="en-US" w:eastAsia="zh-CN" w:bidi="ar-SA"/>
                    </w:rPr>
                    <w:t>道路洒水抑尘用水</w:t>
                  </w:r>
                </w:p>
              </w:tc>
              <w:tc>
                <w:tcPr>
                  <w:tcW w:w="829" w:type="pct"/>
                  <w:tcBorders>
                    <w:tl2br w:val="nil"/>
                    <w:tr2bl w:val="nil"/>
                  </w:tcBorders>
                  <w:noWrap w:val="0"/>
                  <w:vAlign w:val="center"/>
                </w:tcPr>
                <w:p w14:paraId="03A9E9F5">
                  <w:pPr>
                    <w:jc w:val="center"/>
                    <w:rPr>
                      <w:color w:val="auto"/>
                      <w:szCs w:val="21"/>
                      <w:highlight w:val="none"/>
                      <w:lang w:val="en-US" w:eastAsia="zh-CN" w:bidi="ar-SA"/>
                    </w:rPr>
                  </w:pPr>
                  <w:r>
                    <w:rPr>
                      <w:rFonts w:hint="eastAsia"/>
                      <w:color w:val="auto"/>
                      <w:szCs w:val="21"/>
                      <w:highlight w:val="none"/>
                      <w:lang w:val="en-US" w:eastAsia="zh-CN" w:bidi="ar-SA"/>
                    </w:rPr>
                    <w:t>6</w:t>
                  </w:r>
                </w:p>
              </w:tc>
              <w:tc>
                <w:tcPr>
                  <w:tcW w:w="848" w:type="pct"/>
                  <w:tcBorders>
                    <w:tl2br w:val="nil"/>
                    <w:tr2bl w:val="nil"/>
                  </w:tcBorders>
                  <w:noWrap w:val="0"/>
                  <w:vAlign w:val="center"/>
                </w:tcPr>
                <w:p w14:paraId="06DF71D0">
                  <w:pPr>
                    <w:jc w:val="center"/>
                    <w:rPr>
                      <w:color w:val="auto"/>
                      <w:szCs w:val="21"/>
                      <w:highlight w:val="none"/>
                      <w:lang w:val="en-US" w:eastAsia="zh-CN" w:bidi="ar-SA"/>
                    </w:rPr>
                  </w:pPr>
                  <w:r>
                    <w:rPr>
                      <w:color w:val="auto"/>
                      <w:szCs w:val="21"/>
                      <w:highlight w:val="none"/>
                      <w:lang w:val="en-US" w:eastAsia="zh-CN" w:bidi="ar-SA"/>
                    </w:rPr>
                    <w:t>0</w:t>
                  </w:r>
                </w:p>
              </w:tc>
              <w:tc>
                <w:tcPr>
                  <w:tcW w:w="848" w:type="pct"/>
                  <w:tcBorders>
                    <w:tl2br w:val="nil"/>
                    <w:tr2bl w:val="nil"/>
                  </w:tcBorders>
                  <w:noWrap w:val="0"/>
                  <w:vAlign w:val="center"/>
                </w:tcPr>
                <w:p w14:paraId="0C45AD59">
                  <w:pPr>
                    <w:jc w:val="center"/>
                    <w:rPr>
                      <w:color w:val="auto"/>
                      <w:szCs w:val="21"/>
                      <w:highlight w:val="none"/>
                      <w:lang w:val="en-US" w:eastAsia="zh-CN" w:bidi="ar-SA"/>
                    </w:rPr>
                  </w:pPr>
                  <w:r>
                    <w:rPr>
                      <w:rFonts w:hint="eastAsia"/>
                      <w:color w:val="auto"/>
                      <w:szCs w:val="21"/>
                      <w:highlight w:val="none"/>
                      <w:lang w:val="en-US" w:eastAsia="zh-CN" w:bidi="ar-SA"/>
                    </w:rPr>
                    <w:t>6</w:t>
                  </w:r>
                </w:p>
              </w:tc>
              <w:tc>
                <w:tcPr>
                  <w:tcW w:w="848" w:type="pct"/>
                  <w:tcBorders>
                    <w:tl2br w:val="nil"/>
                    <w:tr2bl w:val="nil"/>
                  </w:tcBorders>
                  <w:noWrap w:val="0"/>
                  <w:vAlign w:val="center"/>
                </w:tcPr>
                <w:p w14:paraId="54AA666E">
                  <w:pPr>
                    <w:jc w:val="center"/>
                    <w:rPr>
                      <w:color w:val="auto"/>
                      <w:szCs w:val="21"/>
                      <w:highlight w:val="none"/>
                      <w:lang w:val="en-US" w:eastAsia="zh-CN" w:bidi="ar-SA"/>
                    </w:rPr>
                  </w:pPr>
                  <w:r>
                    <w:rPr>
                      <w:rFonts w:hint="eastAsia"/>
                      <w:color w:val="auto"/>
                      <w:szCs w:val="21"/>
                      <w:highlight w:val="none"/>
                      <w:lang w:val="en-US" w:eastAsia="zh-CN" w:bidi="ar-SA"/>
                    </w:rPr>
                    <w:t>0</w:t>
                  </w:r>
                </w:p>
              </w:tc>
              <w:tc>
                <w:tcPr>
                  <w:tcW w:w="798" w:type="pct"/>
                  <w:tcBorders>
                    <w:tl2br w:val="nil"/>
                    <w:tr2bl w:val="nil"/>
                  </w:tcBorders>
                  <w:noWrap w:val="0"/>
                  <w:vAlign w:val="center"/>
                </w:tcPr>
                <w:p w14:paraId="46F277F3">
                  <w:pPr>
                    <w:jc w:val="center"/>
                    <w:rPr>
                      <w:color w:val="auto"/>
                      <w:szCs w:val="21"/>
                      <w:highlight w:val="none"/>
                      <w:lang w:val="en-US" w:eastAsia="zh-CN" w:bidi="ar-SA"/>
                    </w:rPr>
                  </w:pPr>
                  <w:r>
                    <w:rPr>
                      <w:color w:val="auto"/>
                      <w:szCs w:val="21"/>
                      <w:highlight w:val="none"/>
                      <w:lang w:val="en-US" w:eastAsia="zh-CN" w:bidi="ar-SA"/>
                    </w:rPr>
                    <w:t>/</w:t>
                  </w:r>
                </w:p>
              </w:tc>
            </w:tr>
            <w:tr w14:paraId="4751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l2br w:val="nil"/>
                    <w:tr2bl w:val="nil"/>
                  </w:tcBorders>
                  <w:noWrap w:val="0"/>
                  <w:vAlign w:val="center"/>
                </w:tcPr>
                <w:p w14:paraId="4CAEBA9B">
                  <w:pPr>
                    <w:jc w:val="center"/>
                    <w:rPr>
                      <w:color w:val="auto"/>
                      <w:szCs w:val="21"/>
                      <w:highlight w:val="none"/>
                      <w:lang w:val="en-US" w:eastAsia="zh-CN" w:bidi="ar-SA"/>
                    </w:rPr>
                  </w:pPr>
                  <w:r>
                    <w:rPr>
                      <w:color w:val="auto"/>
                      <w:szCs w:val="21"/>
                      <w:highlight w:val="none"/>
                      <w:lang w:val="en-US" w:eastAsia="zh-CN" w:bidi="ar-SA"/>
                    </w:rPr>
                    <w:t>喷雾除尘用水</w:t>
                  </w:r>
                </w:p>
              </w:tc>
              <w:tc>
                <w:tcPr>
                  <w:tcW w:w="829" w:type="pct"/>
                  <w:tcBorders>
                    <w:tl2br w:val="nil"/>
                    <w:tr2bl w:val="nil"/>
                  </w:tcBorders>
                  <w:noWrap w:val="0"/>
                  <w:vAlign w:val="center"/>
                </w:tcPr>
                <w:p w14:paraId="010C31D8">
                  <w:pPr>
                    <w:jc w:val="center"/>
                    <w:rPr>
                      <w:color w:val="auto"/>
                      <w:szCs w:val="21"/>
                      <w:highlight w:val="none"/>
                      <w:lang w:val="en-US" w:eastAsia="zh-CN" w:bidi="ar-SA"/>
                    </w:rPr>
                  </w:pPr>
                  <w:r>
                    <w:rPr>
                      <w:rFonts w:hint="eastAsia"/>
                      <w:color w:val="auto"/>
                      <w:szCs w:val="21"/>
                      <w:highlight w:val="none"/>
                      <w:lang w:val="en-US" w:eastAsia="zh-CN" w:bidi="ar-SA"/>
                    </w:rPr>
                    <w:t>6</w:t>
                  </w:r>
                </w:p>
              </w:tc>
              <w:tc>
                <w:tcPr>
                  <w:tcW w:w="848" w:type="pct"/>
                  <w:tcBorders>
                    <w:tl2br w:val="nil"/>
                    <w:tr2bl w:val="nil"/>
                  </w:tcBorders>
                  <w:noWrap w:val="0"/>
                  <w:vAlign w:val="center"/>
                </w:tcPr>
                <w:p w14:paraId="75C8A224">
                  <w:pPr>
                    <w:jc w:val="center"/>
                    <w:rPr>
                      <w:color w:val="auto"/>
                      <w:szCs w:val="21"/>
                      <w:highlight w:val="none"/>
                      <w:lang w:val="en-US" w:eastAsia="zh-CN" w:bidi="ar-SA"/>
                    </w:rPr>
                  </w:pPr>
                  <w:r>
                    <w:rPr>
                      <w:color w:val="auto"/>
                      <w:szCs w:val="21"/>
                      <w:highlight w:val="none"/>
                      <w:lang w:val="en-US" w:eastAsia="zh-CN" w:bidi="ar-SA"/>
                    </w:rPr>
                    <w:t>0</w:t>
                  </w:r>
                </w:p>
              </w:tc>
              <w:tc>
                <w:tcPr>
                  <w:tcW w:w="848" w:type="pct"/>
                  <w:tcBorders>
                    <w:tl2br w:val="nil"/>
                    <w:tr2bl w:val="nil"/>
                  </w:tcBorders>
                  <w:noWrap w:val="0"/>
                  <w:vAlign w:val="center"/>
                </w:tcPr>
                <w:p w14:paraId="4936F13F">
                  <w:pPr>
                    <w:jc w:val="center"/>
                    <w:rPr>
                      <w:color w:val="auto"/>
                      <w:szCs w:val="21"/>
                      <w:highlight w:val="none"/>
                      <w:lang w:val="en-US" w:eastAsia="zh-CN" w:bidi="ar-SA"/>
                    </w:rPr>
                  </w:pPr>
                  <w:r>
                    <w:rPr>
                      <w:rFonts w:hint="eastAsia"/>
                      <w:color w:val="auto"/>
                      <w:szCs w:val="21"/>
                      <w:highlight w:val="none"/>
                      <w:lang w:val="en-US" w:eastAsia="zh-CN" w:bidi="ar-SA"/>
                    </w:rPr>
                    <w:t>6</w:t>
                  </w:r>
                </w:p>
              </w:tc>
              <w:tc>
                <w:tcPr>
                  <w:tcW w:w="848" w:type="pct"/>
                  <w:tcBorders>
                    <w:tl2br w:val="nil"/>
                    <w:tr2bl w:val="nil"/>
                  </w:tcBorders>
                  <w:noWrap w:val="0"/>
                  <w:vAlign w:val="center"/>
                </w:tcPr>
                <w:p w14:paraId="01B47E59">
                  <w:pPr>
                    <w:jc w:val="center"/>
                    <w:rPr>
                      <w:color w:val="auto"/>
                      <w:szCs w:val="21"/>
                      <w:highlight w:val="none"/>
                      <w:lang w:val="en-US" w:eastAsia="zh-CN" w:bidi="ar-SA"/>
                    </w:rPr>
                  </w:pPr>
                  <w:r>
                    <w:rPr>
                      <w:rFonts w:hint="eastAsia"/>
                      <w:color w:val="auto"/>
                      <w:szCs w:val="21"/>
                      <w:highlight w:val="none"/>
                      <w:lang w:val="en-US" w:eastAsia="zh-CN" w:bidi="ar-SA"/>
                    </w:rPr>
                    <w:t>0</w:t>
                  </w:r>
                </w:p>
              </w:tc>
              <w:tc>
                <w:tcPr>
                  <w:tcW w:w="798" w:type="pct"/>
                  <w:tcBorders>
                    <w:tl2br w:val="nil"/>
                    <w:tr2bl w:val="nil"/>
                  </w:tcBorders>
                  <w:noWrap w:val="0"/>
                  <w:vAlign w:val="center"/>
                </w:tcPr>
                <w:p w14:paraId="31F02B8C">
                  <w:pPr>
                    <w:jc w:val="center"/>
                    <w:rPr>
                      <w:color w:val="auto"/>
                      <w:szCs w:val="21"/>
                      <w:highlight w:val="none"/>
                      <w:lang w:val="en-US" w:eastAsia="zh-CN" w:bidi="ar-SA"/>
                    </w:rPr>
                  </w:pPr>
                  <w:r>
                    <w:rPr>
                      <w:color w:val="auto"/>
                      <w:szCs w:val="21"/>
                      <w:highlight w:val="none"/>
                      <w:lang w:val="en-US" w:eastAsia="zh-CN" w:bidi="ar-SA"/>
                    </w:rPr>
                    <w:t>/</w:t>
                  </w:r>
                </w:p>
              </w:tc>
            </w:tr>
            <w:tr w14:paraId="0D11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l2br w:val="nil"/>
                    <w:tr2bl w:val="nil"/>
                  </w:tcBorders>
                  <w:noWrap w:val="0"/>
                  <w:vAlign w:val="center"/>
                </w:tcPr>
                <w:p w14:paraId="23E4C864">
                  <w:pPr>
                    <w:jc w:val="center"/>
                    <w:rPr>
                      <w:color w:val="auto"/>
                      <w:szCs w:val="21"/>
                      <w:highlight w:val="none"/>
                      <w:lang w:val="en-US" w:eastAsia="zh-CN" w:bidi="ar-SA"/>
                    </w:rPr>
                  </w:pPr>
                  <w:r>
                    <w:rPr>
                      <w:color w:val="auto"/>
                      <w:szCs w:val="21"/>
                      <w:highlight w:val="none"/>
                      <w:lang w:val="en-US" w:eastAsia="zh-CN" w:bidi="ar-SA"/>
                    </w:rPr>
                    <w:t>车辆冲洗用水</w:t>
                  </w:r>
                </w:p>
              </w:tc>
              <w:tc>
                <w:tcPr>
                  <w:tcW w:w="829" w:type="pct"/>
                  <w:tcBorders>
                    <w:tl2br w:val="nil"/>
                    <w:tr2bl w:val="nil"/>
                  </w:tcBorders>
                  <w:noWrap w:val="0"/>
                  <w:vAlign w:val="center"/>
                </w:tcPr>
                <w:p w14:paraId="09C96090">
                  <w:pPr>
                    <w:jc w:val="center"/>
                    <w:rPr>
                      <w:color w:val="auto"/>
                      <w:szCs w:val="21"/>
                      <w:highlight w:val="none"/>
                      <w:lang w:val="en-US" w:eastAsia="zh-CN" w:bidi="ar-SA"/>
                    </w:rPr>
                  </w:pPr>
                  <w:r>
                    <w:rPr>
                      <w:rFonts w:hint="eastAsia"/>
                      <w:color w:val="auto"/>
                      <w:szCs w:val="21"/>
                      <w:highlight w:val="none"/>
                      <w:lang w:val="en-US" w:eastAsia="zh-CN" w:bidi="ar-SA"/>
                    </w:rPr>
                    <w:t>1.2</w:t>
                  </w:r>
                </w:p>
              </w:tc>
              <w:tc>
                <w:tcPr>
                  <w:tcW w:w="848" w:type="pct"/>
                  <w:tcBorders>
                    <w:tl2br w:val="nil"/>
                    <w:tr2bl w:val="nil"/>
                  </w:tcBorders>
                  <w:noWrap w:val="0"/>
                  <w:vAlign w:val="center"/>
                </w:tcPr>
                <w:p w14:paraId="505D9064">
                  <w:pPr>
                    <w:jc w:val="center"/>
                    <w:rPr>
                      <w:color w:val="auto"/>
                      <w:szCs w:val="21"/>
                      <w:highlight w:val="none"/>
                      <w:lang w:val="en-US" w:eastAsia="zh-CN" w:bidi="ar-SA"/>
                    </w:rPr>
                  </w:pPr>
                  <w:r>
                    <w:rPr>
                      <w:rFonts w:hint="eastAsia"/>
                      <w:color w:val="auto"/>
                      <w:szCs w:val="21"/>
                      <w:highlight w:val="none"/>
                      <w:lang w:val="en-US" w:eastAsia="zh-CN" w:bidi="ar-SA"/>
                    </w:rPr>
                    <w:t>4.8</w:t>
                  </w:r>
                </w:p>
              </w:tc>
              <w:tc>
                <w:tcPr>
                  <w:tcW w:w="848" w:type="pct"/>
                  <w:tcBorders>
                    <w:tl2br w:val="nil"/>
                    <w:tr2bl w:val="nil"/>
                  </w:tcBorders>
                  <w:noWrap w:val="0"/>
                  <w:vAlign w:val="center"/>
                </w:tcPr>
                <w:p w14:paraId="5058DDD5">
                  <w:pPr>
                    <w:jc w:val="center"/>
                    <w:rPr>
                      <w:color w:val="auto"/>
                      <w:szCs w:val="21"/>
                      <w:highlight w:val="none"/>
                      <w:lang w:val="en-US" w:eastAsia="zh-CN" w:bidi="ar-SA"/>
                    </w:rPr>
                  </w:pPr>
                  <w:r>
                    <w:rPr>
                      <w:rFonts w:hint="eastAsia"/>
                      <w:color w:val="auto"/>
                      <w:szCs w:val="21"/>
                      <w:highlight w:val="none"/>
                      <w:lang w:val="en-US" w:eastAsia="zh-CN" w:bidi="ar-SA"/>
                    </w:rPr>
                    <w:t>1.2</w:t>
                  </w:r>
                </w:p>
              </w:tc>
              <w:tc>
                <w:tcPr>
                  <w:tcW w:w="848" w:type="pct"/>
                  <w:tcBorders>
                    <w:tl2br w:val="nil"/>
                    <w:tr2bl w:val="nil"/>
                  </w:tcBorders>
                  <w:noWrap w:val="0"/>
                  <w:vAlign w:val="center"/>
                </w:tcPr>
                <w:p w14:paraId="53493AFE">
                  <w:pPr>
                    <w:jc w:val="center"/>
                    <w:rPr>
                      <w:color w:val="auto"/>
                      <w:szCs w:val="21"/>
                      <w:highlight w:val="none"/>
                      <w:lang w:val="en-US" w:eastAsia="zh-CN" w:bidi="ar-SA"/>
                    </w:rPr>
                  </w:pPr>
                  <w:r>
                    <w:rPr>
                      <w:rFonts w:hint="eastAsia"/>
                      <w:color w:val="auto"/>
                      <w:szCs w:val="21"/>
                      <w:highlight w:val="none"/>
                      <w:lang w:val="en-US" w:eastAsia="zh-CN" w:bidi="ar-SA"/>
                    </w:rPr>
                    <w:t>0</w:t>
                  </w:r>
                </w:p>
              </w:tc>
              <w:tc>
                <w:tcPr>
                  <w:tcW w:w="798" w:type="pct"/>
                  <w:tcBorders>
                    <w:tl2br w:val="nil"/>
                    <w:tr2bl w:val="nil"/>
                  </w:tcBorders>
                  <w:noWrap w:val="0"/>
                  <w:vAlign w:val="center"/>
                </w:tcPr>
                <w:p w14:paraId="413809F5">
                  <w:pPr>
                    <w:jc w:val="center"/>
                    <w:rPr>
                      <w:color w:val="auto"/>
                      <w:szCs w:val="21"/>
                      <w:highlight w:val="none"/>
                      <w:lang w:val="en-US" w:eastAsia="zh-CN" w:bidi="ar-SA"/>
                    </w:rPr>
                  </w:pPr>
                  <w:r>
                    <w:rPr>
                      <w:color w:val="auto"/>
                      <w:szCs w:val="21"/>
                      <w:highlight w:val="none"/>
                      <w:lang w:val="en-US" w:eastAsia="zh-CN" w:bidi="ar-SA"/>
                    </w:rPr>
                    <w:t>沉淀后循环利用</w:t>
                  </w:r>
                </w:p>
              </w:tc>
            </w:tr>
            <w:tr w14:paraId="1456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7" w:type="pct"/>
                  <w:tcBorders>
                    <w:tl2br w:val="nil"/>
                    <w:tr2bl w:val="nil"/>
                  </w:tcBorders>
                  <w:noWrap w:val="0"/>
                  <w:vAlign w:val="center"/>
                </w:tcPr>
                <w:p w14:paraId="583BB19C">
                  <w:pPr>
                    <w:jc w:val="center"/>
                    <w:rPr>
                      <w:color w:val="auto"/>
                      <w:szCs w:val="21"/>
                      <w:highlight w:val="none"/>
                      <w:lang w:val="en-US" w:eastAsia="zh-CN" w:bidi="ar-SA"/>
                    </w:rPr>
                  </w:pPr>
                  <w:r>
                    <w:rPr>
                      <w:color w:val="auto"/>
                      <w:szCs w:val="21"/>
                      <w:highlight w:val="none"/>
                      <w:lang w:val="en-US" w:eastAsia="zh-CN" w:bidi="ar-SA"/>
                    </w:rPr>
                    <w:t>生活用水</w:t>
                  </w:r>
                </w:p>
              </w:tc>
              <w:tc>
                <w:tcPr>
                  <w:tcW w:w="829" w:type="pct"/>
                  <w:tcBorders>
                    <w:tl2br w:val="nil"/>
                    <w:tr2bl w:val="nil"/>
                  </w:tcBorders>
                  <w:noWrap w:val="0"/>
                  <w:vAlign w:val="center"/>
                </w:tcPr>
                <w:p w14:paraId="4B014AF4">
                  <w:pPr>
                    <w:jc w:val="center"/>
                    <w:rPr>
                      <w:rFonts w:hint="eastAsia" w:eastAsia="宋体"/>
                      <w:color w:val="auto"/>
                      <w:szCs w:val="21"/>
                      <w:highlight w:val="none"/>
                      <w:lang w:val="en-US" w:eastAsia="zh-CN" w:bidi="ar-SA"/>
                    </w:rPr>
                  </w:pPr>
                  <w:r>
                    <w:rPr>
                      <w:rFonts w:hint="eastAsia"/>
                      <w:color w:val="auto"/>
                      <w:szCs w:val="21"/>
                      <w:highlight w:val="none"/>
                      <w:lang w:val="en-US" w:eastAsia="zh-CN" w:bidi="ar-SA"/>
                    </w:rPr>
                    <w:t>6</w:t>
                  </w:r>
                </w:p>
              </w:tc>
              <w:tc>
                <w:tcPr>
                  <w:tcW w:w="848" w:type="pct"/>
                  <w:tcBorders>
                    <w:tl2br w:val="nil"/>
                    <w:tr2bl w:val="nil"/>
                  </w:tcBorders>
                  <w:noWrap w:val="0"/>
                  <w:vAlign w:val="center"/>
                </w:tcPr>
                <w:p w14:paraId="5F05E6E0">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0</w:t>
                  </w:r>
                </w:p>
              </w:tc>
              <w:tc>
                <w:tcPr>
                  <w:tcW w:w="848" w:type="pct"/>
                  <w:tcBorders>
                    <w:tl2br w:val="nil"/>
                    <w:tr2bl w:val="nil"/>
                  </w:tcBorders>
                  <w:noWrap w:val="0"/>
                  <w:vAlign w:val="center"/>
                </w:tcPr>
                <w:p w14:paraId="66982EDC">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1.2</w:t>
                  </w:r>
                </w:p>
              </w:tc>
              <w:tc>
                <w:tcPr>
                  <w:tcW w:w="848" w:type="pct"/>
                  <w:tcBorders>
                    <w:tl2br w:val="nil"/>
                    <w:tr2bl w:val="nil"/>
                  </w:tcBorders>
                  <w:noWrap w:val="0"/>
                  <w:vAlign w:val="center"/>
                </w:tcPr>
                <w:p w14:paraId="3B4EEFCB">
                  <w:pPr>
                    <w:jc w:val="center"/>
                    <w:rPr>
                      <w:color w:val="auto"/>
                      <w:szCs w:val="21"/>
                      <w:highlight w:val="none"/>
                      <w:lang w:val="en-US" w:eastAsia="zh-CN" w:bidi="ar-SA"/>
                    </w:rPr>
                  </w:pPr>
                  <w:r>
                    <w:rPr>
                      <w:rFonts w:hint="eastAsia"/>
                      <w:color w:val="auto"/>
                      <w:szCs w:val="21"/>
                      <w:highlight w:val="none"/>
                      <w:lang w:val="en-US" w:eastAsia="zh-CN" w:bidi="ar-SA"/>
                    </w:rPr>
                    <w:t>4.8</w:t>
                  </w:r>
                </w:p>
              </w:tc>
              <w:tc>
                <w:tcPr>
                  <w:tcW w:w="798" w:type="pct"/>
                  <w:tcBorders>
                    <w:tl2br w:val="nil"/>
                    <w:tr2bl w:val="nil"/>
                  </w:tcBorders>
                  <w:noWrap w:val="0"/>
                  <w:vAlign w:val="center"/>
                </w:tcPr>
                <w:p w14:paraId="54B5D629">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厂区现有旱厕，后用于农田堆肥</w:t>
                  </w:r>
                </w:p>
              </w:tc>
            </w:tr>
            <w:tr w14:paraId="0FB3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l2br w:val="nil"/>
                    <w:tr2bl w:val="nil"/>
                  </w:tcBorders>
                  <w:noWrap w:val="0"/>
                  <w:vAlign w:val="center"/>
                </w:tcPr>
                <w:p w14:paraId="3786C2B0">
                  <w:pPr>
                    <w:jc w:val="center"/>
                    <w:rPr>
                      <w:color w:val="auto"/>
                      <w:szCs w:val="21"/>
                      <w:highlight w:val="none"/>
                      <w:lang w:val="en-US" w:eastAsia="zh-CN" w:bidi="ar-SA"/>
                    </w:rPr>
                  </w:pPr>
                  <w:r>
                    <w:rPr>
                      <w:color w:val="auto"/>
                      <w:szCs w:val="21"/>
                      <w:highlight w:val="none"/>
                      <w:lang w:val="en-US" w:eastAsia="zh-CN" w:bidi="ar-SA"/>
                    </w:rPr>
                    <w:t>总计</w:t>
                  </w:r>
                </w:p>
              </w:tc>
              <w:tc>
                <w:tcPr>
                  <w:tcW w:w="829" w:type="pct"/>
                  <w:tcBorders>
                    <w:tl2br w:val="nil"/>
                    <w:tr2bl w:val="nil"/>
                  </w:tcBorders>
                  <w:noWrap w:val="0"/>
                  <w:vAlign w:val="center"/>
                </w:tcPr>
                <w:p w14:paraId="3FA709DC">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248.2</w:t>
                  </w:r>
                </w:p>
              </w:tc>
              <w:tc>
                <w:tcPr>
                  <w:tcW w:w="848" w:type="pct"/>
                  <w:tcBorders>
                    <w:tl2br w:val="nil"/>
                    <w:tr2bl w:val="nil"/>
                  </w:tcBorders>
                  <w:noWrap w:val="0"/>
                  <w:vAlign w:val="center"/>
                </w:tcPr>
                <w:p w14:paraId="3EF8C952">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bidi="ar-SA"/>
                    </w:rPr>
                  </w:pPr>
                  <w:r>
                    <w:rPr>
                      <w:rFonts w:hint="eastAsia" w:ascii="Times New Roman" w:hAnsi="Times New Roman" w:eastAsia="宋体" w:cs="Times New Roman"/>
                      <w:i w:val="0"/>
                      <w:iCs w:val="0"/>
                      <w:color w:val="auto"/>
                      <w:kern w:val="0"/>
                      <w:sz w:val="22"/>
                      <w:szCs w:val="22"/>
                      <w:highlight w:val="none"/>
                      <w:u w:val="none"/>
                      <w:lang w:val="en-US" w:eastAsia="zh-CN" w:bidi="ar"/>
                    </w:rPr>
                    <w:t>9064.8</w:t>
                  </w:r>
                </w:p>
              </w:tc>
              <w:tc>
                <w:tcPr>
                  <w:tcW w:w="848" w:type="pct"/>
                  <w:tcBorders>
                    <w:tl2br w:val="nil"/>
                    <w:tr2bl w:val="nil"/>
                  </w:tcBorders>
                  <w:noWrap w:val="0"/>
                  <w:vAlign w:val="center"/>
                </w:tcPr>
                <w:p w14:paraId="518B2276">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14.4</w:t>
                  </w:r>
                </w:p>
              </w:tc>
              <w:tc>
                <w:tcPr>
                  <w:tcW w:w="848" w:type="pct"/>
                  <w:tcBorders>
                    <w:tl2br w:val="nil"/>
                    <w:tr2bl w:val="nil"/>
                  </w:tcBorders>
                  <w:noWrap w:val="0"/>
                  <w:vAlign w:val="center"/>
                </w:tcPr>
                <w:p w14:paraId="4DBF1D64">
                  <w:pPr>
                    <w:jc w:val="center"/>
                    <w:rPr>
                      <w:rFonts w:hint="default" w:eastAsia="宋体"/>
                      <w:color w:val="auto"/>
                      <w:szCs w:val="21"/>
                      <w:highlight w:val="none"/>
                      <w:lang w:val="en-US" w:eastAsia="zh-CN" w:bidi="ar-SA"/>
                    </w:rPr>
                  </w:pPr>
                  <w:r>
                    <w:rPr>
                      <w:rFonts w:hint="eastAsia"/>
                      <w:color w:val="auto"/>
                      <w:szCs w:val="21"/>
                      <w:highlight w:val="none"/>
                      <w:lang w:val="en-US" w:eastAsia="zh-CN" w:bidi="ar-SA"/>
                    </w:rPr>
                    <w:t>4.8</w:t>
                  </w:r>
                </w:p>
              </w:tc>
              <w:tc>
                <w:tcPr>
                  <w:tcW w:w="798" w:type="pct"/>
                  <w:tcBorders>
                    <w:tl2br w:val="nil"/>
                    <w:tr2bl w:val="nil"/>
                  </w:tcBorders>
                  <w:noWrap w:val="0"/>
                  <w:vAlign w:val="center"/>
                </w:tcPr>
                <w:p w14:paraId="61AB359A">
                  <w:pPr>
                    <w:jc w:val="center"/>
                    <w:rPr>
                      <w:color w:val="auto"/>
                      <w:szCs w:val="21"/>
                      <w:highlight w:val="none"/>
                      <w:lang w:val="en-US" w:eastAsia="zh-CN" w:bidi="ar-SA"/>
                    </w:rPr>
                  </w:pPr>
                  <w:r>
                    <w:rPr>
                      <w:color w:val="auto"/>
                      <w:szCs w:val="21"/>
                      <w:highlight w:val="none"/>
                      <w:lang w:val="en-US" w:eastAsia="zh-CN" w:bidi="ar-SA"/>
                    </w:rPr>
                    <w:t>/</w:t>
                  </w:r>
                </w:p>
              </w:tc>
            </w:tr>
          </w:tbl>
          <w:p w14:paraId="4EE36B17">
            <w:pPr>
              <w:adjustRightInd w:val="0"/>
              <w:snapToGrid w:val="0"/>
              <w:jc w:val="center"/>
              <w:rPr>
                <w:rFonts w:ascii="宋体" w:hAnsi="宋体"/>
                <w:b/>
                <w:color w:val="auto"/>
                <w:sz w:val="24"/>
                <w:szCs w:val="24"/>
                <w:highlight w:val="none"/>
              </w:rPr>
            </w:pPr>
          </w:p>
          <w:p w14:paraId="3EED122E">
            <w:pPr>
              <w:pStyle w:val="82"/>
              <w:adjustRightInd/>
              <w:spacing w:line="360" w:lineRule="auto"/>
              <w:jc w:val="both"/>
              <w:rPr>
                <w:rFonts w:hint="default" w:ascii="Times New Roman" w:hAnsi="Times New Roman" w:eastAsia="宋体"/>
                <w:color w:val="auto"/>
                <w:highlight w:val="none"/>
                <w:lang w:val="en-US" w:eastAsia="zh-CN"/>
              </w:rPr>
            </w:pPr>
            <w:r>
              <w:rPr>
                <w:rFonts w:hint="eastAsia" w:ascii="宋体" w:hAnsi="宋体"/>
                <w:b/>
                <w:color w:val="auto"/>
                <w:sz w:val="24"/>
                <w:szCs w:val="24"/>
                <w:highlight w:val="none"/>
              </w:rPr>
              <w:drawing>
                <wp:inline distT="0" distB="0" distL="114300" distR="114300">
                  <wp:extent cx="4965700" cy="5131435"/>
                  <wp:effectExtent l="0" t="0" r="0" b="0"/>
                  <wp:docPr id="14" name="图片 83" descr="C:/Users/lenovo/Desktop/府谷水平衡(1).png府谷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3" descr="C:/Users/lenovo/Desktop/府谷水平衡(1).png府谷水平衡(1)"/>
                          <pic:cNvPicPr>
                            <a:picLocks noChangeAspect="1"/>
                          </pic:cNvPicPr>
                        </pic:nvPicPr>
                        <pic:blipFill>
                          <a:blip r:embed="rId12"/>
                          <a:srcRect l="328" r="328"/>
                          <a:stretch>
                            <a:fillRect/>
                          </a:stretch>
                        </pic:blipFill>
                        <pic:spPr>
                          <a:xfrm>
                            <a:off x="0" y="0"/>
                            <a:ext cx="4965700" cy="5131435"/>
                          </a:xfrm>
                          <a:prstGeom prst="rect">
                            <a:avLst/>
                          </a:prstGeom>
                          <a:noFill/>
                          <a:ln>
                            <a:noFill/>
                          </a:ln>
                        </pic:spPr>
                      </pic:pic>
                    </a:graphicData>
                  </a:graphic>
                </wp:inline>
              </w:drawing>
            </w:r>
          </w:p>
          <w:p w14:paraId="23882302">
            <w:pPr>
              <w:pStyle w:val="82"/>
              <w:adjustRightInd/>
              <w:spacing w:line="360" w:lineRule="auto"/>
              <w:ind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图2-2  水平衡图 （单位：</w:t>
            </w:r>
            <w:r>
              <w:rPr>
                <w:rFonts w:hint="default" w:ascii="Times New Roman" w:hAnsi="Times New Roman" w:cs="Times New Roman"/>
                <w:b/>
                <w:bCs/>
                <w:color w:val="auto"/>
                <w:sz w:val="24"/>
                <w:szCs w:val="24"/>
                <w:highlight w:val="none"/>
              </w:rPr>
              <w:t>m</w:t>
            </w:r>
            <w:r>
              <w:rPr>
                <w:rFonts w:hint="default" w:ascii="Times New Roman" w:hAnsi="Times New Roman" w:cs="Times New Roman"/>
                <w:b/>
                <w:bCs/>
                <w:color w:val="auto"/>
                <w:sz w:val="24"/>
                <w:szCs w:val="24"/>
                <w:highlight w:val="none"/>
                <w:vertAlign w:val="superscript"/>
              </w:rPr>
              <w:t>3</w:t>
            </w:r>
            <w:r>
              <w:rPr>
                <w:rFonts w:hint="default" w:ascii="Times New Roman" w:hAnsi="Times New Roman" w:cs="Times New Roman"/>
                <w:b/>
                <w:bCs/>
                <w:color w:val="auto"/>
                <w:sz w:val="24"/>
                <w:szCs w:val="24"/>
                <w:highlight w:val="none"/>
              </w:rPr>
              <w:t>/d</w:t>
            </w:r>
            <w:r>
              <w:rPr>
                <w:rFonts w:hint="default" w:ascii="Times New Roman" w:hAnsi="Times New Roman" w:eastAsia="宋体" w:cs="Times New Roman"/>
                <w:b/>
                <w:bCs/>
                <w:color w:val="auto"/>
                <w:sz w:val="24"/>
                <w:szCs w:val="24"/>
                <w:highlight w:val="none"/>
                <w:lang w:val="en-US" w:eastAsia="zh-CN"/>
              </w:rPr>
              <w:t>）</w:t>
            </w:r>
          </w:p>
          <w:p w14:paraId="38C94945">
            <w:pPr>
              <w:pStyle w:val="82"/>
              <w:adjustRightInd/>
              <w:spacing w:line="360" w:lineRule="auto"/>
              <w:ind w:firstLine="480" w:firstLineChars="200"/>
              <w:jc w:val="both"/>
              <w:rPr>
                <w:rFonts w:ascii="Times New Roman" w:hAnsi="Times New Roman" w:eastAsia="宋体" w:cs="Times New Roman"/>
                <w:color w:val="auto"/>
                <w:highlight w:val="none"/>
              </w:rPr>
            </w:pPr>
            <w:r>
              <w:rPr>
                <w:rFonts w:hint="eastAsia" w:ascii="Times New Roman" w:hAnsi="Times New Roman" w:eastAsia="宋体"/>
                <w:color w:val="auto"/>
                <w:highlight w:val="none"/>
              </w:rPr>
              <w:t>⑶</w:t>
            </w:r>
            <w:r>
              <w:rPr>
                <w:rFonts w:ascii="Times New Roman" w:hAnsi="Times New Roman" w:eastAsia="宋体" w:cs="Times New Roman"/>
                <w:color w:val="auto"/>
                <w:highlight w:val="none"/>
              </w:rPr>
              <w:t xml:space="preserve"> 供电</w:t>
            </w:r>
          </w:p>
          <w:p w14:paraId="50728D83">
            <w:pPr>
              <w:adjustRightInd w:val="0"/>
              <w:spacing w:line="360" w:lineRule="auto"/>
              <w:ind w:firstLine="480" w:firstLineChars="200"/>
              <w:jc w:val="both"/>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依托洗煤厂的二级用电负荷，接自新民变电站。本项目接洗煤厂低压配电室。</w:t>
            </w:r>
          </w:p>
          <w:p w14:paraId="144649AB">
            <w:pPr>
              <w:pStyle w:val="82"/>
              <w:adjustRightInd/>
              <w:spacing w:line="360" w:lineRule="auto"/>
              <w:ind w:firstLine="480" w:firstLineChars="200"/>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olor w:val="auto"/>
                <w:highlight w:val="none"/>
              </w:rPr>
              <w:t>⑷</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val="en-US" w:eastAsia="zh-CN"/>
              </w:rPr>
              <w:t>通风</w:t>
            </w:r>
          </w:p>
          <w:p w14:paraId="7D6B88C5">
            <w:pPr>
              <w:adjustRightInd w:val="0"/>
              <w:snapToGrid w:val="0"/>
              <w:spacing w:line="360" w:lineRule="auto"/>
              <w:ind w:firstLine="480" w:firstLineChars="200"/>
              <w:jc w:val="both"/>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全封闭洗精煤储煤棚采用自然通风方式，在棚顶或侧墙高处设置百叶通风窗。</w:t>
            </w:r>
          </w:p>
          <w:p w14:paraId="3918A5C6">
            <w:pPr>
              <w:pStyle w:val="81"/>
              <w:spacing w:line="360" w:lineRule="auto"/>
              <w:ind w:firstLine="482"/>
              <w:jc w:val="both"/>
              <w:rPr>
                <w:rFonts w:hint="eastAsia"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9、劳动定员及工作制度</w:t>
            </w:r>
          </w:p>
          <w:p w14:paraId="24500912">
            <w:pPr>
              <w:pStyle w:val="81"/>
              <w:spacing w:line="360" w:lineRule="auto"/>
              <w:ind w:firstLine="482"/>
              <w:jc w:val="both"/>
              <w:rPr>
                <w:rFonts w:ascii="Times New Roman" w:hAnsi="Times New Roman" w:eastAsia="宋体"/>
                <w:color w:val="auto"/>
                <w:sz w:val="24"/>
                <w:highlight w:val="none"/>
              </w:rPr>
            </w:pPr>
            <w:r>
              <w:rPr>
                <w:rFonts w:hint="default" w:ascii="Times New Roman" w:hAnsi="Times New Roman" w:eastAsia="宋体" w:cs="Times New Roman"/>
                <w:b w:val="0"/>
                <w:bCs w:val="0"/>
                <w:color w:val="auto"/>
                <w:sz w:val="24"/>
                <w:highlight w:val="none"/>
                <w:lang w:val="en-US" w:eastAsia="zh-CN"/>
              </w:rPr>
              <w:t>本项目不新增人员劳动定员；储煤棚年运行</w:t>
            </w:r>
            <w:r>
              <w:rPr>
                <w:rFonts w:hint="eastAsia" w:ascii="Times New Roman" w:hAnsi="Times New Roman" w:eastAsia="宋体" w:cs="Times New Roman"/>
                <w:b w:val="0"/>
                <w:bCs w:val="0"/>
                <w:color w:val="auto"/>
                <w:sz w:val="24"/>
                <w:highlight w:val="none"/>
                <w:lang w:val="en-US" w:eastAsia="zh-CN"/>
              </w:rPr>
              <w:t>时间与洗煤厂年运行时间一致为330</w:t>
            </w:r>
            <w:r>
              <w:rPr>
                <w:rFonts w:hint="default" w:ascii="Times New Roman" w:hAnsi="Times New Roman" w:eastAsia="宋体" w:cs="Times New Roman"/>
                <w:b w:val="0"/>
                <w:bCs w:val="0"/>
                <w:color w:val="auto"/>
                <w:sz w:val="24"/>
                <w:highlight w:val="none"/>
                <w:lang w:val="en-US" w:eastAsia="zh-CN"/>
              </w:rPr>
              <w:t>d。</w:t>
            </w:r>
          </w:p>
        </w:tc>
      </w:tr>
      <w:tr w14:paraId="70FB6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384" w:type="dxa"/>
            <w:noWrap w:val="0"/>
            <w:vAlign w:val="center"/>
          </w:tcPr>
          <w:p w14:paraId="172D8D18">
            <w:pPr>
              <w:adjustRightInd w:val="0"/>
              <w:snapToGrid w:val="0"/>
              <w:jc w:val="center"/>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工艺流程和产排污环节</w:t>
            </w:r>
          </w:p>
        </w:tc>
        <w:tc>
          <w:tcPr>
            <w:tcW w:w="8138" w:type="dxa"/>
            <w:noWrap w:val="0"/>
            <w:vAlign w:val="center"/>
          </w:tcPr>
          <w:p w14:paraId="5E6E8C04">
            <w:pPr>
              <w:snapToGrid w:val="0"/>
              <w:spacing w:line="360" w:lineRule="auto"/>
              <w:ind w:firstLine="482" w:firstLineChars="200"/>
              <w:jc w:val="both"/>
              <w:rPr>
                <w:rFonts w:hint="default"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1、施工期</w:t>
            </w:r>
          </w:p>
          <w:p w14:paraId="79E9C5AA">
            <w:pPr>
              <w:adjustRightInd w:val="0"/>
              <w:snapToGrid w:val="0"/>
              <w:spacing w:line="360" w:lineRule="auto"/>
              <w:ind w:firstLine="465"/>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w:t>
            </w:r>
            <w:r>
              <w:rPr>
                <w:rFonts w:ascii="Times New Roman" w:hAnsi="Times New Roman" w:eastAsia="宋体"/>
                <w:color w:val="auto"/>
                <w:sz w:val="24"/>
                <w:highlight w:val="none"/>
              </w:rPr>
              <w:t>施工期的主要活动包括</w:t>
            </w:r>
            <w:r>
              <w:rPr>
                <w:rFonts w:hint="eastAsia" w:ascii="Times New Roman" w:hAnsi="Times New Roman" w:eastAsia="宋体"/>
                <w:color w:val="auto"/>
                <w:sz w:val="24"/>
                <w:highlight w:val="none"/>
                <w:lang w:val="en-US" w:eastAsia="zh-CN"/>
              </w:rPr>
              <w:t>拆除工程、</w:t>
            </w:r>
            <w:r>
              <w:rPr>
                <w:rFonts w:ascii="Times New Roman" w:hAnsi="Times New Roman" w:eastAsia="宋体"/>
                <w:color w:val="auto"/>
                <w:sz w:val="24"/>
                <w:highlight w:val="none"/>
              </w:rPr>
              <w:t>材料运输、</w:t>
            </w:r>
            <w:r>
              <w:rPr>
                <w:rFonts w:hint="eastAsia" w:ascii="Times New Roman" w:hAnsi="Times New Roman" w:eastAsia="宋体"/>
                <w:color w:val="auto"/>
                <w:sz w:val="24"/>
                <w:highlight w:val="none"/>
                <w:lang w:val="en-US" w:eastAsia="zh-CN"/>
              </w:rPr>
              <w:t>主体工程的</w:t>
            </w:r>
            <w:r>
              <w:rPr>
                <w:rFonts w:ascii="Times New Roman" w:hAnsi="Times New Roman" w:eastAsia="宋体"/>
                <w:color w:val="auto"/>
                <w:sz w:val="24"/>
                <w:highlight w:val="none"/>
              </w:rPr>
              <w:t>建设、</w:t>
            </w:r>
            <w:r>
              <w:rPr>
                <w:rFonts w:hint="eastAsia" w:ascii="Times New Roman" w:hAnsi="Times New Roman" w:eastAsia="宋体"/>
                <w:color w:val="auto"/>
                <w:sz w:val="24"/>
                <w:highlight w:val="none"/>
                <w:lang w:val="en-US" w:eastAsia="zh-CN"/>
              </w:rPr>
              <w:t>设备安装以及</w:t>
            </w:r>
            <w:r>
              <w:rPr>
                <w:rFonts w:ascii="Times New Roman" w:hAnsi="Times New Roman" w:eastAsia="宋体"/>
                <w:color w:val="auto"/>
                <w:sz w:val="24"/>
                <w:highlight w:val="none"/>
              </w:rPr>
              <w:t>施工人员活动等。</w:t>
            </w:r>
            <w:r>
              <w:rPr>
                <w:rFonts w:hint="eastAsia" w:ascii="Times New Roman" w:hAnsi="Times New Roman" w:eastAsia="宋体"/>
                <w:color w:val="auto"/>
                <w:sz w:val="24"/>
                <w:highlight w:val="none"/>
              </w:rPr>
              <w:t>项目施工期对环境的影响主要表现在施工产生的施工扬尘及废气、施工废水、施工机械噪声、施工固废等，施工废水主要为施工人员生活污水和施工废水；施工期噪声主要来源于机械设备运转和运输车辆等机械噪声；施工中产生的固体废物主要是建筑垃圾、生活垃圾。施工流程及各阶段主要污染物产生情况见图</w:t>
            </w:r>
            <w:r>
              <w:rPr>
                <w:rFonts w:hint="eastAsia" w:ascii="Times New Roman" w:hAnsi="Times New Roman" w:eastAsia="宋体"/>
                <w:color w:val="auto"/>
                <w:sz w:val="24"/>
                <w:highlight w:val="none"/>
                <w:lang w:val="en-US" w:eastAsia="zh-CN"/>
              </w:rPr>
              <w:t>2-3.</w:t>
            </w:r>
          </w:p>
          <w:p w14:paraId="73B075D9">
            <w:pPr>
              <w:adjustRightInd w:val="0"/>
              <w:snapToGrid w:val="0"/>
              <w:spacing w:line="360" w:lineRule="auto"/>
              <w:ind w:firstLine="465"/>
              <w:rPr>
                <w:rFonts w:hint="eastAsia" w:ascii="Times New Roman" w:hAnsi="Times New Roman" w:eastAsia="宋体"/>
                <w:color w:val="auto"/>
                <w:sz w:val="24"/>
                <w:highlight w:val="none"/>
              </w:rPr>
            </w:pPr>
            <w:r>
              <w:rPr>
                <w:rFonts w:ascii="Times New Roman" w:hAnsi="Times New Roman" w:eastAsia="宋体"/>
                <w:color w:val="auto"/>
                <w:sz w:val="24"/>
                <w:highlight w:val="none"/>
              </w:rPr>
              <w:t>施工期工艺及排污节点示意见图2-</w:t>
            </w:r>
            <w:r>
              <w:rPr>
                <w:rFonts w:hint="eastAsia" w:ascii="Times New Roman" w:hAnsi="Times New Roman" w:eastAsia="宋体"/>
                <w:color w:val="auto"/>
                <w:sz w:val="24"/>
                <w:highlight w:val="none"/>
                <w:lang w:val="en-US" w:eastAsia="zh-CN"/>
              </w:rPr>
              <w:t>3</w:t>
            </w:r>
            <w:r>
              <w:rPr>
                <w:rFonts w:ascii="Times New Roman" w:hAnsi="Times New Roman" w:eastAsia="宋体"/>
                <w:color w:val="auto"/>
                <w:sz w:val="24"/>
                <w:highlight w:val="none"/>
              </w:rPr>
              <w:t>所示</w:t>
            </w:r>
            <w:r>
              <w:rPr>
                <w:rFonts w:hint="eastAsia" w:ascii="Times New Roman" w:hAnsi="Times New Roman" w:eastAsia="宋体"/>
                <w:color w:val="auto"/>
                <w:sz w:val="24"/>
                <w:highlight w:val="none"/>
              </w:rPr>
              <w:t>。</w:t>
            </w:r>
          </w:p>
          <w:p w14:paraId="6AF5C5A4">
            <w:pPr>
              <w:adjustRightInd w:val="0"/>
              <w:snapToGrid w:val="0"/>
              <w:spacing w:line="360" w:lineRule="auto"/>
              <w:jc w:val="center"/>
              <w:rPr>
                <w:rFonts w:ascii="Times New Roman" w:hAnsi="Times New Roman" w:eastAsia="宋体" w:cs="Times New Roman"/>
                <w:b/>
                <w:bCs/>
                <w:color w:val="auto"/>
                <w:sz w:val="24"/>
                <w:szCs w:val="28"/>
                <w:highlight w:val="none"/>
              </w:rPr>
            </w:pPr>
            <w:r>
              <w:rPr>
                <w:rFonts w:ascii="Times New Roman" w:hAnsi="Times New Roman" w:eastAsia="宋体" w:cs="Times New Roman"/>
                <w:b/>
                <w:bCs/>
                <w:color w:val="auto"/>
                <w:sz w:val="24"/>
                <w:szCs w:val="28"/>
                <w:highlight w:val="none"/>
              </w:rPr>
              <w:drawing>
                <wp:inline distT="0" distB="0" distL="114300" distR="114300">
                  <wp:extent cx="5026025" cy="1515110"/>
                  <wp:effectExtent l="0" t="0" r="0" b="0"/>
                  <wp:docPr id="15" name="图片 69" descr="图片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9" descr="图片100"/>
                          <pic:cNvPicPr>
                            <a:picLocks noChangeAspect="1"/>
                          </pic:cNvPicPr>
                        </pic:nvPicPr>
                        <pic:blipFill>
                          <a:blip r:embed="rId13"/>
                          <a:stretch>
                            <a:fillRect/>
                          </a:stretch>
                        </pic:blipFill>
                        <pic:spPr>
                          <a:xfrm>
                            <a:off x="0" y="0"/>
                            <a:ext cx="5026025" cy="1515110"/>
                          </a:xfrm>
                          <a:prstGeom prst="rect">
                            <a:avLst/>
                          </a:prstGeom>
                          <a:noFill/>
                          <a:ln>
                            <a:noFill/>
                          </a:ln>
                        </pic:spPr>
                      </pic:pic>
                    </a:graphicData>
                  </a:graphic>
                </wp:inline>
              </w:drawing>
            </w:r>
            <w:r>
              <w:rPr>
                <w:rFonts w:ascii="Times New Roman" w:hAnsi="Times New Roman" w:eastAsia="宋体" w:cs="Times New Roman"/>
                <w:b/>
                <w:bCs/>
                <w:color w:val="auto"/>
                <w:sz w:val="24"/>
                <w:szCs w:val="28"/>
                <w:highlight w:val="none"/>
              </w:rPr>
              <w:t>图2-</w:t>
            </w:r>
            <w:r>
              <w:rPr>
                <w:rFonts w:hint="eastAsia" w:ascii="Times New Roman" w:hAnsi="Times New Roman" w:eastAsia="宋体" w:cs="Times New Roman"/>
                <w:b/>
                <w:bCs/>
                <w:color w:val="auto"/>
                <w:sz w:val="24"/>
                <w:szCs w:val="28"/>
                <w:highlight w:val="none"/>
                <w:lang w:val="en-US" w:eastAsia="zh-CN"/>
              </w:rPr>
              <w:t>3</w:t>
            </w:r>
            <w:r>
              <w:rPr>
                <w:rFonts w:ascii="Times New Roman" w:hAnsi="Times New Roman" w:eastAsia="宋体" w:cs="Times New Roman"/>
                <w:b/>
                <w:bCs/>
                <w:color w:val="auto"/>
                <w:sz w:val="24"/>
                <w:szCs w:val="28"/>
                <w:highlight w:val="none"/>
              </w:rPr>
              <w:t xml:space="preserve"> 施工期工艺流程及排污节点示意图</w:t>
            </w:r>
          </w:p>
          <w:p w14:paraId="7F51BE9E">
            <w:pPr>
              <w:snapToGrid w:val="0"/>
              <w:spacing w:line="360" w:lineRule="auto"/>
              <w:ind w:firstLine="482" w:firstLineChars="200"/>
              <w:jc w:val="both"/>
              <w:rPr>
                <w:rFonts w:hint="default"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2、运营期</w:t>
            </w:r>
          </w:p>
          <w:p w14:paraId="77761DE4">
            <w:pPr>
              <w:spacing w:line="360" w:lineRule="auto"/>
              <w:ind w:firstLine="480" w:firstLineChars="200"/>
              <w:rPr>
                <w:rFonts w:hint="default" w:ascii="Times New Roman" w:hAnsi="Times New Roman" w:eastAsia="宋体"/>
                <w:color w:val="auto"/>
                <w:sz w:val="24"/>
                <w:highlight w:val="none"/>
                <w:lang w:val="en-US" w:eastAsia="zh-CN"/>
              </w:rPr>
            </w:pPr>
            <w:r>
              <w:rPr>
                <w:rFonts w:hint="eastAsia" w:ascii="宋体" w:hAnsi="宋体" w:eastAsia="宋体" w:cs="宋体"/>
                <w:color w:val="auto"/>
                <w:sz w:val="24"/>
                <w:highlight w:val="none"/>
              </w:rPr>
              <w:t>⑴</w:t>
            </w:r>
            <w:r>
              <w:rPr>
                <w:rFonts w:hint="eastAsia" w:ascii="Times New Roman" w:hAnsi="Times New Roman" w:eastAsia="宋体"/>
                <w:color w:val="auto"/>
                <w:sz w:val="24"/>
                <w:highlight w:val="none"/>
                <w:lang w:val="en-US" w:eastAsia="zh-CN"/>
              </w:rPr>
              <w:t xml:space="preserve"> 工艺流程简述</w:t>
            </w:r>
          </w:p>
          <w:p w14:paraId="7E2875D7">
            <w:pPr>
              <w:spacing w:line="360" w:lineRule="auto"/>
              <w:ind w:firstLine="480" w:firstLineChars="200"/>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本</w:t>
            </w:r>
            <w:r>
              <w:rPr>
                <w:rFonts w:hint="eastAsia" w:ascii="Times New Roman" w:hAnsi="Times New Roman" w:eastAsia="宋体"/>
                <w:color w:val="auto"/>
                <w:sz w:val="24"/>
                <w:highlight w:val="none"/>
                <w:lang w:val="en-US" w:eastAsia="zh-CN"/>
              </w:rPr>
              <w:t>项目工艺流程为：洗选后产品经皮带输送机，将洗选后的精煤、中煤、末煤输送至各自的储存区储存。本次将精煤振动筛增加至3层，粒级分别为25mm、13mm、3mm，可将精煤精细化分类，可适应多重市场，同时可直接用于电厂、冶金、化工等行业。</w:t>
            </w:r>
          </w:p>
          <w:p w14:paraId="745E16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洗煤厂的原煤输送、破碎筛分、洗选以及产品运输已在《府谷县鸿凯经贸开发有限公司新建洗选煤项目环境影响报告书》中已作评价，本项目不再另行评价。</w:t>
            </w:r>
          </w:p>
          <w:p w14:paraId="1230FF49">
            <w:pPr>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洗选后的产品经皮带输送机分别运至新建储煤棚的相对应的储存区域。储煤棚全封闭型式，划分3个区域，分别为精煤堆存区、中煤堆存区、末煤堆存区，其中精煤储存区又根据精煤粒级不同分为大籽煤、中籽煤、小籽煤、粒煤储存区。储煤棚为全封闭形式，可有效遏制煤尘的外溢；储煤棚采用自然通风方式，在棚顶处设置百叶通风窗。</w:t>
            </w:r>
          </w:p>
          <w:p w14:paraId="39CAF70B">
            <w:pPr>
              <w:pStyle w:val="81"/>
              <w:spacing w:line="360" w:lineRule="auto"/>
              <w:ind w:firstLine="482"/>
              <w:rPr>
                <w:rFonts w:ascii="Times New Roman" w:hAnsi="Times New Roman" w:eastAsia="宋体"/>
                <w:b w:val="0"/>
                <w:bCs w:val="0"/>
                <w:color w:val="auto"/>
                <w:sz w:val="24"/>
                <w:highlight w:val="none"/>
              </w:rPr>
            </w:pPr>
            <w:r>
              <w:rPr>
                <w:rFonts w:hint="eastAsia" w:ascii="宋体" w:hAnsi="宋体" w:eastAsia="宋体" w:cs="宋体"/>
                <w:b w:val="0"/>
                <w:bCs w:val="0"/>
                <w:color w:val="auto"/>
                <w:sz w:val="24"/>
                <w:highlight w:val="none"/>
              </w:rPr>
              <w:t>⑵</w:t>
            </w:r>
            <w:r>
              <w:rPr>
                <w:rFonts w:hint="eastAsia" w:ascii="Times New Roman" w:hAnsi="Times New Roman" w:eastAsia="宋体"/>
                <w:b w:val="0"/>
                <w:bCs w:val="0"/>
                <w:color w:val="auto"/>
                <w:sz w:val="24"/>
                <w:highlight w:val="none"/>
                <w:lang w:val="en-US" w:eastAsia="zh-CN"/>
              </w:rPr>
              <w:t xml:space="preserve"> </w:t>
            </w:r>
            <w:r>
              <w:rPr>
                <w:rFonts w:ascii="Times New Roman" w:hAnsi="Times New Roman" w:eastAsia="宋体"/>
                <w:b w:val="0"/>
                <w:bCs w:val="0"/>
                <w:color w:val="auto"/>
                <w:sz w:val="24"/>
                <w:highlight w:val="none"/>
              </w:rPr>
              <w:t>产污环节</w:t>
            </w:r>
          </w:p>
          <w:p w14:paraId="4202859D">
            <w:pPr>
              <w:adjustRightInd w:val="0"/>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宋体" w:hAnsi="宋体" w:eastAsia="宋体" w:cs="宋体"/>
                <w:color w:val="auto"/>
                <w:sz w:val="24"/>
                <w:highlight w:val="none"/>
              </w:rPr>
              <w:t>①</w:t>
            </w:r>
            <w:r>
              <w:rPr>
                <w:rFonts w:ascii="Times New Roman" w:hAnsi="Times New Roman" w:eastAsia="宋体"/>
                <w:color w:val="auto"/>
                <w:sz w:val="24"/>
                <w:highlight w:val="none"/>
              </w:rPr>
              <w:t xml:space="preserve"> </w:t>
            </w:r>
            <w:r>
              <w:rPr>
                <w:rFonts w:hint="eastAsia" w:ascii="Times New Roman" w:hAnsi="Times New Roman" w:eastAsia="宋体"/>
                <w:color w:val="auto"/>
                <w:sz w:val="24"/>
                <w:highlight w:val="none"/>
                <w:lang w:val="en-US" w:eastAsia="zh-CN"/>
              </w:rPr>
              <w:t>废气</w:t>
            </w:r>
          </w:p>
          <w:p w14:paraId="50B06B33">
            <w:pPr>
              <w:adjustRightInd w:val="0"/>
              <w:spacing w:line="360" w:lineRule="auto"/>
              <w:ind w:firstLine="480" w:firstLineChars="200"/>
              <w:rPr>
                <w:rFonts w:ascii="Times New Roman" w:hAnsi="Times New Roman" w:eastAsia="宋体"/>
                <w:color w:val="auto"/>
                <w:sz w:val="24"/>
                <w:szCs w:val="22"/>
                <w:highlight w:val="none"/>
              </w:rPr>
            </w:pPr>
            <w:r>
              <w:rPr>
                <w:rFonts w:ascii="Times New Roman" w:hAnsi="Times New Roman" w:eastAsia="宋体"/>
                <w:color w:val="auto"/>
                <w:sz w:val="24"/>
                <w:highlight w:val="none"/>
              </w:rPr>
              <w:t>本项目运营期主要大气污染物为储煤</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转运过程中产生</w:t>
            </w:r>
            <w:r>
              <w:rPr>
                <w:rFonts w:ascii="Times New Roman" w:hAnsi="Times New Roman" w:eastAsia="宋体"/>
                <w:color w:val="auto"/>
                <w:sz w:val="24"/>
                <w:highlight w:val="none"/>
              </w:rPr>
              <w:t>的粉尘；道路运输扬尘等</w:t>
            </w:r>
            <w:r>
              <w:rPr>
                <w:rFonts w:ascii="Times New Roman" w:hAnsi="Times New Roman" w:eastAsia="宋体"/>
                <w:color w:val="auto"/>
                <w:sz w:val="24"/>
                <w:szCs w:val="22"/>
                <w:highlight w:val="none"/>
              </w:rPr>
              <w:t>。</w:t>
            </w:r>
          </w:p>
          <w:p w14:paraId="31FD1EA1">
            <w:pPr>
              <w:adjustRightInd w:val="0"/>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宋体" w:hAnsi="宋体" w:eastAsia="宋体" w:cs="宋体"/>
                <w:color w:val="auto"/>
                <w:sz w:val="24"/>
                <w:highlight w:val="none"/>
              </w:rPr>
              <w:t>②</w:t>
            </w:r>
            <w:r>
              <w:rPr>
                <w:rFonts w:ascii="Times New Roman" w:hAnsi="Times New Roman" w:eastAsia="宋体"/>
                <w:color w:val="auto"/>
                <w:sz w:val="24"/>
                <w:highlight w:val="none"/>
              </w:rPr>
              <w:t xml:space="preserve"> </w:t>
            </w:r>
            <w:r>
              <w:rPr>
                <w:rFonts w:hint="eastAsia" w:ascii="Times New Roman" w:hAnsi="Times New Roman" w:eastAsia="宋体"/>
                <w:color w:val="auto"/>
                <w:sz w:val="24"/>
                <w:highlight w:val="none"/>
                <w:lang w:val="en-US" w:eastAsia="zh-CN"/>
              </w:rPr>
              <w:t>废水</w:t>
            </w:r>
          </w:p>
          <w:p w14:paraId="318D4B73">
            <w:pPr>
              <w:spacing w:line="360" w:lineRule="auto"/>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本项目不新增生产废水</w:t>
            </w:r>
            <w:r>
              <w:rPr>
                <w:rFonts w:ascii="Times New Roman" w:hAnsi="Times New Roman" w:eastAsia="宋体"/>
                <w:color w:val="auto"/>
                <w:sz w:val="24"/>
                <w:highlight w:val="none"/>
              </w:rPr>
              <w:t>。</w:t>
            </w:r>
          </w:p>
          <w:p w14:paraId="65AFF3D1">
            <w:pPr>
              <w:adjustRightInd w:val="0"/>
              <w:spacing w:line="360" w:lineRule="auto"/>
              <w:ind w:firstLine="480" w:firstLineChars="200"/>
              <w:rPr>
                <w:rFonts w:ascii="Times New Roman" w:hAnsi="Times New Roman" w:eastAsia="宋体"/>
                <w:color w:val="auto"/>
                <w:sz w:val="24"/>
                <w:highlight w:val="none"/>
              </w:rPr>
            </w:pPr>
            <w:r>
              <w:rPr>
                <w:rFonts w:hint="eastAsia" w:ascii="宋体" w:hAnsi="宋体" w:eastAsia="宋体" w:cs="宋体"/>
                <w:color w:val="auto"/>
                <w:sz w:val="24"/>
                <w:highlight w:val="none"/>
              </w:rPr>
              <w:t>③</w:t>
            </w:r>
            <w:r>
              <w:rPr>
                <w:rFonts w:ascii="Times New Roman" w:hAnsi="Times New Roman" w:eastAsia="宋体"/>
                <w:color w:val="auto"/>
                <w:sz w:val="24"/>
                <w:highlight w:val="none"/>
              </w:rPr>
              <w:t xml:space="preserve"> 噪声</w:t>
            </w:r>
          </w:p>
          <w:p w14:paraId="2C5EDE1C">
            <w:pPr>
              <w:spacing w:line="360" w:lineRule="auto"/>
              <w:ind w:firstLine="54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本项目不新增噪声源</w:t>
            </w:r>
            <w:r>
              <w:rPr>
                <w:rFonts w:ascii="Times New Roman" w:hAnsi="Times New Roman" w:eastAsia="宋体"/>
                <w:color w:val="auto"/>
                <w:sz w:val="24"/>
                <w:highlight w:val="none"/>
              </w:rPr>
              <w:t>。</w:t>
            </w:r>
          </w:p>
          <w:p w14:paraId="6731A5F9">
            <w:pPr>
              <w:adjustRightInd w:val="0"/>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宋体" w:hAnsi="宋体" w:eastAsia="宋体" w:cs="宋体"/>
                <w:color w:val="auto"/>
                <w:sz w:val="24"/>
                <w:highlight w:val="none"/>
              </w:rPr>
              <w:t>④</w:t>
            </w:r>
            <w:r>
              <w:rPr>
                <w:rFonts w:hint="eastAsia" w:ascii="Times New Roman" w:hAnsi="Times New Roman" w:eastAsia="宋体"/>
                <w:color w:val="auto"/>
                <w:sz w:val="24"/>
                <w:highlight w:val="none"/>
                <w:lang w:val="en-US" w:eastAsia="zh-CN"/>
              </w:rPr>
              <w:t xml:space="preserve"> 固废</w:t>
            </w:r>
          </w:p>
          <w:p w14:paraId="7F3397F4">
            <w:pPr>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本项目固废仅新增少量废机油，暂存于现有场地危废暂存库。</w:t>
            </w:r>
          </w:p>
          <w:p w14:paraId="41FE13B2">
            <w:pPr>
              <w:spacing w:line="360" w:lineRule="auto"/>
              <w:ind w:firstLine="480" w:firstLineChars="200"/>
              <w:rPr>
                <w:rFonts w:ascii="Times New Roman" w:hAnsi="Times New Roman" w:eastAsia="宋体"/>
                <w:color w:val="auto"/>
                <w:kern w:val="24"/>
                <w:highlight w:val="none"/>
              </w:rPr>
            </w:pPr>
            <w:r>
              <w:rPr>
                <w:rFonts w:hint="eastAsia" w:ascii="Times New Roman" w:hAnsi="Times New Roman" w:eastAsia="宋体"/>
                <w:color w:val="auto"/>
                <w:sz w:val="24"/>
                <w:highlight w:val="none"/>
                <w:lang w:val="en-US" w:eastAsia="zh-CN"/>
              </w:rPr>
              <w:t>项目运营期</w:t>
            </w:r>
            <w:r>
              <w:rPr>
                <w:rFonts w:ascii="Times New Roman" w:hAnsi="Times New Roman" w:eastAsia="宋体"/>
                <w:color w:val="auto"/>
                <w:sz w:val="24"/>
                <w:highlight w:val="none"/>
              </w:rPr>
              <w:t>工艺流程及产污环节见图2-</w:t>
            </w:r>
            <w:r>
              <w:rPr>
                <w:rFonts w:hint="eastAsia" w:ascii="Times New Roman" w:hAnsi="Times New Roman" w:eastAsia="宋体"/>
                <w:color w:val="auto"/>
                <w:sz w:val="24"/>
                <w:highlight w:val="none"/>
                <w:lang w:val="en-US" w:eastAsia="zh-CN"/>
              </w:rPr>
              <w:t>4</w:t>
            </w:r>
            <w:r>
              <w:rPr>
                <w:rFonts w:ascii="Times New Roman" w:hAnsi="Times New Roman" w:eastAsia="宋体"/>
                <w:color w:val="auto"/>
                <w:sz w:val="24"/>
                <w:highlight w:val="none"/>
              </w:rPr>
              <w:t>。</w:t>
            </w:r>
          </w:p>
          <w:p w14:paraId="7328BCB2">
            <w:pPr>
              <w:pStyle w:val="81"/>
              <w:spacing w:line="360" w:lineRule="auto"/>
              <w:ind w:left="0" w:leftChars="0" w:firstLine="0" w:firstLineChars="0"/>
              <w:rPr>
                <w:rFonts w:hint="eastAsia" w:ascii="Times New Roman" w:hAnsi="Times New Roman" w:eastAsia="宋体"/>
                <w:b w:val="0"/>
                <w:bCs w:val="0"/>
                <w:color w:val="auto"/>
                <w:sz w:val="24"/>
                <w:highlight w:val="none"/>
                <w:lang w:eastAsia="zh-CN"/>
              </w:rPr>
            </w:pPr>
            <w:r>
              <w:rPr>
                <w:rFonts w:hint="eastAsia" w:ascii="Times New Roman" w:hAnsi="Times New Roman" w:eastAsia="宋体"/>
                <w:b w:val="0"/>
                <w:bCs w:val="0"/>
                <w:color w:val="auto"/>
                <w:sz w:val="24"/>
                <w:highlight w:val="none"/>
                <w:lang w:eastAsia="zh-CN"/>
              </w:rPr>
              <w:drawing>
                <wp:inline distT="0" distB="0" distL="114300" distR="114300">
                  <wp:extent cx="5115560" cy="7192645"/>
                  <wp:effectExtent l="0" t="0" r="0" b="0"/>
                  <wp:docPr id="16" name="图片 62" descr="C:/Users/lenovo/Desktop/孙家岔洗选煤矸石工艺流程图(1).png孙家岔洗选煤矸石工艺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descr="C:/Users/lenovo/Desktop/孙家岔洗选煤矸石工艺流程图(1).png孙家岔洗选煤矸石工艺流程图(1)"/>
                          <pic:cNvPicPr>
                            <a:picLocks noChangeAspect="1"/>
                          </pic:cNvPicPr>
                        </pic:nvPicPr>
                        <pic:blipFill>
                          <a:blip r:embed="rId14"/>
                          <a:srcRect t="111" b="111"/>
                          <a:stretch>
                            <a:fillRect/>
                          </a:stretch>
                        </pic:blipFill>
                        <pic:spPr>
                          <a:xfrm>
                            <a:off x="0" y="0"/>
                            <a:ext cx="5115560" cy="7192645"/>
                          </a:xfrm>
                          <a:prstGeom prst="rect">
                            <a:avLst/>
                          </a:prstGeom>
                          <a:noFill/>
                          <a:ln>
                            <a:noFill/>
                          </a:ln>
                        </pic:spPr>
                      </pic:pic>
                    </a:graphicData>
                  </a:graphic>
                </wp:inline>
              </w:drawing>
            </w:r>
          </w:p>
          <w:p w14:paraId="3DE84218">
            <w:pPr>
              <w:pStyle w:val="81"/>
              <w:spacing w:line="360" w:lineRule="auto"/>
              <w:ind w:firstLine="482"/>
              <w:jc w:val="center"/>
              <w:rPr>
                <w:rFonts w:hint="default" w:ascii="Times New Roman" w:hAnsi="Times New Roman" w:eastAsia="宋体"/>
                <w:color w:val="auto"/>
                <w:sz w:val="24"/>
                <w:highlight w:val="none"/>
                <w:lang w:val="en-US" w:eastAsia="zh-CN"/>
              </w:rPr>
            </w:pPr>
            <w:r>
              <w:rPr>
                <w:rFonts w:ascii="Times New Roman" w:hAnsi="Times New Roman" w:eastAsia="宋体"/>
                <w:b/>
                <w:bCs/>
                <w:color w:val="auto"/>
                <w:kern w:val="24"/>
                <w:sz w:val="24"/>
                <w:highlight w:val="none"/>
              </w:rPr>
              <w:t>图2-</w:t>
            </w:r>
            <w:r>
              <w:rPr>
                <w:rFonts w:hint="eastAsia" w:ascii="Times New Roman" w:hAnsi="Times New Roman" w:eastAsia="宋体"/>
                <w:b/>
                <w:bCs/>
                <w:color w:val="auto"/>
                <w:kern w:val="24"/>
                <w:sz w:val="24"/>
                <w:highlight w:val="none"/>
                <w:lang w:val="en-US" w:eastAsia="zh-CN"/>
              </w:rPr>
              <w:t>4</w:t>
            </w:r>
            <w:r>
              <w:rPr>
                <w:rFonts w:ascii="Times New Roman" w:hAnsi="Times New Roman" w:eastAsia="宋体"/>
                <w:b/>
                <w:bCs/>
                <w:color w:val="auto"/>
                <w:kern w:val="24"/>
                <w:sz w:val="24"/>
                <w:highlight w:val="none"/>
              </w:rPr>
              <w:t xml:space="preserve">  </w:t>
            </w:r>
            <w:r>
              <w:rPr>
                <w:rFonts w:hint="eastAsia" w:ascii="Times New Roman" w:hAnsi="Times New Roman" w:eastAsia="宋体"/>
                <w:b/>
                <w:bCs/>
                <w:color w:val="auto"/>
                <w:kern w:val="24"/>
                <w:sz w:val="24"/>
                <w:highlight w:val="none"/>
                <w:lang w:val="en-US" w:eastAsia="zh-CN"/>
              </w:rPr>
              <w:t>项目</w:t>
            </w:r>
            <w:r>
              <w:rPr>
                <w:rFonts w:ascii="Times New Roman" w:hAnsi="Times New Roman" w:eastAsia="宋体"/>
                <w:b/>
                <w:bCs/>
                <w:color w:val="auto"/>
                <w:kern w:val="24"/>
                <w:sz w:val="24"/>
                <w:highlight w:val="none"/>
              </w:rPr>
              <w:t>工艺流程及产污环节图</w:t>
            </w:r>
          </w:p>
        </w:tc>
      </w:tr>
      <w:tr w14:paraId="3AF60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9" w:hRule="atLeast"/>
          <w:jc w:val="center"/>
        </w:trPr>
        <w:tc>
          <w:tcPr>
            <w:tcW w:w="384" w:type="dxa"/>
            <w:noWrap w:val="0"/>
            <w:vAlign w:val="center"/>
          </w:tcPr>
          <w:p w14:paraId="67F931E1">
            <w:pPr>
              <w:pStyle w:val="14"/>
              <w:ind w:left="0" w:leftChars="0" w:firstLine="0" w:firstLineChars="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与</w:t>
            </w:r>
            <w:r>
              <w:rPr>
                <w:rFonts w:hint="default" w:ascii="Times New Roman" w:hAnsi="Times New Roman" w:eastAsia="宋体"/>
                <w:color w:val="auto"/>
                <w:sz w:val="24"/>
                <w:highlight w:val="none"/>
                <w:lang w:val="en-US" w:eastAsia="zh-CN"/>
              </w:rPr>
              <w:t>项目有关的</w:t>
            </w:r>
            <w:r>
              <w:rPr>
                <w:rFonts w:hint="eastAsia" w:ascii="Times New Roman" w:hAnsi="Times New Roman" w:eastAsia="宋体"/>
                <w:color w:val="auto"/>
                <w:sz w:val="24"/>
                <w:highlight w:val="none"/>
                <w:lang w:val="en-US" w:eastAsia="zh-CN"/>
              </w:rPr>
              <w:t>原有</w:t>
            </w:r>
            <w:r>
              <w:rPr>
                <w:rFonts w:hint="default" w:ascii="Times New Roman" w:hAnsi="Times New Roman" w:eastAsia="宋体"/>
                <w:color w:val="auto"/>
                <w:sz w:val="24"/>
                <w:highlight w:val="none"/>
                <w:lang w:val="en-US" w:eastAsia="zh-CN"/>
              </w:rPr>
              <w:t>环境污染问题</w:t>
            </w:r>
          </w:p>
        </w:tc>
        <w:tc>
          <w:tcPr>
            <w:tcW w:w="8138" w:type="dxa"/>
            <w:noWrap w:val="0"/>
            <w:vAlign w:val="center"/>
          </w:tcPr>
          <w:p w14:paraId="40CA6A9E">
            <w:pPr>
              <w:adjustRightInd w:val="0"/>
              <w:snapToGrid w:val="0"/>
              <w:spacing w:line="360" w:lineRule="auto"/>
              <w:ind w:firstLine="482" w:firstLineChars="200"/>
              <w:rPr>
                <w:rFonts w:hint="eastAsia"/>
                <w:b/>
                <w:bCs/>
                <w:color w:val="auto"/>
                <w:sz w:val="24"/>
                <w:szCs w:val="28"/>
                <w:highlight w:val="none"/>
                <w:lang w:val="en-US" w:eastAsia="zh-CN"/>
              </w:rPr>
            </w:pPr>
            <w:r>
              <w:rPr>
                <w:rFonts w:hint="eastAsia"/>
                <w:b/>
                <w:bCs/>
                <w:color w:val="auto"/>
                <w:sz w:val="24"/>
                <w:szCs w:val="28"/>
                <w:highlight w:val="none"/>
                <w:lang w:val="en-US" w:eastAsia="zh-CN"/>
              </w:rPr>
              <w:t>1、现有工程概况</w:t>
            </w:r>
          </w:p>
          <w:p w14:paraId="6CE635B9">
            <w:pPr>
              <w:adjustRightInd w:val="0"/>
              <w:snapToGrid w:val="0"/>
              <w:spacing w:line="360" w:lineRule="auto"/>
              <w:ind w:firstLine="480" w:firstLineChars="200"/>
              <w:rPr>
                <w:rFonts w:hint="default"/>
                <w:color w:val="auto"/>
                <w:sz w:val="24"/>
                <w:szCs w:val="28"/>
                <w:highlight w:val="none"/>
                <w:lang w:val="en-US" w:eastAsia="zh-CN"/>
              </w:rPr>
            </w:pPr>
            <w:r>
              <w:rPr>
                <w:rFonts w:hint="eastAsia"/>
                <w:color w:val="auto"/>
                <w:sz w:val="24"/>
                <w:szCs w:val="28"/>
                <w:highlight w:val="none"/>
                <w:lang w:val="en-US" w:eastAsia="zh-CN"/>
              </w:rPr>
              <w:t>项目名称：府谷县鸿凯经贸开发有限公司新建洗选煤项目</w:t>
            </w:r>
          </w:p>
          <w:p w14:paraId="027BF7B5">
            <w:pPr>
              <w:adjustRightInd w:val="0"/>
              <w:snapToGrid w:val="0"/>
              <w:spacing w:line="360" w:lineRule="auto"/>
              <w:ind w:firstLine="480" w:firstLineChars="200"/>
              <w:rPr>
                <w:rFonts w:hint="eastAsia"/>
                <w:color w:val="auto"/>
                <w:sz w:val="24"/>
                <w:szCs w:val="28"/>
                <w:highlight w:val="none"/>
                <w:lang w:val="en-US" w:eastAsia="zh-CN"/>
              </w:rPr>
            </w:pPr>
            <w:r>
              <w:rPr>
                <w:rFonts w:hint="eastAsia"/>
                <w:color w:val="auto"/>
                <w:sz w:val="24"/>
                <w:szCs w:val="28"/>
                <w:highlight w:val="none"/>
                <w:lang w:val="en-US" w:eastAsia="zh-CN"/>
              </w:rPr>
              <w:t>建设单位：府谷县鸿凯经贸开发有限公司</w:t>
            </w:r>
          </w:p>
          <w:p w14:paraId="0116271A">
            <w:pPr>
              <w:adjustRightInd w:val="0"/>
              <w:snapToGrid w:val="0"/>
              <w:spacing w:line="360" w:lineRule="auto"/>
              <w:ind w:firstLine="480" w:firstLineChars="200"/>
              <w:rPr>
                <w:rFonts w:hint="default"/>
                <w:color w:val="auto"/>
                <w:sz w:val="24"/>
                <w:szCs w:val="28"/>
                <w:highlight w:val="none"/>
                <w:lang w:val="en-US" w:eastAsia="zh-CN"/>
              </w:rPr>
            </w:pPr>
            <w:r>
              <w:rPr>
                <w:rFonts w:hint="eastAsia"/>
                <w:color w:val="auto"/>
                <w:sz w:val="24"/>
                <w:szCs w:val="28"/>
                <w:highlight w:val="none"/>
                <w:lang w:val="en-US" w:eastAsia="zh-CN"/>
              </w:rPr>
              <w:t>建设地址：府谷县新民镇芦草畔村</w:t>
            </w:r>
          </w:p>
          <w:p w14:paraId="4F2F8EC5">
            <w:pPr>
              <w:spacing w:line="360" w:lineRule="auto"/>
              <w:ind w:firstLine="480"/>
              <w:rPr>
                <w:rFonts w:hint="default" w:eastAsia="宋体"/>
                <w:color w:val="auto"/>
                <w:sz w:val="24"/>
                <w:szCs w:val="28"/>
                <w:highlight w:val="none"/>
                <w:lang w:val="en-US" w:eastAsia="zh-CN"/>
              </w:rPr>
            </w:pPr>
            <w:r>
              <w:rPr>
                <w:rFonts w:hint="eastAsia"/>
                <w:color w:val="auto"/>
                <w:sz w:val="24"/>
                <w:szCs w:val="28"/>
                <w:highlight w:val="none"/>
                <w:lang w:val="en-US" w:eastAsia="zh-CN"/>
              </w:rPr>
              <w:t>建设内容：原煤储煤场、准备车间、主厂房、浓缩池、循环水池、矸石棚、煤泥棚、产品仓以及各产品连接栈桥、供排水系统、供电系统、生活设施等。</w:t>
            </w:r>
          </w:p>
          <w:p w14:paraId="05B16F66">
            <w:pPr>
              <w:adjustRightInd w:val="0"/>
              <w:snapToGrid w:val="0"/>
              <w:spacing w:line="360" w:lineRule="auto"/>
              <w:ind w:firstLine="480" w:firstLineChars="200"/>
              <w:rPr>
                <w:rFonts w:hint="default"/>
                <w:color w:val="auto"/>
                <w:sz w:val="24"/>
                <w:szCs w:val="28"/>
                <w:highlight w:val="none"/>
                <w:lang w:val="en-US" w:eastAsia="zh-CN"/>
              </w:rPr>
            </w:pPr>
            <w:r>
              <w:rPr>
                <w:rFonts w:hint="eastAsia"/>
                <w:color w:val="auto"/>
                <w:sz w:val="24"/>
                <w:szCs w:val="28"/>
                <w:highlight w:val="none"/>
                <w:lang w:val="en-US" w:eastAsia="zh-CN"/>
              </w:rPr>
              <w:t>建设规模：年处理原煤120万吨</w:t>
            </w:r>
          </w:p>
          <w:p w14:paraId="77CD6F2E">
            <w:pPr>
              <w:adjustRightInd w:val="0"/>
              <w:snapToGrid w:val="0"/>
              <w:spacing w:line="360" w:lineRule="auto"/>
              <w:ind w:firstLine="480" w:firstLineChars="200"/>
              <w:rPr>
                <w:rFonts w:hint="eastAsia"/>
                <w:color w:val="auto"/>
                <w:sz w:val="24"/>
                <w:szCs w:val="28"/>
                <w:highlight w:val="none"/>
                <w:lang w:val="en-US" w:eastAsia="zh-CN"/>
              </w:rPr>
            </w:pPr>
            <w:r>
              <w:rPr>
                <w:rFonts w:hint="eastAsia"/>
                <w:color w:val="auto"/>
                <w:sz w:val="24"/>
                <w:szCs w:val="28"/>
                <w:highlight w:val="none"/>
                <w:lang w:val="en-US" w:eastAsia="zh-CN"/>
              </w:rPr>
              <w:t>工作制度：</w:t>
            </w:r>
            <w:r>
              <w:rPr>
                <w:rFonts w:ascii="Times New Roman" w:hAnsi="Times New Roman" w:eastAsia="宋体"/>
                <w:color w:val="auto"/>
                <w:sz w:val="24"/>
                <w:highlight w:val="none"/>
              </w:rPr>
              <w:t>年工作天数为</w:t>
            </w:r>
            <w:r>
              <w:rPr>
                <w:rFonts w:hint="eastAsia" w:ascii="Times New Roman" w:hAnsi="Times New Roman" w:eastAsia="宋体"/>
                <w:color w:val="auto"/>
                <w:sz w:val="24"/>
                <w:highlight w:val="none"/>
                <w:lang w:val="en-US" w:eastAsia="zh-CN"/>
              </w:rPr>
              <w:t>330</w:t>
            </w:r>
            <w:r>
              <w:rPr>
                <w:rFonts w:ascii="Times New Roman" w:hAnsi="Times New Roman" w:eastAsia="宋体"/>
                <w:color w:val="auto"/>
                <w:sz w:val="24"/>
                <w:highlight w:val="none"/>
              </w:rPr>
              <w:t>天，采用三班制（</w:t>
            </w:r>
            <w:r>
              <w:rPr>
                <w:rFonts w:hint="eastAsia" w:ascii="Times New Roman" w:hAnsi="Times New Roman" w:eastAsia="宋体"/>
                <w:color w:val="auto"/>
                <w:sz w:val="24"/>
                <w:highlight w:val="none"/>
                <w:lang w:val="en-US" w:eastAsia="zh-CN"/>
              </w:rPr>
              <w:t>两班生产</w:t>
            </w:r>
            <w:r>
              <w:rPr>
                <w:rFonts w:ascii="Times New Roman" w:hAnsi="Times New Roman" w:eastAsia="宋体"/>
                <w:color w:val="auto"/>
                <w:sz w:val="24"/>
                <w:highlight w:val="none"/>
              </w:rPr>
              <w:t>一班检修），</w:t>
            </w:r>
            <w:r>
              <w:rPr>
                <w:rFonts w:hint="eastAsia" w:ascii="Times New Roman" w:hAnsi="Times New Roman" w:eastAsia="宋体"/>
                <w:color w:val="auto"/>
                <w:sz w:val="24"/>
                <w:highlight w:val="none"/>
                <w:lang w:val="en-US" w:eastAsia="zh-CN"/>
              </w:rPr>
              <w:t>每班8小时</w:t>
            </w:r>
            <w:r>
              <w:rPr>
                <w:rFonts w:ascii="Times New Roman" w:hAnsi="Times New Roman" w:eastAsia="宋体"/>
                <w:color w:val="auto"/>
                <w:sz w:val="24"/>
                <w:highlight w:val="none"/>
              </w:rPr>
              <w:t>。</w:t>
            </w:r>
          </w:p>
          <w:p w14:paraId="53A5867B">
            <w:pPr>
              <w:adjustRightInd w:val="0"/>
              <w:snapToGrid w:val="0"/>
              <w:spacing w:line="360" w:lineRule="auto"/>
              <w:ind w:firstLine="480" w:firstLineChars="200"/>
              <w:rPr>
                <w:rFonts w:hint="eastAsia"/>
                <w:color w:val="auto"/>
                <w:sz w:val="24"/>
                <w:szCs w:val="28"/>
                <w:highlight w:val="none"/>
                <w:lang w:val="en-US" w:eastAsia="zh-CN"/>
              </w:rPr>
            </w:pPr>
            <w:r>
              <w:rPr>
                <w:rFonts w:hint="eastAsia"/>
                <w:color w:val="auto"/>
                <w:sz w:val="24"/>
                <w:szCs w:val="28"/>
                <w:highlight w:val="none"/>
                <w:lang w:val="en-US" w:eastAsia="zh-CN"/>
              </w:rPr>
              <w:t>劳动定员：75人</w:t>
            </w:r>
          </w:p>
          <w:p w14:paraId="6CA10069">
            <w:pPr>
              <w:adjustRightInd w:val="0"/>
              <w:snapToGrid w:val="0"/>
              <w:spacing w:line="360" w:lineRule="auto"/>
              <w:ind w:firstLine="480" w:firstLineChars="200"/>
              <w:rPr>
                <w:rFonts w:hint="eastAsia"/>
                <w:color w:val="auto"/>
                <w:sz w:val="24"/>
                <w:szCs w:val="28"/>
                <w:highlight w:val="none"/>
                <w:lang w:val="en-US" w:eastAsia="zh-CN"/>
              </w:rPr>
            </w:pPr>
            <w:r>
              <w:rPr>
                <w:rFonts w:hint="eastAsia"/>
                <w:color w:val="auto"/>
                <w:sz w:val="24"/>
                <w:szCs w:val="28"/>
                <w:highlight w:val="none"/>
                <w:lang w:val="en-US" w:eastAsia="zh-CN"/>
              </w:rPr>
              <w:t>项目投资：实际总投资</w:t>
            </w:r>
            <w:r>
              <w:rPr>
                <w:rFonts w:hint="eastAsia" w:ascii="Times New Roman" w:hAnsi="Times New Roman" w:eastAsia="宋体"/>
                <w:color w:val="auto"/>
                <w:sz w:val="24"/>
                <w:highlight w:val="none"/>
                <w:lang w:val="en-US" w:eastAsia="zh-CN"/>
              </w:rPr>
              <w:t>1980</w:t>
            </w:r>
            <w:r>
              <w:rPr>
                <w:rFonts w:hint="eastAsia"/>
                <w:color w:val="auto"/>
                <w:sz w:val="24"/>
                <w:szCs w:val="28"/>
                <w:highlight w:val="none"/>
                <w:lang w:val="en-US" w:eastAsia="zh-CN"/>
              </w:rPr>
              <w:t>万元，其中环保投资为458.9万元，占总投资的23.2%。</w:t>
            </w:r>
          </w:p>
          <w:p w14:paraId="7805E341">
            <w:pPr>
              <w:snapToGrid w:val="0"/>
              <w:spacing w:line="360" w:lineRule="auto"/>
              <w:ind w:firstLine="482" w:firstLineChars="200"/>
              <w:jc w:val="both"/>
              <w:rPr>
                <w:rFonts w:hint="eastAsia"/>
                <w:b/>
                <w:bCs/>
                <w:color w:val="auto"/>
                <w:sz w:val="24"/>
                <w:szCs w:val="28"/>
                <w:highlight w:val="none"/>
                <w:lang w:val="en-US" w:eastAsia="zh-CN"/>
              </w:rPr>
            </w:pPr>
            <w:r>
              <w:rPr>
                <w:rFonts w:hint="eastAsia"/>
                <w:b/>
                <w:bCs/>
                <w:color w:val="auto"/>
                <w:sz w:val="24"/>
                <w:szCs w:val="28"/>
                <w:highlight w:val="none"/>
                <w:lang w:val="en-US" w:eastAsia="zh-CN"/>
              </w:rPr>
              <w:t>2、现有工程环评手续履行情况</w:t>
            </w:r>
          </w:p>
          <w:p w14:paraId="702B3F1D">
            <w:pPr>
              <w:adjustRightInd w:val="0"/>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2010年3月，中国地质科学院水文地质环境地质研究所编制完成了《府谷县鸿凯经贸开发有限公司府谷县鸿凯经贸开发有限公司新建洗选煤项目环境影响报告书》；</w:t>
            </w:r>
            <w:r>
              <w:rPr>
                <w:rFonts w:hint="eastAsia" w:ascii="Times New Roman" w:hAnsi="Times New Roman" w:eastAsia="宋体"/>
                <w:color w:val="auto"/>
                <w:sz w:val="24"/>
                <w:highlight w:val="none"/>
                <w:lang w:val="en-US" w:eastAsia="zh-CN"/>
              </w:rPr>
              <w:t>2010年3月31日，原府谷县环境保护局</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olor w:val="auto"/>
                <w:sz w:val="24"/>
                <w:highlight w:val="none"/>
                <w:lang w:val="en-US" w:eastAsia="zh-CN"/>
              </w:rPr>
              <w:t>府环发〔2010〕13号文</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olor w:val="auto"/>
                <w:sz w:val="24"/>
                <w:highlight w:val="none"/>
                <w:lang w:val="en-US" w:eastAsia="zh-CN"/>
              </w:rPr>
              <w:t>“关于府谷县鸿凯经贸开发有限公司新建120万吨/年洗选煤项目环境影响报告书的批复”</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olor w:val="auto"/>
                <w:sz w:val="24"/>
                <w:highlight w:val="none"/>
                <w:lang w:val="en-US" w:eastAsia="zh-CN"/>
              </w:rPr>
              <w:t>2016年10月27日，府谷县环境保护局（府环清理〔2016〕30号文）“关于府谷县鸿凯经贸开发有限公司新建120万吨/年洗选煤项目竣工环境保护验收的批复”；验收批复要求已落实，具体见下表。</w:t>
            </w:r>
          </w:p>
          <w:p w14:paraId="2CA8ABD9">
            <w:pPr>
              <w:adjustRightInd w:val="0"/>
              <w:snapToGrid w:val="0"/>
              <w:spacing w:line="240" w:lineRule="auto"/>
              <w:jc w:val="center"/>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表2-5  验收批复环保措施落实情况</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3270"/>
              <w:gridCol w:w="2228"/>
              <w:gridCol w:w="1694"/>
            </w:tblGrid>
            <w:tr w14:paraId="1246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noWrap w:val="0"/>
                  <w:vAlign w:val="top"/>
                </w:tcPr>
                <w:p w14:paraId="501F1AA8">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序号</w:t>
                  </w:r>
                </w:p>
              </w:tc>
              <w:tc>
                <w:tcPr>
                  <w:tcW w:w="2084" w:type="pct"/>
                  <w:noWrap w:val="0"/>
                  <w:vAlign w:val="top"/>
                </w:tcPr>
                <w:p w14:paraId="1226BFA6">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批复要求</w:t>
                  </w:r>
                </w:p>
              </w:tc>
              <w:tc>
                <w:tcPr>
                  <w:tcW w:w="1420" w:type="pct"/>
                  <w:noWrap w:val="0"/>
                  <w:vAlign w:val="top"/>
                </w:tcPr>
                <w:p w14:paraId="219C141D">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企业建设情况</w:t>
                  </w:r>
                </w:p>
              </w:tc>
              <w:tc>
                <w:tcPr>
                  <w:tcW w:w="1079" w:type="pct"/>
                  <w:noWrap w:val="0"/>
                  <w:vAlign w:val="top"/>
                </w:tcPr>
                <w:p w14:paraId="499E39B6">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是否落实</w:t>
                  </w:r>
                </w:p>
              </w:tc>
            </w:tr>
            <w:tr w14:paraId="74D2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noWrap w:val="0"/>
                  <w:vAlign w:val="center"/>
                </w:tcPr>
                <w:p w14:paraId="640A1D26">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1</w:t>
                  </w:r>
                </w:p>
              </w:tc>
              <w:tc>
                <w:tcPr>
                  <w:tcW w:w="2084" w:type="pct"/>
                  <w:noWrap w:val="0"/>
                  <w:vAlign w:val="center"/>
                </w:tcPr>
                <w:p w14:paraId="6173FA83">
                  <w:pPr>
                    <w:adjustRightInd w:val="0"/>
                    <w:snapToGrid w:val="0"/>
                    <w:spacing w:line="240" w:lineRule="auto"/>
                    <w:jc w:val="center"/>
                    <w:rPr>
                      <w:rFonts w:hint="eastAsia"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2017年9月底前安装锅炉除尘、脱硫设施；</w:t>
                  </w:r>
                </w:p>
              </w:tc>
              <w:tc>
                <w:tcPr>
                  <w:tcW w:w="1420" w:type="pct"/>
                  <w:noWrap w:val="0"/>
                  <w:vAlign w:val="center"/>
                </w:tcPr>
                <w:p w14:paraId="11958984">
                  <w:pPr>
                    <w:adjustRightInd w:val="0"/>
                    <w:snapToGrid w:val="0"/>
                    <w:spacing w:line="240" w:lineRule="auto"/>
                    <w:jc w:val="center"/>
                    <w:rPr>
                      <w:rFonts w:hint="eastAsia"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采用空气能供热系统代替二次返烧锅炉；</w:t>
                  </w:r>
                </w:p>
              </w:tc>
              <w:tc>
                <w:tcPr>
                  <w:tcW w:w="1079" w:type="pct"/>
                  <w:noWrap w:val="0"/>
                  <w:vAlign w:val="center"/>
                </w:tcPr>
                <w:p w14:paraId="1DBEDAE8">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已落实</w:t>
                  </w:r>
                </w:p>
              </w:tc>
            </w:tr>
            <w:tr w14:paraId="70D0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15" w:type="pct"/>
                  <w:vMerge w:val="restart"/>
                  <w:noWrap w:val="0"/>
                  <w:vAlign w:val="center"/>
                </w:tcPr>
                <w:p w14:paraId="02B1D13A">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2</w:t>
                  </w:r>
                </w:p>
              </w:tc>
              <w:tc>
                <w:tcPr>
                  <w:tcW w:w="2084" w:type="pct"/>
                  <w:vMerge w:val="restart"/>
                  <w:noWrap w:val="0"/>
                  <w:vAlign w:val="center"/>
                </w:tcPr>
                <w:p w14:paraId="6397B30A">
                  <w:pPr>
                    <w:adjustRightInd w:val="0"/>
                    <w:snapToGrid w:val="0"/>
                    <w:spacing w:line="240" w:lineRule="auto"/>
                    <w:jc w:val="center"/>
                    <w:rPr>
                      <w:rFonts w:hint="eastAsia"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完成雨水收集池和原煤场地硬化工作。</w:t>
                  </w:r>
                </w:p>
              </w:tc>
              <w:tc>
                <w:tcPr>
                  <w:tcW w:w="1420" w:type="pct"/>
                  <w:noWrap w:val="0"/>
                  <w:vAlign w:val="center"/>
                </w:tcPr>
                <w:p w14:paraId="19DF2655">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建设原煤棚，且场地已硬化</w:t>
                  </w:r>
                </w:p>
              </w:tc>
              <w:tc>
                <w:tcPr>
                  <w:tcW w:w="1079" w:type="pct"/>
                  <w:noWrap w:val="0"/>
                  <w:vAlign w:val="center"/>
                </w:tcPr>
                <w:p w14:paraId="24FB9650">
                  <w:pPr>
                    <w:adjustRightInd w:val="0"/>
                    <w:snapToGrid w:val="0"/>
                    <w:spacing w:line="240" w:lineRule="auto"/>
                    <w:jc w:val="center"/>
                    <w:rPr>
                      <w:rFonts w:hint="eastAsia"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已落实</w:t>
                  </w:r>
                </w:p>
              </w:tc>
            </w:tr>
            <w:tr w14:paraId="082D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15" w:type="pct"/>
                  <w:vMerge w:val="continue"/>
                  <w:noWrap w:val="0"/>
                  <w:vAlign w:val="center"/>
                </w:tcPr>
                <w:p w14:paraId="65AFDA25">
                  <w:pPr>
                    <w:adjustRightInd w:val="0"/>
                    <w:snapToGrid w:val="0"/>
                    <w:spacing w:line="240" w:lineRule="auto"/>
                    <w:jc w:val="center"/>
                    <w:rPr>
                      <w:color w:val="auto"/>
                      <w:highlight w:val="none"/>
                      <w:lang w:val="en-US" w:eastAsia="zh-CN" w:bidi="ar-SA"/>
                    </w:rPr>
                  </w:pPr>
                </w:p>
              </w:tc>
              <w:tc>
                <w:tcPr>
                  <w:tcW w:w="2084" w:type="pct"/>
                  <w:vMerge w:val="continue"/>
                  <w:noWrap w:val="0"/>
                  <w:vAlign w:val="center"/>
                </w:tcPr>
                <w:p w14:paraId="4F5D50D2">
                  <w:pPr>
                    <w:adjustRightInd w:val="0"/>
                    <w:snapToGrid w:val="0"/>
                    <w:spacing w:line="240" w:lineRule="auto"/>
                    <w:jc w:val="center"/>
                    <w:rPr>
                      <w:color w:val="auto"/>
                      <w:highlight w:val="none"/>
                      <w:lang w:val="en-US" w:eastAsia="zh-CN" w:bidi="ar-SA"/>
                    </w:rPr>
                  </w:pPr>
                </w:p>
              </w:tc>
              <w:tc>
                <w:tcPr>
                  <w:tcW w:w="1420" w:type="pct"/>
                  <w:noWrap w:val="0"/>
                  <w:vAlign w:val="center"/>
                </w:tcPr>
                <w:p w14:paraId="50D87AD0">
                  <w:pPr>
                    <w:adjustRightInd w:val="0"/>
                    <w:snapToGrid w:val="0"/>
                    <w:spacing w:line="240" w:lineRule="auto"/>
                    <w:jc w:val="center"/>
                    <w:rPr>
                      <w:rFonts w:hint="default" w:ascii="宋体" w:hAnsi="宋体"/>
                      <w:b w:val="0"/>
                      <w:bCs w:val="0"/>
                      <w:color w:val="auto"/>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SA"/>
                    </w:rPr>
                    <w:t>厂区现有3座（15m</w:t>
                  </w:r>
                  <w:r>
                    <w:rPr>
                      <w:rFonts w:hint="eastAsia" w:ascii="宋体" w:hAnsi="宋体" w:eastAsia="宋体" w:cs="宋体"/>
                      <w:color w:val="auto"/>
                      <w:kern w:val="0"/>
                      <w:sz w:val="21"/>
                      <w:szCs w:val="21"/>
                      <w:highlight w:val="none"/>
                      <w:vertAlign w:val="superscript"/>
                      <w:lang w:val="en-US" w:eastAsia="zh-CN" w:bidi="ar-SA"/>
                    </w:rPr>
                    <w:t>3</w:t>
                  </w:r>
                  <w:r>
                    <w:rPr>
                      <w:rFonts w:hint="eastAsia" w:ascii="宋体" w:hAnsi="宋体" w:eastAsia="宋体" w:cs="宋体"/>
                      <w:color w:val="auto"/>
                      <w:kern w:val="0"/>
                      <w:sz w:val="21"/>
                      <w:szCs w:val="21"/>
                      <w:highlight w:val="none"/>
                      <w:lang w:val="en-US" w:eastAsia="zh-CN" w:bidi="ar-SA"/>
                    </w:rPr>
                    <w:t>、20m</w:t>
                  </w:r>
                  <w:r>
                    <w:rPr>
                      <w:rFonts w:hint="eastAsia" w:ascii="宋体" w:hAnsi="宋体" w:eastAsia="宋体" w:cs="宋体"/>
                      <w:color w:val="auto"/>
                      <w:kern w:val="0"/>
                      <w:sz w:val="21"/>
                      <w:szCs w:val="21"/>
                      <w:highlight w:val="none"/>
                      <w:vertAlign w:val="superscript"/>
                      <w:lang w:val="en-US" w:eastAsia="zh-CN" w:bidi="ar-SA"/>
                    </w:rPr>
                    <w:t>3</w:t>
                  </w:r>
                  <w:r>
                    <w:rPr>
                      <w:rFonts w:hint="eastAsia" w:ascii="宋体" w:hAnsi="宋体" w:eastAsia="宋体" w:cs="宋体"/>
                      <w:color w:val="auto"/>
                      <w:kern w:val="0"/>
                      <w:sz w:val="21"/>
                      <w:szCs w:val="21"/>
                      <w:highlight w:val="none"/>
                      <w:lang w:val="en-US" w:eastAsia="zh-CN" w:bidi="ar-SA"/>
                    </w:rPr>
                    <w:t>、350m</w:t>
                  </w:r>
                  <w:r>
                    <w:rPr>
                      <w:rFonts w:hint="eastAsia" w:ascii="宋体" w:hAnsi="宋体" w:eastAsia="宋体" w:cs="宋体"/>
                      <w:color w:val="auto"/>
                      <w:kern w:val="0"/>
                      <w:sz w:val="21"/>
                      <w:szCs w:val="21"/>
                      <w:highlight w:val="none"/>
                      <w:vertAlign w:val="superscript"/>
                      <w:lang w:val="en-US" w:eastAsia="zh-CN" w:bidi="ar-SA"/>
                    </w:rPr>
                    <w:t>3</w:t>
                  </w:r>
                  <w:r>
                    <w:rPr>
                      <w:rFonts w:hint="eastAsia" w:ascii="宋体" w:hAnsi="宋体" w:eastAsia="宋体" w:cs="宋体"/>
                      <w:color w:val="auto"/>
                      <w:kern w:val="0"/>
                      <w:sz w:val="21"/>
                      <w:szCs w:val="21"/>
                      <w:highlight w:val="none"/>
                      <w:lang w:val="en-US" w:eastAsia="zh-CN" w:bidi="ar-SA"/>
                    </w:rPr>
                    <w:t>）的初期雨水池</w:t>
                  </w:r>
                  <w:r>
                    <w:rPr>
                      <w:rFonts w:hint="eastAsia"/>
                      <w:color w:val="auto"/>
                      <w:highlight w:val="none"/>
                      <w:lang w:val="en-US" w:eastAsia="zh-CN" w:bidi="ar-SA"/>
                    </w:rPr>
                    <w:t>，分别位于厂区进口处、原煤棚北侧和东侧</w:t>
                  </w:r>
                </w:p>
              </w:tc>
              <w:tc>
                <w:tcPr>
                  <w:tcW w:w="1079" w:type="pct"/>
                  <w:noWrap w:val="0"/>
                  <w:vAlign w:val="center"/>
                </w:tcPr>
                <w:p w14:paraId="38B6246E">
                  <w:pPr>
                    <w:adjustRightInd w:val="0"/>
                    <w:snapToGrid w:val="0"/>
                    <w:spacing w:line="240" w:lineRule="auto"/>
                    <w:jc w:val="center"/>
                    <w:rPr>
                      <w:rFonts w:hint="eastAsia" w:ascii="宋体" w:hAnsi="宋体"/>
                      <w:b w:val="0"/>
                      <w:bCs w:val="0"/>
                      <w:color w:val="auto"/>
                      <w:sz w:val="21"/>
                      <w:szCs w:val="21"/>
                      <w:highlight w:val="none"/>
                      <w:vertAlign w:val="baseline"/>
                      <w:lang w:val="en-US" w:eastAsia="zh-CN" w:bidi="ar-SA"/>
                    </w:rPr>
                  </w:pPr>
                  <w:r>
                    <w:rPr>
                      <w:rFonts w:hint="eastAsia" w:ascii="宋体" w:hAnsi="宋体"/>
                      <w:b w:val="0"/>
                      <w:bCs w:val="0"/>
                      <w:color w:val="auto"/>
                      <w:sz w:val="21"/>
                      <w:szCs w:val="21"/>
                      <w:highlight w:val="none"/>
                      <w:vertAlign w:val="baseline"/>
                      <w:lang w:val="en-US" w:eastAsia="zh-CN" w:bidi="ar-SA"/>
                    </w:rPr>
                    <w:t>已落实</w:t>
                  </w:r>
                </w:p>
              </w:tc>
            </w:tr>
          </w:tbl>
          <w:p w14:paraId="7116AFF6">
            <w:pPr>
              <w:adjustRightInd w:val="0"/>
              <w:snapToGrid w:val="0"/>
              <w:spacing w:line="360" w:lineRule="auto"/>
              <w:ind w:firstLine="482" w:firstLineChars="200"/>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3、工程内容</w:t>
            </w:r>
          </w:p>
          <w:p w14:paraId="1BF97227">
            <w:pPr>
              <w:spacing w:line="360" w:lineRule="auto"/>
              <w:ind w:firstLine="480"/>
              <w:rPr>
                <w:rFonts w:hint="eastAsia"/>
                <w:color w:val="auto"/>
                <w:sz w:val="24"/>
                <w:szCs w:val="28"/>
                <w:highlight w:val="none"/>
                <w:lang w:val="en-US" w:eastAsia="zh-CN"/>
              </w:rPr>
            </w:pPr>
            <w:r>
              <w:rPr>
                <w:rFonts w:ascii="Times New Roman" w:hAnsi="Times New Roman" w:eastAsia="宋体"/>
                <w:color w:val="auto"/>
                <w:sz w:val="24"/>
                <w:highlight w:val="none"/>
              </w:rPr>
              <w:t>工程内容包括</w:t>
            </w:r>
            <w:r>
              <w:rPr>
                <w:rFonts w:hint="eastAsia" w:ascii="Times New Roman" w:hAnsi="Times New Roman" w:eastAsia="宋体"/>
                <w:color w:val="auto"/>
                <w:sz w:val="24"/>
                <w:highlight w:val="none"/>
                <w:lang w:val="en-US" w:eastAsia="zh-CN"/>
              </w:rPr>
              <w:t>储煤棚（混合储存原煤和产品煤）</w:t>
            </w:r>
            <w:r>
              <w:rPr>
                <w:rFonts w:hint="eastAsia"/>
                <w:color w:val="auto"/>
                <w:sz w:val="24"/>
                <w:szCs w:val="28"/>
                <w:highlight w:val="none"/>
                <w:lang w:val="en-US" w:eastAsia="zh-CN"/>
              </w:rPr>
              <w:t>、主厂房（备煤工段和洗煤工段）、浓缩池、循环水池、矸石棚、煤泥棚以及各产品连接栈桥、供排水系统、供电系统、生活设施等。</w:t>
            </w:r>
          </w:p>
          <w:p w14:paraId="6200B2BB">
            <w:pPr>
              <w:spacing w:line="360" w:lineRule="auto"/>
              <w:ind w:firstLine="480"/>
              <w:rPr>
                <w:rFonts w:ascii="Times New Roman" w:hAnsi="Times New Roman" w:eastAsia="宋体"/>
                <w:color w:val="auto"/>
                <w:sz w:val="24"/>
                <w:highlight w:val="none"/>
              </w:rPr>
            </w:pPr>
            <w:r>
              <w:rPr>
                <w:rFonts w:hint="eastAsia" w:ascii="宋体" w:hAnsi="宋体" w:eastAsia="宋体" w:cs="宋体"/>
                <w:color w:val="auto"/>
                <w:sz w:val="24"/>
                <w:szCs w:val="24"/>
                <w:highlight w:val="none"/>
                <w:lang w:val="en-US" w:eastAsia="zh-CN"/>
              </w:rPr>
              <w:t>现有工程项目</w:t>
            </w:r>
            <w:r>
              <w:rPr>
                <w:rFonts w:ascii="Times New Roman" w:hAnsi="Times New Roman" w:eastAsia="宋体"/>
                <w:color w:val="auto"/>
                <w:sz w:val="24"/>
                <w:highlight w:val="none"/>
              </w:rPr>
              <w:t>组成见表2-</w:t>
            </w:r>
            <w:r>
              <w:rPr>
                <w:rFonts w:hint="eastAsia" w:ascii="Times New Roman" w:hAnsi="Times New Roman" w:eastAsia="宋体"/>
                <w:color w:val="auto"/>
                <w:sz w:val="24"/>
                <w:highlight w:val="none"/>
                <w:lang w:val="en-US" w:eastAsia="zh-CN"/>
              </w:rPr>
              <w:t>6</w:t>
            </w:r>
            <w:r>
              <w:rPr>
                <w:rFonts w:ascii="Times New Roman" w:hAnsi="Times New Roman" w:eastAsia="宋体"/>
                <w:color w:val="auto"/>
                <w:sz w:val="24"/>
                <w:highlight w:val="none"/>
              </w:rPr>
              <w:t>。</w:t>
            </w:r>
          </w:p>
          <w:p w14:paraId="4F18343A">
            <w:pPr>
              <w:pStyle w:val="50"/>
              <w:widowControl/>
              <w:ind w:left="480" w:hanging="480"/>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lang w:val="en-US" w:eastAsia="zh-CN"/>
              </w:rPr>
              <w:t>6</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现有工程项目</w:t>
            </w:r>
            <w:r>
              <w:rPr>
                <w:rFonts w:ascii="Times New Roman" w:hAnsi="Times New Roman" w:eastAsia="宋体" w:cs="Times New Roman"/>
                <w:b/>
                <w:bCs/>
                <w:color w:val="auto"/>
                <w:highlight w:val="none"/>
              </w:rPr>
              <w:t>组成表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6"/>
              <w:gridCol w:w="344"/>
              <w:gridCol w:w="965"/>
              <w:gridCol w:w="6011"/>
            </w:tblGrid>
            <w:tr w14:paraId="0F71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35" w:type="pct"/>
                  <w:noWrap w:val="0"/>
                  <w:vAlign w:val="center"/>
                </w:tcPr>
                <w:p w14:paraId="626D041C">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项目</w:t>
                  </w:r>
                </w:p>
              </w:tc>
              <w:tc>
                <w:tcPr>
                  <w:tcW w:w="834" w:type="pct"/>
                  <w:gridSpan w:val="2"/>
                  <w:noWrap w:val="0"/>
                  <w:vAlign w:val="center"/>
                </w:tcPr>
                <w:p w14:paraId="7251979C">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内容</w:t>
                  </w:r>
                </w:p>
              </w:tc>
              <w:tc>
                <w:tcPr>
                  <w:tcW w:w="3829" w:type="pct"/>
                  <w:noWrap w:val="0"/>
                  <w:vAlign w:val="center"/>
                </w:tcPr>
                <w:p w14:paraId="490C7124">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主要内容</w:t>
                  </w:r>
                </w:p>
              </w:tc>
            </w:tr>
            <w:tr w14:paraId="6610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5" w:type="pct"/>
                  <w:vMerge w:val="restart"/>
                  <w:noWrap w:val="0"/>
                  <w:vAlign w:val="center"/>
                </w:tcPr>
                <w:p w14:paraId="6E22BA91">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主体</w:t>
                  </w:r>
                </w:p>
                <w:p w14:paraId="54DD8CEB">
                  <w:pPr>
                    <w:pStyle w:val="86"/>
                    <w:adjustRightInd w:val="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工程</w:t>
                  </w:r>
                </w:p>
              </w:tc>
              <w:tc>
                <w:tcPr>
                  <w:tcW w:w="834" w:type="pct"/>
                  <w:gridSpan w:val="2"/>
                  <w:noWrap w:val="0"/>
                  <w:vAlign w:val="center"/>
                </w:tcPr>
                <w:p w14:paraId="67134E75">
                  <w:pPr>
                    <w:autoSpaceDE w:val="0"/>
                    <w:autoSpaceDN w:val="0"/>
                    <w:adjustRightIn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备煤工段</w:t>
                  </w:r>
                </w:p>
              </w:tc>
              <w:tc>
                <w:tcPr>
                  <w:tcW w:w="3829" w:type="pct"/>
                  <w:noWrap w:val="0"/>
                  <w:vAlign w:val="center"/>
                </w:tcPr>
                <w:p w14:paraId="08A9F613">
                  <w:pPr>
                    <w:autoSpaceDE w:val="0"/>
                    <w:autoSpaceDN w:val="0"/>
                    <w:adjustRightIn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设原煤筛分、破碎机、</w:t>
                  </w:r>
                  <w:r>
                    <w:rPr>
                      <w:rFonts w:hint="default" w:ascii="Times New Roman" w:hAnsi="Times New Roman" w:eastAsia="宋体"/>
                      <w:color w:val="auto"/>
                      <w:sz w:val="21"/>
                      <w:szCs w:val="21"/>
                      <w:highlight w:val="none"/>
                      <w:lang w:val="en-US" w:eastAsia="zh-CN"/>
                    </w:rPr>
                    <w:t>胶带输送机、输送廊道、</w:t>
                  </w:r>
                  <w:r>
                    <w:rPr>
                      <w:rFonts w:hint="eastAsia" w:ascii="Times New Roman" w:hAnsi="Times New Roman" w:eastAsia="宋体"/>
                      <w:color w:val="auto"/>
                      <w:sz w:val="21"/>
                      <w:szCs w:val="21"/>
                      <w:highlight w:val="none"/>
                      <w:lang w:val="en-US" w:eastAsia="zh-CN"/>
                    </w:rPr>
                    <w:t>至洗煤工段</w:t>
                  </w:r>
                  <w:r>
                    <w:rPr>
                      <w:rFonts w:hint="default" w:ascii="Times New Roman" w:hAnsi="Times New Roman" w:eastAsia="宋体"/>
                      <w:color w:val="auto"/>
                      <w:sz w:val="21"/>
                      <w:szCs w:val="21"/>
                      <w:highlight w:val="none"/>
                      <w:lang w:val="en-US" w:eastAsia="zh-CN"/>
                    </w:rPr>
                    <w:t>胶带输送机栈桥装置一套</w:t>
                  </w:r>
                </w:p>
              </w:tc>
            </w:tr>
            <w:tr w14:paraId="14C4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35" w:type="pct"/>
                  <w:vMerge w:val="continue"/>
                  <w:noWrap w:val="0"/>
                  <w:vAlign w:val="center"/>
                </w:tcPr>
                <w:p w14:paraId="158E3B98">
                  <w:pPr>
                    <w:pStyle w:val="86"/>
                    <w:adjustRightInd w:val="0"/>
                    <w:rPr>
                      <w:rFonts w:ascii="Times New Roman" w:hAnsi="Times New Roman" w:eastAsia="宋体"/>
                      <w:color w:val="auto"/>
                      <w:sz w:val="21"/>
                      <w:szCs w:val="21"/>
                      <w:highlight w:val="none"/>
                    </w:rPr>
                  </w:pPr>
                </w:p>
              </w:tc>
              <w:tc>
                <w:tcPr>
                  <w:tcW w:w="834" w:type="pct"/>
                  <w:gridSpan w:val="2"/>
                  <w:noWrap w:val="0"/>
                  <w:vAlign w:val="center"/>
                </w:tcPr>
                <w:p w14:paraId="70E6B5E0">
                  <w:pPr>
                    <w:autoSpaceDE w:val="0"/>
                    <w:autoSpaceDN w:val="0"/>
                    <w:adjustRightIn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洗煤工段</w:t>
                  </w:r>
                </w:p>
              </w:tc>
              <w:tc>
                <w:tcPr>
                  <w:tcW w:w="3829" w:type="pct"/>
                  <w:noWrap w:val="0"/>
                  <w:vAlign w:val="center"/>
                </w:tcPr>
                <w:p w14:paraId="590F697C">
                  <w:pPr>
                    <w:autoSpaceDE w:val="0"/>
                    <w:autoSpaceDN w:val="0"/>
                    <w:adjustRightInd w:val="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水介跳汰洗煤装置一套、煤泥压滤系统一套</w:t>
                  </w:r>
                </w:p>
              </w:tc>
            </w:tr>
            <w:tr w14:paraId="6319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35" w:type="pct"/>
                  <w:vMerge w:val="continue"/>
                  <w:noWrap w:val="0"/>
                  <w:vAlign w:val="center"/>
                </w:tcPr>
                <w:p w14:paraId="630EF2A3">
                  <w:pPr>
                    <w:pStyle w:val="86"/>
                    <w:adjustRightInd w:val="0"/>
                    <w:rPr>
                      <w:rFonts w:ascii="Times New Roman" w:hAnsi="Times New Roman" w:eastAsia="宋体"/>
                      <w:color w:val="auto"/>
                      <w:sz w:val="21"/>
                      <w:szCs w:val="21"/>
                      <w:highlight w:val="none"/>
                    </w:rPr>
                  </w:pPr>
                </w:p>
              </w:tc>
              <w:tc>
                <w:tcPr>
                  <w:tcW w:w="834" w:type="pct"/>
                  <w:gridSpan w:val="2"/>
                  <w:noWrap w:val="0"/>
                  <w:vAlign w:val="center"/>
                </w:tcPr>
                <w:p w14:paraId="118BC2D5">
                  <w:pPr>
                    <w:autoSpaceDE w:val="0"/>
                    <w:autoSpaceDN w:val="0"/>
                    <w:adjustRightIn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浓缩工段</w:t>
                  </w:r>
                </w:p>
              </w:tc>
              <w:tc>
                <w:tcPr>
                  <w:tcW w:w="3829" w:type="pct"/>
                  <w:noWrap w:val="0"/>
                  <w:vAlign w:val="center"/>
                </w:tcPr>
                <w:p w14:paraId="6BBF2E40">
                  <w:pPr>
                    <w:autoSpaceDE w:val="0"/>
                    <w:autoSpaceDN w:val="0"/>
                    <w:adjustRightIn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FF0000"/>
                      <w:sz w:val="21"/>
                      <w:szCs w:val="21"/>
                      <w:highlight w:val="none"/>
                      <w:lang w:val="en-US" w:eastAsia="zh-CN"/>
                    </w:rPr>
                    <w:t>设1200m</w:t>
                  </w:r>
                  <w:r>
                    <w:rPr>
                      <w:rFonts w:hint="eastAsia" w:ascii="Times New Roman" w:hAnsi="Times New Roman" w:eastAsia="宋体"/>
                      <w:color w:val="FF0000"/>
                      <w:sz w:val="21"/>
                      <w:szCs w:val="21"/>
                      <w:highlight w:val="none"/>
                      <w:vertAlign w:val="superscript"/>
                      <w:lang w:val="en-US" w:eastAsia="zh-CN"/>
                    </w:rPr>
                    <w:t>3</w:t>
                  </w:r>
                  <w:r>
                    <w:rPr>
                      <w:rFonts w:hint="eastAsia" w:ascii="Times New Roman" w:hAnsi="Times New Roman" w:eastAsia="宋体"/>
                      <w:color w:val="FF0000"/>
                      <w:sz w:val="21"/>
                      <w:szCs w:val="21"/>
                      <w:highlight w:val="none"/>
                      <w:lang w:val="en-US" w:eastAsia="zh-CN"/>
                    </w:rPr>
                    <w:t>浓缩池2座，为双池并列型，1用1备，</w:t>
                  </w:r>
                  <w:r>
                    <w:rPr>
                      <w:rFonts w:hint="eastAsia" w:ascii="Times New Roman" w:hAnsi="Times New Roman" w:eastAsia="宋体"/>
                      <w:color w:val="auto"/>
                      <w:sz w:val="21"/>
                      <w:szCs w:val="21"/>
                      <w:highlight w:val="none"/>
                      <w:lang w:val="en-US" w:eastAsia="zh-CN"/>
                    </w:rPr>
                    <w:t>从中间隔墙隔开，两个池体共用中间的隔墙，每个池体独立设置进水口、出水口和排泥口。具体见附件8.</w:t>
                  </w:r>
                </w:p>
              </w:tc>
            </w:tr>
            <w:tr w14:paraId="6008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restart"/>
                  <w:noWrap w:val="0"/>
                  <w:vAlign w:val="center"/>
                </w:tcPr>
                <w:p w14:paraId="1DE98E27">
                  <w:pPr>
                    <w:pStyle w:val="68"/>
                    <w:snapToGrid w:val="0"/>
                    <w:spacing w:line="240" w:lineRule="auto"/>
                    <w:jc w:val="center"/>
                    <w:rPr>
                      <w:rFonts w:hint="default" w:ascii="Times New Roman" w:hAnsi="Times New Roman" w:eastAsia="宋体"/>
                      <w:color w:val="auto"/>
                      <w:spacing w:val="0"/>
                      <w:sz w:val="21"/>
                      <w:szCs w:val="21"/>
                      <w:highlight w:val="none"/>
                      <w:lang w:val="en-US" w:eastAsia="zh-CN"/>
                    </w:rPr>
                  </w:pPr>
                  <w:r>
                    <w:rPr>
                      <w:rFonts w:hint="eastAsia" w:ascii="Times New Roman" w:hAnsi="Times New Roman" w:eastAsia="宋体"/>
                      <w:color w:val="auto"/>
                      <w:spacing w:val="0"/>
                      <w:sz w:val="21"/>
                      <w:szCs w:val="21"/>
                      <w:highlight w:val="none"/>
                      <w:lang w:val="en-US" w:eastAsia="zh-CN"/>
                    </w:rPr>
                    <w:t>储运工程</w:t>
                  </w:r>
                </w:p>
              </w:tc>
              <w:tc>
                <w:tcPr>
                  <w:tcW w:w="834" w:type="pct"/>
                  <w:gridSpan w:val="2"/>
                  <w:vMerge w:val="restart"/>
                  <w:noWrap w:val="0"/>
                  <w:vAlign w:val="center"/>
                </w:tcPr>
                <w:p w14:paraId="6523D0A6">
                  <w:pPr>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储煤棚</w:t>
                  </w:r>
                </w:p>
              </w:tc>
              <w:tc>
                <w:tcPr>
                  <w:tcW w:w="3829" w:type="pct"/>
                  <w:noWrap w:val="0"/>
                  <w:vAlign w:val="center"/>
                </w:tcPr>
                <w:p w14:paraId="273E5BFE">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原煤储存区1个，</w:t>
                  </w:r>
                  <w:r>
                    <w:rPr>
                      <w:rFonts w:hint="eastAsia"/>
                      <w:color w:val="auto"/>
                      <w:sz w:val="21"/>
                      <w:szCs w:val="21"/>
                      <w:highlight w:val="none"/>
                      <w:lang w:val="en-US" w:eastAsia="zh-CN"/>
                    </w:rPr>
                    <w:t>静态储煤能力约2.6万t</w:t>
                  </w:r>
                </w:p>
              </w:tc>
            </w:tr>
            <w:tr w14:paraId="6728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9833AA8">
                  <w:pPr>
                    <w:pStyle w:val="68"/>
                    <w:snapToGrid w:val="0"/>
                    <w:spacing w:line="240" w:lineRule="auto"/>
                    <w:jc w:val="center"/>
                    <w:rPr>
                      <w:rFonts w:ascii="Times New Roman" w:hAnsi="Times New Roman" w:eastAsia="宋体"/>
                      <w:color w:val="auto"/>
                      <w:spacing w:val="0"/>
                      <w:sz w:val="21"/>
                      <w:szCs w:val="21"/>
                      <w:highlight w:val="none"/>
                    </w:rPr>
                  </w:pPr>
                </w:p>
              </w:tc>
              <w:tc>
                <w:tcPr>
                  <w:tcW w:w="834" w:type="pct"/>
                  <w:gridSpan w:val="2"/>
                  <w:vMerge w:val="continue"/>
                  <w:noWrap w:val="0"/>
                  <w:vAlign w:val="center"/>
                </w:tcPr>
                <w:p w14:paraId="4DD3A809">
                  <w:pPr>
                    <w:adjustRightInd w:val="0"/>
                    <w:snapToGrid w:val="0"/>
                    <w:jc w:val="center"/>
                    <w:rPr>
                      <w:rFonts w:hint="default" w:ascii="Times New Roman" w:hAnsi="Times New Roman" w:eastAsia="宋体"/>
                      <w:color w:val="auto"/>
                      <w:sz w:val="21"/>
                      <w:szCs w:val="21"/>
                      <w:highlight w:val="none"/>
                      <w:lang w:val="en-US" w:eastAsia="zh-CN"/>
                    </w:rPr>
                  </w:pPr>
                </w:p>
              </w:tc>
              <w:tc>
                <w:tcPr>
                  <w:tcW w:w="3829" w:type="pct"/>
                  <w:noWrap w:val="0"/>
                  <w:vAlign w:val="center"/>
                </w:tcPr>
                <w:p w14:paraId="50678B3E">
                  <w:pPr>
                    <w:autoSpaceDE w:val="0"/>
                    <w:autoSpaceDN w:val="0"/>
                    <w:adjustRightIn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精煤</w:t>
                  </w:r>
                  <w:r>
                    <w:rPr>
                      <w:rFonts w:hint="eastAsia" w:ascii="Times New Roman" w:hAnsi="Times New Roman" w:eastAsia="宋体"/>
                      <w:color w:val="auto"/>
                      <w:sz w:val="21"/>
                      <w:szCs w:val="21"/>
                      <w:highlight w:val="none"/>
                      <w:lang w:val="en-US" w:eastAsia="zh-CN"/>
                    </w:rPr>
                    <w:t>存储区2个，储量2598t（1.16d）</w:t>
                  </w:r>
                </w:p>
              </w:tc>
            </w:tr>
            <w:tr w14:paraId="70AA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03B04DE3">
                  <w:pPr>
                    <w:pStyle w:val="68"/>
                    <w:snapToGrid w:val="0"/>
                    <w:spacing w:line="240" w:lineRule="auto"/>
                    <w:jc w:val="center"/>
                    <w:rPr>
                      <w:rFonts w:ascii="Times New Roman" w:hAnsi="Times New Roman" w:eastAsia="宋体"/>
                      <w:color w:val="auto"/>
                      <w:spacing w:val="0"/>
                      <w:sz w:val="21"/>
                      <w:szCs w:val="21"/>
                      <w:highlight w:val="none"/>
                    </w:rPr>
                  </w:pPr>
                </w:p>
              </w:tc>
              <w:tc>
                <w:tcPr>
                  <w:tcW w:w="834" w:type="pct"/>
                  <w:gridSpan w:val="2"/>
                  <w:vMerge w:val="continue"/>
                  <w:noWrap w:val="0"/>
                  <w:vAlign w:val="center"/>
                </w:tcPr>
                <w:p w14:paraId="19C3DE0E">
                  <w:pPr>
                    <w:adjustRightInd w:val="0"/>
                    <w:snapToGrid w:val="0"/>
                    <w:jc w:val="center"/>
                    <w:rPr>
                      <w:rFonts w:hint="eastAsia" w:ascii="Times New Roman" w:hAnsi="Times New Roman" w:eastAsia="宋体"/>
                      <w:color w:val="auto"/>
                      <w:sz w:val="21"/>
                      <w:szCs w:val="21"/>
                      <w:highlight w:val="none"/>
                      <w:lang w:val="en-US" w:eastAsia="zh-CN"/>
                    </w:rPr>
                  </w:pPr>
                </w:p>
              </w:tc>
              <w:tc>
                <w:tcPr>
                  <w:tcW w:w="3829" w:type="pct"/>
                  <w:noWrap w:val="0"/>
                  <w:vAlign w:val="center"/>
                </w:tcPr>
                <w:p w14:paraId="02AD53F0">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中煤存储区1个，储量1168t（3.2d）</w:t>
                  </w:r>
                </w:p>
              </w:tc>
            </w:tr>
            <w:tr w14:paraId="1EB9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4F4E8C3A">
                  <w:pPr>
                    <w:pStyle w:val="68"/>
                    <w:snapToGrid w:val="0"/>
                    <w:spacing w:line="240" w:lineRule="auto"/>
                    <w:jc w:val="center"/>
                    <w:rPr>
                      <w:rFonts w:ascii="Times New Roman" w:hAnsi="Times New Roman" w:eastAsia="宋体"/>
                      <w:color w:val="auto"/>
                      <w:spacing w:val="0"/>
                      <w:sz w:val="21"/>
                      <w:szCs w:val="21"/>
                      <w:highlight w:val="none"/>
                    </w:rPr>
                  </w:pPr>
                </w:p>
              </w:tc>
              <w:tc>
                <w:tcPr>
                  <w:tcW w:w="834" w:type="pct"/>
                  <w:gridSpan w:val="2"/>
                  <w:vMerge w:val="continue"/>
                  <w:noWrap w:val="0"/>
                  <w:vAlign w:val="center"/>
                </w:tcPr>
                <w:p w14:paraId="3D2711F9">
                  <w:pPr>
                    <w:adjustRightInd w:val="0"/>
                    <w:snapToGrid w:val="0"/>
                    <w:jc w:val="center"/>
                    <w:rPr>
                      <w:rFonts w:hint="default" w:ascii="Times New Roman" w:hAnsi="Times New Roman" w:eastAsia="宋体"/>
                      <w:color w:val="auto"/>
                      <w:sz w:val="21"/>
                      <w:szCs w:val="21"/>
                      <w:highlight w:val="none"/>
                      <w:lang w:val="en-US" w:eastAsia="zh-CN"/>
                    </w:rPr>
                  </w:pPr>
                </w:p>
              </w:tc>
              <w:tc>
                <w:tcPr>
                  <w:tcW w:w="3829" w:type="pct"/>
                  <w:noWrap w:val="0"/>
                  <w:vAlign w:val="center"/>
                </w:tcPr>
                <w:p w14:paraId="6BEF406A">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末煤存储区1个，储量1183t（4.0d）</w:t>
                  </w:r>
                </w:p>
              </w:tc>
            </w:tr>
            <w:tr w14:paraId="6B39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38F0202">
                  <w:pPr>
                    <w:pStyle w:val="68"/>
                    <w:snapToGrid w:val="0"/>
                    <w:spacing w:line="240" w:lineRule="auto"/>
                    <w:jc w:val="center"/>
                    <w:rPr>
                      <w:rFonts w:ascii="Times New Roman" w:hAnsi="Times New Roman" w:eastAsia="宋体"/>
                      <w:color w:val="auto"/>
                      <w:spacing w:val="0"/>
                      <w:sz w:val="21"/>
                      <w:szCs w:val="21"/>
                      <w:highlight w:val="none"/>
                    </w:rPr>
                  </w:pPr>
                </w:p>
              </w:tc>
              <w:tc>
                <w:tcPr>
                  <w:tcW w:w="834" w:type="pct"/>
                  <w:gridSpan w:val="2"/>
                  <w:noWrap w:val="0"/>
                  <w:vAlign w:val="center"/>
                </w:tcPr>
                <w:p w14:paraId="515FF551">
                  <w:pPr>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煤泥棚</w:t>
                  </w:r>
                </w:p>
              </w:tc>
              <w:tc>
                <w:tcPr>
                  <w:tcW w:w="3829" w:type="pct"/>
                  <w:noWrap w:val="0"/>
                  <w:vAlign w:val="center"/>
                </w:tcPr>
                <w:p w14:paraId="57919BF0">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占地面积为30*30m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lang w:val="en-US" w:eastAsia="zh-CN"/>
                    </w:rPr>
                    <w:t>的煤泥棚1座</w:t>
                  </w:r>
                </w:p>
              </w:tc>
            </w:tr>
            <w:tr w14:paraId="32CA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265E91BA">
                  <w:pPr>
                    <w:pStyle w:val="68"/>
                    <w:snapToGrid w:val="0"/>
                    <w:spacing w:line="240" w:lineRule="auto"/>
                    <w:jc w:val="center"/>
                    <w:rPr>
                      <w:rFonts w:ascii="Times New Roman" w:hAnsi="Times New Roman" w:eastAsia="宋体"/>
                      <w:color w:val="auto"/>
                      <w:spacing w:val="0"/>
                      <w:sz w:val="21"/>
                      <w:szCs w:val="21"/>
                      <w:highlight w:val="none"/>
                    </w:rPr>
                  </w:pPr>
                </w:p>
              </w:tc>
              <w:tc>
                <w:tcPr>
                  <w:tcW w:w="834" w:type="pct"/>
                  <w:gridSpan w:val="2"/>
                  <w:noWrap w:val="0"/>
                  <w:vAlign w:val="center"/>
                </w:tcPr>
                <w:p w14:paraId="387C73EA">
                  <w:pPr>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矸石棚</w:t>
                  </w:r>
                </w:p>
              </w:tc>
              <w:tc>
                <w:tcPr>
                  <w:tcW w:w="3829" w:type="pct"/>
                  <w:noWrap w:val="0"/>
                  <w:vAlign w:val="center"/>
                </w:tcPr>
                <w:p w14:paraId="39B50E04">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占地面积为30*30m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lang w:val="en-US" w:eastAsia="zh-CN"/>
                    </w:rPr>
                    <w:t>的矸石棚1座</w:t>
                  </w:r>
                </w:p>
              </w:tc>
            </w:tr>
            <w:tr w14:paraId="2092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restart"/>
                  <w:noWrap w:val="0"/>
                  <w:vAlign w:val="center"/>
                </w:tcPr>
                <w:p w14:paraId="1A338F3A">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辅助</w:t>
                  </w:r>
                </w:p>
                <w:p w14:paraId="70F7F62A">
                  <w:pPr>
                    <w:pStyle w:val="86"/>
                    <w:adjustRightInd w:val="0"/>
                    <w:rPr>
                      <w:rFonts w:ascii="Times New Roman" w:hAnsi="Times New Roman" w:eastAsia="宋体"/>
                      <w:color w:val="auto"/>
                      <w:sz w:val="21"/>
                      <w:szCs w:val="21"/>
                      <w:highlight w:val="none"/>
                    </w:rPr>
                  </w:pPr>
                  <w:r>
                    <w:rPr>
                      <w:rFonts w:ascii="Times New Roman" w:hAnsi="Times New Roman" w:eastAsia="宋体"/>
                      <w:color w:val="auto"/>
                      <w:spacing w:val="0"/>
                      <w:sz w:val="21"/>
                      <w:szCs w:val="21"/>
                      <w:highlight w:val="none"/>
                    </w:rPr>
                    <w:t>工程</w:t>
                  </w:r>
                </w:p>
              </w:tc>
              <w:tc>
                <w:tcPr>
                  <w:tcW w:w="834" w:type="pct"/>
                  <w:gridSpan w:val="2"/>
                  <w:noWrap w:val="0"/>
                  <w:vAlign w:val="center"/>
                </w:tcPr>
                <w:p w14:paraId="2B3BBD15">
                  <w:pPr>
                    <w:pStyle w:val="86"/>
                    <w:adjustRightInd w:val="0"/>
                    <w:spacing w:line="240" w:lineRule="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办公生活区</w:t>
                  </w:r>
                </w:p>
              </w:tc>
              <w:tc>
                <w:tcPr>
                  <w:tcW w:w="3829" w:type="pct"/>
                  <w:noWrap w:val="0"/>
                  <w:vAlign w:val="center"/>
                </w:tcPr>
                <w:p w14:paraId="740AC59F">
                  <w:pPr>
                    <w:autoSpaceDE w:val="0"/>
                    <w:autoSpaceDN w:val="0"/>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占地面积700m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lang w:val="en-US" w:eastAsia="zh-CN"/>
                    </w:rPr>
                    <w:t>，3层砖混结构的办公楼1座</w:t>
                  </w:r>
                </w:p>
              </w:tc>
            </w:tr>
            <w:tr w14:paraId="455F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4F0AA11">
                  <w:pPr>
                    <w:pStyle w:val="86"/>
                    <w:adjustRightInd w:val="0"/>
                    <w:rPr>
                      <w:rFonts w:ascii="Times New Roman" w:hAnsi="Times New Roman" w:eastAsia="宋体"/>
                      <w:color w:val="auto"/>
                      <w:spacing w:val="0"/>
                      <w:sz w:val="21"/>
                      <w:szCs w:val="21"/>
                      <w:highlight w:val="none"/>
                    </w:rPr>
                  </w:pPr>
                </w:p>
              </w:tc>
              <w:tc>
                <w:tcPr>
                  <w:tcW w:w="834" w:type="pct"/>
                  <w:gridSpan w:val="2"/>
                  <w:noWrap w:val="0"/>
                  <w:vAlign w:val="center"/>
                </w:tcPr>
                <w:p w14:paraId="52333011">
                  <w:pPr>
                    <w:pStyle w:val="86"/>
                    <w:adjustRightInd w:val="0"/>
                    <w:spacing w:line="240" w:lineRule="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洗车台</w:t>
                  </w:r>
                </w:p>
              </w:tc>
              <w:tc>
                <w:tcPr>
                  <w:tcW w:w="3829" w:type="pct"/>
                  <w:noWrap w:val="0"/>
                  <w:vAlign w:val="center"/>
                </w:tcPr>
                <w:p w14:paraId="3B759A7A">
                  <w:pPr>
                    <w:autoSpaceDE w:val="0"/>
                    <w:autoSpaceDN w:val="0"/>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厂区进出口处设置洗车台，含15m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沉淀水罐</w:t>
                  </w:r>
                </w:p>
              </w:tc>
            </w:tr>
            <w:tr w14:paraId="11E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restart"/>
                  <w:noWrap w:val="0"/>
                  <w:vAlign w:val="center"/>
                </w:tcPr>
                <w:p w14:paraId="0F6DB672">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公用</w:t>
                  </w:r>
                </w:p>
                <w:p w14:paraId="1480D56E">
                  <w:pPr>
                    <w:pStyle w:val="86"/>
                    <w:adjustRightInd w:val="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工程</w:t>
                  </w:r>
                </w:p>
              </w:tc>
              <w:tc>
                <w:tcPr>
                  <w:tcW w:w="834" w:type="pct"/>
                  <w:gridSpan w:val="2"/>
                  <w:noWrap w:val="0"/>
                  <w:vAlign w:val="center"/>
                </w:tcPr>
                <w:p w14:paraId="50579E92">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供热</w:t>
                  </w:r>
                </w:p>
              </w:tc>
              <w:tc>
                <w:tcPr>
                  <w:tcW w:w="3829" w:type="pct"/>
                  <w:noWrap w:val="0"/>
                  <w:vAlign w:val="center"/>
                </w:tcPr>
                <w:p w14:paraId="6D393EAE">
                  <w:pPr>
                    <w:autoSpaceDE w:val="0"/>
                    <w:autoSpaceDN w:val="0"/>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冬季采暖由空气能供热</w:t>
                  </w:r>
                </w:p>
              </w:tc>
            </w:tr>
            <w:tr w14:paraId="4DB9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023F3926">
                  <w:pPr>
                    <w:pStyle w:val="86"/>
                    <w:adjustRightInd w:val="0"/>
                    <w:spacing w:line="240" w:lineRule="auto"/>
                    <w:rPr>
                      <w:rFonts w:ascii="Times New Roman" w:hAnsi="Times New Roman" w:eastAsia="宋体"/>
                      <w:color w:val="auto"/>
                      <w:sz w:val="21"/>
                      <w:szCs w:val="21"/>
                      <w:highlight w:val="none"/>
                    </w:rPr>
                  </w:pPr>
                </w:p>
              </w:tc>
              <w:tc>
                <w:tcPr>
                  <w:tcW w:w="834" w:type="pct"/>
                  <w:gridSpan w:val="2"/>
                  <w:noWrap w:val="0"/>
                  <w:vAlign w:val="center"/>
                </w:tcPr>
                <w:p w14:paraId="20E95AE0">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供电</w:t>
                  </w:r>
                </w:p>
              </w:tc>
              <w:tc>
                <w:tcPr>
                  <w:tcW w:w="3829" w:type="pct"/>
                  <w:noWrap w:val="0"/>
                  <w:vAlign w:val="center"/>
                </w:tcPr>
                <w:p w14:paraId="67C880C3">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双回路供电，设2台800KVA、6KV/0.4KV电力变压器</w:t>
                  </w:r>
                </w:p>
              </w:tc>
            </w:tr>
            <w:tr w14:paraId="230D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7ECC265A">
                  <w:pPr>
                    <w:pStyle w:val="86"/>
                    <w:adjustRightInd w:val="0"/>
                    <w:spacing w:line="240" w:lineRule="auto"/>
                    <w:rPr>
                      <w:rFonts w:ascii="Times New Roman" w:hAnsi="Times New Roman" w:eastAsia="宋体"/>
                      <w:color w:val="auto"/>
                      <w:sz w:val="21"/>
                      <w:szCs w:val="21"/>
                      <w:highlight w:val="none"/>
                    </w:rPr>
                  </w:pPr>
                </w:p>
              </w:tc>
              <w:tc>
                <w:tcPr>
                  <w:tcW w:w="834" w:type="pct"/>
                  <w:gridSpan w:val="2"/>
                  <w:noWrap w:val="0"/>
                  <w:vAlign w:val="center"/>
                </w:tcPr>
                <w:p w14:paraId="6CA24AF4">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供水</w:t>
                  </w:r>
                </w:p>
              </w:tc>
              <w:tc>
                <w:tcPr>
                  <w:tcW w:w="3829" w:type="pct"/>
                  <w:noWrap w:val="0"/>
                  <w:vAlign w:val="center"/>
                </w:tcPr>
                <w:p w14:paraId="74F71BF2">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生产、生活用水由府谷县惠泉水务公司提供</w:t>
                  </w:r>
                </w:p>
              </w:tc>
            </w:tr>
            <w:tr w14:paraId="6C60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5A723929">
                  <w:pPr>
                    <w:pStyle w:val="86"/>
                    <w:adjustRightInd w:val="0"/>
                    <w:spacing w:line="240" w:lineRule="auto"/>
                    <w:rPr>
                      <w:rFonts w:ascii="Times New Roman" w:hAnsi="Times New Roman" w:eastAsia="宋体"/>
                      <w:color w:val="auto"/>
                      <w:sz w:val="21"/>
                      <w:szCs w:val="21"/>
                      <w:highlight w:val="none"/>
                    </w:rPr>
                  </w:pPr>
                </w:p>
              </w:tc>
              <w:tc>
                <w:tcPr>
                  <w:tcW w:w="834" w:type="pct"/>
                  <w:gridSpan w:val="2"/>
                  <w:noWrap w:val="0"/>
                  <w:vAlign w:val="center"/>
                </w:tcPr>
                <w:p w14:paraId="1A6FF8D4">
                  <w:pPr>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办公生活区</w:t>
                  </w:r>
                </w:p>
              </w:tc>
              <w:tc>
                <w:tcPr>
                  <w:tcW w:w="3829" w:type="pct"/>
                  <w:noWrap w:val="0"/>
                  <w:vAlign w:val="center"/>
                </w:tcPr>
                <w:p w14:paraId="7B91B942">
                  <w:pPr>
                    <w:adjustRightInd w:val="0"/>
                    <w:snapToGrid w:val="0"/>
                    <w:jc w:val="both"/>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办公楼1座，占地面积290m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，设宿舍、办公室、厨房等</w:t>
                  </w:r>
                </w:p>
              </w:tc>
            </w:tr>
            <w:tr w14:paraId="4A2B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restart"/>
                  <w:noWrap w:val="0"/>
                  <w:vAlign w:val="center"/>
                </w:tcPr>
                <w:p w14:paraId="0716AC4F">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环保</w:t>
                  </w:r>
                </w:p>
                <w:p w14:paraId="1BF9D1C9">
                  <w:pPr>
                    <w:pStyle w:val="86"/>
                    <w:adjustRightInd w:val="0"/>
                    <w:spacing w:line="240"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工程</w:t>
                  </w:r>
                </w:p>
              </w:tc>
              <w:tc>
                <w:tcPr>
                  <w:tcW w:w="219" w:type="pct"/>
                  <w:vMerge w:val="restart"/>
                  <w:noWrap w:val="0"/>
                  <w:vAlign w:val="center"/>
                </w:tcPr>
                <w:p w14:paraId="74649038">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废气</w:t>
                  </w:r>
                </w:p>
              </w:tc>
              <w:tc>
                <w:tcPr>
                  <w:tcW w:w="615" w:type="pct"/>
                  <w:noWrap w:val="0"/>
                  <w:vAlign w:val="center"/>
                </w:tcPr>
                <w:p w14:paraId="2D06B43A">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煤矸石筛分破碎工段</w:t>
                  </w:r>
                </w:p>
              </w:tc>
              <w:tc>
                <w:tcPr>
                  <w:tcW w:w="3829" w:type="pct"/>
                  <w:noWrap w:val="0"/>
                  <w:vAlign w:val="center"/>
                </w:tcPr>
                <w:p w14:paraId="235F315A">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布袋除尘装置1套，移动式喷雾抑尘装置1台</w:t>
                  </w:r>
                </w:p>
              </w:tc>
            </w:tr>
            <w:tr w14:paraId="3A5B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26F72ADC">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46815FF2">
                  <w:pPr>
                    <w:pStyle w:val="86"/>
                    <w:adjustRightInd w:val="0"/>
                    <w:spacing w:line="240" w:lineRule="auto"/>
                    <w:rPr>
                      <w:rFonts w:ascii="Times New Roman" w:hAnsi="Times New Roman" w:eastAsia="宋体"/>
                      <w:color w:val="auto"/>
                      <w:sz w:val="21"/>
                      <w:szCs w:val="21"/>
                      <w:highlight w:val="none"/>
                    </w:rPr>
                  </w:pPr>
                </w:p>
              </w:tc>
              <w:tc>
                <w:tcPr>
                  <w:tcW w:w="615" w:type="pct"/>
                  <w:noWrap w:val="0"/>
                  <w:vAlign w:val="center"/>
                </w:tcPr>
                <w:p w14:paraId="3A5F77A7">
                  <w:pPr>
                    <w:pStyle w:val="86"/>
                    <w:adjustRightInd w:val="0"/>
                    <w:spacing w:line="240" w:lineRule="auto"/>
                    <w:rPr>
                      <w:rFonts w:ascii="Times New Roman" w:hAnsi="Times New Roman" w:eastAsia="宋体"/>
                      <w:color w:val="auto"/>
                      <w:sz w:val="21"/>
                      <w:szCs w:val="21"/>
                      <w:highlight w:val="none"/>
                    </w:rPr>
                  </w:pPr>
                  <w:r>
                    <w:rPr>
                      <w:rFonts w:hint="default" w:ascii="Times New Roman" w:hAnsi="Times New Roman" w:eastAsia="宋体" w:cs="Times New Roman"/>
                      <w:bCs/>
                      <w:color w:val="auto"/>
                      <w:sz w:val="21"/>
                      <w:szCs w:val="21"/>
                      <w:highlight w:val="none"/>
                    </w:rPr>
                    <w:t>储存、转运、装卸粉尘</w:t>
                  </w:r>
                </w:p>
              </w:tc>
              <w:tc>
                <w:tcPr>
                  <w:tcW w:w="3829" w:type="pct"/>
                  <w:noWrap w:val="0"/>
                  <w:vAlign w:val="center"/>
                </w:tcPr>
                <w:p w14:paraId="3C650724">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储煤棚设置喷雾抑尘装置2台，各转载点设置喷雾洒水装置</w:t>
                  </w:r>
                </w:p>
              </w:tc>
            </w:tr>
            <w:tr w14:paraId="6160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A4AA412">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778B024B">
                  <w:pPr>
                    <w:pStyle w:val="86"/>
                    <w:adjustRightInd w:val="0"/>
                    <w:spacing w:line="240" w:lineRule="auto"/>
                    <w:rPr>
                      <w:rFonts w:ascii="Times New Roman" w:hAnsi="Times New Roman" w:eastAsia="宋体"/>
                      <w:color w:val="auto"/>
                      <w:sz w:val="21"/>
                      <w:szCs w:val="21"/>
                      <w:highlight w:val="none"/>
                    </w:rPr>
                  </w:pPr>
                </w:p>
              </w:tc>
              <w:tc>
                <w:tcPr>
                  <w:tcW w:w="615" w:type="pct"/>
                  <w:noWrap w:val="0"/>
                  <w:vAlign w:val="center"/>
                </w:tcPr>
                <w:p w14:paraId="3FF02F88">
                  <w:pPr>
                    <w:pStyle w:val="86"/>
                    <w:adjustRightInd w:val="0"/>
                    <w:spacing w:line="240" w:lineRule="auto"/>
                    <w:rPr>
                      <w:rFonts w:ascii="Times New Roman" w:hAnsi="Times New Roman" w:eastAsia="宋体"/>
                      <w:color w:val="auto"/>
                      <w:sz w:val="21"/>
                      <w:szCs w:val="21"/>
                      <w:highlight w:val="none"/>
                    </w:rPr>
                  </w:pPr>
                  <w:r>
                    <w:rPr>
                      <w:rFonts w:hint="default" w:ascii="Times New Roman" w:hAnsi="Times New Roman" w:eastAsia="宋体" w:cs="Times New Roman"/>
                      <w:bCs/>
                      <w:color w:val="auto"/>
                      <w:sz w:val="21"/>
                      <w:szCs w:val="21"/>
                      <w:highlight w:val="none"/>
                    </w:rPr>
                    <w:t>道路、运输扬尘</w:t>
                  </w:r>
                </w:p>
              </w:tc>
              <w:tc>
                <w:tcPr>
                  <w:tcW w:w="3829" w:type="pct"/>
                  <w:noWrap w:val="0"/>
                  <w:vAlign w:val="center"/>
                </w:tcPr>
                <w:p w14:paraId="56DA5802">
                  <w:pPr>
                    <w:snapToGrid w:val="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厂区硬化，定期清扫和洒水，加强道路两侧及厂区绿化，车辆限速等措施；并在车辆进出口设置洗车台，减少运输扬尘</w:t>
                  </w:r>
                </w:p>
              </w:tc>
            </w:tr>
            <w:tr w14:paraId="006A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0EE001DE">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1E987442">
                  <w:pPr>
                    <w:pStyle w:val="86"/>
                    <w:adjustRightInd w:val="0"/>
                    <w:spacing w:line="240" w:lineRule="auto"/>
                    <w:rPr>
                      <w:rFonts w:ascii="Times New Roman" w:hAnsi="Times New Roman" w:eastAsia="宋体"/>
                      <w:color w:val="auto"/>
                      <w:sz w:val="21"/>
                      <w:szCs w:val="21"/>
                      <w:highlight w:val="none"/>
                    </w:rPr>
                  </w:pPr>
                </w:p>
              </w:tc>
              <w:tc>
                <w:tcPr>
                  <w:tcW w:w="615" w:type="pct"/>
                  <w:noWrap w:val="0"/>
                  <w:vAlign w:val="center"/>
                </w:tcPr>
                <w:p w14:paraId="4A6F1D34">
                  <w:pPr>
                    <w:pStyle w:val="86"/>
                    <w:adjustRightInd w:val="0"/>
                    <w:spacing w:line="240" w:lineRule="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扬尘在线监控系统</w:t>
                  </w:r>
                </w:p>
              </w:tc>
              <w:tc>
                <w:tcPr>
                  <w:tcW w:w="3829" w:type="pct"/>
                  <w:noWrap w:val="0"/>
                  <w:vAlign w:val="center"/>
                </w:tcPr>
                <w:p w14:paraId="15541FD4">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厂界四周设4台扬尘在线监测系统，实时监测厂区无组织废气浓度</w:t>
                  </w:r>
                </w:p>
              </w:tc>
            </w:tr>
            <w:tr w14:paraId="180D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14975B1D">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46A04EB0">
                  <w:pPr>
                    <w:pStyle w:val="86"/>
                    <w:adjustRightInd w:val="0"/>
                    <w:spacing w:line="240" w:lineRule="auto"/>
                    <w:rPr>
                      <w:rFonts w:ascii="Times New Roman" w:hAnsi="Times New Roman" w:eastAsia="宋体"/>
                      <w:color w:val="auto"/>
                      <w:sz w:val="21"/>
                      <w:szCs w:val="21"/>
                      <w:highlight w:val="none"/>
                    </w:rPr>
                  </w:pPr>
                </w:p>
              </w:tc>
              <w:tc>
                <w:tcPr>
                  <w:tcW w:w="615" w:type="pct"/>
                  <w:noWrap w:val="0"/>
                  <w:vAlign w:val="center"/>
                </w:tcPr>
                <w:p w14:paraId="42FE86FE">
                  <w:pPr>
                    <w:pStyle w:val="86"/>
                    <w:adjustRightInd w:val="0"/>
                    <w:spacing w:line="240" w:lineRule="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食堂油烟</w:t>
                  </w:r>
                </w:p>
              </w:tc>
              <w:tc>
                <w:tcPr>
                  <w:tcW w:w="3829" w:type="pct"/>
                  <w:noWrap w:val="0"/>
                  <w:vAlign w:val="center"/>
                </w:tcPr>
                <w:p w14:paraId="4B49684C">
                  <w:pPr>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设置</w:t>
                  </w:r>
                  <w:r>
                    <w:rPr>
                      <w:rFonts w:hint="default" w:ascii="Times New Roman" w:hAnsi="Times New Roman" w:eastAsia="宋体" w:cs="Times New Roman"/>
                      <w:bCs/>
                      <w:color w:val="auto"/>
                      <w:sz w:val="21"/>
                      <w:szCs w:val="21"/>
                      <w:highlight w:val="none"/>
                      <w:lang w:eastAsia="zh-CN"/>
                    </w:rPr>
                    <w:t>油烟净化装置</w:t>
                  </w:r>
                </w:p>
              </w:tc>
            </w:tr>
            <w:tr w14:paraId="09CB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12986ED3">
                  <w:pPr>
                    <w:pStyle w:val="86"/>
                    <w:adjustRightInd w:val="0"/>
                    <w:spacing w:line="240" w:lineRule="auto"/>
                    <w:rPr>
                      <w:rFonts w:ascii="Times New Roman" w:hAnsi="Times New Roman" w:eastAsia="宋体"/>
                      <w:color w:val="auto"/>
                      <w:sz w:val="21"/>
                      <w:szCs w:val="21"/>
                      <w:highlight w:val="none"/>
                    </w:rPr>
                  </w:pPr>
                </w:p>
              </w:tc>
              <w:tc>
                <w:tcPr>
                  <w:tcW w:w="219" w:type="pct"/>
                  <w:vMerge w:val="restart"/>
                  <w:noWrap w:val="0"/>
                  <w:vAlign w:val="center"/>
                </w:tcPr>
                <w:p w14:paraId="4C18E71A">
                  <w:pPr>
                    <w:pStyle w:val="86"/>
                    <w:adjustRightInd w:val="0"/>
                    <w:spacing w:line="240" w:lineRule="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废水</w:t>
                  </w:r>
                </w:p>
              </w:tc>
              <w:tc>
                <w:tcPr>
                  <w:tcW w:w="615" w:type="pct"/>
                  <w:noWrap w:val="0"/>
                  <w:vAlign w:val="center"/>
                </w:tcPr>
                <w:p w14:paraId="4071CAAE">
                  <w:pPr>
                    <w:snapToGrid w:val="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生产废水</w:t>
                  </w:r>
                </w:p>
              </w:tc>
              <w:tc>
                <w:tcPr>
                  <w:tcW w:w="3829" w:type="pct"/>
                  <w:noWrap w:val="0"/>
                  <w:vAlign w:val="center"/>
                </w:tcPr>
                <w:p w14:paraId="1F8DE0C0">
                  <w:pPr>
                    <w:adjustRightInd w:val="0"/>
                    <w:snapToGrid w:val="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项目洗选废水进入浓缩池（</w:t>
                  </w:r>
                  <w:r>
                    <w:rPr>
                      <w:rFonts w:hint="eastAsia"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）经浓缩压滤后重新返回循环池（</w:t>
                  </w:r>
                  <w:r>
                    <w:rPr>
                      <w:rFonts w:hint="eastAsia" w:ascii="Times New Roman" w:hAnsi="Times New Roman" w:eastAsia="宋体"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）循环利用，</w:t>
                  </w:r>
                  <w:r>
                    <w:rPr>
                      <w:rFonts w:hint="eastAsia" w:ascii="Times New Roman" w:hAnsi="Times New Roman" w:eastAsia="宋体" w:cs="Times New Roman"/>
                      <w:color w:val="auto"/>
                      <w:sz w:val="21"/>
                      <w:szCs w:val="21"/>
                      <w:highlight w:val="none"/>
                      <w:lang w:val="en-US" w:eastAsia="zh-CN"/>
                    </w:rPr>
                    <w:t>压滤废水流至循环池后循环利用，</w:t>
                  </w:r>
                  <w:r>
                    <w:rPr>
                      <w:rFonts w:hint="default" w:ascii="Times New Roman" w:hAnsi="Times New Roman" w:eastAsia="宋体" w:cs="Times New Roman"/>
                      <w:color w:val="auto"/>
                      <w:sz w:val="21"/>
                      <w:szCs w:val="21"/>
                      <w:highlight w:val="none"/>
                    </w:rPr>
                    <w:t>不外排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洗车台设沉淀池1座（15m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），洗车废水经沉淀后回用。</w:t>
                  </w:r>
                </w:p>
              </w:tc>
            </w:tr>
            <w:tr w14:paraId="5EB0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7C144C0D">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53F46053">
                  <w:pPr>
                    <w:adjustRightInd w:val="0"/>
                    <w:snapToGrid w:val="0"/>
                    <w:jc w:val="center"/>
                    <w:rPr>
                      <w:rFonts w:ascii="Times New Roman" w:hAnsi="Times New Roman" w:eastAsia="宋体"/>
                      <w:color w:val="auto"/>
                      <w:sz w:val="21"/>
                      <w:szCs w:val="21"/>
                      <w:highlight w:val="none"/>
                    </w:rPr>
                  </w:pPr>
                </w:p>
              </w:tc>
              <w:tc>
                <w:tcPr>
                  <w:tcW w:w="615" w:type="pct"/>
                  <w:noWrap w:val="0"/>
                  <w:vAlign w:val="center"/>
                </w:tcPr>
                <w:p w14:paraId="2908CBC5">
                  <w:pPr>
                    <w:snapToGrid w:val="0"/>
                    <w:jc w:val="center"/>
                    <w:rPr>
                      <w:rFonts w:ascii="Times New Roman" w:hAnsi="Times New Roman" w:eastAsia="宋体"/>
                      <w:color w:val="auto"/>
                      <w:sz w:val="21"/>
                      <w:szCs w:val="21"/>
                      <w:highlight w:val="none"/>
                    </w:rPr>
                  </w:pPr>
                  <w:r>
                    <w:rPr>
                      <w:rFonts w:hint="default" w:ascii="Times New Roman" w:hAnsi="Times New Roman" w:eastAsia="宋体" w:cs="Times New Roman"/>
                      <w:bCs/>
                      <w:color w:val="auto"/>
                      <w:sz w:val="21"/>
                      <w:szCs w:val="21"/>
                      <w:highlight w:val="none"/>
                    </w:rPr>
                    <w:t>生活污水</w:t>
                  </w:r>
                </w:p>
              </w:tc>
              <w:tc>
                <w:tcPr>
                  <w:tcW w:w="3829" w:type="pct"/>
                  <w:noWrap w:val="0"/>
                  <w:vAlign w:val="center"/>
                </w:tcPr>
                <w:p w14:paraId="2A3E9CDB">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厂区设旱厕，清掏后用于农田堆肥</w:t>
                  </w:r>
                </w:p>
              </w:tc>
            </w:tr>
            <w:tr w14:paraId="228B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477ADCFB">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48DF9BC5">
                  <w:pPr>
                    <w:adjustRightInd w:val="0"/>
                    <w:snapToGrid w:val="0"/>
                    <w:jc w:val="center"/>
                    <w:rPr>
                      <w:rFonts w:ascii="Times New Roman" w:hAnsi="Times New Roman" w:eastAsia="宋体"/>
                      <w:color w:val="auto"/>
                      <w:sz w:val="21"/>
                      <w:szCs w:val="21"/>
                      <w:highlight w:val="none"/>
                    </w:rPr>
                  </w:pPr>
                </w:p>
              </w:tc>
              <w:tc>
                <w:tcPr>
                  <w:tcW w:w="615" w:type="pct"/>
                  <w:noWrap w:val="0"/>
                  <w:vAlign w:val="center"/>
                </w:tcPr>
                <w:p w14:paraId="26D105A9">
                  <w:pPr>
                    <w:jc w:val="center"/>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事故废水</w:t>
                  </w:r>
                </w:p>
              </w:tc>
              <w:tc>
                <w:tcPr>
                  <w:tcW w:w="3829" w:type="pct"/>
                  <w:noWrap w:val="0"/>
                  <w:vAlign w:val="center"/>
                </w:tcPr>
                <w:p w14:paraId="1549158F">
                  <w:pPr>
                    <w:pStyle w:val="86"/>
                    <w:adjustRightInd w:val="0"/>
                    <w:spacing w:line="240" w:lineRule="auto"/>
                    <w:jc w:val="both"/>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厂区设置备用事故浓缩池（</w:t>
                  </w:r>
                  <w:r>
                    <w:rPr>
                      <w:rFonts w:hint="eastAsia"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），事故废水</w:t>
                  </w:r>
                  <w:r>
                    <w:rPr>
                      <w:rFonts w:hint="eastAsia" w:cs="Times New Roman"/>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全部收集，沉淀后返回洗选车间循环利用，不外排</w:t>
                  </w:r>
                </w:p>
              </w:tc>
            </w:tr>
            <w:tr w14:paraId="501A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795AAF4F">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71E55DF9">
                  <w:pPr>
                    <w:adjustRightInd w:val="0"/>
                    <w:snapToGrid w:val="0"/>
                    <w:jc w:val="center"/>
                    <w:rPr>
                      <w:rFonts w:ascii="Times New Roman" w:hAnsi="Times New Roman" w:eastAsia="宋体"/>
                      <w:color w:val="auto"/>
                      <w:sz w:val="21"/>
                      <w:szCs w:val="21"/>
                      <w:highlight w:val="none"/>
                    </w:rPr>
                  </w:pPr>
                </w:p>
              </w:tc>
              <w:tc>
                <w:tcPr>
                  <w:tcW w:w="615" w:type="pct"/>
                  <w:noWrap w:val="0"/>
                  <w:vAlign w:val="center"/>
                </w:tcPr>
                <w:p w14:paraId="1772CB0A">
                  <w:pPr>
                    <w:snapToGrid w:val="0"/>
                    <w:jc w:val="center"/>
                    <w:rPr>
                      <w:rFonts w:ascii="Times New Roman" w:hAnsi="Times New Roman" w:eastAsia="宋体"/>
                      <w:color w:val="auto"/>
                      <w:sz w:val="21"/>
                      <w:szCs w:val="21"/>
                      <w:highlight w:val="none"/>
                    </w:rPr>
                  </w:pPr>
                  <w:r>
                    <w:rPr>
                      <w:rFonts w:hint="default" w:ascii="Times New Roman" w:hAnsi="Times New Roman" w:eastAsia="宋体" w:cs="Times New Roman"/>
                      <w:bCs/>
                      <w:color w:val="auto"/>
                      <w:sz w:val="21"/>
                      <w:szCs w:val="21"/>
                      <w:highlight w:val="none"/>
                    </w:rPr>
                    <w:t>初期雨水</w:t>
                  </w:r>
                </w:p>
              </w:tc>
              <w:tc>
                <w:tcPr>
                  <w:tcW w:w="3829" w:type="pct"/>
                  <w:noWrap w:val="0"/>
                  <w:vAlign w:val="center"/>
                </w:tcPr>
                <w:p w14:paraId="4C2204BA">
                  <w:pPr>
                    <w:pStyle w:val="86"/>
                    <w:adjustRightInd w:val="0"/>
                    <w:spacing w:line="240" w:lineRule="auto"/>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进出口处设置15m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雨水收集罐1座，煤棚北侧低洼处设容积350m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的初期雨水池1座，东侧低洼处设置20m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雨水收集池1座，初期雨水收集池，收集到的雨水沉淀后回用于厂区洒水抑尘用水、绿化用水以及洗车用水等，不外排</w:t>
                  </w:r>
                </w:p>
              </w:tc>
            </w:tr>
            <w:tr w14:paraId="5B0E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D23DD1B">
                  <w:pPr>
                    <w:pStyle w:val="86"/>
                    <w:adjustRightInd w:val="0"/>
                    <w:spacing w:line="240" w:lineRule="auto"/>
                    <w:rPr>
                      <w:rFonts w:ascii="Times New Roman" w:hAnsi="Times New Roman" w:eastAsia="宋体"/>
                      <w:color w:val="auto"/>
                      <w:sz w:val="21"/>
                      <w:szCs w:val="21"/>
                      <w:highlight w:val="none"/>
                    </w:rPr>
                  </w:pPr>
                </w:p>
              </w:tc>
              <w:tc>
                <w:tcPr>
                  <w:tcW w:w="834" w:type="pct"/>
                  <w:gridSpan w:val="2"/>
                  <w:vMerge w:val="restart"/>
                  <w:noWrap w:val="0"/>
                  <w:vAlign w:val="center"/>
                </w:tcPr>
                <w:p w14:paraId="18A59D28">
                  <w:pPr>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829" w:type="pct"/>
                  <w:noWrap w:val="0"/>
                  <w:vAlign w:val="center"/>
                </w:tcPr>
                <w:p w14:paraId="7E1B6321">
                  <w:pPr>
                    <w:snapToGrid w:val="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采取选用低噪声设备、基础减振、风机消声、厂房隔声等措施</w:t>
                  </w:r>
                </w:p>
              </w:tc>
            </w:tr>
            <w:tr w14:paraId="4C54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406B32CB">
                  <w:pPr>
                    <w:pStyle w:val="86"/>
                    <w:adjustRightInd w:val="0"/>
                    <w:spacing w:line="240" w:lineRule="auto"/>
                    <w:rPr>
                      <w:rFonts w:ascii="Times New Roman" w:hAnsi="Times New Roman" w:eastAsia="宋体"/>
                      <w:color w:val="auto"/>
                      <w:sz w:val="21"/>
                      <w:szCs w:val="21"/>
                      <w:highlight w:val="none"/>
                    </w:rPr>
                  </w:pPr>
                </w:p>
              </w:tc>
              <w:tc>
                <w:tcPr>
                  <w:tcW w:w="834" w:type="pct"/>
                  <w:gridSpan w:val="2"/>
                  <w:vMerge w:val="continue"/>
                  <w:noWrap w:val="0"/>
                  <w:vAlign w:val="center"/>
                </w:tcPr>
                <w:p w14:paraId="16738A44">
                  <w:pPr>
                    <w:adjustRightInd w:val="0"/>
                    <w:snapToGrid w:val="0"/>
                    <w:jc w:val="center"/>
                    <w:rPr>
                      <w:rFonts w:ascii="Times New Roman" w:hAnsi="Times New Roman" w:eastAsia="宋体"/>
                      <w:color w:val="auto"/>
                      <w:sz w:val="21"/>
                      <w:szCs w:val="21"/>
                      <w:highlight w:val="none"/>
                    </w:rPr>
                  </w:pPr>
                </w:p>
              </w:tc>
              <w:tc>
                <w:tcPr>
                  <w:tcW w:w="3829" w:type="pct"/>
                  <w:noWrap w:val="0"/>
                  <w:vAlign w:val="center"/>
                </w:tcPr>
                <w:p w14:paraId="1ABE6359">
                  <w:pPr>
                    <w:snapToGrid w:val="0"/>
                    <w:jc w:val="both"/>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加强管理、限鸣标识</w:t>
                  </w:r>
                </w:p>
              </w:tc>
            </w:tr>
            <w:tr w14:paraId="292C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0F2F312E">
                  <w:pPr>
                    <w:pStyle w:val="86"/>
                    <w:adjustRightInd w:val="0"/>
                    <w:spacing w:line="240" w:lineRule="auto"/>
                    <w:rPr>
                      <w:rFonts w:ascii="Times New Roman" w:hAnsi="Times New Roman" w:eastAsia="宋体"/>
                      <w:color w:val="auto"/>
                      <w:sz w:val="21"/>
                      <w:szCs w:val="21"/>
                      <w:highlight w:val="none"/>
                    </w:rPr>
                  </w:pPr>
                </w:p>
              </w:tc>
              <w:tc>
                <w:tcPr>
                  <w:tcW w:w="219" w:type="pct"/>
                  <w:vMerge w:val="restart"/>
                  <w:noWrap w:val="0"/>
                  <w:vAlign w:val="center"/>
                </w:tcPr>
                <w:p w14:paraId="55C41D3D">
                  <w:pPr>
                    <w:snapToGrid w:val="0"/>
                    <w:jc w:val="center"/>
                    <w:rPr>
                      <w:rFonts w:ascii="Times New Roman" w:hAnsi="Times New Roman" w:eastAsia="宋体"/>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615" w:type="pct"/>
                  <w:noWrap w:val="0"/>
                  <w:vAlign w:val="center"/>
                </w:tcPr>
                <w:p w14:paraId="49AF34C6">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eastAsia="zh-CN"/>
                    </w:rPr>
                    <w:t>洗选矸石及</w:t>
                  </w:r>
                  <w:r>
                    <w:rPr>
                      <w:rFonts w:hint="eastAsia" w:ascii="Times New Roman" w:hAnsi="Times New Roman" w:eastAsia="宋体" w:cs="Times New Roman"/>
                      <w:color w:val="auto"/>
                      <w:sz w:val="21"/>
                      <w:szCs w:val="21"/>
                      <w:highlight w:val="none"/>
                      <w:lang w:val="en-US" w:eastAsia="zh-CN"/>
                    </w:rPr>
                    <w:t>压滤煤泥</w:t>
                  </w:r>
                </w:p>
              </w:tc>
              <w:tc>
                <w:tcPr>
                  <w:tcW w:w="3829" w:type="pct"/>
                  <w:noWrap w:val="0"/>
                  <w:vAlign w:val="center"/>
                </w:tcPr>
                <w:p w14:paraId="7DA84875">
                  <w:pPr>
                    <w:pStyle w:val="86"/>
                    <w:adjustRightInd w:val="0"/>
                    <w:spacing w:line="240" w:lineRule="auto"/>
                    <w:jc w:val="both"/>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矸石定期外售至瓦窑坡砖厂</w:t>
                  </w:r>
                </w:p>
              </w:tc>
            </w:tr>
            <w:tr w14:paraId="2AE6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28D9A812">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4E708A6D">
                  <w:pPr>
                    <w:snapToGrid w:val="0"/>
                    <w:jc w:val="center"/>
                    <w:rPr>
                      <w:rFonts w:hint="default" w:ascii="Times New Roman" w:hAnsi="Times New Roman" w:eastAsia="宋体" w:cs="Times New Roman"/>
                      <w:bCs/>
                      <w:color w:val="auto"/>
                      <w:sz w:val="21"/>
                      <w:szCs w:val="21"/>
                      <w:highlight w:val="none"/>
                    </w:rPr>
                  </w:pPr>
                </w:p>
              </w:tc>
              <w:tc>
                <w:tcPr>
                  <w:tcW w:w="615" w:type="pct"/>
                  <w:noWrap w:val="0"/>
                  <w:vAlign w:val="center"/>
                </w:tcPr>
                <w:p w14:paraId="2205D022">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除尘灰、煤泥</w:t>
                  </w:r>
                </w:p>
              </w:tc>
              <w:tc>
                <w:tcPr>
                  <w:tcW w:w="3829" w:type="pct"/>
                  <w:noWrap w:val="0"/>
                  <w:vAlign w:val="center"/>
                </w:tcPr>
                <w:p w14:paraId="100A36F7">
                  <w:pPr>
                    <w:pStyle w:val="86"/>
                    <w:adjustRightInd w:val="0"/>
                    <w:spacing w:line="240" w:lineRule="auto"/>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外售至永旺机砖厂</w:t>
                  </w:r>
                </w:p>
              </w:tc>
            </w:tr>
            <w:tr w14:paraId="6287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0143A34">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1D518522">
                  <w:pPr>
                    <w:snapToGrid w:val="0"/>
                    <w:jc w:val="center"/>
                    <w:rPr>
                      <w:rFonts w:hint="default" w:ascii="Times New Roman" w:hAnsi="Times New Roman" w:eastAsia="宋体" w:cs="Times New Roman"/>
                      <w:bCs/>
                      <w:color w:val="auto"/>
                      <w:sz w:val="21"/>
                      <w:szCs w:val="21"/>
                      <w:highlight w:val="none"/>
                    </w:rPr>
                  </w:pPr>
                </w:p>
              </w:tc>
              <w:tc>
                <w:tcPr>
                  <w:tcW w:w="615" w:type="pct"/>
                  <w:noWrap w:val="0"/>
                  <w:vAlign w:val="center"/>
                </w:tcPr>
                <w:p w14:paraId="59818E11">
                  <w:pPr>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829" w:type="pct"/>
                  <w:noWrap w:val="0"/>
                  <w:vAlign w:val="center"/>
                </w:tcPr>
                <w:p w14:paraId="0AEA529E">
                  <w:pPr>
                    <w:pStyle w:val="86"/>
                    <w:adjustRightInd w:val="0"/>
                    <w:spacing w:line="240" w:lineRule="auto"/>
                    <w:jc w:val="both"/>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设垃圾桶分类收集后由环卫部门统一清运</w:t>
                  </w:r>
                </w:p>
              </w:tc>
            </w:tr>
            <w:tr w14:paraId="6A1F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660FE84B">
                  <w:pPr>
                    <w:pStyle w:val="86"/>
                    <w:adjustRightInd w:val="0"/>
                    <w:spacing w:line="240" w:lineRule="auto"/>
                    <w:rPr>
                      <w:rFonts w:ascii="Times New Roman" w:hAnsi="Times New Roman" w:eastAsia="宋体"/>
                      <w:color w:val="auto"/>
                      <w:sz w:val="21"/>
                      <w:szCs w:val="21"/>
                      <w:highlight w:val="none"/>
                    </w:rPr>
                  </w:pPr>
                </w:p>
              </w:tc>
              <w:tc>
                <w:tcPr>
                  <w:tcW w:w="219" w:type="pct"/>
                  <w:vMerge w:val="continue"/>
                  <w:noWrap w:val="0"/>
                  <w:vAlign w:val="center"/>
                </w:tcPr>
                <w:p w14:paraId="1C9EBC19">
                  <w:pPr>
                    <w:adjustRightInd w:val="0"/>
                    <w:snapToGrid w:val="0"/>
                    <w:jc w:val="center"/>
                    <w:rPr>
                      <w:rFonts w:ascii="Times New Roman" w:hAnsi="Times New Roman" w:eastAsia="宋体"/>
                      <w:color w:val="auto"/>
                      <w:sz w:val="21"/>
                      <w:szCs w:val="21"/>
                      <w:highlight w:val="none"/>
                    </w:rPr>
                  </w:pPr>
                </w:p>
              </w:tc>
              <w:tc>
                <w:tcPr>
                  <w:tcW w:w="615" w:type="pct"/>
                  <w:noWrap w:val="0"/>
                  <w:vAlign w:val="center"/>
                </w:tcPr>
                <w:p w14:paraId="397AC547">
                  <w:pPr>
                    <w:adjustRightInd w:val="0"/>
                    <w:snapToGrid w:val="0"/>
                    <w:jc w:val="center"/>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、废润滑油、含油抹布、手套</w:t>
                  </w:r>
                </w:p>
              </w:tc>
              <w:tc>
                <w:tcPr>
                  <w:tcW w:w="3829" w:type="pct"/>
                  <w:noWrap w:val="0"/>
                  <w:vAlign w:val="center"/>
                </w:tcPr>
                <w:p w14:paraId="0BCC4EED">
                  <w:pPr>
                    <w:pStyle w:val="86"/>
                    <w:adjustRightInd w:val="0"/>
                    <w:spacing w:line="240" w:lineRule="auto"/>
                    <w:jc w:val="both"/>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设</w:t>
                  </w:r>
                  <w:r>
                    <w:rPr>
                      <w:rFonts w:hint="eastAsia" w:ascii="Times New Roman" w:hAnsi="Times New Roman" w:eastAsia="宋体" w:cs="Times New Roman"/>
                      <w:color w:val="auto"/>
                      <w:sz w:val="21"/>
                      <w:szCs w:val="21"/>
                      <w:highlight w:val="none"/>
                      <w:lang w:eastAsia="zh-CN"/>
                    </w:rPr>
                    <w:t>危废暂存库</w:t>
                  </w:r>
                  <w:r>
                    <w:rPr>
                      <w:rFonts w:hint="default" w:ascii="Times New Roman" w:hAnsi="Times New Roman" w:eastAsia="宋体" w:cs="Times New Roman"/>
                      <w:color w:val="auto"/>
                      <w:sz w:val="21"/>
                      <w:szCs w:val="21"/>
                      <w:highlight w:val="none"/>
                    </w:rPr>
                    <w:t>1座，经专用收集桶收集后暂存于</w:t>
                  </w:r>
                  <w:r>
                    <w:rPr>
                      <w:rFonts w:hint="eastAsia" w:ascii="Times New Roman" w:hAnsi="Times New Roman" w:eastAsia="宋体" w:cs="Times New Roman"/>
                      <w:color w:val="auto"/>
                      <w:sz w:val="21"/>
                      <w:szCs w:val="21"/>
                      <w:highlight w:val="none"/>
                      <w:lang w:eastAsia="zh-CN"/>
                    </w:rPr>
                    <w:t>危废暂存库</w:t>
                  </w:r>
                  <w:r>
                    <w:rPr>
                      <w:rFonts w:hint="default" w:ascii="Times New Roman" w:hAnsi="Times New Roman" w:eastAsia="宋体" w:cs="Times New Roman"/>
                      <w:color w:val="auto"/>
                      <w:sz w:val="21"/>
                      <w:szCs w:val="21"/>
                      <w:highlight w:val="none"/>
                    </w:rPr>
                    <w:t>，定期委托有资质单位处置</w:t>
                  </w:r>
                </w:p>
              </w:tc>
            </w:tr>
            <w:tr w14:paraId="5825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5" w:type="pct"/>
                  <w:vMerge w:val="continue"/>
                  <w:noWrap w:val="0"/>
                  <w:vAlign w:val="center"/>
                </w:tcPr>
                <w:p w14:paraId="17553B04">
                  <w:pPr>
                    <w:pStyle w:val="86"/>
                    <w:adjustRightInd w:val="0"/>
                    <w:spacing w:line="240" w:lineRule="auto"/>
                    <w:rPr>
                      <w:rFonts w:hint="eastAsia" w:ascii="Times New Roman" w:hAnsi="Times New Roman" w:eastAsia="宋体"/>
                      <w:color w:val="auto"/>
                      <w:sz w:val="21"/>
                      <w:szCs w:val="21"/>
                      <w:highlight w:val="none"/>
                      <w:lang w:val="en-US" w:eastAsia="zh-CN"/>
                    </w:rPr>
                  </w:pPr>
                </w:p>
              </w:tc>
              <w:tc>
                <w:tcPr>
                  <w:tcW w:w="834" w:type="pct"/>
                  <w:gridSpan w:val="2"/>
                  <w:noWrap w:val="0"/>
                  <w:vAlign w:val="center"/>
                </w:tcPr>
                <w:p w14:paraId="1C6663F6">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绿化</w:t>
                  </w:r>
                </w:p>
              </w:tc>
              <w:tc>
                <w:tcPr>
                  <w:tcW w:w="3829" w:type="pct"/>
                  <w:noWrap w:val="0"/>
                  <w:vAlign w:val="center"/>
                </w:tcPr>
                <w:p w14:paraId="69DFDC1D">
                  <w:pPr>
                    <w:adjustRightInd w:val="0"/>
                    <w:snapToGrid w:val="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绿化率约20%</w:t>
                  </w:r>
                </w:p>
              </w:tc>
            </w:tr>
          </w:tbl>
          <w:p w14:paraId="08037486">
            <w:pPr>
              <w:pStyle w:val="81"/>
              <w:spacing w:line="360" w:lineRule="auto"/>
              <w:ind w:firstLine="482"/>
              <w:rPr>
                <w:rFonts w:hint="default"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4</w:t>
            </w:r>
            <w:r>
              <w:rPr>
                <w:rFonts w:ascii="Times New Roman" w:hAnsi="Times New Roman" w:eastAsia="宋体"/>
                <w:b/>
                <w:bCs/>
                <w:color w:val="auto"/>
                <w:sz w:val="24"/>
                <w:highlight w:val="none"/>
              </w:rPr>
              <w:t>、</w:t>
            </w:r>
            <w:r>
              <w:rPr>
                <w:rFonts w:hint="eastAsia" w:ascii="Times New Roman" w:hAnsi="Times New Roman" w:eastAsia="宋体"/>
                <w:b/>
                <w:bCs/>
                <w:color w:val="auto"/>
                <w:sz w:val="24"/>
                <w:highlight w:val="none"/>
                <w:lang w:val="en-US" w:eastAsia="zh-CN"/>
              </w:rPr>
              <w:t>污染物排放情况</w:t>
            </w:r>
          </w:p>
          <w:p w14:paraId="1601182E">
            <w:pPr>
              <w:adjustRightInd w:val="0"/>
              <w:snapToGrid w:val="0"/>
              <w:spacing w:line="360" w:lineRule="auto"/>
              <w:ind w:firstLine="480" w:firstLineChars="200"/>
              <w:rPr>
                <w:rFonts w:hint="default" w:ascii="宋体" w:hAnsi="宋体"/>
                <w:color w:val="auto"/>
                <w:sz w:val="24"/>
                <w:szCs w:val="24"/>
                <w:highlight w:val="none"/>
                <w:lang w:val="en-US"/>
              </w:rPr>
            </w:pPr>
            <w:r>
              <w:rPr>
                <w:rFonts w:hint="default" w:ascii="Times New Roman" w:hAnsi="Times New Roman" w:eastAsia="宋体" w:cs="Times New Roman"/>
                <w:bCs/>
                <w:color w:val="auto"/>
                <w:sz w:val="24"/>
                <w:szCs w:val="24"/>
                <w:highlight w:val="none"/>
                <w:lang w:val="en-US" w:eastAsia="zh-CN"/>
              </w:rPr>
              <w:t>根据</w:t>
            </w:r>
            <w:r>
              <w:rPr>
                <w:rFonts w:hint="eastAsia" w:ascii="Times New Roman" w:hAnsi="Times New Roman" w:eastAsia="宋体" w:cs="Times New Roman"/>
                <w:bCs/>
                <w:color w:val="auto"/>
                <w:sz w:val="24"/>
                <w:szCs w:val="24"/>
                <w:highlight w:val="none"/>
                <w:lang w:val="en-US" w:eastAsia="zh-CN"/>
              </w:rPr>
              <w:t>现有工程验收以及环评文件</w:t>
            </w:r>
            <w:r>
              <w:rPr>
                <w:rFonts w:hint="default" w:ascii="Times New Roman" w:hAnsi="Times New Roman" w:eastAsia="宋体" w:cs="Times New Roman"/>
                <w:bCs/>
                <w:color w:val="auto"/>
                <w:sz w:val="24"/>
                <w:szCs w:val="24"/>
                <w:highlight w:val="none"/>
                <w:lang w:val="en-US" w:eastAsia="zh-CN"/>
              </w:rPr>
              <w:t>，现有工程污染物产生及排放情况见表2-</w:t>
            </w:r>
            <w:r>
              <w:rPr>
                <w:rFonts w:hint="eastAsia" w:ascii="Times New Roman" w:hAnsi="Times New Roman" w:eastAsia="宋体" w:cs="Times New Roman"/>
                <w:bCs/>
                <w:color w:val="auto"/>
                <w:sz w:val="24"/>
                <w:szCs w:val="24"/>
                <w:highlight w:val="none"/>
                <w:lang w:val="en-US" w:eastAsia="zh-CN"/>
              </w:rPr>
              <w:t>7。</w:t>
            </w:r>
          </w:p>
          <w:p w14:paraId="1B00F059">
            <w:pPr>
              <w:pStyle w:val="75"/>
              <w:adjustRightInd w:val="0"/>
              <w:snapToGrid w:val="0"/>
              <w:spacing w:line="240" w:lineRule="auto"/>
              <w:jc w:val="center"/>
              <w:rPr>
                <w:rFonts w:hint="default" w:ascii="Times New Roman" w:hAnsi="Times New Roman" w:eastAsia="宋体" w:cs="Times New Roman"/>
                <w:color w:val="auto"/>
                <w:spacing w:val="-1"/>
                <w:sz w:val="24"/>
                <w:szCs w:val="24"/>
                <w:highlight w:val="none"/>
                <w:lang w:val="en-US" w:eastAsia="zh-CN"/>
              </w:rPr>
            </w:pPr>
            <w:r>
              <w:rPr>
                <w:rFonts w:hint="eastAsia" w:ascii="Times New Roman" w:hAnsi="Times New Roman" w:cs="Times New Roman"/>
                <w:b/>
                <w:color w:val="auto"/>
                <w:sz w:val="24"/>
                <w:szCs w:val="24"/>
                <w:highlight w:val="none"/>
                <w:lang w:eastAsia="zh-CN"/>
              </w:rPr>
              <w:t>表</w:t>
            </w:r>
            <w:r>
              <w:rPr>
                <w:rFonts w:hint="eastAsia" w:ascii="Times New Roman" w:hAnsi="Times New Roman" w:cs="Times New Roman"/>
                <w:b/>
                <w:color w:val="auto"/>
                <w:sz w:val="24"/>
                <w:szCs w:val="24"/>
                <w:highlight w:val="none"/>
                <w:lang w:val="en-US" w:eastAsia="zh-CN"/>
              </w:rPr>
              <w:t xml:space="preserve">2-7  </w:t>
            </w:r>
            <w:r>
              <w:rPr>
                <w:rFonts w:hint="default" w:ascii="Times New Roman" w:hAnsi="Times New Roman" w:cs="Times New Roman"/>
                <w:b/>
                <w:color w:val="auto"/>
                <w:sz w:val="24"/>
                <w:szCs w:val="24"/>
                <w:highlight w:val="none"/>
              </w:rPr>
              <w:t>现有工程主要污染物产生及排放情况</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430"/>
              <w:gridCol w:w="1084"/>
              <w:gridCol w:w="1113"/>
              <w:gridCol w:w="1710"/>
              <w:gridCol w:w="1822"/>
            </w:tblGrid>
            <w:tr w14:paraId="6471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5A1BF687">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类型</w:t>
                  </w:r>
                </w:p>
              </w:tc>
              <w:tc>
                <w:tcPr>
                  <w:tcW w:w="911" w:type="pct"/>
                  <w:tcBorders>
                    <w:top w:val="single" w:color="auto" w:sz="4" w:space="0"/>
                    <w:left w:val="single" w:color="auto" w:sz="4" w:space="0"/>
                    <w:bottom w:val="single" w:color="auto" w:sz="4" w:space="0"/>
                    <w:right w:val="single" w:color="auto" w:sz="4" w:space="0"/>
                  </w:tcBorders>
                  <w:noWrap w:val="0"/>
                  <w:vAlign w:val="center"/>
                </w:tcPr>
                <w:p w14:paraId="33135C97">
                  <w:pPr>
                    <w:spacing w:line="2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排放源</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0BCEC639">
                  <w:pPr>
                    <w:spacing w:line="220" w:lineRule="exact"/>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污染物</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4228063">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单位</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1587C8F1">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产生量</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70D8E39">
                  <w:pPr>
                    <w:spacing w:line="22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bidi="ar"/>
                    </w:rPr>
                    <w:t>排放量</w:t>
                  </w:r>
                  <w:r>
                    <w:rPr>
                      <w:rFonts w:hint="eastAsia" w:ascii="Times New Roman" w:hAnsi="Times New Roman" w:cs="Times New Roman"/>
                      <w:color w:val="auto"/>
                      <w:sz w:val="21"/>
                      <w:szCs w:val="21"/>
                      <w:highlight w:val="none"/>
                      <w:lang w:eastAsia="zh-CN" w:bidi="ar"/>
                    </w:rPr>
                    <w:t>（</w:t>
                  </w:r>
                  <w:r>
                    <w:rPr>
                      <w:rFonts w:hint="eastAsia" w:ascii="Times New Roman" w:hAnsi="Times New Roman" w:cs="Times New Roman"/>
                      <w:color w:val="auto"/>
                      <w:sz w:val="21"/>
                      <w:szCs w:val="21"/>
                      <w:highlight w:val="none"/>
                      <w:lang w:val="en-US" w:eastAsia="zh-CN" w:bidi="ar"/>
                    </w:rPr>
                    <w:t>处置量</w:t>
                  </w:r>
                  <w:r>
                    <w:rPr>
                      <w:rFonts w:hint="eastAsia" w:ascii="Times New Roman" w:hAnsi="Times New Roman" w:cs="Times New Roman"/>
                      <w:color w:val="auto"/>
                      <w:sz w:val="21"/>
                      <w:szCs w:val="21"/>
                      <w:highlight w:val="none"/>
                      <w:lang w:eastAsia="zh-CN" w:bidi="ar"/>
                    </w:rPr>
                    <w:t>）</w:t>
                  </w:r>
                </w:p>
              </w:tc>
            </w:tr>
            <w:tr w14:paraId="1A57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restart"/>
                  <w:tcBorders>
                    <w:top w:val="single" w:color="auto" w:sz="4" w:space="0"/>
                    <w:left w:val="single" w:color="auto" w:sz="4" w:space="0"/>
                    <w:right w:val="single" w:color="auto" w:sz="4" w:space="0"/>
                  </w:tcBorders>
                  <w:noWrap w:val="0"/>
                  <w:vAlign w:val="center"/>
                </w:tcPr>
                <w:p w14:paraId="369158C9">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废气</w:t>
                  </w:r>
                </w:p>
              </w:tc>
              <w:tc>
                <w:tcPr>
                  <w:tcW w:w="911" w:type="pct"/>
                  <w:tcBorders>
                    <w:top w:val="single" w:color="auto" w:sz="4" w:space="0"/>
                    <w:left w:val="single" w:color="auto" w:sz="4" w:space="0"/>
                    <w:right w:val="single" w:color="auto" w:sz="4" w:space="0"/>
                  </w:tcBorders>
                  <w:noWrap w:val="0"/>
                  <w:vAlign w:val="center"/>
                </w:tcPr>
                <w:p w14:paraId="36A637DA">
                  <w:pPr>
                    <w:widowControl/>
                    <w:snapToGrid w:val="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破碎筛分粉尘</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286108CD">
                  <w:pPr>
                    <w:snapToGrid w:val="0"/>
                    <w:jc w:val="center"/>
                    <w:rPr>
                      <w:rFonts w:hint="default" w:ascii="Times New Roman" w:hAnsi="Times New Roman" w:cs="Times New Roman"/>
                      <w:color w:val="auto"/>
                      <w:sz w:val="21"/>
                      <w:szCs w:val="21"/>
                      <w:highlight w:val="none"/>
                      <w:lang w:bidi="ar"/>
                    </w:rPr>
                  </w:pPr>
                  <w:r>
                    <w:rPr>
                      <w:color w:val="auto"/>
                      <w:sz w:val="21"/>
                      <w:szCs w:val="21"/>
                      <w:highlight w:val="none"/>
                    </w:rPr>
                    <w:t>颗粒物</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25B532E">
                  <w:pPr>
                    <w:adjustRightInd w:val="0"/>
                    <w:snapToGrid w:val="0"/>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0A8F386F">
                  <w:pPr>
                    <w:spacing w:line="2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132.42</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A03417F">
                  <w:pPr>
                    <w:spacing w:line="2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1.32</w:t>
                  </w:r>
                </w:p>
              </w:tc>
            </w:tr>
            <w:tr w14:paraId="2DF8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right w:val="single" w:color="auto" w:sz="4" w:space="0"/>
                  </w:tcBorders>
                  <w:noWrap w:val="0"/>
                  <w:vAlign w:val="center"/>
                </w:tcPr>
                <w:p w14:paraId="36DBD2ED">
                  <w:pPr>
                    <w:spacing w:line="220" w:lineRule="exact"/>
                    <w:jc w:val="center"/>
                    <w:rPr>
                      <w:rFonts w:hint="default" w:ascii="Times New Roman" w:hAnsi="Times New Roman" w:cs="Times New Roman"/>
                      <w:color w:val="auto"/>
                      <w:sz w:val="21"/>
                      <w:szCs w:val="21"/>
                      <w:highlight w:val="none"/>
                      <w:lang w:bidi="ar"/>
                    </w:rPr>
                  </w:pPr>
                </w:p>
              </w:tc>
              <w:tc>
                <w:tcPr>
                  <w:tcW w:w="911" w:type="pct"/>
                  <w:tcBorders>
                    <w:top w:val="single" w:color="auto" w:sz="4" w:space="0"/>
                    <w:left w:val="single" w:color="auto" w:sz="4" w:space="0"/>
                    <w:right w:val="single" w:color="auto" w:sz="4" w:space="0"/>
                  </w:tcBorders>
                  <w:noWrap w:val="0"/>
                  <w:vAlign w:val="center"/>
                </w:tcPr>
                <w:p w14:paraId="68F65CCD">
                  <w:pPr>
                    <w:widowControl/>
                    <w:snapToGrid w:val="0"/>
                    <w:jc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rPr>
                    <w:t>储存、转运、装卸粉尘</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19267F78">
                  <w:pPr>
                    <w:snapToGrid w:val="0"/>
                    <w:jc w:val="center"/>
                    <w:rPr>
                      <w:color w:val="auto"/>
                      <w:sz w:val="21"/>
                      <w:szCs w:val="21"/>
                      <w:highlight w:val="none"/>
                    </w:rPr>
                  </w:pPr>
                  <w:r>
                    <w:rPr>
                      <w:color w:val="auto"/>
                      <w:sz w:val="21"/>
                      <w:szCs w:val="21"/>
                      <w:highlight w:val="none"/>
                    </w:rPr>
                    <w:t>颗粒物</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F909C80">
                  <w:pPr>
                    <w:adjustRightInd w:val="0"/>
                    <w:snapToGrid w:val="0"/>
                    <w:spacing w:line="220" w:lineRule="exact"/>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63BE60CA">
                  <w:pPr>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0.95</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4B0E2CF">
                  <w:pPr>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0.95</w:t>
                  </w:r>
                </w:p>
              </w:tc>
            </w:tr>
            <w:tr w14:paraId="61F2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restart"/>
                  <w:tcBorders>
                    <w:top w:val="single" w:color="auto" w:sz="4" w:space="0"/>
                    <w:left w:val="single" w:color="auto" w:sz="4" w:space="0"/>
                    <w:right w:val="single" w:color="auto" w:sz="4" w:space="0"/>
                  </w:tcBorders>
                  <w:noWrap w:val="0"/>
                  <w:vAlign w:val="center"/>
                </w:tcPr>
                <w:p w14:paraId="6FDAC2A9">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废水</w:t>
                  </w:r>
                </w:p>
              </w:tc>
              <w:tc>
                <w:tcPr>
                  <w:tcW w:w="1602" w:type="pct"/>
                  <w:gridSpan w:val="2"/>
                  <w:tcBorders>
                    <w:top w:val="single" w:color="auto" w:sz="4" w:space="0"/>
                    <w:left w:val="single" w:color="auto" w:sz="4" w:space="0"/>
                    <w:right w:val="single" w:color="auto" w:sz="4" w:space="0"/>
                  </w:tcBorders>
                  <w:noWrap w:val="0"/>
                  <w:vAlign w:val="center"/>
                </w:tcPr>
                <w:p w14:paraId="0FB1048A">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val="en-US" w:eastAsia="zh-CN"/>
                    </w:rPr>
                    <w:t>生活污水</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A5FADDA">
                  <w:pPr>
                    <w:adjustRightInd w:val="0"/>
                    <w:snapToGrid w:val="0"/>
                    <w:spacing w:line="22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m</w:t>
                  </w:r>
                  <w:r>
                    <w:rPr>
                      <w:rFonts w:hint="eastAsia" w:ascii="Times New Roman" w:hAnsi="Times New Roman" w:cs="Times New Roman"/>
                      <w:color w:val="auto"/>
                      <w:sz w:val="21"/>
                      <w:szCs w:val="21"/>
                      <w:highlight w:val="none"/>
                      <w:vertAlign w:val="superscript"/>
                      <w:lang w:val="en-US" w:eastAsia="zh-CN" w:bidi="ar"/>
                    </w:rPr>
                    <w:t>3</w:t>
                  </w:r>
                  <w:r>
                    <w:rPr>
                      <w:rFonts w:hint="default" w:ascii="Times New Roman" w:hAnsi="Times New Roman" w:cs="Times New Roman"/>
                      <w:color w:val="auto"/>
                      <w:sz w:val="21"/>
                      <w:szCs w:val="21"/>
                      <w:highlight w:val="none"/>
                      <w:lang w:bidi="ar"/>
                    </w:rPr>
                    <w: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5123C61C">
                  <w:pPr>
                    <w:spacing w:line="2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
                    </w:rPr>
                    <w:t>1600</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072D9F8">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0</w:t>
                  </w:r>
                </w:p>
              </w:tc>
            </w:tr>
            <w:tr w14:paraId="548A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right w:val="single" w:color="auto" w:sz="4" w:space="0"/>
                  </w:tcBorders>
                  <w:noWrap w:val="0"/>
                  <w:vAlign w:val="center"/>
                </w:tcPr>
                <w:p w14:paraId="17FD20C1">
                  <w:pPr>
                    <w:spacing w:line="220" w:lineRule="exact"/>
                    <w:jc w:val="center"/>
                    <w:rPr>
                      <w:rFonts w:hint="default" w:ascii="Times New Roman" w:hAnsi="Times New Roman" w:cs="Times New Roman"/>
                      <w:color w:val="auto"/>
                      <w:sz w:val="21"/>
                      <w:szCs w:val="21"/>
                      <w:highlight w:val="none"/>
                      <w:lang w:bidi="ar"/>
                    </w:rPr>
                  </w:pPr>
                </w:p>
              </w:tc>
              <w:tc>
                <w:tcPr>
                  <w:tcW w:w="1602" w:type="pct"/>
                  <w:gridSpan w:val="2"/>
                  <w:tcBorders>
                    <w:top w:val="single" w:color="auto" w:sz="4" w:space="0"/>
                    <w:left w:val="single" w:color="auto" w:sz="4" w:space="0"/>
                    <w:right w:val="single" w:color="auto" w:sz="4" w:space="0"/>
                  </w:tcBorders>
                  <w:noWrap w:val="0"/>
                  <w:vAlign w:val="center"/>
                </w:tcPr>
                <w:p w14:paraId="7CBD650C">
                  <w:pPr>
                    <w:adjustRightInd w:val="0"/>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生产废水</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AB6E05E">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bidi="ar"/>
                    </w:rPr>
                    <w:t>m</w:t>
                  </w:r>
                  <w:r>
                    <w:rPr>
                      <w:rFonts w:hint="eastAsia" w:ascii="Times New Roman" w:hAnsi="Times New Roman" w:cs="Times New Roman"/>
                      <w:color w:val="auto"/>
                      <w:sz w:val="21"/>
                      <w:szCs w:val="21"/>
                      <w:highlight w:val="none"/>
                      <w:vertAlign w:val="superscript"/>
                      <w:lang w:val="en-US" w:eastAsia="zh-CN" w:bidi="ar"/>
                    </w:rPr>
                    <w:t>3</w:t>
                  </w:r>
                  <w:r>
                    <w:rPr>
                      <w:rFonts w:hint="default" w:ascii="Times New Roman" w:hAnsi="Times New Roman" w:cs="Times New Roman"/>
                      <w:color w:val="auto"/>
                      <w:sz w:val="21"/>
                      <w:szCs w:val="21"/>
                      <w:highlight w:val="none"/>
                      <w:lang w:bidi="ar"/>
                    </w:rPr>
                    <w: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7C51CD99">
                  <w:pPr>
                    <w:spacing w:line="22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BC7DAB8">
                  <w:pPr>
                    <w:spacing w:line="220" w:lineRule="exact"/>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r>
            <w:tr w14:paraId="179E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restart"/>
                  <w:tcBorders>
                    <w:top w:val="single" w:color="auto" w:sz="4" w:space="0"/>
                    <w:left w:val="single" w:color="auto" w:sz="4" w:space="0"/>
                    <w:right w:val="single" w:color="auto" w:sz="4" w:space="0"/>
                  </w:tcBorders>
                  <w:noWrap w:val="0"/>
                  <w:vAlign w:val="center"/>
                </w:tcPr>
                <w:p w14:paraId="3305FED4">
                  <w:pPr>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固废</w:t>
                  </w:r>
                </w:p>
              </w:tc>
              <w:tc>
                <w:tcPr>
                  <w:tcW w:w="1602" w:type="pct"/>
                  <w:gridSpan w:val="2"/>
                  <w:tcBorders>
                    <w:top w:val="single" w:color="auto" w:sz="4" w:space="0"/>
                    <w:left w:val="single" w:color="auto" w:sz="4" w:space="0"/>
                    <w:bottom w:val="single" w:color="auto" w:sz="4" w:space="0"/>
                    <w:right w:val="single" w:color="auto" w:sz="4" w:space="0"/>
                  </w:tcBorders>
                  <w:noWrap w:val="0"/>
                  <w:vAlign w:val="center"/>
                </w:tcPr>
                <w:p w14:paraId="077DCE05">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val="en-US" w:eastAsia="zh-CN"/>
                    </w:rPr>
                    <w:t>生活垃圾</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B2467E1">
                  <w:pPr>
                    <w:adjustRightInd w:val="0"/>
                    <w:snapToGrid w:val="0"/>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14267F39">
                  <w:pPr>
                    <w:adjustRightInd w:val="0"/>
                    <w:snapToGrid w:val="0"/>
                    <w:spacing w:line="2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
                    </w:rPr>
                    <w:t>13.5</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529B4E7">
                  <w:pPr>
                    <w:adjustRightInd w:val="0"/>
                    <w:snapToGrid w:val="0"/>
                    <w:spacing w:line="2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0</w:t>
                  </w:r>
                </w:p>
              </w:tc>
            </w:tr>
            <w:tr w14:paraId="317B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bottom w:val="single" w:color="auto" w:sz="4" w:space="0"/>
                    <w:right w:val="single" w:color="auto" w:sz="4" w:space="0"/>
                  </w:tcBorders>
                  <w:noWrap w:val="0"/>
                  <w:vAlign w:val="center"/>
                </w:tcPr>
                <w:p w14:paraId="6363FE81">
                  <w:pPr>
                    <w:spacing w:line="220" w:lineRule="exact"/>
                    <w:jc w:val="center"/>
                    <w:rPr>
                      <w:rFonts w:hint="default" w:ascii="Times New Roman" w:hAnsi="Times New Roman" w:cs="Times New Roman"/>
                      <w:color w:val="auto"/>
                      <w:sz w:val="21"/>
                      <w:szCs w:val="21"/>
                      <w:highlight w:val="none"/>
                      <w:lang w:bidi="ar"/>
                    </w:rPr>
                  </w:pPr>
                </w:p>
              </w:tc>
              <w:tc>
                <w:tcPr>
                  <w:tcW w:w="1602" w:type="pct"/>
                  <w:gridSpan w:val="2"/>
                  <w:tcBorders>
                    <w:top w:val="single" w:color="auto" w:sz="4" w:space="0"/>
                    <w:left w:val="single" w:color="auto" w:sz="4" w:space="0"/>
                    <w:bottom w:val="single" w:color="auto" w:sz="4" w:space="0"/>
                    <w:right w:val="single" w:color="auto" w:sz="4" w:space="0"/>
                  </w:tcBorders>
                  <w:noWrap w:val="0"/>
                  <w:vAlign w:val="center"/>
                </w:tcPr>
                <w:p w14:paraId="67A2D61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煤泥</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30C1A46C">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bidi="ar"/>
                    </w:rPr>
                    <w:t>万</w:t>
                  </w: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2CA48252">
                  <w:pPr>
                    <w:adjustRightInd w:val="0"/>
                    <w:snapToGrid w:val="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rPr>
                    <w:t>14.19</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EAE37D9">
                  <w:pPr>
                    <w:adjustRightInd w:val="0"/>
                    <w:snapToGri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0</w:t>
                  </w:r>
                </w:p>
              </w:tc>
            </w:tr>
            <w:tr w14:paraId="1B80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bottom w:val="single" w:color="auto" w:sz="4" w:space="0"/>
                    <w:right w:val="single" w:color="auto" w:sz="4" w:space="0"/>
                  </w:tcBorders>
                  <w:noWrap w:val="0"/>
                  <w:vAlign w:val="center"/>
                </w:tcPr>
                <w:p w14:paraId="56CA23EE">
                  <w:pPr>
                    <w:spacing w:line="220" w:lineRule="exact"/>
                    <w:jc w:val="center"/>
                    <w:rPr>
                      <w:rFonts w:hint="default" w:ascii="Times New Roman" w:hAnsi="Times New Roman" w:cs="Times New Roman"/>
                      <w:color w:val="auto"/>
                      <w:sz w:val="21"/>
                      <w:szCs w:val="21"/>
                      <w:highlight w:val="none"/>
                      <w:lang w:bidi="ar"/>
                    </w:rPr>
                  </w:pPr>
                </w:p>
              </w:tc>
              <w:tc>
                <w:tcPr>
                  <w:tcW w:w="1602" w:type="pct"/>
                  <w:gridSpan w:val="2"/>
                  <w:tcBorders>
                    <w:top w:val="single" w:color="auto" w:sz="4" w:space="0"/>
                    <w:left w:val="single" w:color="auto" w:sz="4" w:space="0"/>
                    <w:bottom w:val="single" w:color="auto" w:sz="4" w:space="0"/>
                    <w:right w:val="single" w:color="auto" w:sz="4" w:space="0"/>
                  </w:tcBorders>
                  <w:noWrap w:val="0"/>
                  <w:vAlign w:val="center"/>
                </w:tcPr>
                <w:p w14:paraId="362FEEB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除尘灰</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64F5225">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63ED81E5">
                  <w:pPr>
                    <w:adjustRightInd w:val="0"/>
                    <w:snapToGrid w:val="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rPr>
                    <w:t>131</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1C9B8B2">
                  <w:pPr>
                    <w:adjustRightInd w:val="0"/>
                    <w:snapToGri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0</w:t>
                  </w:r>
                </w:p>
              </w:tc>
            </w:tr>
            <w:tr w14:paraId="1748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bottom w:val="single" w:color="auto" w:sz="4" w:space="0"/>
                    <w:right w:val="single" w:color="auto" w:sz="4" w:space="0"/>
                  </w:tcBorders>
                  <w:noWrap w:val="0"/>
                  <w:vAlign w:val="center"/>
                </w:tcPr>
                <w:p w14:paraId="4E73685C">
                  <w:pPr>
                    <w:spacing w:line="220" w:lineRule="exact"/>
                    <w:jc w:val="center"/>
                    <w:rPr>
                      <w:rFonts w:hint="default" w:ascii="Times New Roman" w:hAnsi="Times New Roman" w:cs="Times New Roman"/>
                      <w:color w:val="auto"/>
                      <w:sz w:val="21"/>
                      <w:szCs w:val="21"/>
                      <w:highlight w:val="none"/>
                      <w:lang w:bidi="ar"/>
                    </w:rPr>
                  </w:pPr>
                </w:p>
              </w:tc>
              <w:tc>
                <w:tcPr>
                  <w:tcW w:w="1602" w:type="pct"/>
                  <w:gridSpan w:val="2"/>
                  <w:tcBorders>
                    <w:top w:val="single" w:color="auto" w:sz="4" w:space="0"/>
                    <w:left w:val="single" w:color="auto" w:sz="4" w:space="0"/>
                    <w:bottom w:val="single" w:color="auto" w:sz="4" w:space="0"/>
                    <w:right w:val="single" w:color="auto" w:sz="4" w:space="0"/>
                  </w:tcBorders>
                  <w:noWrap w:val="0"/>
                  <w:vAlign w:val="center"/>
                </w:tcPr>
                <w:p w14:paraId="4FB65DF8">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煤矸石</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3FDE36A6">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bidi="ar"/>
                    </w:rPr>
                    <w:t>万</w:t>
                  </w: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21B92329">
                  <w:pPr>
                    <w:adjustRightInd w:val="0"/>
                    <w:snapToGrid w:val="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10.1</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B57EA7D">
                  <w:pPr>
                    <w:adjustRightInd w:val="0"/>
                    <w:snapToGrid w:val="0"/>
                    <w:jc w:val="center"/>
                    <w:rPr>
                      <w:rFonts w:hint="eastAsia" w:ascii="Times New Roman" w:hAnsi="Times New Roman"/>
                      <w:color w:val="auto"/>
                      <w:sz w:val="21"/>
                      <w:szCs w:val="21"/>
                      <w:highlight w:val="none"/>
                      <w:lang w:val="en-US" w:eastAsia="zh-CN"/>
                    </w:rPr>
                  </w:pPr>
                  <w:r>
                    <w:rPr>
                      <w:rFonts w:hint="default" w:ascii="Times New Roman" w:hAnsi="Times New Roman" w:cs="Times New Roman"/>
                      <w:color w:val="auto"/>
                      <w:sz w:val="21"/>
                      <w:szCs w:val="21"/>
                      <w:highlight w:val="none"/>
                      <w:lang w:bidi="ar"/>
                    </w:rPr>
                    <w:t>0</w:t>
                  </w:r>
                </w:p>
              </w:tc>
            </w:tr>
            <w:tr w14:paraId="60DB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vMerge w:val="continue"/>
                  <w:tcBorders>
                    <w:left w:val="single" w:color="auto" w:sz="4" w:space="0"/>
                    <w:bottom w:val="single" w:color="auto" w:sz="4" w:space="0"/>
                    <w:right w:val="single" w:color="auto" w:sz="4" w:space="0"/>
                  </w:tcBorders>
                  <w:noWrap w:val="0"/>
                  <w:vAlign w:val="center"/>
                </w:tcPr>
                <w:p w14:paraId="6EC47457">
                  <w:pPr>
                    <w:spacing w:line="220" w:lineRule="exact"/>
                    <w:jc w:val="center"/>
                    <w:rPr>
                      <w:rFonts w:hint="default" w:ascii="Times New Roman" w:hAnsi="Times New Roman" w:cs="Times New Roman"/>
                      <w:color w:val="auto"/>
                      <w:sz w:val="21"/>
                      <w:szCs w:val="21"/>
                      <w:highlight w:val="none"/>
                      <w:lang w:bidi="ar"/>
                    </w:rPr>
                  </w:pPr>
                </w:p>
              </w:tc>
              <w:tc>
                <w:tcPr>
                  <w:tcW w:w="1602" w:type="pct"/>
                  <w:gridSpan w:val="2"/>
                  <w:tcBorders>
                    <w:top w:val="single" w:color="auto" w:sz="4" w:space="0"/>
                    <w:left w:val="single" w:color="auto" w:sz="4" w:space="0"/>
                    <w:bottom w:val="single" w:color="auto" w:sz="4" w:space="0"/>
                    <w:right w:val="single" w:color="auto" w:sz="4" w:space="0"/>
                  </w:tcBorders>
                  <w:noWrap w:val="0"/>
                  <w:vAlign w:val="center"/>
                </w:tcPr>
                <w:p w14:paraId="05E22566">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废机油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643CF524">
                  <w:pPr>
                    <w:adjustRightInd w:val="0"/>
                    <w:snapToGrid w:val="0"/>
                    <w:spacing w:line="220" w:lineRule="exact"/>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t/a</w:t>
                  </w:r>
                </w:p>
              </w:tc>
              <w:tc>
                <w:tcPr>
                  <w:tcW w:w="1090" w:type="pct"/>
                  <w:tcBorders>
                    <w:top w:val="single" w:color="auto" w:sz="4" w:space="0"/>
                    <w:left w:val="single" w:color="auto" w:sz="4" w:space="0"/>
                    <w:bottom w:val="single" w:color="auto" w:sz="4" w:space="0"/>
                    <w:right w:val="single" w:color="auto" w:sz="4" w:space="0"/>
                  </w:tcBorders>
                  <w:noWrap w:val="0"/>
                  <w:vAlign w:val="center"/>
                </w:tcPr>
                <w:p w14:paraId="32B49057">
                  <w:pPr>
                    <w:adjustRightInd w:val="0"/>
                    <w:snapToGrid w:val="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rPr>
                    <w:t>0.2</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7BE4850">
                  <w:pPr>
                    <w:adjustRightInd w:val="0"/>
                    <w:snapToGri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0</w:t>
                  </w:r>
                </w:p>
              </w:tc>
            </w:tr>
          </w:tbl>
          <w:p w14:paraId="2F790986">
            <w:pPr>
              <w:adjustRightInd w:val="0"/>
              <w:snapToGrid w:val="0"/>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val="en-US" w:eastAsia="zh-CN"/>
              </w:rPr>
              <w:t>、现有工程存在的主要环境问题</w:t>
            </w:r>
          </w:p>
          <w:p w14:paraId="473B2A4A">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根据对厂区现有工程的实际调查，对照项目后评价报告及其批复内容及现行环保管理要求，经现场踏勘，</w:t>
            </w:r>
            <w:r>
              <w:rPr>
                <w:rFonts w:hint="eastAsia" w:ascii="Times New Roman" w:hAnsi="Times New Roman" w:eastAsia="宋体" w:cs="Times New Roman"/>
                <w:b w:val="0"/>
                <w:bCs w:val="0"/>
                <w:color w:val="auto"/>
                <w:sz w:val="24"/>
                <w:szCs w:val="24"/>
                <w:highlight w:val="none"/>
                <w:lang w:val="en-US" w:eastAsia="zh-CN"/>
              </w:rPr>
              <w:t>现有工程存在与本项目相关的环保问题见表2-8。</w:t>
            </w:r>
          </w:p>
          <w:p w14:paraId="3BCF7394">
            <w:pPr>
              <w:jc w:val="center"/>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表2-8  现有工程环保问题一览表</w:t>
            </w:r>
          </w:p>
          <w:tbl>
            <w:tblPr>
              <w:tblStyle w:val="28"/>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3574"/>
            </w:tblGrid>
            <w:tr w14:paraId="3304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7CC76682">
                  <w:pPr>
                    <w:jc w:val="center"/>
                    <w:rPr>
                      <w:rFonts w:hint="default" w:cs="Times New Roman"/>
                      <w:b w:val="0"/>
                      <w:bCs w:val="0"/>
                      <w:color w:val="auto"/>
                      <w:sz w:val="21"/>
                      <w:szCs w:val="21"/>
                      <w:highlight w:val="none"/>
                      <w:vertAlign w:val="baseline"/>
                      <w:lang w:val="en-US" w:eastAsia="zh-CN" w:bidi="ar-SA"/>
                    </w:rPr>
                  </w:pPr>
                  <w:r>
                    <w:rPr>
                      <w:rFonts w:hint="default" w:cs="Times New Roman"/>
                      <w:b w:val="0"/>
                      <w:bCs w:val="0"/>
                      <w:color w:val="auto"/>
                      <w:sz w:val="21"/>
                      <w:szCs w:val="21"/>
                      <w:highlight w:val="none"/>
                      <w:vertAlign w:val="baseline"/>
                      <w:lang w:val="en-US" w:eastAsia="zh-CN" w:bidi="ar-SA"/>
                    </w:rPr>
                    <w:t>现有工程存在的问题</w:t>
                  </w:r>
                </w:p>
              </w:tc>
              <w:tc>
                <w:tcPr>
                  <w:tcW w:w="2278" w:type="pct"/>
                  <w:tcBorders>
                    <w:tl2br w:val="nil"/>
                    <w:tr2bl w:val="nil"/>
                  </w:tcBorders>
                  <w:noWrap w:val="0"/>
                  <w:vAlign w:val="center"/>
                </w:tcPr>
                <w:p w14:paraId="0DFF48CC">
                  <w:pPr>
                    <w:jc w:val="center"/>
                    <w:rPr>
                      <w:rFonts w:hint="default" w:cs="Times New Roman"/>
                      <w:b w:val="0"/>
                      <w:bCs w:val="0"/>
                      <w:color w:val="auto"/>
                      <w:sz w:val="21"/>
                      <w:szCs w:val="21"/>
                      <w:highlight w:val="none"/>
                      <w:vertAlign w:val="baseline"/>
                      <w:lang w:val="en-US" w:eastAsia="zh-CN" w:bidi="ar-SA"/>
                    </w:rPr>
                  </w:pPr>
                  <w:r>
                    <w:rPr>
                      <w:rFonts w:hint="default" w:cs="Times New Roman"/>
                      <w:b w:val="0"/>
                      <w:bCs w:val="0"/>
                      <w:color w:val="auto"/>
                      <w:sz w:val="21"/>
                      <w:szCs w:val="21"/>
                      <w:highlight w:val="none"/>
                      <w:vertAlign w:val="baseline"/>
                      <w:lang w:val="en-US" w:eastAsia="zh-CN" w:bidi="ar-SA"/>
                    </w:rPr>
                    <w:t>整改建议</w:t>
                  </w:r>
                </w:p>
              </w:tc>
            </w:tr>
            <w:tr w14:paraId="71E6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06152FED">
                  <w:pPr>
                    <w:jc w:val="center"/>
                    <w:rPr>
                      <w:rFonts w:hint="default"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现有煤棚、煤泥棚、矸石棚为半封闭式</w:t>
                  </w:r>
                </w:p>
              </w:tc>
              <w:tc>
                <w:tcPr>
                  <w:tcW w:w="2278" w:type="pct"/>
                  <w:tcBorders>
                    <w:tl2br w:val="nil"/>
                    <w:tr2bl w:val="nil"/>
                  </w:tcBorders>
                  <w:noWrap w:val="0"/>
                  <w:vAlign w:val="center"/>
                </w:tcPr>
                <w:p w14:paraId="4E5F8B98">
                  <w:pPr>
                    <w:jc w:val="center"/>
                    <w:rPr>
                      <w:rFonts w:hint="default"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将现有煤棚、煤泥棚、矸石棚全封闭，煤棚进出口车辆处设置卷帘门</w:t>
                  </w:r>
                  <w:r>
                    <w:rPr>
                      <w:rFonts w:hint="eastAsia" w:cs="Times New Roman"/>
                      <w:b w:val="0"/>
                      <w:bCs w:val="0"/>
                      <w:color w:val="FF0000"/>
                      <w:sz w:val="21"/>
                      <w:szCs w:val="21"/>
                      <w:highlight w:val="none"/>
                      <w:vertAlign w:val="baseline"/>
                      <w:lang w:val="en-US" w:eastAsia="zh-CN" w:bidi="ar-SA"/>
                    </w:rPr>
                    <w:t>，并在储煤棚进出口设置挡水围堰</w:t>
                  </w:r>
                </w:p>
              </w:tc>
            </w:tr>
            <w:tr w14:paraId="4B27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145689D1">
                  <w:pPr>
                    <w:jc w:val="center"/>
                    <w:rPr>
                      <w:rFonts w:hint="default"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现有危废暂存库未按《危险废物贮存污染控制标准》（GB18597-2023）要求对危废暂存库进行防腐、防渗，同时未设置墙面裙脚、堵截泄漏的围堰，接触危险废物的隔板和墙体等未采用坚固的材料建造，表面无裂缝。</w:t>
                  </w:r>
                </w:p>
              </w:tc>
              <w:tc>
                <w:tcPr>
                  <w:tcW w:w="2278" w:type="pct"/>
                  <w:tcBorders>
                    <w:tl2br w:val="nil"/>
                    <w:tr2bl w:val="nil"/>
                  </w:tcBorders>
                  <w:noWrap w:val="0"/>
                  <w:vAlign w:val="center"/>
                </w:tcPr>
                <w:p w14:paraId="7EAF36F2">
                  <w:pPr>
                    <w:jc w:val="center"/>
                    <w:rPr>
                      <w:rFonts w:hint="default"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按照《危险废物贮存污染控制标准》（GB18597-2023）对危废暂存库内地面进行防腐防渗改造，墙面裙脚、堵截泄漏的围堰、接触危险废物的隔板和墙体等应采用坚固的材料建造，表面无裂缝。</w:t>
                  </w:r>
                </w:p>
              </w:tc>
            </w:tr>
            <w:tr w14:paraId="51FA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73BAEACD">
                  <w:pPr>
                    <w:jc w:val="center"/>
                    <w:rPr>
                      <w:rFonts w:hint="eastAsia"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现有危废暂存库未按照《危险废物识别标志设置技术规范》（HJ1267-2022）相关要求进行设置危险废物标识标牌</w:t>
                  </w:r>
                </w:p>
              </w:tc>
              <w:tc>
                <w:tcPr>
                  <w:tcW w:w="2278" w:type="pct"/>
                  <w:tcBorders>
                    <w:tl2br w:val="nil"/>
                    <w:tr2bl w:val="nil"/>
                  </w:tcBorders>
                  <w:noWrap w:val="0"/>
                  <w:vAlign w:val="center"/>
                </w:tcPr>
                <w:p w14:paraId="2EBDABB4">
                  <w:pPr>
                    <w:jc w:val="center"/>
                    <w:rPr>
                      <w:rFonts w:hint="eastAsia" w:cs="Times New Roman"/>
                      <w:b w:val="0"/>
                      <w:bCs w:val="0"/>
                      <w:color w:val="auto"/>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bidi="ar-SA"/>
                    </w:rPr>
                    <w:t>按照《危险废物识别标志设置技术规范》（HJ1267-2022）相关要求进行设置标识标牌</w:t>
                  </w:r>
                </w:p>
              </w:tc>
            </w:tr>
            <w:tr w14:paraId="7827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75F3A796">
                  <w:pPr>
                    <w:jc w:val="center"/>
                    <w:rPr>
                      <w:rFonts w:hint="default" w:cs="Times New Roman"/>
                      <w:b w:val="0"/>
                      <w:bCs w:val="0"/>
                      <w:color w:val="FF0000"/>
                      <w:sz w:val="21"/>
                      <w:szCs w:val="21"/>
                      <w:highlight w:val="none"/>
                      <w:vertAlign w:val="baseline"/>
                      <w:lang w:val="en-US" w:eastAsia="zh-CN" w:bidi="ar-SA"/>
                    </w:rPr>
                  </w:pPr>
                  <w:r>
                    <w:rPr>
                      <w:rFonts w:hint="eastAsia" w:cs="Times New Roman"/>
                      <w:b w:val="0"/>
                      <w:bCs w:val="0"/>
                      <w:color w:val="FF0000"/>
                      <w:sz w:val="21"/>
                      <w:szCs w:val="21"/>
                      <w:highlight w:val="none"/>
                      <w:vertAlign w:val="baseline"/>
                      <w:lang w:val="en-US" w:eastAsia="zh-CN" w:bidi="ar-SA"/>
                    </w:rPr>
                    <w:t>现有初期雨水收集池容积不满足全厂初期雨水的收集</w:t>
                  </w:r>
                </w:p>
              </w:tc>
              <w:tc>
                <w:tcPr>
                  <w:tcW w:w="2278" w:type="pct"/>
                  <w:tcBorders>
                    <w:tl2br w:val="nil"/>
                    <w:tr2bl w:val="nil"/>
                  </w:tcBorders>
                  <w:noWrap w:val="0"/>
                  <w:vAlign w:val="center"/>
                </w:tcPr>
                <w:p w14:paraId="1F936289">
                  <w:pPr>
                    <w:jc w:val="center"/>
                    <w:rPr>
                      <w:rFonts w:hint="default" w:cs="Times New Roman"/>
                      <w:b w:val="0"/>
                      <w:bCs w:val="0"/>
                      <w:color w:val="FF0000"/>
                      <w:sz w:val="21"/>
                      <w:szCs w:val="21"/>
                      <w:highlight w:val="none"/>
                      <w:vertAlign w:val="baseline"/>
                      <w:lang w:val="en-US" w:eastAsia="zh-CN" w:bidi="ar-SA"/>
                    </w:rPr>
                  </w:pPr>
                  <w:r>
                    <w:rPr>
                      <w:rFonts w:hint="eastAsia" w:cs="Times New Roman"/>
                      <w:b w:val="0"/>
                      <w:bCs w:val="0"/>
                      <w:color w:val="FF0000"/>
                      <w:sz w:val="21"/>
                      <w:szCs w:val="21"/>
                      <w:highlight w:val="none"/>
                      <w:vertAlign w:val="baseline"/>
                      <w:lang w:val="en-US" w:eastAsia="zh-CN" w:bidi="ar-SA"/>
                    </w:rPr>
                    <w:t>新建容积不小于</w:t>
                  </w:r>
                  <w:r>
                    <w:rPr>
                      <w:rFonts w:hint="eastAsia" w:cs="Times New Roman"/>
                      <w:color w:val="7030A0"/>
                      <w:sz w:val="21"/>
                      <w:szCs w:val="21"/>
                      <w:highlight w:val="none"/>
                      <w:lang w:val="en-US" w:eastAsia="zh-CN" w:bidi="ar-SA"/>
                    </w:rPr>
                    <w:t>654m</w:t>
                  </w:r>
                  <w:r>
                    <w:rPr>
                      <w:rFonts w:hint="eastAsia" w:cs="Times New Roman"/>
                      <w:color w:val="7030A0"/>
                      <w:sz w:val="24"/>
                      <w:szCs w:val="24"/>
                      <w:highlight w:val="none"/>
                      <w:vertAlign w:val="superscript"/>
                      <w:lang w:val="en-US" w:eastAsia="zh-CN" w:bidi="ar-SA"/>
                    </w:rPr>
                    <w:t>3</w:t>
                  </w:r>
                  <w:r>
                    <w:rPr>
                      <w:rFonts w:hint="eastAsia" w:cs="Times New Roman"/>
                      <w:b w:val="0"/>
                      <w:bCs w:val="0"/>
                      <w:color w:val="FF0000"/>
                      <w:sz w:val="21"/>
                      <w:szCs w:val="21"/>
                      <w:highlight w:val="none"/>
                      <w:vertAlign w:val="baseline"/>
                      <w:lang w:val="en-US" w:eastAsia="zh-CN" w:bidi="ar-SA"/>
                    </w:rPr>
                    <w:t>的初期雨水池</w:t>
                  </w:r>
                </w:p>
              </w:tc>
            </w:tr>
            <w:tr w14:paraId="1E61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1" w:type="pct"/>
                  <w:tcBorders>
                    <w:tl2br w:val="nil"/>
                    <w:tr2bl w:val="nil"/>
                  </w:tcBorders>
                  <w:noWrap w:val="0"/>
                  <w:vAlign w:val="center"/>
                </w:tcPr>
                <w:p w14:paraId="01601FC1">
                  <w:pPr>
                    <w:jc w:val="center"/>
                    <w:rPr>
                      <w:rFonts w:hint="default" w:cs="Times New Roman"/>
                      <w:b w:val="0"/>
                      <w:bCs w:val="0"/>
                      <w:color w:val="7030A0"/>
                      <w:sz w:val="21"/>
                      <w:szCs w:val="21"/>
                      <w:highlight w:val="none"/>
                      <w:vertAlign w:val="baseline"/>
                      <w:lang w:val="en-US" w:eastAsia="zh-CN" w:bidi="ar-SA"/>
                    </w:rPr>
                  </w:pPr>
                  <w:r>
                    <w:rPr>
                      <w:rFonts w:hint="eastAsia" w:cs="Times New Roman"/>
                      <w:b w:val="0"/>
                      <w:bCs w:val="0"/>
                      <w:color w:val="7030A0"/>
                      <w:sz w:val="21"/>
                      <w:szCs w:val="21"/>
                      <w:highlight w:val="none"/>
                      <w:vertAlign w:val="baseline"/>
                      <w:lang w:val="en-US" w:eastAsia="zh-CN" w:bidi="ar-SA"/>
                    </w:rPr>
                    <w:t>现有厂区无事故水池</w:t>
                  </w:r>
                </w:p>
              </w:tc>
              <w:tc>
                <w:tcPr>
                  <w:tcW w:w="2278" w:type="pct"/>
                  <w:tcBorders>
                    <w:tl2br w:val="nil"/>
                    <w:tr2bl w:val="nil"/>
                  </w:tcBorders>
                  <w:noWrap w:val="0"/>
                  <w:vAlign w:val="center"/>
                </w:tcPr>
                <w:p w14:paraId="521B0F40">
                  <w:pPr>
                    <w:jc w:val="center"/>
                    <w:rPr>
                      <w:rFonts w:hint="default" w:cs="Times New Roman"/>
                      <w:b w:val="0"/>
                      <w:bCs w:val="0"/>
                      <w:color w:val="7030A0"/>
                      <w:sz w:val="21"/>
                      <w:szCs w:val="21"/>
                      <w:highlight w:val="none"/>
                      <w:vertAlign w:val="baseline"/>
                      <w:lang w:val="en-US" w:eastAsia="zh-CN" w:bidi="ar-SA"/>
                    </w:rPr>
                  </w:pPr>
                  <w:r>
                    <w:rPr>
                      <w:rFonts w:hint="eastAsia" w:cs="Times New Roman"/>
                      <w:b w:val="0"/>
                      <w:bCs w:val="0"/>
                      <w:color w:val="7030A0"/>
                      <w:sz w:val="21"/>
                      <w:szCs w:val="21"/>
                      <w:highlight w:val="none"/>
                      <w:vertAlign w:val="baseline"/>
                      <w:lang w:val="en-US" w:eastAsia="zh-CN" w:bidi="ar-SA"/>
                    </w:rPr>
                    <w:t>新建容积1200m</w:t>
                  </w:r>
                  <w:r>
                    <w:rPr>
                      <w:rFonts w:hint="eastAsia" w:cs="Times New Roman"/>
                      <w:b w:val="0"/>
                      <w:bCs w:val="0"/>
                      <w:color w:val="7030A0"/>
                      <w:sz w:val="21"/>
                      <w:szCs w:val="21"/>
                      <w:highlight w:val="none"/>
                      <w:vertAlign w:val="superscript"/>
                      <w:lang w:val="en-US" w:eastAsia="zh-CN" w:bidi="ar-SA"/>
                    </w:rPr>
                    <w:t>3</w:t>
                  </w:r>
                  <w:r>
                    <w:rPr>
                      <w:rFonts w:hint="eastAsia" w:cs="Times New Roman"/>
                      <w:b w:val="0"/>
                      <w:bCs w:val="0"/>
                      <w:color w:val="7030A0"/>
                      <w:sz w:val="21"/>
                      <w:szCs w:val="21"/>
                      <w:highlight w:val="none"/>
                      <w:vertAlign w:val="baseline"/>
                      <w:lang w:val="en-US" w:eastAsia="zh-CN" w:bidi="ar-SA"/>
                    </w:rPr>
                    <w:t>的事故水池</w:t>
                  </w:r>
                </w:p>
              </w:tc>
            </w:tr>
          </w:tbl>
          <w:p w14:paraId="5A62399E">
            <w:pPr>
              <w:adjustRightInd w:val="0"/>
              <w:snapToGrid w:val="0"/>
              <w:spacing w:line="360" w:lineRule="auto"/>
              <w:ind w:firstLine="480" w:firstLineChars="200"/>
              <w:rPr>
                <w:rFonts w:hint="eastAsia" w:ascii="Times New Roman" w:hAnsi="Times New Roman" w:eastAsia="宋体"/>
                <w:bCs/>
                <w:color w:val="auto"/>
                <w:sz w:val="24"/>
                <w:szCs w:val="24"/>
                <w:highlight w:val="none"/>
                <w:lang w:eastAsia="zh-CN"/>
              </w:rPr>
            </w:pPr>
          </w:p>
          <w:p w14:paraId="31609F75">
            <w:pPr>
              <w:pStyle w:val="13"/>
              <w:spacing w:line="360" w:lineRule="auto"/>
              <w:rPr>
                <w:rFonts w:hint="eastAsia" w:eastAsia="宋体"/>
                <w:color w:val="auto"/>
                <w:highlight w:val="none"/>
                <w:lang w:val="en-US" w:eastAsia="zh-CN"/>
              </w:rPr>
            </w:pPr>
          </w:p>
        </w:tc>
      </w:tr>
    </w:tbl>
    <w:p w14:paraId="33410CCC">
      <w:pPr>
        <w:pStyle w:val="24"/>
        <w:jc w:val="center"/>
        <w:outlineLvl w:val="0"/>
        <w:rPr>
          <w:rFonts w:ascii="Times New Roman" w:hAnsi="Times New Roman" w:eastAsia="宋体"/>
          <w:snapToGrid w:val="0"/>
          <w:color w:val="auto"/>
          <w:sz w:val="30"/>
          <w:szCs w:val="30"/>
        </w:rPr>
      </w:pPr>
      <w:r>
        <w:rPr>
          <w:rFonts w:ascii="Times New Roman" w:hAnsi="Times New Roman" w:eastAsia="宋体"/>
          <w:b/>
          <w:bCs/>
          <w:color w:val="auto"/>
        </w:rPr>
        <w:br w:type="page"/>
      </w:r>
      <w:bookmarkStart w:id="6" w:name="_Toc27368"/>
      <w:r>
        <w:rPr>
          <w:rFonts w:ascii="Times New Roman" w:hAnsi="Times New Roman" w:eastAsia="宋体"/>
          <w:b/>
          <w:bCs/>
          <w:snapToGrid w:val="0"/>
          <w:color w:val="auto"/>
          <w:sz w:val="30"/>
          <w:szCs w:val="30"/>
        </w:rPr>
        <w:t>三、</w:t>
      </w:r>
      <w:r>
        <w:rPr>
          <w:rFonts w:hint="eastAsia" w:ascii="Times New Roman" w:hAnsi="Times New Roman" w:eastAsia="宋体"/>
          <w:b/>
          <w:bCs/>
          <w:snapToGrid w:val="0"/>
          <w:color w:val="auto"/>
          <w:sz w:val="30"/>
          <w:szCs w:val="30"/>
          <w:lang w:val="en-US" w:eastAsia="zh-CN"/>
        </w:rPr>
        <w:t>区域环境质量现状</w:t>
      </w:r>
      <w:r>
        <w:rPr>
          <w:rFonts w:ascii="Times New Roman" w:hAnsi="Times New Roman" w:eastAsia="宋体"/>
          <w:b/>
          <w:bCs/>
          <w:snapToGrid w:val="0"/>
          <w:color w:val="auto"/>
          <w:sz w:val="30"/>
          <w:szCs w:val="30"/>
        </w:rPr>
        <w:t>、保护目标及评价标准</w:t>
      </w:r>
      <w:bookmarkEnd w:id="6"/>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14:paraId="574B9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1" w:hRule="atLeast"/>
          <w:jc w:val="center"/>
        </w:trPr>
        <w:tc>
          <w:tcPr>
            <w:tcW w:w="687" w:type="dxa"/>
            <w:noWrap w:val="0"/>
            <w:vAlign w:val="center"/>
          </w:tcPr>
          <w:p w14:paraId="53BE4A92">
            <w:pPr>
              <w:adjustRightInd w:val="0"/>
              <w:snapToGrid w:val="0"/>
              <w:jc w:val="center"/>
              <w:rPr>
                <w:rFonts w:ascii="Times New Roman" w:hAnsi="Times New Roman" w:eastAsia="宋体"/>
                <w:color w:val="auto"/>
                <w:sz w:val="24"/>
              </w:rPr>
            </w:pPr>
            <w:r>
              <w:rPr>
                <w:rFonts w:hint="eastAsia" w:ascii="Times New Roman" w:hAnsi="Times New Roman" w:eastAsia="宋体"/>
                <w:color w:val="auto"/>
                <w:sz w:val="24"/>
                <w:lang w:val="en-US" w:eastAsia="zh-CN"/>
              </w:rPr>
              <w:t>区域</w:t>
            </w:r>
            <w:r>
              <w:rPr>
                <w:rFonts w:ascii="Times New Roman" w:hAnsi="Times New Roman" w:eastAsia="宋体"/>
                <w:color w:val="auto"/>
                <w:sz w:val="24"/>
              </w:rPr>
              <w:t>环境</w:t>
            </w:r>
            <w:r>
              <w:rPr>
                <w:rFonts w:hint="eastAsia" w:ascii="Times New Roman" w:hAnsi="Times New Roman" w:eastAsia="宋体"/>
                <w:color w:val="auto"/>
                <w:sz w:val="24"/>
                <w:lang w:val="en-US" w:eastAsia="zh-CN"/>
              </w:rPr>
              <w:t>质量</w:t>
            </w:r>
            <w:r>
              <w:rPr>
                <w:rFonts w:ascii="Times New Roman" w:hAnsi="Times New Roman" w:eastAsia="宋体"/>
                <w:color w:val="auto"/>
                <w:sz w:val="24"/>
              </w:rPr>
              <w:t>现状</w:t>
            </w:r>
          </w:p>
        </w:tc>
        <w:tc>
          <w:tcPr>
            <w:tcW w:w="7835" w:type="dxa"/>
            <w:noWrap w:val="0"/>
            <w:vAlign w:val="top"/>
          </w:tcPr>
          <w:p w14:paraId="6F63EB1F">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1、大气环境</w:t>
            </w:r>
          </w:p>
          <w:p w14:paraId="1F3568BC">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⑴</w:t>
            </w:r>
            <w:r>
              <w:rPr>
                <w:rFonts w:ascii="Times New Roman" w:hAnsi="Times New Roman" w:eastAsia="宋体"/>
                <w:color w:val="auto"/>
                <w:sz w:val="24"/>
              </w:rPr>
              <w:t xml:space="preserve"> 常规污染物</w:t>
            </w:r>
          </w:p>
          <w:p w14:paraId="7A52900F">
            <w:pPr>
              <w:adjustRightInd w:val="0"/>
              <w:snapToGrid w:val="0"/>
              <w:spacing w:line="360" w:lineRule="auto"/>
              <w:ind w:firstLine="480" w:firstLineChars="200"/>
              <w:jc w:val="left"/>
              <w:rPr>
                <w:color w:val="auto"/>
                <w:kern w:val="0"/>
                <w:sz w:val="24"/>
              </w:rPr>
            </w:pPr>
            <w:r>
              <w:rPr>
                <w:color w:val="auto"/>
                <w:kern w:val="0"/>
                <w:sz w:val="24"/>
              </w:rPr>
              <w:t>本项目基本污染物环境质量现状数据引用陕西省生态环境厅办公室</w:t>
            </w:r>
            <w:r>
              <w:rPr>
                <w:rFonts w:hint="default" w:ascii="Times New Roman" w:hAnsi="Times New Roman" w:eastAsia="宋体" w:cs="Times New Roman"/>
                <w:b w:val="0"/>
                <w:bCs w:val="0"/>
                <w:color w:val="auto"/>
                <w:sz w:val="24"/>
                <w:szCs w:val="24"/>
                <w:highlight w:val="none"/>
                <w:lang w:val="en-US" w:eastAsia="zh-CN"/>
              </w:rPr>
              <w:t>污染物环境质量现状数据引用陕西省生态环境厅办公室202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年1月</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val="0"/>
                <w:color w:val="auto"/>
                <w:sz w:val="24"/>
                <w:szCs w:val="24"/>
                <w:highlight w:val="none"/>
                <w:lang w:val="en-US" w:eastAsia="zh-CN"/>
              </w:rPr>
              <w:t>日发布的环保快报</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中《202</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年12月及1~12月全省环境空气质量状况》</w:t>
            </w:r>
            <w:r>
              <w:rPr>
                <w:color w:val="auto"/>
                <w:kern w:val="0"/>
                <w:sz w:val="24"/>
              </w:rPr>
              <w:t>中</w:t>
            </w:r>
            <w:r>
              <w:rPr>
                <w:rFonts w:hint="eastAsia"/>
                <w:color w:val="auto"/>
                <w:kern w:val="0"/>
                <w:sz w:val="24"/>
                <w:lang w:val="en-US" w:eastAsia="zh-CN"/>
              </w:rPr>
              <w:t>府谷县</w:t>
            </w:r>
            <w:r>
              <w:rPr>
                <w:color w:val="auto"/>
                <w:kern w:val="0"/>
                <w:sz w:val="24"/>
              </w:rPr>
              <w:t>空气质量数据，区域空气质量现状评价见表</w:t>
            </w:r>
            <w:r>
              <w:rPr>
                <w:rFonts w:hint="eastAsia"/>
                <w:color w:val="auto"/>
                <w:kern w:val="0"/>
                <w:sz w:val="24"/>
                <w:lang w:val="en-US" w:eastAsia="zh-CN"/>
              </w:rPr>
              <w:t>3-1</w:t>
            </w:r>
            <w:r>
              <w:rPr>
                <w:color w:val="auto"/>
                <w:kern w:val="0"/>
                <w:sz w:val="24"/>
              </w:rPr>
              <w:t>。</w:t>
            </w:r>
          </w:p>
          <w:p w14:paraId="06D66CBA">
            <w:pPr>
              <w:snapToGrid w:val="0"/>
              <w:jc w:val="center"/>
              <w:rPr>
                <w:rFonts w:eastAsia="黑体"/>
                <w:b/>
                <w:bCs/>
                <w:color w:val="auto"/>
                <w:sz w:val="24"/>
              </w:rPr>
            </w:pPr>
            <w:r>
              <w:rPr>
                <w:rFonts w:hint="eastAsia" w:ascii="宋体" w:hAnsi="宋体" w:eastAsia="宋体" w:cs="宋体"/>
                <w:b/>
                <w:bCs/>
                <w:color w:val="auto"/>
                <w:sz w:val="24"/>
              </w:rPr>
              <w:t>表</w:t>
            </w:r>
            <w:r>
              <w:rPr>
                <w:rFonts w:hint="eastAsia" w:ascii="宋体" w:hAnsi="宋体" w:eastAsia="宋体" w:cs="宋体"/>
                <w:b/>
                <w:bCs/>
                <w:color w:val="auto"/>
                <w:sz w:val="24"/>
                <w:lang w:val="en-US" w:eastAsia="zh-CN"/>
              </w:rPr>
              <w:t>3-1</w:t>
            </w:r>
            <w:r>
              <w:rPr>
                <w:rFonts w:hint="eastAsia" w:ascii="宋体" w:hAnsi="宋体" w:eastAsia="宋体" w:cs="宋体"/>
                <w:b/>
                <w:bCs/>
                <w:color w:val="auto"/>
                <w:sz w:val="24"/>
              </w:rPr>
              <w:t xml:space="preserve">   区域空气质量现状评价表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65"/>
              <w:gridCol w:w="1814"/>
              <w:gridCol w:w="791"/>
              <w:gridCol w:w="1056"/>
              <w:gridCol w:w="847"/>
              <w:gridCol w:w="847"/>
              <w:gridCol w:w="1057"/>
            </w:tblGrid>
            <w:tr w14:paraId="7B28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17E35FF0">
                  <w:pPr>
                    <w:widowControl/>
                    <w:snapToGrid w:val="0"/>
                    <w:jc w:val="center"/>
                    <w:rPr>
                      <w:color w:val="auto"/>
                      <w:kern w:val="0"/>
                      <w:sz w:val="21"/>
                      <w:szCs w:val="22"/>
                    </w:rPr>
                  </w:pPr>
                  <w:r>
                    <w:rPr>
                      <w:color w:val="auto"/>
                      <w:kern w:val="0"/>
                      <w:sz w:val="21"/>
                      <w:szCs w:val="22"/>
                    </w:rPr>
                    <w:t>序号</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73E9EEE">
                  <w:pPr>
                    <w:snapToGrid w:val="0"/>
                    <w:jc w:val="center"/>
                    <w:rPr>
                      <w:color w:val="auto"/>
                      <w:kern w:val="0"/>
                      <w:sz w:val="21"/>
                      <w:szCs w:val="22"/>
                    </w:rPr>
                  </w:pPr>
                  <w:r>
                    <w:rPr>
                      <w:color w:val="auto"/>
                      <w:kern w:val="0"/>
                      <w:sz w:val="21"/>
                      <w:szCs w:val="22"/>
                    </w:rPr>
                    <w:t>污染物</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477C830A">
                  <w:pPr>
                    <w:snapToGrid w:val="0"/>
                    <w:jc w:val="center"/>
                    <w:rPr>
                      <w:color w:val="auto"/>
                      <w:kern w:val="0"/>
                      <w:sz w:val="21"/>
                      <w:szCs w:val="22"/>
                    </w:rPr>
                  </w:pPr>
                  <w:r>
                    <w:rPr>
                      <w:color w:val="auto"/>
                      <w:kern w:val="0"/>
                      <w:sz w:val="21"/>
                      <w:szCs w:val="22"/>
                    </w:rPr>
                    <w:t>年评价指标</w:t>
                  </w:r>
                </w:p>
              </w:tc>
              <w:tc>
                <w:tcPr>
                  <w:tcW w:w="791" w:type="dxa"/>
                  <w:tcBorders>
                    <w:top w:val="single" w:color="auto" w:sz="4" w:space="0"/>
                    <w:left w:val="single" w:color="auto" w:sz="4" w:space="0"/>
                    <w:bottom w:val="single" w:color="auto" w:sz="4" w:space="0"/>
                    <w:right w:val="single" w:color="auto" w:sz="4" w:space="0"/>
                  </w:tcBorders>
                  <w:noWrap/>
                  <w:vAlign w:val="center"/>
                </w:tcPr>
                <w:p w14:paraId="2D65D4BA">
                  <w:pPr>
                    <w:widowControl/>
                    <w:snapToGrid w:val="0"/>
                    <w:jc w:val="center"/>
                    <w:rPr>
                      <w:color w:val="auto"/>
                      <w:kern w:val="0"/>
                      <w:sz w:val="21"/>
                      <w:szCs w:val="22"/>
                    </w:rPr>
                  </w:pPr>
                  <w:r>
                    <w:rPr>
                      <w:color w:val="auto"/>
                      <w:kern w:val="0"/>
                      <w:sz w:val="21"/>
                      <w:szCs w:val="22"/>
                    </w:rPr>
                    <w:t>单位</w:t>
                  </w:r>
                </w:p>
              </w:tc>
              <w:tc>
                <w:tcPr>
                  <w:tcW w:w="1056" w:type="dxa"/>
                  <w:tcBorders>
                    <w:top w:val="single" w:color="auto" w:sz="4" w:space="0"/>
                    <w:left w:val="single" w:color="auto" w:sz="4" w:space="0"/>
                    <w:bottom w:val="single" w:color="auto" w:sz="4" w:space="0"/>
                    <w:right w:val="single" w:color="auto" w:sz="4" w:space="0"/>
                  </w:tcBorders>
                  <w:noWrap/>
                  <w:vAlign w:val="center"/>
                </w:tcPr>
                <w:p w14:paraId="52988623">
                  <w:pPr>
                    <w:widowControl/>
                    <w:snapToGrid w:val="0"/>
                    <w:jc w:val="center"/>
                    <w:rPr>
                      <w:color w:val="auto"/>
                      <w:kern w:val="0"/>
                      <w:sz w:val="21"/>
                      <w:szCs w:val="22"/>
                    </w:rPr>
                  </w:pPr>
                  <w:r>
                    <w:rPr>
                      <w:color w:val="auto"/>
                      <w:kern w:val="0"/>
                      <w:sz w:val="21"/>
                      <w:szCs w:val="22"/>
                    </w:rPr>
                    <w:t>现状浓度</w:t>
                  </w:r>
                </w:p>
              </w:tc>
              <w:tc>
                <w:tcPr>
                  <w:tcW w:w="847" w:type="dxa"/>
                  <w:tcBorders>
                    <w:top w:val="single" w:color="auto" w:sz="4" w:space="0"/>
                    <w:left w:val="single" w:color="auto" w:sz="4" w:space="0"/>
                    <w:bottom w:val="single" w:color="auto" w:sz="4" w:space="0"/>
                    <w:right w:val="single" w:color="auto" w:sz="4" w:space="0"/>
                  </w:tcBorders>
                  <w:noWrap/>
                  <w:vAlign w:val="center"/>
                </w:tcPr>
                <w:p w14:paraId="3C496D17">
                  <w:pPr>
                    <w:widowControl/>
                    <w:snapToGrid w:val="0"/>
                    <w:jc w:val="center"/>
                    <w:rPr>
                      <w:color w:val="auto"/>
                      <w:kern w:val="0"/>
                      <w:sz w:val="21"/>
                      <w:szCs w:val="22"/>
                    </w:rPr>
                  </w:pPr>
                  <w:r>
                    <w:rPr>
                      <w:color w:val="auto"/>
                      <w:kern w:val="0"/>
                      <w:sz w:val="21"/>
                      <w:szCs w:val="22"/>
                    </w:rPr>
                    <w:t>标准值</w:t>
                  </w:r>
                </w:p>
              </w:tc>
              <w:tc>
                <w:tcPr>
                  <w:tcW w:w="847" w:type="dxa"/>
                  <w:tcBorders>
                    <w:top w:val="single" w:color="auto" w:sz="4" w:space="0"/>
                    <w:left w:val="single" w:color="auto" w:sz="4" w:space="0"/>
                    <w:bottom w:val="single" w:color="auto" w:sz="4" w:space="0"/>
                    <w:right w:val="single" w:color="auto" w:sz="4" w:space="0"/>
                  </w:tcBorders>
                  <w:noWrap/>
                  <w:vAlign w:val="center"/>
                </w:tcPr>
                <w:p w14:paraId="199011AA">
                  <w:pPr>
                    <w:widowControl/>
                    <w:snapToGrid w:val="0"/>
                    <w:jc w:val="center"/>
                    <w:rPr>
                      <w:color w:val="auto"/>
                      <w:kern w:val="0"/>
                      <w:sz w:val="21"/>
                      <w:szCs w:val="22"/>
                    </w:rPr>
                  </w:pPr>
                  <w:r>
                    <w:rPr>
                      <w:color w:val="auto"/>
                      <w:kern w:val="0"/>
                      <w:sz w:val="21"/>
                      <w:szCs w:val="22"/>
                    </w:rPr>
                    <w:t>占标率</w:t>
                  </w:r>
                </w:p>
                <w:p w14:paraId="79A7B688">
                  <w:pPr>
                    <w:widowControl/>
                    <w:snapToGrid w:val="0"/>
                    <w:jc w:val="center"/>
                    <w:rPr>
                      <w:color w:val="auto"/>
                      <w:kern w:val="0"/>
                      <w:sz w:val="21"/>
                      <w:szCs w:val="22"/>
                    </w:rPr>
                  </w:pPr>
                  <w:r>
                    <w:rPr>
                      <w:color w:val="auto"/>
                      <w:kern w:val="0"/>
                      <w:sz w:val="21"/>
                      <w:szCs w:val="22"/>
                    </w:rPr>
                    <w:t>（%）</w:t>
                  </w:r>
                </w:p>
              </w:tc>
              <w:tc>
                <w:tcPr>
                  <w:tcW w:w="1057" w:type="dxa"/>
                  <w:tcBorders>
                    <w:top w:val="single" w:color="auto" w:sz="4" w:space="0"/>
                    <w:left w:val="single" w:color="auto" w:sz="4" w:space="0"/>
                    <w:bottom w:val="single" w:color="auto" w:sz="4" w:space="0"/>
                    <w:right w:val="single" w:color="auto" w:sz="4" w:space="0"/>
                  </w:tcBorders>
                  <w:noWrap/>
                  <w:vAlign w:val="center"/>
                </w:tcPr>
                <w:p w14:paraId="16B07640">
                  <w:pPr>
                    <w:widowControl/>
                    <w:snapToGrid w:val="0"/>
                    <w:jc w:val="center"/>
                    <w:rPr>
                      <w:color w:val="auto"/>
                      <w:kern w:val="0"/>
                      <w:sz w:val="21"/>
                      <w:szCs w:val="22"/>
                    </w:rPr>
                  </w:pPr>
                  <w:r>
                    <w:rPr>
                      <w:color w:val="auto"/>
                      <w:kern w:val="0"/>
                      <w:sz w:val="21"/>
                      <w:szCs w:val="22"/>
                    </w:rPr>
                    <w:t>达标情况</w:t>
                  </w:r>
                </w:p>
              </w:tc>
            </w:tr>
            <w:tr w14:paraId="59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7F1B9371">
                  <w:pPr>
                    <w:widowControl/>
                    <w:snapToGrid w:val="0"/>
                    <w:jc w:val="center"/>
                    <w:rPr>
                      <w:color w:val="auto"/>
                      <w:kern w:val="0"/>
                      <w:sz w:val="21"/>
                      <w:szCs w:val="22"/>
                    </w:rPr>
                  </w:pPr>
                  <w:r>
                    <w:rPr>
                      <w:color w:val="auto"/>
                      <w:kern w:val="0"/>
                      <w:sz w:val="21"/>
                      <w:szCs w:val="22"/>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50102E30">
                  <w:pPr>
                    <w:widowControl/>
                    <w:snapToGrid w:val="0"/>
                    <w:jc w:val="center"/>
                    <w:rPr>
                      <w:color w:val="auto"/>
                      <w:kern w:val="0"/>
                      <w:sz w:val="21"/>
                      <w:szCs w:val="22"/>
                    </w:rPr>
                  </w:pPr>
                  <w:r>
                    <w:rPr>
                      <w:color w:val="auto"/>
                      <w:kern w:val="0"/>
                      <w:sz w:val="21"/>
                      <w:szCs w:val="22"/>
                    </w:rPr>
                    <w:t>PM</w:t>
                  </w:r>
                  <w:r>
                    <w:rPr>
                      <w:color w:val="auto"/>
                      <w:kern w:val="0"/>
                      <w:sz w:val="21"/>
                      <w:szCs w:val="22"/>
                      <w:vertAlign w:val="subscript"/>
                    </w:rPr>
                    <w:t>10</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77648A6F">
                  <w:pPr>
                    <w:widowControl/>
                    <w:snapToGrid w:val="0"/>
                    <w:jc w:val="center"/>
                    <w:rPr>
                      <w:color w:val="auto"/>
                      <w:kern w:val="0"/>
                      <w:sz w:val="21"/>
                      <w:szCs w:val="22"/>
                    </w:rPr>
                  </w:pPr>
                  <w:r>
                    <w:rPr>
                      <w:color w:val="auto"/>
                      <w:kern w:val="0"/>
                      <w:sz w:val="21"/>
                      <w:szCs w:val="22"/>
                    </w:rPr>
                    <w:t>年平均质量浓度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1A4729FB">
                  <w:pPr>
                    <w:widowControl/>
                    <w:snapToGrid w:val="0"/>
                    <w:jc w:val="center"/>
                    <w:rPr>
                      <w:color w:val="auto"/>
                      <w:kern w:val="0"/>
                      <w:sz w:val="21"/>
                      <w:szCs w:val="22"/>
                    </w:rPr>
                  </w:pPr>
                  <w:r>
                    <w:rPr>
                      <w:color w:val="auto"/>
                      <w:sz w:val="21"/>
                      <w:szCs w:val="22"/>
                    </w:rPr>
                    <w:t>μg/m</w:t>
                  </w:r>
                  <w:r>
                    <w:rPr>
                      <w:color w:val="auto"/>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58F1563B">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64</w:t>
                  </w:r>
                </w:p>
              </w:tc>
              <w:tc>
                <w:tcPr>
                  <w:tcW w:w="847" w:type="dxa"/>
                  <w:tcBorders>
                    <w:top w:val="single" w:color="auto" w:sz="4" w:space="0"/>
                    <w:left w:val="single" w:color="auto" w:sz="4" w:space="0"/>
                    <w:bottom w:val="single" w:color="auto" w:sz="4" w:space="0"/>
                    <w:right w:val="single" w:color="auto" w:sz="4" w:space="0"/>
                  </w:tcBorders>
                  <w:noWrap/>
                  <w:vAlign w:val="center"/>
                </w:tcPr>
                <w:p w14:paraId="79D1BF9A">
                  <w:pPr>
                    <w:widowControl/>
                    <w:snapToGrid w:val="0"/>
                    <w:jc w:val="center"/>
                    <w:rPr>
                      <w:color w:val="auto"/>
                      <w:kern w:val="0"/>
                      <w:sz w:val="21"/>
                      <w:szCs w:val="22"/>
                    </w:rPr>
                  </w:pPr>
                  <w:r>
                    <w:rPr>
                      <w:color w:val="auto"/>
                      <w:kern w:val="0"/>
                      <w:sz w:val="21"/>
                      <w:szCs w:val="22"/>
                    </w:rPr>
                    <w:t>70</w:t>
                  </w:r>
                </w:p>
              </w:tc>
              <w:tc>
                <w:tcPr>
                  <w:tcW w:w="847" w:type="dxa"/>
                  <w:tcBorders>
                    <w:top w:val="single" w:color="auto" w:sz="4" w:space="0"/>
                    <w:left w:val="single" w:color="auto" w:sz="4" w:space="0"/>
                    <w:bottom w:val="single" w:color="auto" w:sz="4" w:space="0"/>
                    <w:right w:val="single" w:color="auto" w:sz="4" w:space="0"/>
                  </w:tcBorders>
                  <w:noWrap/>
                  <w:vAlign w:val="center"/>
                </w:tcPr>
                <w:p w14:paraId="55974485">
                  <w:pPr>
                    <w:widowControl/>
                    <w:snapToGrid w:val="0"/>
                    <w:jc w:val="center"/>
                    <w:rPr>
                      <w:rFonts w:hint="default" w:eastAsia="宋体"/>
                      <w:b w:val="0"/>
                      <w:bCs/>
                      <w:color w:val="auto"/>
                      <w:kern w:val="0"/>
                      <w:sz w:val="21"/>
                      <w:szCs w:val="22"/>
                      <w:lang w:val="en-US" w:eastAsia="zh-CN"/>
                    </w:rPr>
                  </w:pPr>
                  <w:r>
                    <w:rPr>
                      <w:rFonts w:hint="eastAsia" w:eastAsia="宋体"/>
                      <w:b w:val="0"/>
                      <w:bCs/>
                      <w:color w:val="auto"/>
                      <w:kern w:val="0"/>
                      <w:sz w:val="21"/>
                      <w:szCs w:val="22"/>
                      <w:lang w:val="en-US" w:eastAsia="zh-CN"/>
                    </w:rPr>
                    <w:t>91.43</w:t>
                  </w:r>
                </w:p>
              </w:tc>
              <w:tc>
                <w:tcPr>
                  <w:tcW w:w="1057" w:type="dxa"/>
                  <w:tcBorders>
                    <w:top w:val="single" w:color="auto" w:sz="4" w:space="0"/>
                    <w:left w:val="single" w:color="auto" w:sz="4" w:space="0"/>
                    <w:bottom w:val="single" w:color="auto" w:sz="4" w:space="0"/>
                    <w:right w:val="single" w:color="auto" w:sz="4" w:space="0"/>
                  </w:tcBorders>
                  <w:noWrap/>
                  <w:vAlign w:val="center"/>
                </w:tcPr>
                <w:p w14:paraId="2E55B8D8">
                  <w:pPr>
                    <w:widowControl/>
                    <w:snapToGrid w:val="0"/>
                    <w:jc w:val="center"/>
                    <w:rPr>
                      <w:rFonts w:hint="eastAsia" w:eastAsia="宋体"/>
                      <w:b w:val="0"/>
                      <w:bCs/>
                      <w:color w:val="auto"/>
                      <w:kern w:val="0"/>
                      <w:sz w:val="21"/>
                      <w:szCs w:val="22"/>
                      <w:lang w:eastAsia="zh-CN"/>
                    </w:rPr>
                  </w:pPr>
                  <w:r>
                    <w:rPr>
                      <w:rFonts w:hint="eastAsia"/>
                      <w:b w:val="0"/>
                      <w:bCs/>
                      <w:color w:val="auto"/>
                      <w:kern w:val="0"/>
                      <w:sz w:val="21"/>
                      <w:szCs w:val="22"/>
                      <w:lang w:val="en-US" w:eastAsia="zh-CN"/>
                    </w:rPr>
                    <w:t>达标</w:t>
                  </w:r>
                </w:p>
              </w:tc>
            </w:tr>
            <w:tr w14:paraId="182F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7BAB494A">
                  <w:pPr>
                    <w:widowControl/>
                    <w:snapToGrid w:val="0"/>
                    <w:jc w:val="center"/>
                    <w:rPr>
                      <w:color w:val="auto"/>
                      <w:kern w:val="0"/>
                      <w:sz w:val="21"/>
                      <w:szCs w:val="22"/>
                    </w:rPr>
                  </w:pPr>
                  <w:r>
                    <w:rPr>
                      <w:color w:val="auto"/>
                      <w:kern w:val="0"/>
                      <w:sz w:val="21"/>
                      <w:szCs w:val="22"/>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13B9EC4">
                  <w:pPr>
                    <w:widowControl/>
                    <w:snapToGrid w:val="0"/>
                    <w:jc w:val="center"/>
                    <w:rPr>
                      <w:color w:val="auto"/>
                      <w:kern w:val="0"/>
                      <w:sz w:val="21"/>
                      <w:szCs w:val="22"/>
                    </w:rPr>
                  </w:pPr>
                  <w:r>
                    <w:rPr>
                      <w:color w:val="auto"/>
                      <w:kern w:val="0"/>
                      <w:sz w:val="21"/>
                      <w:szCs w:val="22"/>
                    </w:rPr>
                    <w:t>PM</w:t>
                  </w:r>
                  <w:r>
                    <w:rPr>
                      <w:color w:val="auto"/>
                      <w:kern w:val="0"/>
                      <w:sz w:val="21"/>
                      <w:szCs w:val="22"/>
                      <w:vertAlign w:val="subscript"/>
                    </w:rPr>
                    <w:t>2.5</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1D73D825">
                  <w:pPr>
                    <w:widowControl/>
                    <w:snapToGrid w:val="0"/>
                    <w:jc w:val="center"/>
                    <w:rPr>
                      <w:color w:val="auto"/>
                      <w:kern w:val="0"/>
                      <w:sz w:val="21"/>
                      <w:szCs w:val="22"/>
                    </w:rPr>
                  </w:pPr>
                  <w:r>
                    <w:rPr>
                      <w:color w:val="auto"/>
                      <w:kern w:val="0"/>
                      <w:sz w:val="21"/>
                      <w:szCs w:val="22"/>
                    </w:rPr>
                    <w:t>年平均质量浓度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6FB689CA">
                  <w:pPr>
                    <w:widowControl/>
                    <w:snapToGrid w:val="0"/>
                    <w:jc w:val="center"/>
                    <w:rPr>
                      <w:color w:val="auto"/>
                      <w:kern w:val="0"/>
                      <w:sz w:val="21"/>
                      <w:szCs w:val="22"/>
                    </w:rPr>
                  </w:pPr>
                  <w:r>
                    <w:rPr>
                      <w:color w:val="auto"/>
                      <w:sz w:val="21"/>
                      <w:szCs w:val="22"/>
                    </w:rPr>
                    <w:t>μg/m</w:t>
                  </w:r>
                  <w:r>
                    <w:rPr>
                      <w:color w:val="auto"/>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4E148E0B">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29</w:t>
                  </w:r>
                </w:p>
              </w:tc>
              <w:tc>
                <w:tcPr>
                  <w:tcW w:w="847" w:type="dxa"/>
                  <w:tcBorders>
                    <w:top w:val="single" w:color="auto" w:sz="4" w:space="0"/>
                    <w:left w:val="single" w:color="auto" w:sz="4" w:space="0"/>
                    <w:bottom w:val="single" w:color="auto" w:sz="4" w:space="0"/>
                    <w:right w:val="single" w:color="auto" w:sz="4" w:space="0"/>
                  </w:tcBorders>
                  <w:noWrap/>
                  <w:vAlign w:val="center"/>
                </w:tcPr>
                <w:p w14:paraId="5B28A301">
                  <w:pPr>
                    <w:widowControl/>
                    <w:snapToGrid w:val="0"/>
                    <w:jc w:val="center"/>
                    <w:rPr>
                      <w:color w:val="auto"/>
                      <w:kern w:val="0"/>
                      <w:sz w:val="21"/>
                      <w:szCs w:val="22"/>
                    </w:rPr>
                  </w:pPr>
                  <w:r>
                    <w:rPr>
                      <w:color w:val="auto"/>
                      <w:kern w:val="0"/>
                      <w:sz w:val="21"/>
                      <w:szCs w:val="22"/>
                    </w:rPr>
                    <w:t>35</w:t>
                  </w:r>
                </w:p>
              </w:tc>
              <w:tc>
                <w:tcPr>
                  <w:tcW w:w="847" w:type="dxa"/>
                  <w:tcBorders>
                    <w:top w:val="single" w:color="auto" w:sz="4" w:space="0"/>
                    <w:left w:val="single" w:color="auto" w:sz="4" w:space="0"/>
                    <w:bottom w:val="single" w:color="auto" w:sz="4" w:space="0"/>
                    <w:right w:val="single" w:color="auto" w:sz="4" w:space="0"/>
                  </w:tcBorders>
                  <w:noWrap/>
                  <w:vAlign w:val="center"/>
                </w:tcPr>
                <w:p w14:paraId="13982116">
                  <w:pPr>
                    <w:widowControl/>
                    <w:snapToGrid w:val="0"/>
                    <w:jc w:val="center"/>
                    <w:rPr>
                      <w:rFonts w:hint="default" w:eastAsia="宋体"/>
                      <w:color w:val="auto"/>
                      <w:kern w:val="0"/>
                      <w:sz w:val="21"/>
                      <w:szCs w:val="22"/>
                      <w:lang w:val="en-US" w:eastAsia="zh-CN"/>
                    </w:rPr>
                  </w:pPr>
                  <w:r>
                    <w:rPr>
                      <w:rFonts w:hint="eastAsia" w:eastAsia="宋体"/>
                      <w:color w:val="auto"/>
                      <w:kern w:val="0"/>
                      <w:sz w:val="21"/>
                      <w:szCs w:val="22"/>
                      <w:lang w:val="en-US" w:eastAsia="zh-CN"/>
                    </w:rPr>
                    <w:t>82.86</w:t>
                  </w:r>
                </w:p>
              </w:tc>
              <w:tc>
                <w:tcPr>
                  <w:tcW w:w="1057" w:type="dxa"/>
                  <w:tcBorders>
                    <w:top w:val="single" w:color="auto" w:sz="4" w:space="0"/>
                    <w:left w:val="single" w:color="auto" w:sz="4" w:space="0"/>
                    <w:bottom w:val="single" w:color="auto" w:sz="4" w:space="0"/>
                    <w:right w:val="single" w:color="auto" w:sz="4" w:space="0"/>
                  </w:tcBorders>
                  <w:noWrap/>
                  <w:vAlign w:val="center"/>
                </w:tcPr>
                <w:p w14:paraId="5403E0D7">
                  <w:pPr>
                    <w:widowControl/>
                    <w:snapToGrid w:val="0"/>
                    <w:jc w:val="center"/>
                    <w:rPr>
                      <w:color w:val="auto"/>
                      <w:kern w:val="0"/>
                      <w:sz w:val="21"/>
                      <w:szCs w:val="22"/>
                    </w:rPr>
                  </w:pPr>
                  <w:r>
                    <w:rPr>
                      <w:color w:val="auto"/>
                      <w:kern w:val="0"/>
                      <w:sz w:val="21"/>
                      <w:szCs w:val="22"/>
                    </w:rPr>
                    <w:t>达标</w:t>
                  </w:r>
                </w:p>
              </w:tc>
            </w:tr>
            <w:tr w14:paraId="2696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7D96F037">
                  <w:pPr>
                    <w:widowControl/>
                    <w:snapToGrid w:val="0"/>
                    <w:jc w:val="center"/>
                    <w:rPr>
                      <w:color w:val="auto"/>
                      <w:kern w:val="0"/>
                      <w:sz w:val="21"/>
                      <w:szCs w:val="22"/>
                    </w:rPr>
                  </w:pPr>
                  <w:r>
                    <w:rPr>
                      <w:color w:val="auto"/>
                      <w:kern w:val="0"/>
                      <w:sz w:val="21"/>
                      <w:szCs w:val="22"/>
                    </w:rPr>
                    <w:t>3</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7D9E1E6E">
                  <w:pPr>
                    <w:widowControl/>
                    <w:snapToGrid w:val="0"/>
                    <w:jc w:val="center"/>
                    <w:rPr>
                      <w:color w:val="auto"/>
                      <w:kern w:val="0"/>
                      <w:sz w:val="21"/>
                      <w:szCs w:val="22"/>
                    </w:rPr>
                  </w:pPr>
                  <w:r>
                    <w:rPr>
                      <w:color w:val="auto"/>
                      <w:kern w:val="0"/>
                      <w:sz w:val="21"/>
                      <w:szCs w:val="22"/>
                    </w:rPr>
                    <w:t>SO</w:t>
                  </w:r>
                  <w:r>
                    <w:rPr>
                      <w:color w:val="auto"/>
                      <w:kern w:val="0"/>
                      <w:sz w:val="21"/>
                      <w:szCs w:val="22"/>
                      <w:vertAlign w:val="subscript"/>
                    </w:rPr>
                    <w:t>2</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748BFABE">
                  <w:pPr>
                    <w:widowControl/>
                    <w:snapToGrid w:val="0"/>
                    <w:jc w:val="center"/>
                    <w:rPr>
                      <w:color w:val="auto"/>
                      <w:kern w:val="0"/>
                      <w:sz w:val="21"/>
                      <w:szCs w:val="22"/>
                    </w:rPr>
                  </w:pPr>
                  <w:r>
                    <w:rPr>
                      <w:color w:val="auto"/>
                      <w:kern w:val="0"/>
                      <w:sz w:val="21"/>
                      <w:szCs w:val="22"/>
                    </w:rPr>
                    <w:t>年平均质量浓度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5BD639EC">
                  <w:pPr>
                    <w:widowControl/>
                    <w:snapToGrid w:val="0"/>
                    <w:jc w:val="center"/>
                    <w:rPr>
                      <w:color w:val="auto"/>
                      <w:kern w:val="0"/>
                      <w:sz w:val="21"/>
                      <w:szCs w:val="22"/>
                    </w:rPr>
                  </w:pPr>
                  <w:r>
                    <w:rPr>
                      <w:color w:val="auto"/>
                      <w:sz w:val="21"/>
                      <w:szCs w:val="22"/>
                    </w:rPr>
                    <w:t>μg/m</w:t>
                  </w:r>
                  <w:r>
                    <w:rPr>
                      <w:color w:val="auto"/>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45B09CF6">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13</w:t>
                  </w:r>
                </w:p>
              </w:tc>
              <w:tc>
                <w:tcPr>
                  <w:tcW w:w="847" w:type="dxa"/>
                  <w:tcBorders>
                    <w:top w:val="single" w:color="auto" w:sz="4" w:space="0"/>
                    <w:left w:val="single" w:color="auto" w:sz="4" w:space="0"/>
                    <w:bottom w:val="single" w:color="auto" w:sz="4" w:space="0"/>
                    <w:right w:val="single" w:color="auto" w:sz="4" w:space="0"/>
                  </w:tcBorders>
                  <w:noWrap/>
                  <w:vAlign w:val="center"/>
                </w:tcPr>
                <w:p w14:paraId="3FFD521A">
                  <w:pPr>
                    <w:widowControl/>
                    <w:snapToGrid w:val="0"/>
                    <w:jc w:val="center"/>
                    <w:rPr>
                      <w:color w:val="auto"/>
                      <w:kern w:val="0"/>
                      <w:sz w:val="21"/>
                      <w:szCs w:val="22"/>
                    </w:rPr>
                  </w:pPr>
                  <w:r>
                    <w:rPr>
                      <w:color w:val="auto"/>
                      <w:kern w:val="0"/>
                      <w:sz w:val="21"/>
                      <w:szCs w:val="22"/>
                    </w:rPr>
                    <w:t>60</w:t>
                  </w:r>
                </w:p>
              </w:tc>
              <w:tc>
                <w:tcPr>
                  <w:tcW w:w="847" w:type="dxa"/>
                  <w:tcBorders>
                    <w:top w:val="single" w:color="auto" w:sz="4" w:space="0"/>
                    <w:left w:val="single" w:color="auto" w:sz="4" w:space="0"/>
                    <w:bottom w:val="single" w:color="auto" w:sz="4" w:space="0"/>
                    <w:right w:val="single" w:color="auto" w:sz="4" w:space="0"/>
                  </w:tcBorders>
                  <w:noWrap/>
                  <w:vAlign w:val="center"/>
                </w:tcPr>
                <w:p w14:paraId="0109E1DF">
                  <w:pPr>
                    <w:widowControl/>
                    <w:snapToGrid w:val="0"/>
                    <w:jc w:val="center"/>
                    <w:rPr>
                      <w:rFonts w:hint="default" w:eastAsia="宋体"/>
                      <w:color w:val="auto"/>
                      <w:kern w:val="0"/>
                      <w:sz w:val="21"/>
                      <w:szCs w:val="22"/>
                      <w:lang w:val="en-US" w:eastAsia="zh-CN"/>
                    </w:rPr>
                  </w:pPr>
                  <w:r>
                    <w:rPr>
                      <w:rFonts w:hint="eastAsia" w:eastAsia="宋体"/>
                      <w:color w:val="auto"/>
                      <w:kern w:val="0"/>
                      <w:sz w:val="21"/>
                      <w:szCs w:val="22"/>
                      <w:lang w:val="en-US" w:eastAsia="zh-CN"/>
                    </w:rPr>
                    <w:t>21.67</w:t>
                  </w:r>
                </w:p>
              </w:tc>
              <w:tc>
                <w:tcPr>
                  <w:tcW w:w="1057" w:type="dxa"/>
                  <w:tcBorders>
                    <w:top w:val="single" w:color="auto" w:sz="4" w:space="0"/>
                    <w:left w:val="single" w:color="auto" w:sz="4" w:space="0"/>
                    <w:bottom w:val="single" w:color="auto" w:sz="4" w:space="0"/>
                    <w:right w:val="single" w:color="auto" w:sz="4" w:space="0"/>
                  </w:tcBorders>
                  <w:noWrap/>
                  <w:vAlign w:val="center"/>
                </w:tcPr>
                <w:p w14:paraId="179B69D7">
                  <w:pPr>
                    <w:widowControl/>
                    <w:snapToGrid w:val="0"/>
                    <w:jc w:val="center"/>
                    <w:rPr>
                      <w:color w:val="auto"/>
                      <w:kern w:val="0"/>
                      <w:sz w:val="21"/>
                      <w:szCs w:val="22"/>
                    </w:rPr>
                  </w:pPr>
                  <w:r>
                    <w:rPr>
                      <w:color w:val="auto"/>
                      <w:kern w:val="0"/>
                      <w:sz w:val="21"/>
                      <w:szCs w:val="22"/>
                    </w:rPr>
                    <w:t>达标</w:t>
                  </w:r>
                </w:p>
              </w:tc>
            </w:tr>
            <w:tr w14:paraId="50E9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6549A7DA">
                  <w:pPr>
                    <w:widowControl/>
                    <w:snapToGrid w:val="0"/>
                    <w:jc w:val="center"/>
                    <w:rPr>
                      <w:color w:val="auto"/>
                      <w:kern w:val="0"/>
                      <w:sz w:val="21"/>
                      <w:szCs w:val="22"/>
                    </w:rPr>
                  </w:pPr>
                  <w:r>
                    <w:rPr>
                      <w:color w:val="auto"/>
                      <w:kern w:val="0"/>
                      <w:sz w:val="21"/>
                      <w:szCs w:val="22"/>
                    </w:rPr>
                    <w:t>4</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5260366">
                  <w:pPr>
                    <w:widowControl/>
                    <w:snapToGrid w:val="0"/>
                    <w:jc w:val="center"/>
                    <w:rPr>
                      <w:color w:val="auto"/>
                      <w:kern w:val="0"/>
                      <w:sz w:val="21"/>
                      <w:szCs w:val="22"/>
                    </w:rPr>
                  </w:pPr>
                  <w:r>
                    <w:rPr>
                      <w:color w:val="auto"/>
                      <w:kern w:val="0"/>
                      <w:sz w:val="21"/>
                      <w:szCs w:val="22"/>
                    </w:rPr>
                    <w:t>NO</w:t>
                  </w:r>
                  <w:r>
                    <w:rPr>
                      <w:color w:val="auto"/>
                      <w:kern w:val="0"/>
                      <w:sz w:val="21"/>
                      <w:szCs w:val="22"/>
                      <w:vertAlign w:val="subscript"/>
                    </w:rPr>
                    <w:t>2</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7261D97F">
                  <w:pPr>
                    <w:widowControl/>
                    <w:snapToGrid w:val="0"/>
                    <w:jc w:val="center"/>
                    <w:rPr>
                      <w:color w:val="auto"/>
                      <w:kern w:val="0"/>
                      <w:sz w:val="21"/>
                      <w:szCs w:val="22"/>
                    </w:rPr>
                  </w:pPr>
                  <w:r>
                    <w:rPr>
                      <w:color w:val="auto"/>
                      <w:kern w:val="0"/>
                      <w:sz w:val="21"/>
                      <w:szCs w:val="22"/>
                    </w:rPr>
                    <w:t>年平均质量浓度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0843EEC5">
                  <w:pPr>
                    <w:widowControl/>
                    <w:snapToGrid w:val="0"/>
                    <w:jc w:val="center"/>
                    <w:rPr>
                      <w:color w:val="auto"/>
                      <w:kern w:val="0"/>
                      <w:sz w:val="21"/>
                      <w:szCs w:val="22"/>
                    </w:rPr>
                  </w:pPr>
                  <w:r>
                    <w:rPr>
                      <w:color w:val="auto"/>
                      <w:sz w:val="21"/>
                      <w:szCs w:val="22"/>
                    </w:rPr>
                    <w:t>μg/m</w:t>
                  </w:r>
                  <w:r>
                    <w:rPr>
                      <w:color w:val="auto"/>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6143EAD6">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31</w:t>
                  </w:r>
                </w:p>
              </w:tc>
              <w:tc>
                <w:tcPr>
                  <w:tcW w:w="847" w:type="dxa"/>
                  <w:tcBorders>
                    <w:top w:val="single" w:color="auto" w:sz="4" w:space="0"/>
                    <w:left w:val="single" w:color="auto" w:sz="4" w:space="0"/>
                    <w:bottom w:val="single" w:color="auto" w:sz="4" w:space="0"/>
                    <w:right w:val="single" w:color="auto" w:sz="4" w:space="0"/>
                  </w:tcBorders>
                  <w:noWrap/>
                  <w:vAlign w:val="center"/>
                </w:tcPr>
                <w:p w14:paraId="242A7263">
                  <w:pPr>
                    <w:widowControl/>
                    <w:snapToGrid w:val="0"/>
                    <w:jc w:val="center"/>
                    <w:rPr>
                      <w:color w:val="auto"/>
                      <w:kern w:val="0"/>
                      <w:sz w:val="21"/>
                      <w:szCs w:val="22"/>
                    </w:rPr>
                  </w:pPr>
                  <w:r>
                    <w:rPr>
                      <w:color w:val="auto"/>
                      <w:kern w:val="0"/>
                      <w:sz w:val="21"/>
                      <w:szCs w:val="22"/>
                    </w:rPr>
                    <w:t>40</w:t>
                  </w:r>
                </w:p>
              </w:tc>
              <w:tc>
                <w:tcPr>
                  <w:tcW w:w="847" w:type="dxa"/>
                  <w:tcBorders>
                    <w:top w:val="single" w:color="auto" w:sz="4" w:space="0"/>
                    <w:left w:val="single" w:color="auto" w:sz="4" w:space="0"/>
                    <w:bottom w:val="single" w:color="auto" w:sz="4" w:space="0"/>
                    <w:right w:val="single" w:color="auto" w:sz="4" w:space="0"/>
                  </w:tcBorders>
                  <w:noWrap/>
                  <w:vAlign w:val="center"/>
                </w:tcPr>
                <w:p w14:paraId="3EA49495">
                  <w:pPr>
                    <w:widowControl/>
                    <w:snapToGrid w:val="0"/>
                    <w:jc w:val="center"/>
                    <w:rPr>
                      <w:rFonts w:hint="default" w:eastAsia="宋体"/>
                      <w:color w:val="auto"/>
                      <w:kern w:val="0"/>
                      <w:sz w:val="21"/>
                      <w:szCs w:val="22"/>
                      <w:lang w:val="en-US" w:eastAsia="zh-CN"/>
                    </w:rPr>
                  </w:pPr>
                  <w:r>
                    <w:rPr>
                      <w:rFonts w:hint="eastAsia" w:eastAsia="宋体"/>
                      <w:color w:val="auto"/>
                      <w:kern w:val="0"/>
                      <w:sz w:val="21"/>
                      <w:szCs w:val="22"/>
                      <w:lang w:val="en-US" w:eastAsia="zh-CN"/>
                    </w:rPr>
                    <w:t>77.5</w:t>
                  </w:r>
                </w:p>
              </w:tc>
              <w:tc>
                <w:tcPr>
                  <w:tcW w:w="1057" w:type="dxa"/>
                  <w:tcBorders>
                    <w:top w:val="single" w:color="auto" w:sz="4" w:space="0"/>
                    <w:left w:val="single" w:color="auto" w:sz="4" w:space="0"/>
                    <w:bottom w:val="single" w:color="auto" w:sz="4" w:space="0"/>
                    <w:right w:val="single" w:color="auto" w:sz="4" w:space="0"/>
                  </w:tcBorders>
                  <w:noWrap/>
                  <w:vAlign w:val="center"/>
                </w:tcPr>
                <w:p w14:paraId="1719C522">
                  <w:pPr>
                    <w:widowControl/>
                    <w:snapToGrid w:val="0"/>
                    <w:jc w:val="center"/>
                    <w:rPr>
                      <w:color w:val="auto"/>
                      <w:kern w:val="0"/>
                      <w:sz w:val="21"/>
                      <w:szCs w:val="22"/>
                    </w:rPr>
                  </w:pPr>
                  <w:r>
                    <w:rPr>
                      <w:color w:val="auto"/>
                      <w:kern w:val="0"/>
                      <w:sz w:val="21"/>
                      <w:szCs w:val="22"/>
                    </w:rPr>
                    <w:t>达标</w:t>
                  </w:r>
                </w:p>
              </w:tc>
            </w:tr>
            <w:tr w14:paraId="21D0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4C7F59BE">
                  <w:pPr>
                    <w:widowControl/>
                    <w:snapToGrid w:val="0"/>
                    <w:jc w:val="center"/>
                    <w:rPr>
                      <w:color w:val="auto"/>
                      <w:kern w:val="0"/>
                      <w:sz w:val="21"/>
                      <w:szCs w:val="22"/>
                    </w:rPr>
                  </w:pPr>
                  <w:r>
                    <w:rPr>
                      <w:color w:val="auto"/>
                      <w:kern w:val="0"/>
                      <w:sz w:val="21"/>
                      <w:szCs w:val="22"/>
                    </w:rPr>
                    <w:t>5</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D5F888B">
                  <w:pPr>
                    <w:widowControl/>
                    <w:snapToGrid w:val="0"/>
                    <w:jc w:val="center"/>
                    <w:rPr>
                      <w:color w:val="auto"/>
                      <w:kern w:val="0"/>
                      <w:sz w:val="21"/>
                      <w:szCs w:val="22"/>
                    </w:rPr>
                  </w:pPr>
                  <w:r>
                    <w:rPr>
                      <w:color w:val="auto"/>
                      <w:kern w:val="0"/>
                      <w:sz w:val="21"/>
                      <w:szCs w:val="22"/>
                    </w:rPr>
                    <w:t>CO</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41AE3140">
                  <w:pPr>
                    <w:widowControl/>
                    <w:snapToGrid w:val="0"/>
                    <w:jc w:val="center"/>
                    <w:rPr>
                      <w:color w:val="auto"/>
                      <w:kern w:val="0"/>
                      <w:sz w:val="21"/>
                      <w:szCs w:val="22"/>
                    </w:rPr>
                  </w:pPr>
                  <w:r>
                    <w:rPr>
                      <w:color w:val="auto"/>
                      <w:kern w:val="0"/>
                      <w:sz w:val="21"/>
                      <w:szCs w:val="22"/>
                    </w:rPr>
                    <w:t>24h平均第95百分位浓度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77039625">
                  <w:pPr>
                    <w:widowControl/>
                    <w:snapToGrid w:val="0"/>
                    <w:jc w:val="center"/>
                    <w:rPr>
                      <w:color w:val="auto"/>
                      <w:kern w:val="0"/>
                      <w:sz w:val="21"/>
                      <w:szCs w:val="22"/>
                    </w:rPr>
                  </w:pPr>
                  <w:r>
                    <w:rPr>
                      <w:color w:val="auto"/>
                      <w:kern w:val="0"/>
                      <w:sz w:val="21"/>
                      <w:szCs w:val="22"/>
                    </w:rPr>
                    <w:t>mg/m</w:t>
                  </w:r>
                  <w:r>
                    <w:rPr>
                      <w:color w:val="auto"/>
                      <w:kern w:val="0"/>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43E5B645">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1.1</w:t>
                  </w:r>
                </w:p>
              </w:tc>
              <w:tc>
                <w:tcPr>
                  <w:tcW w:w="847" w:type="dxa"/>
                  <w:tcBorders>
                    <w:top w:val="single" w:color="auto" w:sz="4" w:space="0"/>
                    <w:left w:val="single" w:color="auto" w:sz="4" w:space="0"/>
                    <w:bottom w:val="single" w:color="auto" w:sz="4" w:space="0"/>
                    <w:right w:val="single" w:color="auto" w:sz="4" w:space="0"/>
                  </w:tcBorders>
                  <w:noWrap/>
                  <w:vAlign w:val="center"/>
                </w:tcPr>
                <w:p w14:paraId="3CB231E9">
                  <w:pPr>
                    <w:widowControl/>
                    <w:snapToGrid w:val="0"/>
                    <w:jc w:val="center"/>
                    <w:rPr>
                      <w:color w:val="auto"/>
                      <w:kern w:val="0"/>
                      <w:sz w:val="21"/>
                      <w:szCs w:val="22"/>
                    </w:rPr>
                  </w:pPr>
                  <w:r>
                    <w:rPr>
                      <w:color w:val="auto"/>
                      <w:kern w:val="0"/>
                      <w:sz w:val="21"/>
                      <w:szCs w:val="22"/>
                    </w:rPr>
                    <w:t>4</w:t>
                  </w:r>
                </w:p>
              </w:tc>
              <w:tc>
                <w:tcPr>
                  <w:tcW w:w="847" w:type="dxa"/>
                  <w:tcBorders>
                    <w:top w:val="single" w:color="auto" w:sz="4" w:space="0"/>
                    <w:left w:val="single" w:color="auto" w:sz="4" w:space="0"/>
                    <w:bottom w:val="single" w:color="auto" w:sz="4" w:space="0"/>
                    <w:right w:val="single" w:color="auto" w:sz="4" w:space="0"/>
                  </w:tcBorders>
                  <w:noWrap/>
                  <w:vAlign w:val="center"/>
                </w:tcPr>
                <w:p w14:paraId="0D5B5A0E">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27.5</w:t>
                  </w:r>
                </w:p>
              </w:tc>
              <w:tc>
                <w:tcPr>
                  <w:tcW w:w="1057" w:type="dxa"/>
                  <w:tcBorders>
                    <w:top w:val="single" w:color="auto" w:sz="4" w:space="0"/>
                    <w:left w:val="single" w:color="auto" w:sz="4" w:space="0"/>
                    <w:bottom w:val="single" w:color="auto" w:sz="4" w:space="0"/>
                    <w:right w:val="single" w:color="auto" w:sz="4" w:space="0"/>
                  </w:tcBorders>
                  <w:noWrap/>
                  <w:vAlign w:val="center"/>
                </w:tcPr>
                <w:p w14:paraId="759CEFD3">
                  <w:pPr>
                    <w:widowControl/>
                    <w:snapToGrid w:val="0"/>
                    <w:jc w:val="center"/>
                    <w:rPr>
                      <w:color w:val="auto"/>
                      <w:kern w:val="0"/>
                      <w:sz w:val="21"/>
                      <w:szCs w:val="22"/>
                    </w:rPr>
                  </w:pPr>
                  <w:r>
                    <w:rPr>
                      <w:color w:val="auto"/>
                      <w:kern w:val="0"/>
                      <w:sz w:val="21"/>
                      <w:szCs w:val="22"/>
                    </w:rPr>
                    <w:t>达标</w:t>
                  </w:r>
                </w:p>
              </w:tc>
            </w:tr>
            <w:tr w14:paraId="0CE6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noWrap/>
                  <w:vAlign w:val="center"/>
                </w:tcPr>
                <w:p w14:paraId="1E2FFD4F">
                  <w:pPr>
                    <w:widowControl/>
                    <w:snapToGrid w:val="0"/>
                    <w:jc w:val="center"/>
                    <w:rPr>
                      <w:color w:val="auto"/>
                      <w:kern w:val="0"/>
                      <w:sz w:val="21"/>
                      <w:szCs w:val="22"/>
                    </w:rPr>
                  </w:pPr>
                  <w:r>
                    <w:rPr>
                      <w:color w:val="auto"/>
                      <w:kern w:val="0"/>
                      <w:sz w:val="21"/>
                      <w:szCs w:val="22"/>
                    </w:rPr>
                    <w:t>6</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168F6068">
                  <w:pPr>
                    <w:widowControl/>
                    <w:snapToGrid w:val="0"/>
                    <w:jc w:val="center"/>
                    <w:rPr>
                      <w:color w:val="auto"/>
                      <w:kern w:val="0"/>
                      <w:sz w:val="21"/>
                      <w:szCs w:val="22"/>
                    </w:rPr>
                  </w:pPr>
                  <w:r>
                    <w:rPr>
                      <w:color w:val="auto"/>
                      <w:kern w:val="0"/>
                      <w:sz w:val="21"/>
                      <w:szCs w:val="22"/>
                    </w:rPr>
                    <w:t>O</w:t>
                  </w:r>
                  <w:r>
                    <w:rPr>
                      <w:color w:val="auto"/>
                      <w:kern w:val="0"/>
                      <w:sz w:val="21"/>
                      <w:szCs w:val="22"/>
                      <w:vertAlign w:val="subscript"/>
                    </w:rPr>
                    <w:t>3</w:t>
                  </w:r>
                </w:p>
              </w:tc>
              <w:tc>
                <w:tcPr>
                  <w:tcW w:w="1814" w:type="dxa"/>
                  <w:tcBorders>
                    <w:top w:val="single" w:color="auto" w:sz="4" w:space="0"/>
                    <w:left w:val="single" w:color="auto" w:sz="4" w:space="0"/>
                    <w:bottom w:val="single" w:color="auto" w:sz="4" w:space="0"/>
                    <w:right w:val="single" w:color="auto" w:sz="4" w:space="0"/>
                  </w:tcBorders>
                  <w:noWrap w:val="0"/>
                  <w:vAlign w:val="center"/>
                </w:tcPr>
                <w:p w14:paraId="5F8EA246">
                  <w:pPr>
                    <w:widowControl/>
                    <w:snapToGrid w:val="0"/>
                    <w:jc w:val="center"/>
                    <w:rPr>
                      <w:color w:val="auto"/>
                      <w:kern w:val="0"/>
                      <w:sz w:val="21"/>
                      <w:szCs w:val="22"/>
                    </w:rPr>
                  </w:pPr>
                  <w:r>
                    <w:rPr>
                      <w:color w:val="auto"/>
                      <w:kern w:val="0"/>
                      <w:sz w:val="21"/>
                      <w:szCs w:val="22"/>
                    </w:rPr>
                    <w:t>8h平均第90百分位浓度</w:t>
                  </w:r>
                </w:p>
              </w:tc>
              <w:tc>
                <w:tcPr>
                  <w:tcW w:w="791" w:type="dxa"/>
                  <w:tcBorders>
                    <w:top w:val="single" w:color="auto" w:sz="4" w:space="0"/>
                    <w:left w:val="single" w:color="auto" w:sz="4" w:space="0"/>
                    <w:bottom w:val="single" w:color="auto" w:sz="4" w:space="0"/>
                    <w:right w:val="single" w:color="auto" w:sz="4" w:space="0"/>
                  </w:tcBorders>
                  <w:noWrap/>
                  <w:vAlign w:val="center"/>
                </w:tcPr>
                <w:p w14:paraId="5464F786">
                  <w:pPr>
                    <w:widowControl/>
                    <w:snapToGrid w:val="0"/>
                    <w:jc w:val="center"/>
                    <w:rPr>
                      <w:color w:val="auto"/>
                      <w:kern w:val="0"/>
                      <w:sz w:val="21"/>
                      <w:szCs w:val="22"/>
                    </w:rPr>
                  </w:pPr>
                  <w:r>
                    <w:rPr>
                      <w:color w:val="auto"/>
                      <w:sz w:val="21"/>
                      <w:szCs w:val="22"/>
                    </w:rPr>
                    <w:t>μg/m</w:t>
                  </w:r>
                  <w:r>
                    <w:rPr>
                      <w:color w:val="auto"/>
                      <w:sz w:val="21"/>
                      <w:szCs w:val="22"/>
                      <w:vertAlign w:val="superscript"/>
                    </w:rPr>
                    <w:t>3</w:t>
                  </w:r>
                </w:p>
              </w:tc>
              <w:tc>
                <w:tcPr>
                  <w:tcW w:w="1056" w:type="dxa"/>
                  <w:tcBorders>
                    <w:top w:val="single" w:color="auto" w:sz="4" w:space="0"/>
                    <w:left w:val="single" w:color="auto" w:sz="4" w:space="0"/>
                    <w:bottom w:val="single" w:color="auto" w:sz="4" w:space="0"/>
                    <w:right w:val="single" w:color="auto" w:sz="4" w:space="0"/>
                  </w:tcBorders>
                  <w:noWrap/>
                  <w:vAlign w:val="center"/>
                </w:tcPr>
                <w:p w14:paraId="646D039D">
                  <w:pPr>
                    <w:widowControl/>
                    <w:snapToGrid w:val="0"/>
                    <w:jc w:val="center"/>
                    <w:rPr>
                      <w:rFonts w:hint="default" w:eastAsia="宋体"/>
                      <w:color w:val="auto"/>
                      <w:kern w:val="0"/>
                      <w:sz w:val="21"/>
                      <w:szCs w:val="22"/>
                      <w:lang w:val="en-US" w:eastAsia="zh-CN"/>
                    </w:rPr>
                  </w:pPr>
                  <w:r>
                    <w:rPr>
                      <w:rFonts w:hint="eastAsia"/>
                      <w:color w:val="auto"/>
                      <w:kern w:val="0"/>
                      <w:sz w:val="21"/>
                      <w:szCs w:val="22"/>
                      <w:lang w:val="en-US" w:eastAsia="zh-CN"/>
                    </w:rPr>
                    <w:t>166</w:t>
                  </w:r>
                </w:p>
              </w:tc>
              <w:tc>
                <w:tcPr>
                  <w:tcW w:w="847" w:type="dxa"/>
                  <w:tcBorders>
                    <w:top w:val="single" w:color="auto" w:sz="4" w:space="0"/>
                    <w:left w:val="single" w:color="auto" w:sz="4" w:space="0"/>
                    <w:bottom w:val="single" w:color="auto" w:sz="4" w:space="0"/>
                    <w:right w:val="single" w:color="auto" w:sz="4" w:space="0"/>
                  </w:tcBorders>
                  <w:noWrap/>
                  <w:vAlign w:val="center"/>
                </w:tcPr>
                <w:p w14:paraId="2F081080">
                  <w:pPr>
                    <w:widowControl/>
                    <w:snapToGrid w:val="0"/>
                    <w:jc w:val="center"/>
                    <w:rPr>
                      <w:color w:val="auto"/>
                      <w:kern w:val="0"/>
                      <w:sz w:val="21"/>
                      <w:szCs w:val="22"/>
                    </w:rPr>
                  </w:pPr>
                  <w:r>
                    <w:rPr>
                      <w:color w:val="auto"/>
                      <w:kern w:val="0"/>
                      <w:sz w:val="21"/>
                      <w:szCs w:val="22"/>
                    </w:rPr>
                    <w:t>1</w:t>
                  </w:r>
                  <w:r>
                    <w:rPr>
                      <w:rFonts w:hint="eastAsia"/>
                      <w:color w:val="auto"/>
                      <w:kern w:val="0"/>
                      <w:sz w:val="21"/>
                      <w:szCs w:val="22"/>
                    </w:rPr>
                    <w:t>6</w:t>
                  </w:r>
                  <w:r>
                    <w:rPr>
                      <w:color w:val="auto"/>
                      <w:kern w:val="0"/>
                      <w:sz w:val="21"/>
                      <w:szCs w:val="22"/>
                    </w:rPr>
                    <w:t>0</w:t>
                  </w:r>
                </w:p>
              </w:tc>
              <w:tc>
                <w:tcPr>
                  <w:tcW w:w="847" w:type="dxa"/>
                  <w:tcBorders>
                    <w:top w:val="single" w:color="auto" w:sz="4" w:space="0"/>
                    <w:left w:val="single" w:color="auto" w:sz="4" w:space="0"/>
                    <w:bottom w:val="single" w:color="auto" w:sz="4" w:space="0"/>
                    <w:right w:val="single" w:color="auto" w:sz="4" w:space="0"/>
                  </w:tcBorders>
                  <w:noWrap/>
                  <w:vAlign w:val="center"/>
                </w:tcPr>
                <w:p w14:paraId="06AEE0E6">
                  <w:pPr>
                    <w:widowControl/>
                    <w:snapToGrid w:val="0"/>
                    <w:jc w:val="center"/>
                    <w:rPr>
                      <w:rFonts w:hint="default" w:eastAsia="宋体"/>
                      <w:color w:val="auto"/>
                      <w:kern w:val="0"/>
                      <w:sz w:val="21"/>
                      <w:szCs w:val="22"/>
                      <w:lang w:val="en-US" w:eastAsia="zh-CN"/>
                    </w:rPr>
                  </w:pPr>
                  <w:r>
                    <w:rPr>
                      <w:rFonts w:hint="eastAsia" w:eastAsia="宋体"/>
                      <w:color w:val="auto"/>
                      <w:kern w:val="0"/>
                      <w:sz w:val="21"/>
                      <w:szCs w:val="22"/>
                      <w:lang w:val="en-US" w:eastAsia="zh-CN"/>
                    </w:rPr>
                    <w:t>103.75</w:t>
                  </w:r>
                </w:p>
              </w:tc>
              <w:tc>
                <w:tcPr>
                  <w:tcW w:w="1057" w:type="dxa"/>
                  <w:tcBorders>
                    <w:top w:val="single" w:color="auto" w:sz="4" w:space="0"/>
                    <w:left w:val="single" w:color="auto" w:sz="4" w:space="0"/>
                    <w:bottom w:val="single" w:color="auto" w:sz="4" w:space="0"/>
                    <w:right w:val="single" w:color="auto" w:sz="4" w:space="0"/>
                  </w:tcBorders>
                  <w:noWrap/>
                  <w:vAlign w:val="center"/>
                </w:tcPr>
                <w:p w14:paraId="5A3CED90">
                  <w:pPr>
                    <w:widowControl/>
                    <w:snapToGrid w:val="0"/>
                    <w:jc w:val="center"/>
                    <w:rPr>
                      <w:b/>
                      <w:bCs/>
                      <w:color w:val="auto"/>
                      <w:kern w:val="0"/>
                      <w:sz w:val="21"/>
                      <w:szCs w:val="22"/>
                    </w:rPr>
                  </w:pPr>
                  <w:r>
                    <w:rPr>
                      <w:rFonts w:hint="eastAsia"/>
                      <w:color w:val="auto"/>
                      <w:kern w:val="0"/>
                      <w:sz w:val="21"/>
                      <w:szCs w:val="22"/>
                      <w:lang w:val="en-US" w:eastAsia="zh-CN"/>
                    </w:rPr>
                    <w:t>不</w:t>
                  </w:r>
                  <w:r>
                    <w:rPr>
                      <w:color w:val="auto"/>
                      <w:kern w:val="0"/>
                      <w:sz w:val="21"/>
                      <w:szCs w:val="22"/>
                    </w:rPr>
                    <w:t>达标</w:t>
                  </w:r>
                </w:p>
              </w:tc>
            </w:tr>
          </w:tbl>
          <w:p w14:paraId="46217AB0">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由以上统计结果可知，</w:t>
            </w:r>
            <w:r>
              <w:rPr>
                <w:rFonts w:hint="eastAsia" w:ascii="Times New Roman" w:hAnsi="Times New Roman" w:eastAsia="宋体"/>
                <w:color w:val="auto"/>
                <w:sz w:val="24"/>
                <w:lang w:eastAsia="zh-CN"/>
              </w:rPr>
              <w:t>府谷县</w:t>
            </w:r>
            <w:r>
              <w:rPr>
                <w:rFonts w:hint="eastAsia" w:ascii="Times New Roman" w:hAnsi="Times New Roman" w:eastAsia="宋体"/>
                <w:color w:val="auto"/>
                <w:sz w:val="24"/>
                <w:lang w:val="en-US" w:eastAsia="zh-CN"/>
              </w:rPr>
              <w:t>除</w:t>
            </w:r>
            <w:r>
              <w:rPr>
                <w:rFonts w:ascii="Times New Roman" w:hAnsi="Times New Roman" w:eastAsia="宋体"/>
                <w:color w:val="auto"/>
                <w:sz w:val="24"/>
              </w:rPr>
              <w:t>O</w:t>
            </w:r>
            <w:r>
              <w:rPr>
                <w:rFonts w:ascii="Times New Roman" w:hAnsi="Times New Roman" w:eastAsia="宋体"/>
                <w:color w:val="auto"/>
                <w:sz w:val="24"/>
                <w:vertAlign w:val="subscript"/>
              </w:rPr>
              <w:t>3</w:t>
            </w:r>
            <w:r>
              <w:rPr>
                <w:rFonts w:hint="eastAsia" w:ascii="Times New Roman" w:hAnsi="Times New Roman" w:eastAsia="宋体"/>
                <w:color w:val="auto"/>
                <w:sz w:val="24"/>
                <w:vertAlign w:val="baseline"/>
                <w:lang w:val="en-US" w:eastAsia="zh-CN"/>
              </w:rPr>
              <w:t>浓度超标外，</w:t>
            </w:r>
            <w:r>
              <w:rPr>
                <w:rFonts w:ascii="Times New Roman" w:hAnsi="Times New Roman" w:eastAsia="宋体"/>
                <w:color w:val="auto"/>
                <w:sz w:val="24"/>
              </w:rPr>
              <w:t>NO</w:t>
            </w:r>
            <w:r>
              <w:rPr>
                <w:rFonts w:ascii="Times New Roman" w:hAnsi="Times New Roman" w:eastAsia="宋体"/>
                <w:color w:val="auto"/>
                <w:sz w:val="24"/>
                <w:vertAlign w:val="subscript"/>
              </w:rPr>
              <w:t>2</w:t>
            </w:r>
            <w:r>
              <w:rPr>
                <w:rFonts w:ascii="Times New Roman" w:hAnsi="Times New Roman" w:eastAsia="宋体"/>
                <w:color w:val="auto"/>
                <w:sz w:val="24"/>
              </w:rPr>
              <w:t>、SO</w:t>
            </w:r>
            <w:r>
              <w:rPr>
                <w:rFonts w:ascii="Times New Roman" w:hAnsi="Times New Roman" w:eastAsia="宋体"/>
                <w:color w:val="auto"/>
                <w:sz w:val="24"/>
                <w:vertAlign w:val="subscript"/>
              </w:rPr>
              <w:t>2</w:t>
            </w:r>
            <w:r>
              <w:rPr>
                <w:rFonts w:ascii="Times New Roman" w:hAnsi="Times New Roman" w:eastAsia="宋体"/>
                <w:color w:val="auto"/>
                <w:sz w:val="24"/>
              </w:rPr>
              <w:t>、CO、O</w:t>
            </w:r>
            <w:r>
              <w:rPr>
                <w:rFonts w:ascii="Times New Roman" w:hAnsi="Times New Roman" w:eastAsia="宋体"/>
                <w:color w:val="auto"/>
                <w:sz w:val="24"/>
                <w:vertAlign w:val="subscript"/>
              </w:rPr>
              <w:t>3</w:t>
            </w:r>
            <w:r>
              <w:rPr>
                <w:rFonts w:hint="eastAsia" w:ascii="Times New Roman" w:hAnsi="Times New Roman" w:eastAsia="宋体"/>
                <w:color w:val="auto"/>
                <w:sz w:val="24"/>
                <w:vertAlign w:val="baseline"/>
                <w:lang w:eastAsia="zh-CN"/>
              </w:rPr>
              <w:t>、</w:t>
            </w:r>
            <w:r>
              <w:rPr>
                <w:rFonts w:ascii="Times New Roman" w:hAnsi="Times New Roman" w:eastAsia="宋体"/>
                <w:color w:val="auto"/>
                <w:sz w:val="24"/>
              </w:rPr>
              <w:t>PM</w:t>
            </w:r>
            <w:r>
              <w:rPr>
                <w:rFonts w:hint="eastAsia" w:ascii="Times New Roman" w:hAnsi="Times New Roman" w:eastAsia="宋体"/>
                <w:color w:val="auto"/>
                <w:sz w:val="24"/>
                <w:vertAlign w:val="subscript"/>
                <w:lang w:val="en-US" w:eastAsia="zh-CN"/>
              </w:rPr>
              <w:t>2.5</w:t>
            </w:r>
            <w:r>
              <w:rPr>
                <w:rFonts w:hint="eastAsia" w:ascii="Times New Roman" w:hAnsi="Times New Roman" w:eastAsia="宋体"/>
                <w:color w:val="auto"/>
                <w:sz w:val="24"/>
                <w:lang w:eastAsia="zh-CN"/>
              </w:rPr>
              <w:t>、</w:t>
            </w:r>
            <w:r>
              <w:rPr>
                <w:rFonts w:ascii="Times New Roman" w:hAnsi="Times New Roman" w:eastAsia="宋体"/>
                <w:color w:val="auto"/>
                <w:sz w:val="24"/>
              </w:rPr>
              <w:t>PM</w:t>
            </w:r>
            <w:r>
              <w:rPr>
                <w:rFonts w:ascii="Times New Roman" w:hAnsi="Times New Roman" w:eastAsia="宋体"/>
                <w:color w:val="auto"/>
                <w:sz w:val="24"/>
                <w:vertAlign w:val="subscript"/>
              </w:rPr>
              <w:t>10</w:t>
            </w:r>
            <w:r>
              <w:rPr>
                <w:rFonts w:ascii="Times New Roman" w:hAnsi="Times New Roman" w:eastAsia="宋体"/>
                <w:color w:val="auto"/>
                <w:sz w:val="24"/>
              </w:rPr>
              <w:t>质量浓度值</w:t>
            </w:r>
            <w:r>
              <w:rPr>
                <w:rFonts w:hint="eastAsia" w:ascii="Times New Roman" w:hAnsi="Times New Roman" w:eastAsia="宋体"/>
                <w:color w:val="auto"/>
                <w:sz w:val="24"/>
                <w:lang w:val="en-US" w:eastAsia="zh-CN"/>
              </w:rPr>
              <w:t>可</w:t>
            </w:r>
            <w:r>
              <w:rPr>
                <w:rFonts w:ascii="Times New Roman" w:hAnsi="Times New Roman" w:eastAsia="宋体"/>
                <w:color w:val="auto"/>
                <w:sz w:val="24"/>
              </w:rPr>
              <w:t>满足《环境空气质量标准》（GB3095-2012）二级标准要求</w:t>
            </w:r>
            <w:r>
              <w:rPr>
                <w:rFonts w:hint="eastAsia" w:ascii="Times New Roman" w:hAnsi="Times New Roman" w:eastAsia="宋体"/>
                <w:color w:val="auto"/>
                <w:sz w:val="24"/>
                <w:lang w:eastAsia="zh-CN"/>
              </w:rPr>
              <w:t>，</w:t>
            </w:r>
            <w:r>
              <w:rPr>
                <w:rFonts w:ascii="Times New Roman" w:hAnsi="Times New Roman" w:eastAsia="宋体"/>
                <w:color w:val="auto"/>
                <w:sz w:val="24"/>
              </w:rPr>
              <w:t>项目所在区域为环境空气质量</w:t>
            </w:r>
            <w:r>
              <w:rPr>
                <w:rFonts w:hint="eastAsia" w:ascii="Times New Roman" w:hAnsi="Times New Roman" w:eastAsia="宋体"/>
                <w:color w:val="auto"/>
                <w:sz w:val="24"/>
                <w:lang w:val="en-US" w:eastAsia="zh-CN"/>
              </w:rPr>
              <w:t>不</w:t>
            </w:r>
            <w:r>
              <w:rPr>
                <w:rFonts w:ascii="Times New Roman" w:hAnsi="Times New Roman" w:eastAsia="宋体"/>
                <w:color w:val="auto"/>
                <w:sz w:val="24"/>
              </w:rPr>
              <w:t>达标区。</w:t>
            </w:r>
          </w:p>
          <w:p w14:paraId="1BC3F01F">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⑵</w:t>
            </w:r>
            <w:r>
              <w:rPr>
                <w:rFonts w:ascii="Times New Roman" w:hAnsi="Times New Roman" w:eastAsia="宋体"/>
                <w:color w:val="auto"/>
                <w:sz w:val="24"/>
              </w:rPr>
              <w:t xml:space="preserve"> 特征污染物</w:t>
            </w:r>
          </w:p>
          <w:p w14:paraId="7E25C9A9">
            <w:pPr>
              <w:spacing w:line="360" w:lineRule="auto"/>
              <w:ind w:firstLine="480" w:firstLineChars="200"/>
              <w:rPr>
                <w:rFonts w:ascii="Times New Roman" w:hAnsi="Times New Roman" w:eastAsia="宋体"/>
                <w:color w:val="auto"/>
                <w:sz w:val="24"/>
              </w:rPr>
            </w:pPr>
            <w:r>
              <w:rPr>
                <w:rFonts w:hint="eastAsia" w:ascii="Times New Roman" w:hAnsi="Times New Roman" w:eastAsia="宋体" w:cs="Times New Roman"/>
                <w:b w:val="0"/>
                <w:bCs w:val="0"/>
                <w:color w:val="auto"/>
                <w:kern w:val="2"/>
                <w:sz w:val="24"/>
                <w:szCs w:val="24"/>
                <w:lang w:val="en-US" w:eastAsia="zh-CN" w:bidi="ar-SA"/>
              </w:rPr>
              <w:t>陕西青源环保科技有限公司</w:t>
            </w:r>
            <w:r>
              <w:rPr>
                <w:rFonts w:hint="default" w:ascii="Times New Roman" w:hAnsi="Times New Roman" w:eastAsia="宋体" w:cs="Times New Roman"/>
                <w:b w:val="0"/>
                <w:bCs w:val="0"/>
                <w:color w:val="auto"/>
                <w:kern w:val="2"/>
                <w:sz w:val="24"/>
                <w:szCs w:val="24"/>
                <w:lang w:val="en-US" w:eastAsia="zh-CN" w:bidi="ar-SA"/>
              </w:rPr>
              <w:t>于202</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11</w:t>
            </w:r>
            <w:r>
              <w:rPr>
                <w:rFonts w:hint="default" w:ascii="Times New Roman" w:hAnsi="Times New Roman" w:eastAsia="宋体" w:cs="Times New Roman"/>
                <w:b w:val="0"/>
                <w:bCs w:val="0"/>
                <w:color w:val="auto"/>
                <w:kern w:val="2"/>
                <w:sz w:val="24"/>
                <w:szCs w:val="24"/>
                <w:lang w:val="en-US" w:eastAsia="zh-CN" w:bidi="ar-SA"/>
              </w:rPr>
              <w:t>月</w:t>
            </w:r>
            <w:r>
              <w:rPr>
                <w:rFonts w:hint="eastAsia" w:ascii="Times New Roman" w:hAnsi="Times New Roman" w:eastAsia="宋体" w:cs="Times New Roman"/>
                <w:b w:val="0"/>
                <w:bCs w:val="0"/>
                <w:color w:val="auto"/>
                <w:kern w:val="2"/>
                <w:sz w:val="24"/>
                <w:szCs w:val="24"/>
                <w:lang w:val="en-US" w:eastAsia="zh-CN" w:bidi="ar-SA"/>
              </w:rPr>
              <w:t>26</w:t>
            </w:r>
            <w:r>
              <w:rPr>
                <w:rFonts w:hint="default" w:ascii="Times New Roman" w:hAnsi="Times New Roman" w:eastAsia="宋体" w:cs="Times New Roman"/>
                <w:b w:val="0"/>
                <w:bCs w:val="0"/>
                <w:color w:val="auto"/>
                <w:kern w:val="2"/>
                <w:sz w:val="24"/>
                <w:szCs w:val="24"/>
                <w:lang w:val="en-US" w:eastAsia="zh-CN" w:bidi="ar-SA"/>
              </w:rPr>
              <w:t>日至202</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11</w:t>
            </w:r>
            <w:r>
              <w:rPr>
                <w:rFonts w:hint="default" w:ascii="Times New Roman" w:hAnsi="Times New Roman" w:eastAsia="宋体" w:cs="Times New Roman"/>
                <w:b w:val="0"/>
                <w:bCs w:val="0"/>
                <w:color w:val="auto"/>
                <w:kern w:val="2"/>
                <w:sz w:val="24"/>
                <w:szCs w:val="24"/>
                <w:lang w:val="en-US" w:eastAsia="zh-CN" w:bidi="ar-SA"/>
              </w:rPr>
              <w:t>月</w:t>
            </w:r>
            <w:r>
              <w:rPr>
                <w:rFonts w:hint="eastAsia" w:ascii="Times New Roman" w:hAnsi="Times New Roman" w:eastAsia="宋体" w:cs="Times New Roman"/>
                <w:b w:val="0"/>
                <w:bCs w:val="0"/>
                <w:color w:val="auto"/>
                <w:kern w:val="2"/>
                <w:sz w:val="24"/>
                <w:szCs w:val="24"/>
                <w:lang w:val="en-US" w:eastAsia="zh-CN" w:bidi="ar-SA"/>
              </w:rPr>
              <w:t>29</w:t>
            </w:r>
            <w:r>
              <w:rPr>
                <w:rFonts w:hint="default" w:ascii="Times New Roman" w:hAnsi="Times New Roman" w:eastAsia="宋体" w:cs="Times New Roman"/>
                <w:b w:val="0"/>
                <w:bCs w:val="0"/>
                <w:color w:val="auto"/>
                <w:kern w:val="2"/>
                <w:sz w:val="24"/>
                <w:szCs w:val="24"/>
                <w:lang w:val="en-US" w:eastAsia="zh-CN" w:bidi="ar-SA"/>
              </w:rPr>
              <w:t>日对项目厂址TSP进行了监测</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监测报告见附件7</w:t>
            </w:r>
            <w:r>
              <w:rPr>
                <w:rFonts w:ascii="Times New Roman" w:hAnsi="Times New Roman" w:eastAsia="宋体"/>
                <w:color w:val="auto"/>
                <w:sz w:val="24"/>
              </w:rPr>
              <w:t>。</w:t>
            </w:r>
          </w:p>
          <w:p w14:paraId="194916B9">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①</w:t>
            </w:r>
            <w:r>
              <w:rPr>
                <w:rFonts w:ascii="Times New Roman" w:hAnsi="Times New Roman" w:eastAsia="宋体"/>
                <w:color w:val="auto"/>
                <w:sz w:val="24"/>
              </w:rPr>
              <w:t xml:space="preserve"> 监测点位：</w:t>
            </w:r>
            <w:r>
              <w:rPr>
                <w:rFonts w:hint="default" w:ascii="Times New Roman" w:hAnsi="Times New Roman" w:eastAsia="宋体" w:cs="Times New Roman"/>
                <w:color w:val="auto"/>
                <w:sz w:val="24"/>
                <w:szCs w:val="24"/>
                <w:highlight w:val="none"/>
              </w:rPr>
              <w:t>监测点</w:t>
            </w:r>
            <w:r>
              <w:rPr>
                <w:rFonts w:hint="default" w:ascii="Times New Roman" w:hAnsi="Times New Roman" w:eastAsia="宋体" w:cs="Times New Roman"/>
                <w:color w:val="auto"/>
                <w:sz w:val="24"/>
                <w:szCs w:val="24"/>
                <w:highlight w:val="none"/>
                <w:lang w:eastAsia="zh-CN"/>
              </w:rPr>
              <w:t>位于本项目厂址当季主导风向下风向，与本项目</w:t>
            </w:r>
            <w:r>
              <w:rPr>
                <w:rFonts w:hint="default" w:ascii="Times New Roman" w:hAnsi="Times New Roman" w:eastAsia="宋体" w:cs="Times New Roman"/>
                <w:color w:val="auto"/>
                <w:sz w:val="24"/>
                <w:szCs w:val="24"/>
                <w:highlight w:val="none"/>
              </w:rPr>
              <w:t>的方位、距离</w:t>
            </w:r>
            <w:r>
              <w:rPr>
                <w:rFonts w:hint="default" w:ascii="Times New Roman" w:hAnsi="Times New Roman" w:eastAsia="宋体" w:cs="Times New Roman"/>
                <w:color w:val="auto"/>
                <w:sz w:val="24"/>
                <w:szCs w:val="24"/>
                <w:highlight w:val="none"/>
                <w:lang w:eastAsia="zh-CN"/>
              </w:rPr>
              <w:t>情况</w:t>
            </w:r>
            <w:r>
              <w:rPr>
                <w:rFonts w:hint="default" w:ascii="Times New Roman" w:hAnsi="Times New Roman" w:eastAsia="宋体" w:cs="Times New Roman"/>
                <w:color w:val="auto"/>
                <w:sz w:val="24"/>
                <w:szCs w:val="24"/>
                <w:highlight w:val="none"/>
              </w:rPr>
              <w:t>见</w:t>
            </w:r>
            <w:r>
              <w:rPr>
                <w:rFonts w:hint="eastAsia" w:ascii="Times New Roman" w:hAnsi="Times New Roman" w:eastAsia="宋体" w:cs="Times New Roman"/>
                <w:color w:val="auto"/>
                <w:sz w:val="24"/>
                <w:szCs w:val="24"/>
                <w:highlight w:val="none"/>
                <w:lang w:eastAsia="zh-CN"/>
              </w:rPr>
              <w:t>表3-2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监测点位见附图3</w:t>
            </w:r>
            <w:r>
              <w:rPr>
                <w:rFonts w:hint="default" w:ascii="Times New Roman" w:hAnsi="Times New Roman" w:eastAsia="宋体" w:cs="Times New Roman"/>
                <w:color w:val="auto"/>
                <w:sz w:val="24"/>
                <w:szCs w:val="24"/>
                <w:highlight w:val="none"/>
              </w:rPr>
              <w:t>。</w:t>
            </w:r>
          </w:p>
          <w:p w14:paraId="1B7DB368">
            <w:pPr>
              <w:snapToGrid w:val="0"/>
              <w:jc w:val="center"/>
              <w:rPr>
                <w:rFonts w:ascii="Times New Roman" w:hAnsi="Times New Roman" w:eastAsia="宋体"/>
                <w:b/>
                <w:bCs/>
                <w:color w:val="auto"/>
                <w:sz w:val="24"/>
              </w:rPr>
            </w:pPr>
            <w:r>
              <w:rPr>
                <w:rFonts w:ascii="Times New Roman" w:hAnsi="Times New Roman" w:eastAsia="宋体"/>
                <w:b/>
                <w:bCs/>
                <w:color w:val="auto"/>
                <w:sz w:val="24"/>
              </w:rPr>
              <w:t>表3-2  监测点位与建设项目位置关系表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6"/>
              <w:gridCol w:w="2144"/>
              <w:gridCol w:w="2144"/>
            </w:tblGrid>
            <w:tr w14:paraId="4E7A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67" w:type="pct"/>
                  <w:vMerge w:val="restart"/>
                  <w:noWrap w:val="0"/>
                  <w:vAlign w:val="center"/>
                </w:tcPr>
                <w:p w14:paraId="75C6D3A8">
                  <w:pPr>
                    <w:spacing w:line="300" w:lineRule="exact"/>
                    <w:jc w:val="center"/>
                    <w:rPr>
                      <w:rFonts w:ascii="Times New Roman" w:hAnsi="Times New Roman" w:eastAsia="宋体"/>
                      <w:color w:val="auto"/>
                      <w:sz w:val="21"/>
                      <w:szCs w:val="21"/>
                    </w:rPr>
                  </w:pPr>
                  <w:r>
                    <w:rPr>
                      <w:rFonts w:ascii="Times New Roman" w:hAnsi="Times New Roman" w:eastAsia="宋体"/>
                      <w:color w:val="auto"/>
                      <w:sz w:val="21"/>
                      <w:szCs w:val="21"/>
                    </w:rPr>
                    <w:t>监测点位</w:t>
                  </w:r>
                </w:p>
              </w:tc>
              <w:tc>
                <w:tcPr>
                  <w:tcW w:w="2732" w:type="pct"/>
                  <w:gridSpan w:val="2"/>
                  <w:noWrap w:val="0"/>
                  <w:vAlign w:val="center"/>
                </w:tcPr>
                <w:p w14:paraId="3D8C0516">
                  <w:pPr>
                    <w:spacing w:line="300" w:lineRule="exact"/>
                    <w:jc w:val="center"/>
                    <w:rPr>
                      <w:rFonts w:ascii="Times New Roman" w:hAnsi="Times New Roman" w:eastAsia="宋体"/>
                      <w:color w:val="auto"/>
                      <w:sz w:val="21"/>
                      <w:szCs w:val="21"/>
                    </w:rPr>
                  </w:pPr>
                  <w:r>
                    <w:rPr>
                      <w:rFonts w:ascii="Times New Roman" w:hAnsi="Times New Roman" w:eastAsia="宋体"/>
                      <w:color w:val="auto"/>
                      <w:sz w:val="21"/>
                      <w:szCs w:val="21"/>
                    </w:rPr>
                    <w:t>相对于厂址方位与距离</w:t>
                  </w:r>
                </w:p>
              </w:tc>
            </w:tr>
            <w:tr w14:paraId="72F8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67" w:type="pct"/>
                  <w:vMerge w:val="continue"/>
                  <w:noWrap w:val="0"/>
                  <w:vAlign w:val="center"/>
                </w:tcPr>
                <w:p w14:paraId="78071681">
                  <w:pPr>
                    <w:spacing w:line="300" w:lineRule="exact"/>
                    <w:jc w:val="center"/>
                    <w:rPr>
                      <w:rFonts w:ascii="Times New Roman" w:hAnsi="Times New Roman" w:eastAsia="宋体"/>
                      <w:color w:val="auto"/>
                      <w:sz w:val="21"/>
                      <w:szCs w:val="21"/>
                    </w:rPr>
                  </w:pPr>
                </w:p>
              </w:tc>
              <w:tc>
                <w:tcPr>
                  <w:tcW w:w="1366" w:type="pct"/>
                  <w:noWrap w:val="0"/>
                  <w:vAlign w:val="center"/>
                </w:tcPr>
                <w:p w14:paraId="4B28D7B3">
                  <w:pPr>
                    <w:spacing w:line="300" w:lineRule="exact"/>
                    <w:jc w:val="center"/>
                    <w:rPr>
                      <w:rFonts w:ascii="Times New Roman" w:hAnsi="Times New Roman" w:eastAsia="宋体"/>
                      <w:color w:val="auto"/>
                      <w:sz w:val="21"/>
                      <w:szCs w:val="21"/>
                    </w:rPr>
                  </w:pPr>
                  <w:r>
                    <w:rPr>
                      <w:rFonts w:ascii="Times New Roman" w:hAnsi="Times New Roman" w:eastAsia="宋体"/>
                      <w:color w:val="auto"/>
                      <w:sz w:val="21"/>
                      <w:szCs w:val="21"/>
                    </w:rPr>
                    <w:t>方位</w:t>
                  </w:r>
                </w:p>
              </w:tc>
              <w:tc>
                <w:tcPr>
                  <w:tcW w:w="1365" w:type="pct"/>
                  <w:noWrap w:val="0"/>
                  <w:vAlign w:val="center"/>
                </w:tcPr>
                <w:p w14:paraId="2363D556">
                  <w:pPr>
                    <w:spacing w:line="300" w:lineRule="exact"/>
                    <w:jc w:val="center"/>
                    <w:rPr>
                      <w:rFonts w:ascii="Times New Roman" w:hAnsi="Times New Roman" w:eastAsia="宋体"/>
                      <w:color w:val="auto"/>
                      <w:sz w:val="21"/>
                      <w:szCs w:val="21"/>
                    </w:rPr>
                  </w:pPr>
                  <w:r>
                    <w:rPr>
                      <w:rFonts w:ascii="Times New Roman" w:hAnsi="Times New Roman" w:eastAsia="宋体"/>
                      <w:color w:val="auto"/>
                      <w:sz w:val="21"/>
                      <w:szCs w:val="21"/>
                    </w:rPr>
                    <w:t>距离（m）</w:t>
                  </w:r>
                </w:p>
              </w:tc>
            </w:tr>
            <w:tr w14:paraId="4472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267" w:type="pct"/>
                  <w:noWrap w:val="0"/>
                  <w:vAlign w:val="center"/>
                </w:tcPr>
                <w:p w14:paraId="36162AD1">
                  <w:pPr>
                    <w:spacing w:line="30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厂址东南侧</w:t>
                  </w:r>
                </w:p>
              </w:tc>
              <w:tc>
                <w:tcPr>
                  <w:tcW w:w="1366" w:type="pct"/>
                  <w:noWrap w:val="0"/>
                  <w:vAlign w:val="center"/>
                </w:tcPr>
                <w:p w14:paraId="4C6E4358">
                  <w:pPr>
                    <w:spacing w:line="300" w:lineRule="exact"/>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E</w:t>
                  </w:r>
                  <w:r>
                    <w:rPr>
                      <w:rFonts w:ascii="Times New Roman" w:hAnsi="Times New Roman" w:eastAsia="宋体"/>
                      <w:color w:val="auto"/>
                      <w:sz w:val="21"/>
                      <w:szCs w:val="21"/>
                    </w:rPr>
                    <w:t>S</w:t>
                  </w:r>
                </w:p>
              </w:tc>
              <w:tc>
                <w:tcPr>
                  <w:tcW w:w="1365" w:type="pct"/>
                  <w:noWrap w:val="0"/>
                  <w:vAlign w:val="center"/>
                </w:tcPr>
                <w:p w14:paraId="6B547070">
                  <w:pPr>
                    <w:spacing w:line="30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r>
          </w:tbl>
          <w:p w14:paraId="5466495A">
            <w:pPr>
              <w:spacing w:before="120" w:beforeLines="50"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②</w:t>
            </w:r>
            <w:r>
              <w:rPr>
                <w:rFonts w:ascii="Times New Roman" w:hAnsi="Times New Roman" w:eastAsia="宋体"/>
                <w:color w:val="auto"/>
                <w:sz w:val="24"/>
              </w:rPr>
              <w:t xml:space="preserve"> 监测项目及监测时间</w:t>
            </w:r>
          </w:p>
          <w:p w14:paraId="64978AD6">
            <w:pPr>
              <w:spacing w:line="360" w:lineRule="auto"/>
              <w:ind w:firstLine="480" w:firstLineChars="200"/>
              <w:rPr>
                <w:rFonts w:ascii="Times New Roman" w:hAnsi="Times New Roman" w:eastAsia="宋体"/>
                <w:color w:val="auto"/>
                <w:sz w:val="24"/>
              </w:rPr>
            </w:pPr>
            <w:r>
              <w:rPr>
                <w:rFonts w:hint="eastAsia" w:ascii="Times New Roman" w:hAnsi="Times New Roman" w:eastAsia="宋体" w:cs="Times New Roman"/>
                <w:b w:val="0"/>
                <w:bCs w:val="0"/>
                <w:color w:val="auto"/>
                <w:kern w:val="2"/>
                <w:sz w:val="24"/>
                <w:szCs w:val="24"/>
                <w:lang w:val="en-US" w:eastAsia="zh-CN" w:bidi="ar-SA"/>
              </w:rPr>
              <w:t>陕西青源环保科技有限公司</w:t>
            </w:r>
            <w:r>
              <w:rPr>
                <w:rFonts w:ascii="Times New Roman" w:hAnsi="Times New Roman" w:eastAsia="宋体"/>
                <w:color w:val="auto"/>
                <w:sz w:val="24"/>
              </w:rPr>
              <w:t>于20</w:t>
            </w:r>
            <w:r>
              <w:rPr>
                <w:rFonts w:hint="eastAsia" w:ascii="Times New Roman" w:hAnsi="Times New Roman" w:eastAsia="宋体"/>
                <w:color w:val="auto"/>
                <w:sz w:val="24"/>
                <w:lang w:val="en-US" w:eastAsia="zh-CN"/>
              </w:rPr>
              <w:t>24</w:t>
            </w:r>
            <w:r>
              <w:rPr>
                <w:rFonts w:ascii="Times New Roman" w:hAnsi="Times New Roman" w:eastAsia="宋体"/>
                <w:color w:val="auto"/>
                <w:sz w:val="24"/>
              </w:rPr>
              <w:t>年11月</w:t>
            </w:r>
            <w:r>
              <w:rPr>
                <w:rFonts w:hint="eastAsia" w:ascii="Times New Roman" w:hAnsi="Times New Roman" w:eastAsia="宋体"/>
                <w:color w:val="auto"/>
                <w:sz w:val="24"/>
                <w:lang w:val="en-US" w:eastAsia="zh-CN"/>
              </w:rPr>
              <w:t>26</w:t>
            </w:r>
            <w:r>
              <w:rPr>
                <w:rFonts w:ascii="Times New Roman" w:hAnsi="Times New Roman" w:eastAsia="宋体"/>
                <w:color w:val="auto"/>
                <w:sz w:val="24"/>
              </w:rPr>
              <w:t>日-11月</w:t>
            </w:r>
            <w:r>
              <w:rPr>
                <w:rFonts w:hint="eastAsia" w:ascii="Times New Roman" w:hAnsi="Times New Roman" w:eastAsia="宋体"/>
                <w:color w:val="auto"/>
                <w:sz w:val="24"/>
                <w:lang w:val="en-US" w:eastAsia="zh-CN"/>
              </w:rPr>
              <w:t>29</w:t>
            </w:r>
            <w:r>
              <w:rPr>
                <w:rFonts w:ascii="Times New Roman" w:hAnsi="Times New Roman" w:eastAsia="宋体"/>
                <w:color w:val="auto"/>
                <w:sz w:val="24"/>
              </w:rPr>
              <w:t>日对项目厂址下风向TSP进行了监测。</w:t>
            </w:r>
          </w:p>
          <w:p w14:paraId="262C63D5">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③</w:t>
            </w:r>
            <w:r>
              <w:rPr>
                <w:rFonts w:ascii="Times New Roman" w:hAnsi="Times New Roman" w:eastAsia="宋体"/>
                <w:color w:val="auto"/>
                <w:sz w:val="24"/>
              </w:rPr>
              <w:t xml:space="preserve"> 监测项目分析方法</w:t>
            </w:r>
          </w:p>
          <w:p w14:paraId="7DEEE3CF">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采样及分析方法详见表3-3。</w:t>
            </w:r>
          </w:p>
          <w:p w14:paraId="37CCD9AE">
            <w:pPr>
              <w:snapToGrid w:val="0"/>
              <w:jc w:val="center"/>
              <w:rPr>
                <w:rFonts w:ascii="Times New Roman" w:hAnsi="Times New Roman" w:eastAsia="宋体"/>
                <w:b/>
                <w:bCs/>
                <w:color w:val="auto"/>
                <w:sz w:val="24"/>
              </w:rPr>
            </w:pPr>
            <w:r>
              <w:rPr>
                <w:rFonts w:ascii="Times New Roman" w:hAnsi="Times New Roman" w:eastAsia="宋体"/>
                <w:b/>
                <w:bCs/>
                <w:color w:val="auto"/>
                <w:sz w:val="24"/>
              </w:rPr>
              <w:t>表3-3  监测项目及分析方法</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3"/>
              <w:gridCol w:w="2227"/>
              <w:gridCol w:w="2578"/>
              <w:gridCol w:w="2238"/>
            </w:tblGrid>
            <w:tr w14:paraId="545C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12" w:type="pct"/>
                  <w:noWrap w:val="0"/>
                  <w:vAlign w:val="center"/>
                </w:tcPr>
                <w:p w14:paraId="32ADE04A">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污染物</w:t>
                  </w:r>
                </w:p>
              </w:tc>
              <w:tc>
                <w:tcPr>
                  <w:tcW w:w="1419" w:type="pct"/>
                  <w:noWrap w:val="0"/>
                  <w:vAlign w:val="center"/>
                </w:tcPr>
                <w:p w14:paraId="32007716">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分析方法</w:t>
                  </w:r>
                </w:p>
              </w:tc>
              <w:tc>
                <w:tcPr>
                  <w:tcW w:w="1643" w:type="pct"/>
                  <w:noWrap w:val="0"/>
                  <w:vAlign w:val="center"/>
                </w:tcPr>
                <w:p w14:paraId="3DD1477D">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方法来源</w:t>
                  </w:r>
                </w:p>
              </w:tc>
              <w:tc>
                <w:tcPr>
                  <w:tcW w:w="1426" w:type="pct"/>
                  <w:noWrap w:val="0"/>
                  <w:vAlign w:val="center"/>
                </w:tcPr>
                <w:p w14:paraId="778C7462">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检出限（mg/m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r>
            <w:tr w14:paraId="7BE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12" w:type="pct"/>
                  <w:noWrap w:val="0"/>
                  <w:vAlign w:val="center"/>
                </w:tcPr>
                <w:p w14:paraId="78F56CB7">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TSP</w:t>
                  </w:r>
                </w:p>
              </w:tc>
              <w:tc>
                <w:tcPr>
                  <w:tcW w:w="1419" w:type="pct"/>
                  <w:noWrap w:val="0"/>
                  <w:vAlign w:val="center"/>
                </w:tcPr>
                <w:p w14:paraId="1030E322">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重量法</w:t>
                  </w:r>
                </w:p>
              </w:tc>
              <w:tc>
                <w:tcPr>
                  <w:tcW w:w="1643" w:type="pct"/>
                  <w:noWrap w:val="0"/>
                  <w:vAlign w:val="center"/>
                </w:tcPr>
                <w:p w14:paraId="713EDB46">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GB/T15432-1995及修改单</w:t>
                  </w:r>
                </w:p>
              </w:tc>
              <w:tc>
                <w:tcPr>
                  <w:tcW w:w="1426" w:type="pct"/>
                  <w:noWrap w:val="0"/>
                  <w:vAlign w:val="center"/>
                </w:tcPr>
                <w:p w14:paraId="37E11DD6">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0.001</w:t>
                  </w:r>
                </w:p>
              </w:tc>
            </w:tr>
          </w:tbl>
          <w:p w14:paraId="09E394B5">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④</w:t>
            </w:r>
            <w:r>
              <w:rPr>
                <w:rFonts w:ascii="Times New Roman" w:hAnsi="Times New Roman" w:eastAsia="宋体"/>
                <w:color w:val="auto"/>
                <w:sz w:val="24"/>
              </w:rPr>
              <w:t xml:space="preserve"> 评价标准</w:t>
            </w:r>
          </w:p>
          <w:p w14:paraId="254D00CA">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评价采用《环境空气质量标准》（GB3095-2012）中的二级标准，标准值见表3-4。</w:t>
            </w:r>
          </w:p>
          <w:p w14:paraId="3DF0FD9F">
            <w:pPr>
              <w:snapToGrid w:val="0"/>
              <w:jc w:val="center"/>
              <w:rPr>
                <w:rFonts w:ascii="Times New Roman" w:hAnsi="Times New Roman" w:eastAsia="宋体"/>
                <w:b/>
                <w:bCs/>
                <w:color w:val="auto"/>
                <w:sz w:val="24"/>
              </w:rPr>
            </w:pPr>
            <w:r>
              <w:rPr>
                <w:rFonts w:ascii="Times New Roman" w:hAnsi="Times New Roman" w:eastAsia="宋体"/>
                <w:b/>
                <w:bCs/>
                <w:color w:val="auto"/>
                <w:sz w:val="24"/>
              </w:rPr>
              <w:t>表3-4  监测污染因子执行标准一览表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4516"/>
              <w:gridCol w:w="1371"/>
              <w:gridCol w:w="1098"/>
              <w:gridCol w:w="861"/>
            </w:tblGrid>
            <w:tr w14:paraId="6F56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878" w:type="pct"/>
                  <w:noWrap w:val="0"/>
                  <w:vAlign w:val="center"/>
                </w:tcPr>
                <w:p w14:paraId="78056B34">
                  <w:pPr>
                    <w:snapToGrid w:val="0"/>
                    <w:spacing w:line="240" w:lineRule="atLeast"/>
                    <w:jc w:val="center"/>
                    <w:rPr>
                      <w:rFonts w:ascii="Times New Roman" w:hAnsi="Times New Roman" w:eastAsia="宋体"/>
                      <w:color w:val="auto"/>
                      <w:sz w:val="21"/>
                      <w:szCs w:val="21"/>
                    </w:rPr>
                  </w:pPr>
                  <w:r>
                    <w:rPr>
                      <w:rFonts w:ascii="Times New Roman" w:hAnsi="Times New Roman" w:eastAsia="宋体"/>
                      <w:color w:val="auto"/>
                      <w:sz w:val="21"/>
                      <w:szCs w:val="21"/>
                    </w:rPr>
                    <w:t>标准名称与级别</w:t>
                  </w:r>
                </w:p>
              </w:tc>
              <w:tc>
                <w:tcPr>
                  <w:tcW w:w="874" w:type="pct"/>
                  <w:noWrap w:val="0"/>
                  <w:vAlign w:val="center"/>
                </w:tcPr>
                <w:p w14:paraId="45B11600">
                  <w:pPr>
                    <w:snapToGrid w:val="0"/>
                    <w:spacing w:line="240" w:lineRule="atLeast"/>
                    <w:jc w:val="center"/>
                    <w:rPr>
                      <w:rFonts w:ascii="Times New Roman" w:hAnsi="Times New Roman" w:eastAsia="宋体"/>
                      <w:color w:val="auto"/>
                      <w:sz w:val="21"/>
                      <w:szCs w:val="21"/>
                    </w:rPr>
                  </w:pPr>
                  <w:r>
                    <w:rPr>
                      <w:rFonts w:ascii="Times New Roman" w:hAnsi="Times New Roman" w:eastAsia="宋体"/>
                      <w:color w:val="auto"/>
                      <w:sz w:val="21"/>
                      <w:szCs w:val="21"/>
                    </w:rPr>
                    <w:t>污染物</w:t>
                  </w:r>
                </w:p>
              </w:tc>
              <w:tc>
                <w:tcPr>
                  <w:tcW w:w="1248" w:type="pct"/>
                  <w:gridSpan w:val="2"/>
                  <w:noWrap w:val="0"/>
                  <w:vAlign w:val="center"/>
                </w:tcPr>
                <w:p w14:paraId="1C881B07">
                  <w:pPr>
                    <w:snapToGrid w:val="0"/>
                    <w:spacing w:line="240" w:lineRule="atLeast"/>
                    <w:jc w:val="center"/>
                    <w:rPr>
                      <w:rFonts w:ascii="Times New Roman" w:hAnsi="Times New Roman" w:eastAsia="宋体"/>
                      <w:color w:val="auto"/>
                      <w:sz w:val="21"/>
                      <w:szCs w:val="21"/>
                    </w:rPr>
                  </w:pPr>
                  <w:r>
                    <w:rPr>
                      <w:rFonts w:ascii="Times New Roman" w:hAnsi="Times New Roman" w:eastAsia="宋体"/>
                      <w:color w:val="auto"/>
                      <w:sz w:val="21"/>
                      <w:szCs w:val="21"/>
                    </w:rPr>
                    <w:t>标准值（µg/m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r>
            <w:tr w14:paraId="5754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878" w:type="pct"/>
                  <w:noWrap w:val="0"/>
                  <w:vAlign w:val="center"/>
                </w:tcPr>
                <w:p w14:paraId="54E33992">
                  <w:pPr>
                    <w:snapToGrid w:val="0"/>
                    <w:spacing w:line="240" w:lineRule="atLeast"/>
                    <w:jc w:val="center"/>
                    <w:rPr>
                      <w:rFonts w:ascii="Times New Roman" w:hAnsi="Times New Roman" w:eastAsia="宋体"/>
                      <w:color w:val="auto"/>
                      <w:sz w:val="21"/>
                      <w:szCs w:val="21"/>
                    </w:rPr>
                  </w:pPr>
                  <w:r>
                    <w:rPr>
                      <w:rFonts w:ascii="Times New Roman" w:hAnsi="Times New Roman" w:eastAsia="宋体"/>
                      <w:color w:val="auto"/>
                      <w:sz w:val="21"/>
                      <w:szCs w:val="21"/>
                    </w:rPr>
                    <w:t>《环境空气质量标准》（GB3095-2012）二级标准</w:t>
                  </w:r>
                </w:p>
              </w:tc>
              <w:tc>
                <w:tcPr>
                  <w:tcW w:w="874" w:type="pct"/>
                  <w:noWrap w:val="0"/>
                  <w:vAlign w:val="center"/>
                </w:tcPr>
                <w:p w14:paraId="038082EA">
                  <w:pPr>
                    <w:adjustRightInd w:val="0"/>
                    <w:snapToGrid w:val="0"/>
                    <w:spacing w:line="240" w:lineRule="atLeast"/>
                    <w:ind w:right="-102" w:hanging="91"/>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TSP</w:t>
                  </w:r>
                </w:p>
              </w:tc>
              <w:tc>
                <w:tcPr>
                  <w:tcW w:w="700" w:type="pct"/>
                  <w:noWrap w:val="0"/>
                  <w:vAlign w:val="center"/>
                </w:tcPr>
                <w:p w14:paraId="4E889244">
                  <w:pPr>
                    <w:adjustRightInd w:val="0"/>
                    <w:snapToGrid w:val="0"/>
                    <w:spacing w:line="240" w:lineRule="atLeast"/>
                    <w:ind w:right="-102" w:hanging="91"/>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24h平均</w:t>
                  </w:r>
                </w:p>
              </w:tc>
              <w:tc>
                <w:tcPr>
                  <w:tcW w:w="548" w:type="pct"/>
                  <w:noWrap w:val="0"/>
                  <w:vAlign w:val="center"/>
                </w:tcPr>
                <w:p w14:paraId="7B5F97C4">
                  <w:pPr>
                    <w:snapToGrid w:val="0"/>
                    <w:spacing w:line="240" w:lineRule="atLeast"/>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r>
          </w:tbl>
          <w:p w14:paraId="7AD92853">
            <w:pPr>
              <w:spacing w:line="360" w:lineRule="auto"/>
              <w:ind w:firstLine="480" w:firstLineChars="200"/>
              <w:rPr>
                <w:rFonts w:ascii="Times New Roman" w:hAnsi="Times New Roman" w:eastAsia="宋体"/>
                <w:color w:val="auto"/>
                <w:sz w:val="24"/>
              </w:rPr>
            </w:pPr>
            <w:r>
              <w:rPr>
                <w:rFonts w:hint="eastAsia" w:ascii="Times New Roman" w:hAnsi="Times New Roman" w:eastAsia="宋体" w:cs="宋体"/>
                <w:color w:val="auto"/>
                <w:sz w:val="24"/>
              </w:rPr>
              <w:t>⑤</w:t>
            </w:r>
            <w:r>
              <w:rPr>
                <w:rFonts w:ascii="Times New Roman" w:hAnsi="Times New Roman" w:eastAsia="宋体"/>
                <w:color w:val="auto"/>
                <w:sz w:val="24"/>
              </w:rPr>
              <w:t xml:space="preserve"> 监测结果分析及评价</w:t>
            </w:r>
          </w:p>
          <w:p w14:paraId="49588778">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监测结果统计见表3-5。</w:t>
            </w:r>
          </w:p>
          <w:p w14:paraId="17F02536">
            <w:pPr>
              <w:jc w:val="center"/>
              <w:rPr>
                <w:rFonts w:ascii="Times New Roman" w:hAnsi="Times New Roman" w:eastAsia="宋体"/>
                <w:b/>
                <w:bCs/>
                <w:color w:val="auto"/>
                <w:sz w:val="24"/>
              </w:rPr>
            </w:pPr>
            <w:r>
              <w:rPr>
                <w:rFonts w:ascii="Times New Roman" w:hAnsi="Times New Roman" w:eastAsia="宋体"/>
                <w:b/>
                <w:bCs/>
                <w:color w:val="auto"/>
                <w:sz w:val="24"/>
              </w:rPr>
              <w:t>表3-5  TSP监测结果统计表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77"/>
              <w:gridCol w:w="1676"/>
              <w:gridCol w:w="1288"/>
              <w:gridCol w:w="1505"/>
            </w:tblGrid>
            <w:tr w14:paraId="7A3D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152" w:type="pct"/>
                  <w:vMerge w:val="restart"/>
                  <w:noWrap w:val="0"/>
                  <w:vAlign w:val="center"/>
                </w:tcPr>
                <w:p w14:paraId="01FFDC4C">
                  <w:pPr>
                    <w:snapToGrid w:val="0"/>
                    <w:spacing w:line="0" w:lineRule="atLeast"/>
                    <w:jc w:val="center"/>
                    <w:rPr>
                      <w:rFonts w:ascii="Times New Roman" w:hAnsi="Times New Roman" w:eastAsia="宋体"/>
                      <w:color w:val="auto"/>
                    </w:rPr>
                  </w:pPr>
                  <w:r>
                    <w:rPr>
                      <w:rFonts w:ascii="Times New Roman" w:hAnsi="Times New Roman" w:eastAsia="宋体"/>
                      <w:color w:val="auto"/>
                    </w:rPr>
                    <w:t>监测点位</w:t>
                  </w:r>
                </w:p>
              </w:tc>
              <w:tc>
                <w:tcPr>
                  <w:tcW w:w="2848" w:type="pct"/>
                  <w:gridSpan w:val="3"/>
                  <w:noWrap w:val="0"/>
                  <w:vAlign w:val="center"/>
                </w:tcPr>
                <w:p w14:paraId="59E09F9E">
                  <w:pPr>
                    <w:snapToGrid w:val="0"/>
                    <w:spacing w:line="0" w:lineRule="atLeast"/>
                    <w:jc w:val="center"/>
                    <w:rPr>
                      <w:rFonts w:ascii="Times New Roman" w:hAnsi="Times New Roman" w:eastAsia="宋体"/>
                      <w:color w:val="auto"/>
                    </w:rPr>
                  </w:pPr>
                  <w:r>
                    <w:rPr>
                      <w:rFonts w:hint="eastAsia" w:ascii="Times New Roman" w:hAnsi="Times New Roman" w:eastAsia="宋体"/>
                      <w:color w:val="auto"/>
                      <w:lang w:val="en-US" w:eastAsia="zh-CN"/>
                    </w:rPr>
                    <w:t>1</w:t>
                  </w:r>
                  <w:r>
                    <w:rPr>
                      <w:rFonts w:ascii="Times New Roman" w:hAnsi="Times New Roman" w:eastAsia="宋体"/>
                      <w:color w:val="auto"/>
                    </w:rPr>
                    <w:t>小时平均值</w:t>
                  </w:r>
                </w:p>
              </w:tc>
            </w:tr>
            <w:tr w14:paraId="4187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152" w:type="pct"/>
                  <w:vMerge w:val="continue"/>
                  <w:noWrap w:val="0"/>
                  <w:vAlign w:val="center"/>
                </w:tcPr>
                <w:p w14:paraId="2B9DA352">
                  <w:pPr>
                    <w:snapToGrid w:val="0"/>
                    <w:spacing w:line="0" w:lineRule="atLeast"/>
                    <w:jc w:val="center"/>
                    <w:rPr>
                      <w:rFonts w:ascii="Times New Roman" w:hAnsi="Times New Roman" w:eastAsia="宋体"/>
                      <w:color w:val="auto"/>
                    </w:rPr>
                  </w:pPr>
                </w:p>
              </w:tc>
              <w:tc>
                <w:tcPr>
                  <w:tcW w:w="1068" w:type="pct"/>
                  <w:noWrap w:val="0"/>
                  <w:vAlign w:val="center"/>
                </w:tcPr>
                <w:p w14:paraId="3260D9DA">
                  <w:pPr>
                    <w:snapToGrid w:val="0"/>
                    <w:spacing w:line="0" w:lineRule="atLeast"/>
                    <w:jc w:val="center"/>
                    <w:rPr>
                      <w:rFonts w:ascii="Times New Roman" w:hAnsi="Times New Roman" w:eastAsia="宋体"/>
                      <w:color w:val="auto"/>
                    </w:rPr>
                  </w:pPr>
                  <w:r>
                    <w:rPr>
                      <w:rFonts w:ascii="Times New Roman" w:hAnsi="Times New Roman" w:eastAsia="宋体"/>
                      <w:color w:val="auto"/>
                    </w:rPr>
                    <w:t>浓度</w:t>
                  </w:r>
                  <w:r>
                    <w:rPr>
                      <w:rFonts w:hint="eastAsia" w:ascii="Times New Roman" w:hAnsi="Times New Roman" w:eastAsia="宋体"/>
                      <w:color w:val="auto"/>
                      <w:lang w:eastAsia="zh-CN"/>
                    </w:rPr>
                    <w:t>（</w:t>
                  </w:r>
                  <w:r>
                    <w:rPr>
                      <w:rFonts w:ascii="Times New Roman" w:hAnsi="Times New Roman" w:eastAsia="宋体"/>
                      <w:color w:val="auto"/>
                    </w:rPr>
                    <w:t>μg/m</w:t>
                  </w:r>
                  <w:r>
                    <w:rPr>
                      <w:rFonts w:ascii="Times New Roman" w:hAnsi="Times New Roman" w:eastAsia="宋体"/>
                      <w:color w:val="auto"/>
                      <w:vertAlign w:val="superscript"/>
                    </w:rPr>
                    <w:t>3</w:t>
                  </w:r>
                  <w:r>
                    <w:rPr>
                      <w:rFonts w:hint="eastAsia" w:ascii="Times New Roman" w:hAnsi="Times New Roman" w:eastAsia="宋体"/>
                      <w:color w:val="auto"/>
                      <w:vertAlign w:val="superscript"/>
                      <w:lang w:eastAsia="zh-CN"/>
                    </w:rPr>
                    <w:t>）</w:t>
                  </w:r>
                </w:p>
              </w:tc>
              <w:tc>
                <w:tcPr>
                  <w:tcW w:w="821" w:type="pct"/>
                  <w:noWrap w:val="0"/>
                  <w:vAlign w:val="center"/>
                </w:tcPr>
                <w:p w14:paraId="0EFDDAD2">
                  <w:pPr>
                    <w:snapToGrid w:val="0"/>
                    <w:spacing w:line="0" w:lineRule="atLeast"/>
                    <w:jc w:val="center"/>
                    <w:rPr>
                      <w:rFonts w:ascii="Times New Roman" w:hAnsi="Times New Roman" w:eastAsia="宋体"/>
                      <w:color w:val="auto"/>
                    </w:rPr>
                  </w:pPr>
                  <w:r>
                    <w:rPr>
                      <w:rFonts w:ascii="Times New Roman" w:hAnsi="Times New Roman" w:eastAsia="宋体"/>
                      <w:color w:val="auto"/>
                    </w:rPr>
                    <w:t>超标率</w:t>
                  </w:r>
                  <w:r>
                    <w:rPr>
                      <w:rFonts w:hint="eastAsia" w:ascii="Times New Roman" w:hAnsi="Times New Roman" w:eastAsia="宋体"/>
                      <w:color w:val="auto"/>
                      <w:lang w:eastAsia="zh-CN"/>
                    </w:rPr>
                    <w:t>（</w:t>
                  </w:r>
                  <w:r>
                    <w:rPr>
                      <w:rFonts w:ascii="Times New Roman" w:hAnsi="Times New Roman" w:eastAsia="宋体"/>
                      <w:color w:val="auto"/>
                    </w:rPr>
                    <w:t>%</w:t>
                  </w:r>
                  <w:r>
                    <w:rPr>
                      <w:rFonts w:hint="eastAsia" w:ascii="Times New Roman" w:hAnsi="Times New Roman" w:eastAsia="宋体"/>
                      <w:color w:val="auto"/>
                      <w:lang w:eastAsia="zh-CN"/>
                    </w:rPr>
                    <w:t>）</w:t>
                  </w:r>
                </w:p>
              </w:tc>
              <w:tc>
                <w:tcPr>
                  <w:tcW w:w="959" w:type="pct"/>
                  <w:noWrap w:val="0"/>
                  <w:vAlign w:val="center"/>
                </w:tcPr>
                <w:p w14:paraId="0CFB3777">
                  <w:pPr>
                    <w:snapToGrid w:val="0"/>
                    <w:spacing w:line="0" w:lineRule="atLeast"/>
                    <w:jc w:val="center"/>
                    <w:rPr>
                      <w:rFonts w:ascii="Times New Roman" w:hAnsi="Times New Roman" w:eastAsia="宋体"/>
                      <w:color w:val="auto"/>
                    </w:rPr>
                  </w:pPr>
                  <w:r>
                    <w:rPr>
                      <w:rFonts w:ascii="Times New Roman" w:hAnsi="Times New Roman" w:eastAsia="宋体"/>
                      <w:color w:val="auto"/>
                    </w:rPr>
                    <w:t>最大超标倍数</w:t>
                  </w:r>
                </w:p>
              </w:tc>
            </w:tr>
            <w:tr w14:paraId="1A69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152" w:type="pct"/>
                  <w:noWrap w:val="0"/>
                  <w:vAlign w:val="center"/>
                </w:tcPr>
                <w:p w14:paraId="18D20281">
                  <w:pPr>
                    <w:widowControl/>
                    <w:snapToGrid w:val="0"/>
                    <w:spacing w:line="0" w:lineRule="atLeast"/>
                    <w:ind w:firstLine="1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厂址东南侧</w:t>
                  </w:r>
                </w:p>
              </w:tc>
              <w:tc>
                <w:tcPr>
                  <w:tcW w:w="1068" w:type="pct"/>
                  <w:noWrap w:val="0"/>
                  <w:vAlign w:val="center"/>
                </w:tcPr>
                <w:p w14:paraId="608CB9D8">
                  <w:pPr>
                    <w:snapToGrid w:val="0"/>
                    <w:spacing w:line="0" w:lineRule="atLeas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186-203</w:t>
                  </w:r>
                </w:p>
              </w:tc>
              <w:tc>
                <w:tcPr>
                  <w:tcW w:w="821" w:type="pct"/>
                  <w:noWrap w:val="0"/>
                  <w:vAlign w:val="center"/>
                </w:tcPr>
                <w:p w14:paraId="01695267">
                  <w:pPr>
                    <w:snapToGrid w:val="0"/>
                    <w:spacing w:line="0" w:lineRule="atLeast"/>
                    <w:jc w:val="center"/>
                    <w:rPr>
                      <w:rFonts w:ascii="Times New Roman" w:hAnsi="Times New Roman" w:eastAsia="宋体"/>
                      <w:color w:val="auto"/>
                    </w:rPr>
                  </w:pPr>
                  <w:r>
                    <w:rPr>
                      <w:rFonts w:ascii="Times New Roman" w:hAnsi="Times New Roman" w:eastAsia="宋体"/>
                      <w:color w:val="auto"/>
                    </w:rPr>
                    <w:t>0</w:t>
                  </w:r>
                </w:p>
              </w:tc>
              <w:tc>
                <w:tcPr>
                  <w:tcW w:w="959" w:type="pct"/>
                  <w:noWrap w:val="0"/>
                  <w:vAlign w:val="center"/>
                </w:tcPr>
                <w:p w14:paraId="14952061">
                  <w:pPr>
                    <w:snapToGrid w:val="0"/>
                    <w:spacing w:line="0" w:lineRule="atLeast"/>
                    <w:jc w:val="center"/>
                    <w:rPr>
                      <w:rFonts w:ascii="Times New Roman" w:hAnsi="Times New Roman" w:eastAsia="宋体"/>
                      <w:color w:val="auto"/>
                    </w:rPr>
                  </w:pPr>
                  <w:r>
                    <w:rPr>
                      <w:rFonts w:ascii="Times New Roman" w:hAnsi="Times New Roman" w:eastAsia="宋体"/>
                      <w:color w:val="auto"/>
                    </w:rPr>
                    <w:t>0</w:t>
                  </w:r>
                </w:p>
              </w:tc>
            </w:tr>
            <w:tr w14:paraId="6292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152" w:type="pct"/>
                  <w:noWrap w:val="0"/>
                  <w:vAlign w:val="center"/>
                </w:tcPr>
                <w:p w14:paraId="7697F24C">
                  <w:pPr>
                    <w:snapToGrid w:val="0"/>
                    <w:spacing w:line="0" w:lineRule="atLeast"/>
                    <w:jc w:val="center"/>
                    <w:rPr>
                      <w:rFonts w:ascii="Times New Roman" w:hAnsi="Times New Roman" w:eastAsia="宋体"/>
                      <w:color w:val="auto"/>
                    </w:rPr>
                  </w:pPr>
                  <w:r>
                    <w:rPr>
                      <w:rFonts w:ascii="Times New Roman" w:hAnsi="Times New Roman" w:eastAsia="宋体"/>
                      <w:color w:val="auto"/>
                    </w:rPr>
                    <w:t>《环境空气质量标准》（GB3095-2012）二级标准</w:t>
                  </w:r>
                </w:p>
              </w:tc>
              <w:tc>
                <w:tcPr>
                  <w:tcW w:w="2848" w:type="pct"/>
                  <w:gridSpan w:val="3"/>
                  <w:noWrap w:val="0"/>
                  <w:vAlign w:val="center"/>
                </w:tcPr>
                <w:p w14:paraId="0E0877A6">
                  <w:pPr>
                    <w:snapToGrid w:val="0"/>
                    <w:spacing w:line="0" w:lineRule="atLeast"/>
                    <w:jc w:val="center"/>
                    <w:rPr>
                      <w:rFonts w:ascii="Times New Roman" w:hAnsi="Times New Roman" w:eastAsia="宋体"/>
                      <w:color w:val="auto"/>
                    </w:rPr>
                  </w:pPr>
                  <w:r>
                    <w:rPr>
                      <w:rFonts w:ascii="Times New Roman" w:hAnsi="Times New Roman" w:eastAsia="宋体"/>
                      <w:color w:val="auto"/>
                    </w:rPr>
                    <w:t>300μg/m</w:t>
                  </w:r>
                  <w:r>
                    <w:rPr>
                      <w:rFonts w:ascii="Times New Roman" w:hAnsi="Times New Roman" w:eastAsia="宋体"/>
                      <w:color w:val="auto"/>
                      <w:vertAlign w:val="superscript"/>
                    </w:rPr>
                    <w:t>3</w:t>
                  </w:r>
                </w:p>
              </w:tc>
            </w:tr>
          </w:tbl>
          <w:p w14:paraId="69492136">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由监测结果可知，评价区</w:t>
            </w:r>
            <w:r>
              <w:rPr>
                <w:rFonts w:hint="eastAsia" w:ascii="Times New Roman" w:hAnsi="Times New Roman" w:eastAsia="宋体"/>
                <w:color w:val="auto"/>
                <w:sz w:val="24"/>
                <w:lang w:eastAsia="zh-CN"/>
              </w:rPr>
              <w:t>环境空气</w:t>
            </w:r>
            <w:r>
              <w:rPr>
                <w:rFonts w:ascii="Times New Roman" w:hAnsi="Times New Roman" w:eastAsia="宋体"/>
                <w:color w:val="auto"/>
                <w:sz w:val="24"/>
              </w:rPr>
              <w:t>监测点TSP监测值均满足《环境空气质量标准》（GB3095-2012）中的二级标准要求。</w:t>
            </w:r>
          </w:p>
          <w:p w14:paraId="16F8DC6C">
            <w:pPr>
              <w:spacing w:line="360" w:lineRule="auto"/>
              <w:ind w:firstLine="482" w:firstLineChars="200"/>
              <w:rPr>
                <w:rFonts w:ascii="Times New Roman" w:hAnsi="Times New Roman" w:eastAsia="宋体"/>
                <w:color w:val="auto"/>
                <w:sz w:val="24"/>
              </w:rPr>
            </w:pPr>
            <w:r>
              <w:rPr>
                <w:rFonts w:ascii="Times New Roman" w:hAnsi="Times New Roman" w:eastAsia="宋体"/>
                <w:b/>
                <w:bCs/>
                <w:color w:val="auto"/>
                <w:sz w:val="24"/>
              </w:rPr>
              <w:t>2、地</w:t>
            </w:r>
            <w:r>
              <w:rPr>
                <w:rFonts w:hint="eastAsia" w:ascii="Times New Roman" w:hAnsi="Times New Roman" w:eastAsia="宋体"/>
                <w:b/>
                <w:bCs/>
                <w:color w:val="auto"/>
                <w:sz w:val="24"/>
                <w:lang w:val="en-US" w:eastAsia="zh-CN"/>
              </w:rPr>
              <w:t>表水</w:t>
            </w:r>
            <w:r>
              <w:rPr>
                <w:rFonts w:ascii="Times New Roman" w:hAnsi="Times New Roman" w:eastAsia="宋体"/>
                <w:b/>
                <w:bCs/>
                <w:color w:val="auto"/>
                <w:sz w:val="24"/>
              </w:rPr>
              <w:t>环境</w:t>
            </w:r>
          </w:p>
          <w:p w14:paraId="3D1CEC66">
            <w:pPr>
              <w:spacing w:line="360" w:lineRule="auto"/>
              <w:ind w:firstLine="480" w:firstLineChars="200"/>
              <w:rPr>
                <w:rFonts w:hint="eastAsia" w:ascii="Times New Roman" w:hAnsi="Times New Roman" w:eastAsia="宋体"/>
                <w:b w:val="0"/>
                <w:bCs w:val="0"/>
                <w:color w:val="auto"/>
                <w:sz w:val="24"/>
                <w:lang w:val="en-US" w:eastAsia="zh-CN"/>
              </w:rPr>
            </w:pPr>
            <w:r>
              <w:rPr>
                <w:rFonts w:hint="eastAsia" w:ascii="Times New Roman" w:hAnsi="Times New Roman" w:eastAsia="宋体"/>
                <w:b w:val="0"/>
                <w:bCs w:val="0"/>
                <w:color w:val="auto"/>
                <w:sz w:val="24"/>
                <w:lang w:val="en-US" w:eastAsia="zh-CN"/>
              </w:rPr>
              <w:t>项目周围500m范围内无地表水体，与地表水体无水力联系，本工程不对地表水环境进行评价。</w:t>
            </w:r>
          </w:p>
          <w:p w14:paraId="3A14AEAA">
            <w:pPr>
              <w:numPr>
                <w:ilvl w:val="0"/>
                <w:numId w:val="2"/>
              </w:numPr>
              <w:spacing w:line="360" w:lineRule="auto"/>
              <w:ind w:firstLine="482" w:firstLineChars="200"/>
              <w:rPr>
                <w:b/>
                <w:bCs/>
                <w:color w:val="auto"/>
                <w:sz w:val="24"/>
              </w:rPr>
            </w:pPr>
            <w:r>
              <w:rPr>
                <w:rFonts w:hint="eastAsia"/>
                <w:b/>
                <w:bCs/>
                <w:color w:val="auto"/>
                <w:sz w:val="24"/>
              </w:rPr>
              <w:t>地下水环境质量现状</w:t>
            </w:r>
          </w:p>
          <w:p w14:paraId="378C2CF7">
            <w:pPr>
              <w:widowControl/>
              <w:spacing w:line="360" w:lineRule="auto"/>
              <w:ind w:firstLine="480" w:firstLineChars="200"/>
              <w:jc w:val="both"/>
              <w:rPr>
                <w:color w:val="auto"/>
                <w:sz w:val="24"/>
              </w:rPr>
            </w:pPr>
            <w:r>
              <w:rPr>
                <w:rFonts w:hint="eastAsia" w:ascii="Times New Roman" w:hAnsi="Times New Roman" w:eastAsia="宋体" w:cs="Times New Roman"/>
                <w:b w:val="0"/>
                <w:bCs w:val="0"/>
                <w:color w:val="auto"/>
                <w:kern w:val="2"/>
                <w:sz w:val="24"/>
                <w:szCs w:val="24"/>
                <w:lang w:val="en-US" w:eastAsia="zh-CN" w:bidi="ar-SA"/>
              </w:rPr>
              <w:t>陕西青源环保科技有限公司</w:t>
            </w:r>
            <w:r>
              <w:rPr>
                <w:color w:val="auto"/>
                <w:sz w:val="24"/>
              </w:rPr>
              <w:t>于202</w:t>
            </w:r>
            <w:r>
              <w:rPr>
                <w:rFonts w:hint="eastAsia"/>
                <w:color w:val="auto"/>
                <w:sz w:val="24"/>
                <w:lang w:val="en-US" w:eastAsia="zh-CN"/>
              </w:rPr>
              <w:t>4</w:t>
            </w:r>
            <w:r>
              <w:rPr>
                <w:color w:val="auto"/>
                <w:sz w:val="24"/>
              </w:rPr>
              <w:t>年</w:t>
            </w:r>
            <w:r>
              <w:rPr>
                <w:rFonts w:hint="eastAsia"/>
                <w:color w:val="auto"/>
                <w:sz w:val="24"/>
                <w:lang w:val="en-US" w:eastAsia="zh-CN"/>
              </w:rPr>
              <w:t>11</w:t>
            </w:r>
            <w:r>
              <w:rPr>
                <w:color w:val="auto"/>
                <w:sz w:val="24"/>
              </w:rPr>
              <w:t>月</w:t>
            </w:r>
            <w:r>
              <w:rPr>
                <w:rFonts w:hint="eastAsia"/>
                <w:color w:val="auto"/>
                <w:sz w:val="24"/>
                <w:lang w:val="en-US" w:eastAsia="zh-CN"/>
              </w:rPr>
              <w:t>28</w:t>
            </w:r>
            <w:r>
              <w:rPr>
                <w:color w:val="auto"/>
                <w:sz w:val="24"/>
              </w:rPr>
              <w:t>日对</w:t>
            </w:r>
            <w:r>
              <w:rPr>
                <w:rFonts w:hint="eastAsia"/>
                <w:color w:val="auto"/>
                <w:sz w:val="24"/>
              </w:rPr>
              <w:t>本项目场址</w:t>
            </w:r>
            <w:r>
              <w:rPr>
                <w:rFonts w:hint="eastAsia"/>
                <w:color w:val="auto"/>
                <w:sz w:val="24"/>
                <w:lang w:val="en-US" w:eastAsia="zh-CN"/>
              </w:rPr>
              <w:t>东北</w:t>
            </w:r>
            <w:r>
              <w:rPr>
                <w:rFonts w:hint="eastAsia"/>
                <w:color w:val="auto"/>
                <w:sz w:val="24"/>
              </w:rPr>
              <w:t>侧芦草畔村居民水井</w:t>
            </w:r>
            <w:r>
              <w:rPr>
                <w:rFonts w:hint="eastAsia"/>
                <w:color w:val="auto"/>
                <w:sz w:val="24"/>
                <w:lang w:val="en-US" w:eastAsia="zh-CN"/>
              </w:rPr>
              <w:t>生活饮用水采水井</w:t>
            </w:r>
            <w:r>
              <w:rPr>
                <w:color w:val="auto"/>
                <w:sz w:val="24"/>
              </w:rPr>
              <w:t>地下水质进行了监测。</w:t>
            </w:r>
          </w:p>
          <w:p w14:paraId="6F940151">
            <w:pPr>
              <w:spacing w:line="360" w:lineRule="auto"/>
              <w:ind w:left="480"/>
              <w:jc w:val="left"/>
              <w:rPr>
                <w:color w:val="auto"/>
                <w:sz w:val="24"/>
              </w:rPr>
            </w:pPr>
            <w:r>
              <w:rPr>
                <w:color w:val="auto"/>
                <w:sz w:val="24"/>
              </w:rPr>
              <w:t>① 监测点位</w:t>
            </w:r>
          </w:p>
          <w:p w14:paraId="7268F2CE">
            <w:pPr>
              <w:snapToGrid w:val="0"/>
              <w:ind w:firstLine="482" w:firstLineChars="200"/>
              <w:jc w:val="center"/>
              <w:rPr>
                <w:b/>
                <w:bCs/>
                <w:color w:val="auto"/>
                <w:sz w:val="24"/>
              </w:rPr>
            </w:pPr>
            <w:r>
              <w:rPr>
                <w:b/>
                <w:bCs/>
                <w:color w:val="auto"/>
                <w:sz w:val="24"/>
              </w:rPr>
              <w:t>表3-</w:t>
            </w:r>
            <w:r>
              <w:rPr>
                <w:rFonts w:hint="eastAsia"/>
                <w:b/>
                <w:bCs/>
                <w:color w:val="auto"/>
                <w:sz w:val="24"/>
                <w:lang w:val="en-US" w:eastAsia="zh-CN"/>
              </w:rPr>
              <w:t>6</w:t>
            </w:r>
            <w:r>
              <w:rPr>
                <w:b/>
                <w:bCs/>
                <w:color w:val="auto"/>
                <w:sz w:val="24"/>
              </w:rPr>
              <w:t xml:space="preserve">  监测点位与建设项目位置关系表</w:t>
            </w:r>
          </w:p>
          <w:tbl>
            <w:tblPr>
              <w:tblStyle w:val="27"/>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7"/>
              <w:gridCol w:w="2076"/>
              <w:gridCol w:w="2073"/>
            </w:tblGrid>
            <w:tr w14:paraId="3B57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39" w:type="pct"/>
                  <w:vMerge w:val="restart"/>
                  <w:noWrap w:val="0"/>
                  <w:vAlign w:val="center"/>
                </w:tcPr>
                <w:p w14:paraId="74186FF7">
                  <w:pPr>
                    <w:spacing w:line="300" w:lineRule="exact"/>
                    <w:jc w:val="center"/>
                    <w:rPr>
                      <w:color w:val="auto"/>
                      <w:szCs w:val="21"/>
                    </w:rPr>
                  </w:pPr>
                  <w:r>
                    <w:rPr>
                      <w:color w:val="auto"/>
                      <w:szCs w:val="21"/>
                    </w:rPr>
                    <w:t>监测点位</w:t>
                  </w:r>
                </w:p>
              </w:tc>
              <w:tc>
                <w:tcPr>
                  <w:tcW w:w="2660" w:type="pct"/>
                  <w:gridSpan w:val="2"/>
                  <w:noWrap w:val="0"/>
                  <w:vAlign w:val="center"/>
                </w:tcPr>
                <w:p w14:paraId="7FB98071">
                  <w:pPr>
                    <w:spacing w:line="300" w:lineRule="exact"/>
                    <w:jc w:val="center"/>
                    <w:rPr>
                      <w:color w:val="auto"/>
                      <w:szCs w:val="21"/>
                    </w:rPr>
                  </w:pPr>
                  <w:r>
                    <w:rPr>
                      <w:color w:val="auto"/>
                      <w:szCs w:val="21"/>
                    </w:rPr>
                    <w:t>相对于厂址方位与距离</w:t>
                  </w:r>
                </w:p>
              </w:tc>
            </w:tr>
            <w:tr w14:paraId="2D78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39" w:type="pct"/>
                  <w:vMerge w:val="continue"/>
                  <w:noWrap w:val="0"/>
                  <w:vAlign w:val="center"/>
                </w:tcPr>
                <w:p w14:paraId="7DD4EFA2">
                  <w:pPr>
                    <w:spacing w:line="300" w:lineRule="exact"/>
                    <w:jc w:val="center"/>
                    <w:rPr>
                      <w:color w:val="auto"/>
                      <w:szCs w:val="21"/>
                    </w:rPr>
                  </w:pPr>
                </w:p>
              </w:tc>
              <w:tc>
                <w:tcPr>
                  <w:tcW w:w="1331" w:type="pct"/>
                  <w:noWrap w:val="0"/>
                  <w:vAlign w:val="center"/>
                </w:tcPr>
                <w:p w14:paraId="24ADDD96">
                  <w:pPr>
                    <w:spacing w:line="300" w:lineRule="exact"/>
                    <w:jc w:val="center"/>
                    <w:rPr>
                      <w:color w:val="auto"/>
                      <w:szCs w:val="21"/>
                    </w:rPr>
                  </w:pPr>
                  <w:r>
                    <w:rPr>
                      <w:color w:val="auto"/>
                      <w:szCs w:val="21"/>
                    </w:rPr>
                    <w:t>方位</w:t>
                  </w:r>
                </w:p>
              </w:tc>
              <w:tc>
                <w:tcPr>
                  <w:tcW w:w="1329" w:type="pct"/>
                  <w:noWrap w:val="0"/>
                  <w:vAlign w:val="center"/>
                </w:tcPr>
                <w:p w14:paraId="23628AD7">
                  <w:pPr>
                    <w:spacing w:line="300" w:lineRule="exact"/>
                    <w:jc w:val="center"/>
                    <w:rPr>
                      <w:color w:val="auto"/>
                      <w:szCs w:val="21"/>
                    </w:rPr>
                  </w:pPr>
                  <w:r>
                    <w:rPr>
                      <w:color w:val="auto"/>
                      <w:szCs w:val="21"/>
                    </w:rPr>
                    <w:t>距离（m）</w:t>
                  </w:r>
                </w:p>
              </w:tc>
            </w:tr>
            <w:tr w14:paraId="5AE1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339" w:type="pct"/>
                  <w:noWrap w:val="0"/>
                  <w:vAlign w:val="center"/>
                </w:tcPr>
                <w:p w14:paraId="798A7117">
                  <w:pPr>
                    <w:spacing w:line="300" w:lineRule="exact"/>
                    <w:jc w:val="center"/>
                    <w:rPr>
                      <w:rFonts w:hint="default" w:eastAsia="宋体"/>
                      <w:color w:val="auto"/>
                      <w:sz w:val="21"/>
                      <w:szCs w:val="22"/>
                      <w:lang w:val="en-US" w:eastAsia="zh-CN"/>
                    </w:rPr>
                  </w:pPr>
                  <w:r>
                    <w:rPr>
                      <w:rFonts w:hint="default" w:eastAsia="宋体"/>
                      <w:color w:val="auto"/>
                      <w:sz w:val="21"/>
                      <w:szCs w:val="22"/>
                      <w:lang w:val="en-US" w:eastAsia="zh-CN"/>
                    </w:rPr>
                    <w:t>项目场址东北侧芦草畔村居民水井1#</w:t>
                  </w:r>
                </w:p>
              </w:tc>
              <w:tc>
                <w:tcPr>
                  <w:tcW w:w="1331" w:type="pct"/>
                  <w:noWrap w:val="0"/>
                  <w:vAlign w:val="center"/>
                </w:tcPr>
                <w:p w14:paraId="25FBB5DA">
                  <w:pPr>
                    <w:spacing w:line="300" w:lineRule="exact"/>
                    <w:jc w:val="center"/>
                    <w:rPr>
                      <w:rFonts w:hint="eastAsia" w:eastAsia="宋体"/>
                      <w:color w:val="auto"/>
                      <w:sz w:val="21"/>
                      <w:szCs w:val="22"/>
                      <w:lang w:val="en-US" w:eastAsia="zh-CN"/>
                    </w:rPr>
                  </w:pPr>
                  <w:r>
                    <w:rPr>
                      <w:rFonts w:hint="eastAsia"/>
                      <w:color w:val="auto"/>
                      <w:sz w:val="21"/>
                      <w:szCs w:val="22"/>
                      <w:lang w:val="en-US" w:eastAsia="zh-CN"/>
                    </w:rPr>
                    <w:t>NE</w:t>
                  </w:r>
                </w:p>
              </w:tc>
              <w:tc>
                <w:tcPr>
                  <w:tcW w:w="1329" w:type="pct"/>
                  <w:noWrap w:val="0"/>
                  <w:vAlign w:val="center"/>
                </w:tcPr>
                <w:p w14:paraId="218F8A84">
                  <w:pPr>
                    <w:spacing w:line="300" w:lineRule="exact"/>
                    <w:jc w:val="center"/>
                    <w:rPr>
                      <w:rFonts w:hint="default" w:eastAsia="宋体"/>
                      <w:color w:val="auto"/>
                      <w:sz w:val="21"/>
                      <w:szCs w:val="22"/>
                      <w:lang w:val="en-US" w:eastAsia="zh-CN"/>
                    </w:rPr>
                  </w:pPr>
                  <w:r>
                    <w:rPr>
                      <w:rFonts w:hint="eastAsia"/>
                      <w:color w:val="auto"/>
                      <w:sz w:val="21"/>
                      <w:szCs w:val="22"/>
                      <w:lang w:val="en-US" w:eastAsia="zh-CN"/>
                    </w:rPr>
                    <w:t>116</w:t>
                  </w:r>
                </w:p>
              </w:tc>
            </w:tr>
          </w:tbl>
          <w:p w14:paraId="2B72982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color w:val="auto"/>
                <w:sz w:val="24"/>
              </w:rPr>
              <w:t xml:space="preserve">② </w:t>
            </w:r>
            <w:r>
              <w:rPr>
                <w:rFonts w:hint="default" w:ascii="Times New Roman" w:hAnsi="Times New Roman" w:eastAsia="宋体" w:cs="Times New Roman"/>
                <w:color w:val="auto"/>
                <w:sz w:val="24"/>
                <w:lang w:val="en-US" w:eastAsia="zh-CN"/>
              </w:rPr>
              <w:t>监测</w:t>
            </w:r>
            <w:r>
              <w:rPr>
                <w:rFonts w:hint="eastAsia" w:ascii="Times New Roman" w:hAnsi="Times New Roman" w:eastAsia="宋体" w:cs="Times New Roman"/>
                <w:color w:val="auto"/>
                <w:sz w:val="24"/>
                <w:lang w:val="en-US" w:eastAsia="zh-CN"/>
              </w:rPr>
              <w:t>时间及频次</w:t>
            </w:r>
          </w:p>
          <w:p w14:paraId="0D0CDB2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地下水</w:t>
            </w:r>
            <w:r>
              <w:rPr>
                <w:rFonts w:hint="default" w:ascii="Times New Roman" w:hAnsi="Times New Roman" w:eastAsia="宋体" w:cs="Times New Roman"/>
                <w:color w:val="auto"/>
                <w:sz w:val="24"/>
                <w:lang w:val="en-US" w:eastAsia="zh-CN"/>
              </w:rPr>
              <w:t>采样时间：202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11</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28</w:t>
            </w:r>
            <w:r>
              <w:rPr>
                <w:rFonts w:hint="default" w:ascii="Times New Roman" w:hAnsi="Times New Roman" w:eastAsia="宋体" w:cs="Times New Roman"/>
                <w:color w:val="auto"/>
                <w:sz w:val="24"/>
                <w:lang w:val="en-US" w:eastAsia="zh-CN"/>
              </w:rPr>
              <w:t>日，监测1天，每天1次。。</w:t>
            </w:r>
          </w:p>
          <w:p w14:paraId="525F2ECD">
            <w:pPr>
              <w:spacing w:line="360" w:lineRule="auto"/>
              <w:ind w:firstLine="480" w:firstLineChars="200"/>
              <w:jc w:val="left"/>
              <w:rPr>
                <w:rFonts w:hint="default" w:eastAsia="宋体"/>
                <w:color w:val="auto"/>
                <w:sz w:val="24"/>
                <w:lang w:val="en-US" w:eastAsia="zh-CN"/>
              </w:rPr>
            </w:pPr>
            <w:r>
              <w:rPr>
                <w:rFonts w:hint="eastAsia" w:ascii="宋体" w:hAnsi="宋体" w:eastAsia="宋体" w:cs="宋体"/>
                <w:color w:val="auto"/>
                <w:sz w:val="24"/>
              </w:rPr>
              <w:t>③</w:t>
            </w:r>
            <w:r>
              <w:rPr>
                <w:rFonts w:hint="eastAsia" w:ascii="宋体" w:hAnsi="宋体" w:eastAsia="宋体" w:cs="宋体"/>
                <w:color w:val="auto"/>
                <w:sz w:val="24"/>
                <w:lang w:val="en-US" w:eastAsia="zh-CN"/>
              </w:rPr>
              <w:t xml:space="preserve"> 地下水监测项目</w:t>
            </w:r>
          </w:p>
          <w:p w14:paraId="0C526CEA">
            <w:pPr>
              <w:spacing w:line="360" w:lineRule="auto"/>
              <w:ind w:firstLine="480" w:firstLineChars="200"/>
              <w:jc w:val="left"/>
              <w:rPr>
                <w:color w:val="auto"/>
                <w:sz w:val="24"/>
              </w:rPr>
            </w:pP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地下水</w:t>
            </w:r>
            <w:r>
              <w:rPr>
                <w:rFonts w:hint="default" w:ascii="Times New Roman" w:hAnsi="Times New Roman" w:eastAsia="宋体" w:cs="Times New Roman"/>
                <w:color w:val="auto"/>
                <w:sz w:val="24"/>
                <w:lang w:val="en-US" w:eastAsia="zh-CN"/>
              </w:rPr>
              <w:t>监测项目对应的分析方法详见表3-</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w:t>
            </w:r>
          </w:p>
          <w:p w14:paraId="5D02C9E0">
            <w:pPr>
              <w:spacing w:line="240" w:lineRule="auto"/>
              <w:jc w:val="center"/>
              <w:rPr>
                <w:rFonts w:hint="default" w:eastAsia="宋体"/>
                <w:b/>
                <w:bCs/>
                <w:color w:val="auto"/>
                <w:sz w:val="24"/>
                <w:lang w:val="en-US" w:eastAsia="zh-CN"/>
              </w:rPr>
            </w:pPr>
            <w:r>
              <w:rPr>
                <w:rFonts w:hint="eastAsia"/>
                <w:b/>
                <w:bCs/>
                <w:color w:val="auto"/>
                <w:sz w:val="24"/>
                <w:lang w:val="en-US" w:eastAsia="zh-CN"/>
              </w:rPr>
              <w:t>表3-7  地下水监测项目及分析方法</w:t>
            </w:r>
          </w:p>
          <w:tbl>
            <w:tblPr>
              <w:tblStyle w:val="87"/>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5"/>
              <w:gridCol w:w="2064"/>
              <w:gridCol w:w="1227"/>
              <w:gridCol w:w="2425"/>
              <w:gridCol w:w="1055"/>
              <w:gridCol w:w="430"/>
            </w:tblGrid>
            <w:tr w14:paraId="24DF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000" w:type="pct"/>
                  <w:gridSpan w:val="6"/>
                  <w:tcBorders>
                    <w:tl2br w:val="nil"/>
                    <w:tr2bl w:val="nil"/>
                  </w:tcBorders>
                  <w:noWrap w:val="0"/>
                  <w:vAlign w:val="center"/>
                </w:tcPr>
                <w:p w14:paraId="543442CC">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分析方法及主要仪器</w:t>
                  </w:r>
                </w:p>
              </w:tc>
            </w:tr>
            <w:tr w14:paraId="440D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37CAD9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项目</w:t>
                  </w:r>
                </w:p>
              </w:tc>
              <w:tc>
                <w:tcPr>
                  <w:tcW w:w="1362" w:type="pct"/>
                  <w:tcBorders>
                    <w:tl2br w:val="nil"/>
                    <w:tr2bl w:val="nil"/>
                  </w:tcBorders>
                  <w:noWrap w:val="0"/>
                  <w:vAlign w:val="center"/>
                </w:tcPr>
                <w:p w14:paraId="305CB0AF">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分析方法/依据</w:t>
                  </w:r>
                </w:p>
              </w:tc>
              <w:tc>
                <w:tcPr>
                  <w:tcW w:w="1142" w:type="pct"/>
                  <w:tcBorders>
                    <w:tl2br w:val="nil"/>
                    <w:tr2bl w:val="nil"/>
                  </w:tcBorders>
                  <w:noWrap w:val="0"/>
                  <w:vAlign w:val="center"/>
                </w:tcPr>
                <w:p w14:paraId="22C6D26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仪器设备名称</w:t>
                  </w:r>
                </w:p>
              </w:tc>
              <w:tc>
                <w:tcPr>
                  <w:tcW w:w="839" w:type="pct"/>
                  <w:tcBorders>
                    <w:tl2br w:val="nil"/>
                    <w:tr2bl w:val="nil"/>
                  </w:tcBorders>
                  <w:noWrap w:val="0"/>
                  <w:vAlign w:val="center"/>
                </w:tcPr>
                <w:p w14:paraId="1C71E0D3">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仪器编号及检/校</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4"/>
                      <w:sz w:val="21"/>
                      <w:szCs w:val="21"/>
                    </w:rPr>
                    <w:t>有效期</w:t>
                  </w:r>
                </w:p>
              </w:tc>
              <w:tc>
                <w:tcPr>
                  <w:tcW w:w="649" w:type="pct"/>
                  <w:tcBorders>
                    <w:tl2br w:val="nil"/>
                    <w:tr2bl w:val="nil"/>
                  </w:tcBorders>
                  <w:noWrap w:val="0"/>
                  <w:vAlign w:val="center"/>
                </w:tcPr>
                <w:p w14:paraId="36629EC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检出限/最</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低检出浓度</w:t>
                  </w:r>
                </w:p>
              </w:tc>
              <w:tc>
                <w:tcPr>
                  <w:tcW w:w="369" w:type="pct"/>
                  <w:tcBorders>
                    <w:tl2br w:val="nil"/>
                    <w:tr2bl w:val="nil"/>
                  </w:tcBorders>
                  <w:noWrap w:val="0"/>
                  <w:vAlign w:val="center"/>
                </w:tcPr>
                <w:p w14:paraId="1AB696C4">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分析</w:t>
                  </w:r>
                  <w:r>
                    <w:rPr>
                      <w:rFonts w:hint="default" w:ascii="Times New Roman" w:hAnsi="Times New Roman" w:eastAsia="宋体" w:cs="Times New Roman"/>
                      <w:color w:val="auto"/>
                      <w:spacing w:val="-6"/>
                      <w:sz w:val="21"/>
                      <w:szCs w:val="21"/>
                    </w:rPr>
                    <w:t>人员</w:t>
                  </w:r>
                </w:p>
              </w:tc>
            </w:tr>
            <w:tr w14:paraId="4FB6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8C9E81B">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bidi="zh-CN"/>
                    </w:rPr>
                    <w:t>pH值</w:t>
                  </w:r>
                </w:p>
              </w:tc>
              <w:tc>
                <w:tcPr>
                  <w:tcW w:w="1362" w:type="pct"/>
                  <w:tcBorders>
                    <w:tl2br w:val="nil"/>
                    <w:tr2bl w:val="nil"/>
                  </w:tcBorders>
                  <w:noWrap w:val="0"/>
                  <w:vAlign w:val="center"/>
                </w:tcPr>
                <w:p w14:paraId="4621CA67">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水质</w:t>
                  </w:r>
                  <w:r>
                    <w:rPr>
                      <w:rFonts w:hint="eastAsia" w:ascii="Times New Roman" w:hAnsi="Times New Roman" w:cs="Times New Roman"/>
                      <w:color w:val="auto"/>
                      <w:kern w:val="0"/>
                      <w:sz w:val="21"/>
                      <w:szCs w:val="21"/>
                      <w:lang w:val="en-US" w:eastAsia="zh-CN" w:bidi="zh-CN"/>
                    </w:rPr>
                    <w:t>p</w:t>
                  </w:r>
                  <w:r>
                    <w:rPr>
                      <w:rFonts w:hint="eastAsia" w:ascii="Times New Roman" w:hAnsi="Times New Roman" w:cs="Times New Roman"/>
                      <w:color w:val="auto"/>
                      <w:kern w:val="2"/>
                      <w:sz w:val="21"/>
                      <w:szCs w:val="21"/>
                      <w:highlight w:val="none"/>
                      <w:lang w:val="en-US" w:eastAsia="zh-CN" w:bidi="ar-SA"/>
                    </w:rPr>
                    <w:t>H值的测定</w:t>
                  </w:r>
                </w:p>
                <w:p w14:paraId="52F5CFD7">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电极法</w:t>
                  </w:r>
                </w:p>
                <w:p w14:paraId="7412918B">
                  <w:pPr>
                    <w:pStyle w:val="75"/>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HJ 1147-2020</w:t>
                  </w:r>
                </w:p>
              </w:tc>
              <w:tc>
                <w:tcPr>
                  <w:tcW w:w="1142" w:type="pct"/>
                  <w:tcBorders>
                    <w:tl2br w:val="nil"/>
                    <w:tr2bl w:val="nil"/>
                  </w:tcBorders>
                  <w:noWrap w:val="0"/>
                  <w:vAlign w:val="center"/>
                </w:tcPr>
                <w:p w14:paraId="6F381235">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便携式</w:t>
                  </w:r>
                  <w:r>
                    <w:rPr>
                      <w:rFonts w:hint="eastAsia" w:ascii="Times New Roman" w:hAnsi="Times New Roman" w:cs="Times New Roman"/>
                      <w:color w:val="auto"/>
                      <w:kern w:val="0"/>
                      <w:sz w:val="21"/>
                      <w:szCs w:val="21"/>
                      <w:lang w:val="en-US" w:eastAsia="zh-CN" w:bidi="zh-CN"/>
                    </w:rPr>
                    <w:t>p</w:t>
                  </w:r>
                  <w:r>
                    <w:rPr>
                      <w:rFonts w:hint="eastAsia" w:ascii="Times New Roman" w:hAnsi="Times New Roman" w:eastAsia="宋体" w:cs="Times New Roman"/>
                      <w:color w:val="auto"/>
                      <w:sz w:val="21"/>
                      <w:szCs w:val="21"/>
                      <w:highlight w:val="none"/>
                      <w:lang w:val="en-US" w:eastAsia="zh-CN" w:bidi="ar-SA"/>
                    </w:rPr>
                    <w:t>H计</w:t>
                  </w:r>
                </w:p>
                <w:p w14:paraId="415D9BE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PHB-4</w:t>
                  </w:r>
                </w:p>
              </w:tc>
              <w:tc>
                <w:tcPr>
                  <w:tcW w:w="839" w:type="pct"/>
                  <w:tcBorders>
                    <w:tl2br w:val="nil"/>
                    <w:tr2bl w:val="nil"/>
                  </w:tcBorders>
                  <w:noWrap w:val="0"/>
                  <w:vAlign w:val="center"/>
                </w:tcPr>
                <w:p w14:paraId="2A4D606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QYYQ-216(2025.05.19)</w:t>
                  </w:r>
                </w:p>
              </w:tc>
              <w:tc>
                <w:tcPr>
                  <w:tcW w:w="649" w:type="pct"/>
                  <w:tcBorders>
                    <w:tl2br w:val="nil"/>
                    <w:tr2bl w:val="nil"/>
                  </w:tcBorders>
                  <w:noWrap w:val="0"/>
                  <w:vAlign w:val="center"/>
                </w:tcPr>
                <w:p w14:paraId="16B2EBD9">
                  <w:pPr>
                    <w:pStyle w:val="75"/>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25180B3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zh-CN"/>
                    </w:rPr>
                    <w:t>焦江锋、胡源远</w:t>
                  </w:r>
                </w:p>
              </w:tc>
            </w:tr>
            <w:tr w14:paraId="7F8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B7AFC6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氯化物</w:t>
                  </w:r>
                </w:p>
              </w:tc>
              <w:tc>
                <w:tcPr>
                  <w:tcW w:w="1362" w:type="pct"/>
                  <w:tcBorders>
                    <w:tl2br w:val="nil"/>
                    <w:tr2bl w:val="nil"/>
                  </w:tcBorders>
                  <w:noWrap w:val="0"/>
                  <w:vAlign w:val="center"/>
                </w:tcPr>
                <w:p w14:paraId="62B21137">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水质 氯化物的测定 硝酸银滴定法</w:t>
                  </w:r>
                </w:p>
                <w:p w14:paraId="1184F6ED">
                  <w:pPr>
                    <w:pStyle w:val="75"/>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GB 11896-1989</w:t>
                  </w:r>
                </w:p>
              </w:tc>
              <w:tc>
                <w:tcPr>
                  <w:tcW w:w="1142" w:type="pct"/>
                  <w:tcBorders>
                    <w:tl2br w:val="nil"/>
                    <w:tr2bl w:val="nil"/>
                  </w:tcBorders>
                  <w:noWrap w:val="0"/>
                  <w:vAlign w:val="center"/>
                </w:tcPr>
                <w:p w14:paraId="04CE161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50.00mL棕色酸式滴定管</w:t>
                  </w:r>
                </w:p>
              </w:tc>
              <w:tc>
                <w:tcPr>
                  <w:tcW w:w="839" w:type="pct"/>
                  <w:tcBorders>
                    <w:tl2br w:val="nil"/>
                    <w:tr2bl w:val="nil"/>
                  </w:tcBorders>
                  <w:noWrap w:val="0"/>
                  <w:vAlign w:val="center"/>
                </w:tcPr>
                <w:p w14:paraId="4DABE48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QYYQ-074(2027.09.10)</w:t>
                  </w:r>
                </w:p>
              </w:tc>
              <w:tc>
                <w:tcPr>
                  <w:tcW w:w="649" w:type="pct"/>
                  <w:tcBorders>
                    <w:tl2br w:val="nil"/>
                    <w:tr2bl w:val="nil"/>
                  </w:tcBorders>
                  <w:noWrap w:val="0"/>
                  <w:vAlign w:val="center"/>
                </w:tcPr>
                <w:p w14:paraId="3A9DBD00">
                  <w:pPr>
                    <w:pStyle w:val="75"/>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476A64A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4167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02AC503">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硫酸盐</w:t>
                  </w:r>
                </w:p>
              </w:tc>
              <w:tc>
                <w:tcPr>
                  <w:tcW w:w="1362" w:type="pct"/>
                  <w:tcBorders>
                    <w:tl2br w:val="nil"/>
                    <w:tr2bl w:val="nil"/>
                  </w:tcBorders>
                  <w:noWrap w:val="0"/>
                  <w:vAlign w:val="center"/>
                </w:tcPr>
                <w:p w14:paraId="62BA9F22">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 xml:space="preserve">水质 硫酸盐的测定 铬酸钡分光光度法（试行）         HJ/T 342-2007 </w:t>
                  </w:r>
                </w:p>
              </w:tc>
              <w:tc>
                <w:tcPr>
                  <w:tcW w:w="1142" w:type="pct"/>
                  <w:tcBorders>
                    <w:tl2br w:val="nil"/>
                    <w:tr2bl w:val="nil"/>
                  </w:tcBorders>
                  <w:noWrap w:val="0"/>
                  <w:vAlign w:val="center"/>
                </w:tcPr>
                <w:p w14:paraId="08E5BD91">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7200可见光分光光度计</w:t>
                  </w:r>
                </w:p>
              </w:tc>
              <w:tc>
                <w:tcPr>
                  <w:tcW w:w="839" w:type="pct"/>
                  <w:tcBorders>
                    <w:tl2br w:val="nil"/>
                    <w:tr2bl w:val="nil"/>
                  </w:tcBorders>
                  <w:noWrap w:val="0"/>
                  <w:vAlign w:val="center"/>
                </w:tcPr>
                <w:p w14:paraId="183A4C3A">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QYYQ-006(</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77773F7E">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2672170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0578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0CA598C">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highlight w:val="none"/>
                      <w:lang w:val="en-US" w:eastAsia="zh-CN" w:bidi="ar-SA"/>
                    </w:rPr>
                    <w:t>氨氮</w:t>
                  </w:r>
                </w:p>
              </w:tc>
              <w:tc>
                <w:tcPr>
                  <w:tcW w:w="1362" w:type="pct"/>
                  <w:tcBorders>
                    <w:tl2br w:val="nil"/>
                    <w:tr2bl w:val="nil"/>
                  </w:tcBorders>
                  <w:noWrap w:val="0"/>
                  <w:vAlign w:val="center"/>
                </w:tcPr>
                <w:p w14:paraId="593376DC">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水质 氨氮的测定 纳氏试剂分光光度法</w:t>
                  </w:r>
                </w:p>
                <w:p w14:paraId="2C7322EC">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HJ 535-2009</w:t>
                  </w:r>
                </w:p>
              </w:tc>
              <w:tc>
                <w:tcPr>
                  <w:tcW w:w="1142" w:type="pct"/>
                  <w:tcBorders>
                    <w:tl2br w:val="nil"/>
                    <w:tr2bl w:val="nil"/>
                  </w:tcBorders>
                  <w:noWrap w:val="0"/>
                  <w:vAlign w:val="center"/>
                </w:tcPr>
                <w:p w14:paraId="78F433BF">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7200 可见分光光度计</w:t>
                  </w:r>
                </w:p>
              </w:tc>
              <w:tc>
                <w:tcPr>
                  <w:tcW w:w="839" w:type="pct"/>
                  <w:tcBorders>
                    <w:tl2br w:val="nil"/>
                    <w:tr2bl w:val="nil"/>
                  </w:tcBorders>
                  <w:noWrap w:val="0"/>
                  <w:vAlign w:val="center"/>
                </w:tcPr>
                <w:p w14:paraId="12211766">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QYYQ-006</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5A0A900B">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0.025mg/L</w:t>
                  </w:r>
                </w:p>
              </w:tc>
              <w:tc>
                <w:tcPr>
                  <w:tcW w:w="369" w:type="pct"/>
                  <w:tcBorders>
                    <w:tl2br w:val="nil"/>
                    <w:tr2bl w:val="nil"/>
                  </w:tcBorders>
                  <w:noWrap w:val="0"/>
                  <w:vAlign w:val="center"/>
                </w:tcPr>
                <w:p w14:paraId="2A8BF587">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zh-CN"/>
                    </w:rPr>
                    <w:t>龚前</w:t>
                  </w:r>
                </w:p>
              </w:tc>
            </w:tr>
            <w:tr w14:paraId="4343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922F3BC">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总硬度</w:t>
                  </w:r>
                </w:p>
              </w:tc>
              <w:tc>
                <w:tcPr>
                  <w:tcW w:w="1362" w:type="pct"/>
                  <w:tcBorders>
                    <w:tl2br w:val="nil"/>
                    <w:tr2bl w:val="nil"/>
                  </w:tcBorders>
                  <w:noWrap w:val="0"/>
                  <w:vAlign w:val="center"/>
                </w:tcPr>
                <w:p w14:paraId="496F8C45">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 xml:space="preserve">水质 钙和镁总量的测定 EDTA滴定法 </w:t>
                  </w:r>
                </w:p>
                <w:p w14:paraId="1BC109A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GB 7477-1987</w:t>
                  </w:r>
                </w:p>
              </w:tc>
              <w:tc>
                <w:tcPr>
                  <w:tcW w:w="1142" w:type="pct"/>
                  <w:tcBorders>
                    <w:tl2br w:val="nil"/>
                    <w:tr2bl w:val="nil"/>
                  </w:tcBorders>
                  <w:noWrap w:val="0"/>
                  <w:vAlign w:val="center"/>
                </w:tcPr>
                <w:p w14:paraId="6024B1C1">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50.00mL棕色酸式滴定管</w:t>
                  </w:r>
                </w:p>
              </w:tc>
              <w:tc>
                <w:tcPr>
                  <w:tcW w:w="839" w:type="pct"/>
                  <w:tcBorders>
                    <w:tl2br w:val="nil"/>
                    <w:tr2bl w:val="nil"/>
                  </w:tcBorders>
                  <w:noWrap w:val="0"/>
                  <w:vAlign w:val="center"/>
                </w:tcPr>
                <w:p w14:paraId="761F3BBE">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QYYQ-074(</w:t>
                  </w:r>
                  <w:r>
                    <w:rPr>
                      <w:rFonts w:hint="eastAsia" w:ascii="Times New Roman" w:hAnsi="Times New Roman" w:eastAsia="宋体" w:cs="Times New Roman"/>
                      <w:color w:val="auto"/>
                      <w:sz w:val="21"/>
                      <w:szCs w:val="21"/>
                      <w:highlight w:val="none"/>
                      <w:lang w:val="en-US" w:eastAsia="zh-CN" w:bidi="ar-SA"/>
                    </w:rPr>
                    <w:t>2027.09.10)</w:t>
                  </w:r>
                </w:p>
              </w:tc>
              <w:tc>
                <w:tcPr>
                  <w:tcW w:w="649" w:type="pct"/>
                  <w:tcBorders>
                    <w:tl2br w:val="nil"/>
                    <w:tr2bl w:val="nil"/>
                  </w:tcBorders>
                  <w:noWrap w:val="0"/>
                  <w:vAlign w:val="center"/>
                </w:tcPr>
                <w:p w14:paraId="5328C540">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0.05mmol/L</w:t>
                  </w:r>
                </w:p>
              </w:tc>
              <w:tc>
                <w:tcPr>
                  <w:tcW w:w="369" w:type="pct"/>
                  <w:tcBorders>
                    <w:tl2br w:val="nil"/>
                    <w:tr2bl w:val="nil"/>
                  </w:tcBorders>
                  <w:noWrap w:val="0"/>
                  <w:vAlign w:val="center"/>
                </w:tcPr>
                <w:p w14:paraId="15B2D58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2CF7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4F3E17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溶解性总</w:t>
                  </w:r>
                </w:p>
                <w:p w14:paraId="6241C071">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highlight w:val="none"/>
                      <w:lang w:val="en-US" w:eastAsia="zh-CN" w:bidi="ar-SA"/>
                    </w:rPr>
                    <w:t>固体</w:t>
                  </w:r>
                </w:p>
              </w:tc>
              <w:tc>
                <w:tcPr>
                  <w:tcW w:w="1362" w:type="pct"/>
                  <w:tcBorders>
                    <w:tl2br w:val="nil"/>
                    <w:tr2bl w:val="nil"/>
                  </w:tcBorders>
                  <w:noWrap w:val="0"/>
                  <w:vAlign w:val="center"/>
                </w:tcPr>
                <w:p w14:paraId="44A379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生活饮用水标准检验方法</w:t>
                  </w:r>
                  <w:r>
                    <w:rPr>
                      <w:rFonts w:hint="eastAsia" w:ascii="Times New Roman" w:hAnsi="Times New Roman" w:eastAsia="宋体" w:cs="Times New Roman"/>
                      <w:color w:val="auto"/>
                      <w:sz w:val="21"/>
                      <w:szCs w:val="21"/>
                      <w:highlight w:val="none"/>
                      <w:lang w:val="en-US" w:eastAsia="zh-CN" w:bidi="ar-SA"/>
                    </w:rPr>
                    <w:t xml:space="preserve"> 第4部分：</w:t>
                  </w:r>
                  <w:r>
                    <w:rPr>
                      <w:rFonts w:hint="default" w:ascii="Times New Roman" w:hAnsi="Times New Roman" w:eastAsia="宋体" w:cs="Times New Roman"/>
                      <w:color w:val="auto"/>
                      <w:sz w:val="21"/>
                      <w:szCs w:val="21"/>
                      <w:highlight w:val="none"/>
                      <w:lang w:val="en-US" w:eastAsia="zh-CN" w:bidi="ar-SA"/>
                    </w:rPr>
                    <w:t>感官性状和物理指标</w:t>
                  </w:r>
                  <w:r>
                    <w:rPr>
                      <w:rFonts w:hint="eastAsia" w:ascii="Times New Roman" w:hAnsi="Times New Roman" w:eastAsia="宋体" w:cs="Times New Roman"/>
                      <w:color w:val="auto"/>
                      <w:sz w:val="21"/>
                      <w:szCs w:val="21"/>
                      <w:highlight w:val="none"/>
                      <w:lang w:val="en-US" w:eastAsia="zh-CN" w:bidi="ar-SA"/>
                    </w:rPr>
                    <w:t xml:space="preserve"> </w:t>
                  </w:r>
                  <w:r>
                    <w:rPr>
                      <w:rFonts w:hint="default" w:ascii="Times New Roman" w:hAnsi="Times New Roman" w:eastAsia="宋体" w:cs="Times New Roman"/>
                      <w:color w:val="auto"/>
                      <w:sz w:val="21"/>
                      <w:szCs w:val="21"/>
                      <w:highlight w:val="none"/>
                      <w:lang w:val="en-US" w:eastAsia="zh-CN" w:bidi="ar-SA"/>
                    </w:rPr>
                    <w:t>称量法</w:t>
                  </w:r>
                </w:p>
                <w:p w14:paraId="6CF65A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GB/T 5750.4-20</w:t>
                  </w:r>
                  <w:r>
                    <w:rPr>
                      <w:rFonts w:hint="eastAsia" w:ascii="Times New Roman" w:hAnsi="Times New Roman" w:eastAsia="宋体" w:cs="Times New Roman"/>
                      <w:color w:val="auto"/>
                      <w:sz w:val="21"/>
                      <w:szCs w:val="21"/>
                      <w:highlight w:val="none"/>
                      <w:lang w:val="en-US" w:eastAsia="zh-CN" w:bidi="ar-SA"/>
                    </w:rPr>
                    <w:t>23(11.1)</w:t>
                  </w:r>
                </w:p>
              </w:tc>
              <w:tc>
                <w:tcPr>
                  <w:tcW w:w="1142" w:type="pct"/>
                  <w:tcBorders>
                    <w:tl2br w:val="nil"/>
                    <w:tr2bl w:val="nil"/>
                  </w:tcBorders>
                  <w:noWrap w:val="0"/>
                  <w:vAlign w:val="center"/>
                </w:tcPr>
                <w:p w14:paraId="1A1F76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ME204</w:t>
                  </w:r>
                </w:p>
                <w:p w14:paraId="31E97A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电子天平</w:t>
                  </w:r>
                </w:p>
                <w:p w14:paraId="7ECBFD2F">
                  <w:pPr>
                    <w:pStyle w:val="8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101-2AB</w:t>
                  </w:r>
                </w:p>
                <w:p w14:paraId="23DE04F1">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电热鼓风干燥箱</w:t>
                  </w:r>
                  <w:r>
                    <w:rPr>
                      <w:rFonts w:hint="default" w:ascii="Times New Roman" w:hAnsi="Times New Roman" w:eastAsia="宋体" w:cs="Times New Roman"/>
                      <w:color w:val="auto"/>
                      <w:sz w:val="21"/>
                      <w:szCs w:val="21"/>
                      <w:highlight w:val="none"/>
                      <w:lang w:val="en-US" w:eastAsia="zh-CN"/>
                    </w:rPr>
                    <w:t xml:space="preserve"> </w:t>
                  </w:r>
                </w:p>
                <w:p w14:paraId="17562FA8">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DZKW-S-8</w:t>
                  </w:r>
                </w:p>
                <w:p w14:paraId="216B9CB6">
                  <w:pPr>
                    <w:pStyle w:val="82"/>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highlight w:val="none"/>
                      <w:lang w:val="en-US" w:eastAsia="zh-CN"/>
                    </w:rPr>
                    <w:t xml:space="preserve">电热恒温水浴锅 </w:t>
                  </w:r>
                </w:p>
              </w:tc>
              <w:tc>
                <w:tcPr>
                  <w:tcW w:w="839" w:type="pct"/>
                  <w:tcBorders>
                    <w:tl2br w:val="nil"/>
                    <w:tr2bl w:val="nil"/>
                  </w:tcBorders>
                  <w:noWrap w:val="0"/>
                  <w:vAlign w:val="center"/>
                </w:tcPr>
                <w:p w14:paraId="1EAD629E">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QYYQ-001</w:t>
                  </w:r>
                  <w:r>
                    <w:rPr>
                      <w:rFonts w:hint="eastAsia" w:ascii="Times New Roman" w:hAnsi="Times New Roman" w:eastAsia="宋体" w:cs="Times New Roman"/>
                      <w:color w:val="auto"/>
                      <w:sz w:val="21"/>
                      <w:szCs w:val="21"/>
                      <w:highlight w:val="none"/>
                      <w:lang w:val="en-US" w:eastAsia="zh-CN"/>
                    </w:rPr>
                    <w:t>(202</w:t>
                  </w:r>
                  <w:r>
                    <w:rPr>
                      <w:rFonts w:hint="eastAsia" w:ascii="Times New Roman" w:cs="Times New Roman"/>
                      <w:color w:val="auto"/>
                      <w:sz w:val="21"/>
                      <w:szCs w:val="21"/>
                      <w:highlight w:val="none"/>
                      <w:lang w:val="en-US" w:eastAsia="zh-CN"/>
                    </w:rPr>
                    <w:t>5.09.10)</w:t>
                  </w:r>
                </w:p>
                <w:p w14:paraId="58B14E8E">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QYYQ-</w:t>
                  </w:r>
                  <w:r>
                    <w:rPr>
                      <w:rFonts w:hint="eastAsia" w:ascii="Times New Roman" w:hAnsi="Times New Roman" w:eastAsia="宋体" w:cs="Times New Roman"/>
                      <w:color w:val="auto"/>
                      <w:sz w:val="21"/>
                      <w:szCs w:val="21"/>
                      <w:highlight w:val="none"/>
                      <w:lang w:val="en-US" w:eastAsia="zh-CN"/>
                    </w:rPr>
                    <w:t>017(202</w:t>
                  </w:r>
                  <w:r>
                    <w:rPr>
                      <w:rFonts w:hint="eastAsia" w:ascii="Times New Roman" w:cs="Times New Roman"/>
                      <w:color w:val="auto"/>
                      <w:sz w:val="21"/>
                      <w:szCs w:val="21"/>
                      <w:highlight w:val="none"/>
                      <w:lang w:val="en-US" w:eastAsia="zh-CN"/>
                    </w:rPr>
                    <w:t>5.09.10)</w:t>
                  </w:r>
                </w:p>
                <w:p w14:paraId="4BB058E8">
                  <w:pPr>
                    <w:pStyle w:val="82"/>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highlight w:val="none"/>
                      <w:lang w:val="en-US" w:eastAsia="zh-CN"/>
                    </w:rPr>
                    <w:t>QYYQ-0</w:t>
                  </w:r>
                  <w:r>
                    <w:rPr>
                      <w:rFonts w:hint="eastAsia" w:ascii="Times New Roman" w:hAnsi="Times New Roman" w:eastAsia="宋体" w:cs="Times New Roman"/>
                      <w:color w:val="auto"/>
                      <w:sz w:val="21"/>
                      <w:szCs w:val="21"/>
                      <w:highlight w:val="none"/>
                      <w:lang w:val="en-US" w:eastAsia="zh-CN"/>
                    </w:rPr>
                    <w:t>72(202</w:t>
                  </w:r>
                  <w:r>
                    <w:rPr>
                      <w:rFonts w:hint="eastAsia" w:ascii="Times New Roman" w:cs="Times New Roman"/>
                      <w:color w:val="auto"/>
                      <w:sz w:val="21"/>
                      <w:szCs w:val="21"/>
                      <w:highlight w:val="none"/>
                      <w:lang w:val="en-US" w:eastAsia="zh-CN"/>
                    </w:rPr>
                    <w:t>5.09.10)</w:t>
                  </w:r>
                </w:p>
              </w:tc>
              <w:tc>
                <w:tcPr>
                  <w:tcW w:w="649" w:type="pct"/>
                  <w:tcBorders>
                    <w:tl2br w:val="nil"/>
                    <w:tr2bl w:val="nil"/>
                  </w:tcBorders>
                  <w:noWrap w:val="0"/>
                  <w:vAlign w:val="center"/>
                </w:tcPr>
                <w:p w14:paraId="77C573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369" w:type="pct"/>
                  <w:tcBorders>
                    <w:tl2br w:val="nil"/>
                    <w:tr2bl w:val="nil"/>
                  </w:tcBorders>
                  <w:noWrap w:val="0"/>
                  <w:vAlign w:val="center"/>
                </w:tcPr>
                <w:p w14:paraId="5CE70A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任敏</w:t>
                  </w:r>
                </w:p>
              </w:tc>
            </w:tr>
            <w:tr w14:paraId="427F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636" w:type="pct"/>
                  <w:tcBorders>
                    <w:tl2br w:val="nil"/>
                    <w:tr2bl w:val="nil"/>
                  </w:tcBorders>
                  <w:noWrap w:val="0"/>
                  <w:vAlign w:val="center"/>
                </w:tcPr>
                <w:p w14:paraId="2F222213">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硝酸盐</w:t>
                  </w:r>
                </w:p>
              </w:tc>
              <w:tc>
                <w:tcPr>
                  <w:tcW w:w="1362" w:type="pct"/>
                  <w:tcBorders>
                    <w:tl2br w:val="nil"/>
                    <w:tr2bl w:val="nil"/>
                  </w:tcBorders>
                  <w:noWrap w:val="0"/>
                  <w:vAlign w:val="center"/>
                </w:tcPr>
                <w:p w14:paraId="0547A002">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水质 硝酸盐氮的测定 紫外分光光度法（试行）HJ/T 346-2007</w:t>
                  </w:r>
                </w:p>
              </w:tc>
              <w:tc>
                <w:tcPr>
                  <w:tcW w:w="1142" w:type="pct"/>
                  <w:tcBorders>
                    <w:tl2br w:val="nil"/>
                    <w:tr2bl w:val="nil"/>
                  </w:tcBorders>
                  <w:noWrap w:val="0"/>
                  <w:vAlign w:val="center"/>
                </w:tcPr>
                <w:p w14:paraId="71B304D5">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UV2600A </w:t>
                  </w:r>
                </w:p>
                <w:p w14:paraId="1A9EAB51">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紫外可见光分光光度计</w:t>
                  </w:r>
                </w:p>
              </w:tc>
              <w:tc>
                <w:tcPr>
                  <w:tcW w:w="839" w:type="pct"/>
                  <w:tcBorders>
                    <w:tl2br w:val="nil"/>
                    <w:tr2bl w:val="nil"/>
                  </w:tcBorders>
                  <w:noWrap w:val="0"/>
                  <w:vAlign w:val="center"/>
                </w:tcPr>
                <w:p w14:paraId="20A3850D">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QYYQ-011(</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19FEEA3E">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0.08mg/L</w:t>
                  </w:r>
                </w:p>
              </w:tc>
              <w:tc>
                <w:tcPr>
                  <w:tcW w:w="369" w:type="pct"/>
                  <w:tcBorders>
                    <w:tl2br w:val="nil"/>
                    <w:tr2bl w:val="nil"/>
                  </w:tcBorders>
                  <w:noWrap w:val="0"/>
                  <w:vAlign w:val="center"/>
                </w:tcPr>
                <w:p w14:paraId="3A7E3B7C">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0FD3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6F3C3FF">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氯化物</w:t>
                  </w:r>
                </w:p>
              </w:tc>
              <w:tc>
                <w:tcPr>
                  <w:tcW w:w="1362" w:type="pct"/>
                  <w:tcBorders>
                    <w:tl2br w:val="nil"/>
                    <w:tr2bl w:val="nil"/>
                  </w:tcBorders>
                  <w:noWrap w:val="0"/>
                  <w:vAlign w:val="center"/>
                </w:tcPr>
                <w:p w14:paraId="183C8DBF">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水质 氯化物的测定 硝酸银滴定法</w:t>
                  </w:r>
                </w:p>
                <w:p w14:paraId="1B6E8FB7">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GB 11896-1989</w:t>
                  </w:r>
                </w:p>
              </w:tc>
              <w:tc>
                <w:tcPr>
                  <w:tcW w:w="1142" w:type="pct"/>
                  <w:tcBorders>
                    <w:tl2br w:val="nil"/>
                    <w:tr2bl w:val="nil"/>
                  </w:tcBorders>
                  <w:noWrap w:val="0"/>
                  <w:vAlign w:val="center"/>
                </w:tcPr>
                <w:p w14:paraId="62E2279E">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50.00mL棕色酸式滴定管</w:t>
                  </w:r>
                </w:p>
              </w:tc>
              <w:tc>
                <w:tcPr>
                  <w:tcW w:w="839" w:type="pct"/>
                  <w:tcBorders>
                    <w:tl2br w:val="nil"/>
                    <w:tr2bl w:val="nil"/>
                  </w:tcBorders>
                  <w:noWrap w:val="0"/>
                  <w:vAlign w:val="center"/>
                </w:tcPr>
                <w:p w14:paraId="68723C5E">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QYYQ-074(2027.09.10)</w:t>
                  </w:r>
                </w:p>
              </w:tc>
              <w:tc>
                <w:tcPr>
                  <w:tcW w:w="649" w:type="pct"/>
                  <w:tcBorders>
                    <w:tl2br w:val="nil"/>
                    <w:tr2bl w:val="nil"/>
                  </w:tcBorders>
                  <w:noWrap w:val="0"/>
                  <w:vAlign w:val="center"/>
                </w:tcPr>
                <w:p w14:paraId="75F43EF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40682425">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3F67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133656A">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硫酸盐</w:t>
                  </w:r>
                </w:p>
              </w:tc>
              <w:tc>
                <w:tcPr>
                  <w:tcW w:w="1362" w:type="pct"/>
                  <w:tcBorders>
                    <w:tl2br w:val="nil"/>
                    <w:tr2bl w:val="nil"/>
                  </w:tcBorders>
                  <w:noWrap w:val="0"/>
                  <w:vAlign w:val="center"/>
                </w:tcPr>
                <w:p w14:paraId="2CDA579D">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 xml:space="preserve">水质 硫酸盐的测定 铬酸钡分光光度法（试行）         HJ/T 342-2007 </w:t>
                  </w:r>
                </w:p>
              </w:tc>
              <w:tc>
                <w:tcPr>
                  <w:tcW w:w="1142" w:type="pct"/>
                  <w:tcBorders>
                    <w:tl2br w:val="nil"/>
                    <w:tr2bl w:val="nil"/>
                  </w:tcBorders>
                  <w:noWrap w:val="0"/>
                  <w:vAlign w:val="center"/>
                </w:tcPr>
                <w:p w14:paraId="40B2B720">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7200可见光分光光度计</w:t>
                  </w:r>
                </w:p>
              </w:tc>
              <w:tc>
                <w:tcPr>
                  <w:tcW w:w="839" w:type="pct"/>
                  <w:tcBorders>
                    <w:tl2br w:val="nil"/>
                    <w:tr2bl w:val="nil"/>
                  </w:tcBorders>
                  <w:noWrap w:val="0"/>
                  <w:vAlign w:val="center"/>
                </w:tcPr>
                <w:p w14:paraId="153539D9">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QYYQ-006(</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0039CD89">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09CA409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286C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FCAC981">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highlight w:val="none"/>
                      <w:lang w:val="en-US" w:eastAsia="zh-CN" w:bidi="ar-SA"/>
                    </w:rPr>
                    <w:t>氨氮</w:t>
                  </w:r>
                </w:p>
              </w:tc>
              <w:tc>
                <w:tcPr>
                  <w:tcW w:w="1362" w:type="pct"/>
                  <w:tcBorders>
                    <w:tl2br w:val="nil"/>
                    <w:tr2bl w:val="nil"/>
                  </w:tcBorders>
                  <w:noWrap w:val="0"/>
                  <w:vAlign w:val="center"/>
                </w:tcPr>
                <w:p w14:paraId="21849629">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水质 氨氮的测定 纳氏试剂分光光度法</w:t>
                  </w:r>
                </w:p>
                <w:p w14:paraId="6981BC58">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HJ 535-2009</w:t>
                  </w:r>
                </w:p>
              </w:tc>
              <w:tc>
                <w:tcPr>
                  <w:tcW w:w="1142" w:type="pct"/>
                  <w:tcBorders>
                    <w:tl2br w:val="nil"/>
                    <w:tr2bl w:val="nil"/>
                  </w:tcBorders>
                  <w:noWrap w:val="0"/>
                  <w:vAlign w:val="center"/>
                </w:tcPr>
                <w:p w14:paraId="38C9CCC3">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7200 可见分光光度计</w:t>
                  </w:r>
                </w:p>
              </w:tc>
              <w:tc>
                <w:tcPr>
                  <w:tcW w:w="839" w:type="pct"/>
                  <w:tcBorders>
                    <w:tl2br w:val="nil"/>
                    <w:tr2bl w:val="nil"/>
                  </w:tcBorders>
                  <w:noWrap w:val="0"/>
                  <w:vAlign w:val="center"/>
                </w:tcPr>
                <w:p w14:paraId="6B5A3A04">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QYYQ-006</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0F390DE9">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0.025mg/L</w:t>
                  </w:r>
                </w:p>
              </w:tc>
              <w:tc>
                <w:tcPr>
                  <w:tcW w:w="369" w:type="pct"/>
                  <w:tcBorders>
                    <w:tl2br w:val="nil"/>
                    <w:tr2bl w:val="nil"/>
                  </w:tcBorders>
                  <w:noWrap w:val="0"/>
                  <w:vAlign w:val="center"/>
                </w:tcPr>
                <w:p w14:paraId="2CF9943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zh-CN"/>
                    </w:rPr>
                    <w:t>龚前</w:t>
                  </w:r>
                </w:p>
              </w:tc>
            </w:tr>
            <w:tr w14:paraId="1BF8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DFF1247">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总硬度</w:t>
                  </w:r>
                </w:p>
              </w:tc>
              <w:tc>
                <w:tcPr>
                  <w:tcW w:w="1362" w:type="pct"/>
                  <w:tcBorders>
                    <w:tl2br w:val="nil"/>
                    <w:tr2bl w:val="nil"/>
                  </w:tcBorders>
                  <w:noWrap w:val="0"/>
                  <w:vAlign w:val="center"/>
                </w:tcPr>
                <w:p w14:paraId="0AE4DBFA">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 xml:space="preserve">水质 钙和镁总量的测定 EDTA滴定法 </w:t>
                  </w:r>
                </w:p>
                <w:p w14:paraId="0A72B5B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GB 7477-1987</w:t>
                  </w:r>
                </w:p>
              </w:tc>
              <w:tc>
                <w:tcPr>
                  <w:tcW w:w="1142" w:type="pct"/>
                  <w:tcBorders>
                    <w:tl2br w:val="nil"/>
                    <w:tr2bl w:val="nil"/>
                  </w:tcBorders>
                  <w:noWrap w:val="0"/>
                  <w:vAlign w:val="center"/>
                </w:tcPr>
                <w:p w14:paraId="7C799B3B">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50.00mL棕色酸式滴定管</w:t>
                  </w:r>
                </w:p>
              </w:tc>
              <w:tc>
                <w:tcPr>
                  <w:tcW w:w="839" w:type="pct"/>
                  <w:tcBorders>
                    <w:tl2br w:val="nil"/>
                    <w:tr2bl w:val="nil"/>
                  </w:tcBorders>
                  <w:noWrap w:val="0"/>
                  <w:vAlign w:val="center"/>
                </w:tcPr>
                <w:p w14:paraId="3046D3F1">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QYYQ-074(</w:t>
                  </w:r>
                  <w:r>
                    <w:rPr>
                      <w:rFonts w:hint="eastAsia" w:ascii="Times New Roman" w:hAnsi="Times New Roman" w:eastAsia="宋体" w:cs="Times New Roman"/>
                      <w:color w:val="auto"/>
                      <w:sz w:val="21"/>
                      <w:szCs w:val="21"/>
                      <w:highlight w:val="none"/>
                      <w:lang w:val="en-US" w:eastAsia="zh-CN" w:bidi="ar-SA"/>
                    </w:rPr>
                    <w:t>2027.09.10)</w:t>
                  </w:r>
                </w:p>
              </w:tc>
              <w:tc>
                <w:tcPr>
                  <w:tcW w:w="649" w:type="pct"/>
                  <w:tcBorders>
                    <w:tl2br w:val="nil"/>
                    <w:tr2bl w:val="nil"/>
                  </w:tcBorders>
                  <w:noWrap w:val="0"/>
                  <w:vAlign w:val="center"/>
                </w:tcPr>
                <w:p w14:paraId="41FD0ED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0.05mmol/L</w:t>
                  </w:r>
                </w:p>
              </w:tc>
              <w:tc>
                <w:tcPr>
                  <w:tcW w:w="369" w:type="pct"/>
                  <w:tcBorders>
                    <w:tl2br w:val="nil"/>
                    <w:tr2bl w:val="nil"/>
                  </w:tcBorders>
                  <w:noWrap w:val="0"/>
                  <w:vAlign w:val="center"/>
                </w:tcPr>
                <w:p w14:paraId="7BC75077">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498A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694DF47">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溶解性总</w:t>
                  </w:r>
                </w:p>
                <w:p w14:paraId="65D3C21B">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highlight w:val="none"/>
                      <w:lang w:val="en-US" w:eastAsia="zh-CN" w:bidi="ar-SA"/>
                    </w:rPr>
                    <w:t>固体</w:t>
                  </w:r>
                </w:p>
              </w:tc>
              <w:tc>
                <w:tcPr>
                  <w:tcW w:w="1362" w:type="pct"/>
                  <w:tcBorders>
                    <w:tl2br w:val="nil"/>
                    <w:tr2bl w:val="nil"/>
                  </w:tcBorders>
                  <w:noWrap w:val="0"/>
                  <w:vAlign w:val="center"/>
                </w:tcPr>
                <w:p w14:paraId="04425D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生活饮用水标准检验方法</w:t>
                  </w:r>
                  <w:r>
                    <w:rPr>
                      <w:rFonts w:hint="eastAsia" w:ascii="Times New Roman" w:hAnsi="Times New Roman" w:eastAsia="宋体" w:cs="Times New Roman"/>
                      <w:color w:val="auto"/>
                      <w:sz w:val="21"/>
                      <w:szCs w:val="21"/>
                      <w:highlight w:val="none"/>
                      <w:lang w:val="en-US" w:eastAsia="zh-CN" w:bidi="ar-SA"/>
                    </w:rPr>
                    <w:t xml:space="preserve"> 第4部分：</w:t>
                  </w:r>
                  <w:r>
                    <w:rPr>
                      <w:rFonts w:hint="default" w:ascii="Times New Roman" w:hAnsi="Times New Roman" w:eastAsia="宋体" w:cs="Times New Roman"/>
                      <w:color w:val="auto"/>
                      <w:sz w:val="21"/>
                      <w:szCs w:val="21"/>
                      <w:highlight w:val="none"/>
                      <w:lang w:val="en-US" w:eastAsia="zh-CN" w:bidi="ar-SA"/>
                    </w:rPr>
                    <w:t>感官性状和物理指标</w:t>
                  </w:r>
                  <w:r>
                    <w:rPr>
                      <w:rFonts w:hint="eastAsia" w:ascii="Times New Roman" w:hAnsi="Times New Roman" w:eastAsia="宋体" w:cs="Times New Roman"/>
                      <w:color w:val="auto"/>
                      <w:sz w:val="21"/>
                      <w:szCs w:val="21"/>
                      <w:highlight w:val="none"/>
                      <w:lang w:val="en-US" w:eastAsia="zh-CN" w:bidi="ar-SA"/>
                    </w:rPr>
                    <w:t xml:space="preserve"> </w:t>
                  </w:r>
                  <w:r>
                    <w:rPr>
                      <w:rFonts w:hint="default" w:ascii="Times New Roman" w:hAnsi="Times New Roman" w:eastAsia="宋体" w:cs="Times New Roman"/>
                      <w:color w:val="auto"/>
                      <w:sz w:val="21"/>
                      <w:szCs w:val="21"/>
                      <w:highlight w:val="none"/>
                      <w:lang w:val="en-US" w:eastAsia="zh-CN" w:bidi="ar-SA"/>
                    </w:rPr>
                    <w:t>称量法</w:t>
                  </w:r>
                </w:p>
                <w:p w14:paraId="2192EE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GB/T 5750.4-20</w:t>
                  </w:r>
                  <w:r>
                    <w:rPr>
                      <w:rFonts w:hint="eastAsia" w:ascii="Times New Roman" w:hAnsi="Times New Roman" w:eastAsia="宋体" w:cs="Times New Roman"/>
                      <w:color w:val="auto"/>
                      <w:sz w:val="21"/>
                      <w:szCs w:val="21"/>
                      <w:highlight w:val="none"/>
                      <w:lang w:val="en-US" w:eastAsia="zh-CN" w:bidi="ar-SA"/>
                    </w:rPr>
                    <w:t>23(11.1)</w:t>
                  </w:r>
                </w:p>
              </w:tc>
              <w:tc>
                <w:tcPr>
                  <w:tcW w:w="1142" w:type="pct"/>
                  <w:tcBorders>
                    <w:tl2br w:val="nil"/>
                    <w:tr2bl w:val="nil"/>
                  </w:tcBorders>
                  <w:noWrap w:val="0"/>
                  <w:vAlign w:val="center"/>
                </w:tcPr>
                <w:p w14:paraId="6FA9F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ME204</w:t>
                  </w:r>
                </w:p>
                <w:p w14:paraId="73F0B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电子天平</w:t>
                  </w:r>
                </w:p>
                <w:p w14:paraId="6ADB186C">
                  <w:pPr>
                    <w:pStyle w:val="8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101-2AB</w:t>
                  </w:r>
                </w:p>
                <w:p w14:paraId="2074F588">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电热鼓风干燥箱</w:t>
                  </w:r>
                  <w:r>
                    <w:rPr>
                      <w:rFonts w:hint="default" w:ascii="Times New Roman" w:hAnsi="Times New Roman" w:eastAsia="宋体" w:cs="Times New Roman"/>
                      <w:color w:val="auto"/>
                      <w:sz w:val="21"/>
                      <w:szCs w:val="21"/>
                      <w:highlight w:val="none"/>
                      <w:lang w:val="en-US" w:eastAsia="zh-CN"/>
                    </w:rPr>
                    <w:t xml:space="preserve"> </w:t>
                  </w:r>
                </w:p>
                <w:p w14:paraId="256F8613">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DZKW-S-8</w:t>
                  </w:r>
                </w:p>
                <w:p w14:paraId="429DE9C0">
                  <w:pPr>
                    <w:pStyle w:val="82"/>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highlight w:val="none"/>
                      <w:lang w:val="en-US" w:eastAsia="zh-CN"/>
                    </w:rPr>
                    <w:t xml:space="preserve">电热恒温水浴锅 </w:t>
                  </w:r>
                </w:p>
              </w:tc>
              <w:tc>
                <w:tcPr>
                  <w:tcW w:w="839" w:type="pct"/>
                  <w:tcBorders>
                    <w:tl2br w:val="nil"/>
                    <w:tr2bl w:val="nil"/>
                  </w:tcBorders>
                  <w:noWrap w:val="0"/>
                  <w:vAlign w:val="center"/>
                </w:tcPr>
                <w:p w14:paraId="48AC286E">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QYYQ-001</w:t>
                  </w:r>
                  <w:r>
                    <w:rPr>
                      <w:rFonts w:hint="eastAsia" w:ascii="Times New Roman" w:hAnsi="Times New Roman" w:eastAsia="宋体" w:cs="Times New Roman"/>
                      <w:color w:val="auto"/>
                      <w:sz w:val="21"/>
                      <w:szCs w:val="21"/>
                      <w:highlight w:val="none"/>
                      <w:lang w:val="en-US" w:eastAsia="zh-CN"/>
                    </w:rPr>
                    <w:t>(202</w:t>
                  </w:r>
                  <w:r>
                    <w:rPr>
                      <w:rFonts w:hint="eastAsia" w:ascii="Times New Roman" w:cs="Times New Roman"/>
                      <w:color w:val="auto"/>
                      <w:sz w:val="21"/>
                      <w:szCs w:val="21"/>
                      <w:highlight w:val="none"/>
                      <w:lang w:val="en-US" w:eastAsia="zh-CN"/>
                    </w:rPr>
                    <w:t>5.09.10)</w:t>
                  </w:r>
                </w:p>
                <w:p w14:paraId="4F502521">
                  <w:pPr>
                    <w:pStyle w:val="8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QYYQ-</w:t>
                  </w:r>
                  <w:r>
                    <w:rPr>
                      <w:rFonts w:hint="eastAsia" w:ascii="Times New Roman" w:hAnsi="Times New Roman" w:eastAsia="宋体" w:cs="Times New Roman"/>
                      <w:color w:val="auto"/>
                      <w:sz w:val="21"/>
                      <w:szCs w:val="21"/>
                      <w:highlight w:val="none"/>
                      <w:lang w:val="en-US" w:eastAsia="zh-CN"/>
                    </w:rPr>
                    <w:t>017(202</w:t>
                  </w:r>
                  <w:r>
                    <w:rPr>
                      <w:rFonts w:hint="eastAsia" w:ascii="Times New Roman" w:cs="Times New Roman"/>
                      <w:color w:val="auto"/>
                      <w:sz w:val="21"/>
                      <w:szCs w:val="21"/>
                      <w:highlight w:val="none"/>
                      <w:lang w:val="en-US" w:eastAsia="zh-CN"/>
                    </w:rPr>
                    <w:t>5.09.10)</w:t>
                  </w:r>
                </w:p>
                <w:p w14:paraId="6EE32848">
                  <w:pPr>
                    <w:pStyle w:val="82"/>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highlight w:val="none"/>
                      <w:lang w:val="en-US" w:eastAsia="zh-CN"/>
                    </w:rPr>
                    <w:t>QYYQ-0</w:t>
                  </w:r>
                  <w:r>
                    <w:rPr>
                      <w:rFonts w:hint="eastAsia" w:ascii="Times New Roman" w:hAnsi="Times New Roman" w:eastAsia="宋体" w:cs="Times New Roman"/>
                      <w:color w:val="auto"/>
                      <w:sz w:val="21"/>
                      <w:szCs w:val="21"/>
                      <w:highlight w:val="none"/>
                      <w:lang w:val="en-US" w:eastAsia="zh-CN"/>
                    </w:rPr>
                    <w:t>72(202</w:t>
                  </w:r>
                  <w:r>
                    <w:rPr>
                      <w:rFonts w:hint="eastAsia" w:ascii="Times New Roman" w:cs="Times New Roman"/>
                      <w:color w:val="auto"/>
                      <w:sz w:val="21"/>
                      <w:szCs w:val="21"/>
                      <w:highlight w:val="none"/>
                      <w:lang w:val="en-US" w:eastAsia="zh-CN"/>
                    </w:rPr>
                    <w:t>5.09.10)</w:t>
                  </w:r>
                </w:p>
              </w:tc>
              <w:tc>
                <w:tcPr>
                  <w:tcW w:w="649" w:type="pct"/>
                  <w:tcBorders>
                    <w:tl2br w:val="nil"/>
                    <w:tr2bl w:val="nil"/>
                  </w:tcBorders>
                  <w:noWrap w:val="0"/>
                  <w:vAlign w:val="center"/>
                </w:tcPr>
                <w:p w14:paraId="44C339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369" w:type="pct"/>
                  <w:tcBorders>
                    <w:tl2br w:val="nil"/>
                    <w:tr2bl w:val="nil"/>
                  </w:tcBorders>
                  <w:noWrap w:val="0"/>
                  <w:vAlign w:val="center"/>
                </w:tcPr>
                <w:p w14:paraId="76CFA6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任敏</w:t>
                  </w:r>
                </w:p>
              </w:tc>
            </w:tr>
            <w:tr w14:paraId="7894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8B47605">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硝酸盐</w:t>
                  </w:r>
                </w:p>
              </w:tc>
              <w:tc>
                <w:tcPr>
                  <w:tcW w:w="1362" w:type="pct"/>
                  <w:tcBorders>
                    <w:tl2br w:val="nil"/>
                    <w:tr2bl w:val="nil"/>
                  </w:tcBorders>
                  <w:noWrap w:val="0"/>
                  <w:vAlign w:val="center"/>
                </w:tcPr>
                <w:p w14:paraId="3264C9E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水质 硝酸盐氮的测定 紫外分光光度法（试行）HJ/T 346-2007</w:t>
                  </w:r>
                </w:p>
              </w:tc>
              <w:tc>
                <w:tcPr>
                  <w:tcW w:w="1142" w:type="pct"/>
                  <w:tcBorders>
                    <w:tl2br w:val="nil"/>
                    <w:tr2bl w:val="nil"/>
                  </w:tcBorders>
                  <w:noWrap w:val="0"/>
                  <w:vAlign w:val="center"/>
                </w:tcPr>
                <w:p w14:paraId="2D443800">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UV2600A </w:t>
                  </w:r>
                </w:p>
                <w:p w14:paraId="57C2662D">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紫外可见光分光光度计</w:t>
                  </w:r>
                </w:p>
              </w:tc>
              <w:tc>
                <w:tcPr>
                  <w:tcW w:w="839" w:type="pct"/>
                  <w:tcBorders>
                    <w:tl2br w:val="nil"/>
                    <w:tr2bl w:val="nil"/>
                  </w:tcBorders>
                  <w:noWrap w:val="0"/>
                  <w:vAlign w:val="center"/>
                </w:tcPr>
                <w:p w14:paraId="211D5019">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QYYQ-011(</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6575640E">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0.08mg/L</w:t>
                  </w:r>
                </w:p>
              </w:tc>
              <w:tc>
                <w:tcPr>
                  <w:tcW w:w="369" w:type="pct"/>
                  <w:tcBorders>
                    <w:tl2br w:val="nil"/>
                    <w:tr2bl w:val="nil"/>
                  </w:tcBorders>
                  <w:noWrap w:val="0"/>
                  <w:vAlign w:val="center"/>
                </w:tcPr>
                <w:p w14:paraId="3AED225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1183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636" w:type="pct"/>
                  <w:tcBorders>
                    <w:tl2br w:val="nil"/>
                    <w:tr2bl w:val="nil"/>
                  </w:tcBorders>
                  <w:noWrap w:val="0"/>
                  <w:vAlign w:val="center"/>
                </w:tcPr>
                <w:p w14:paraId="3917F824">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vertAlign w:val="baseline"/>
                      <w:lang w:val="en-US" w:eastAsia="zh-CN" w:bidi="zh-CN"/>
                    </w:rPr>
                    <w:t>亚硝酸盐氮</w:t>
                  </w:r>
                </w:p>
              </w:tc>
              <w:tc>
                <w:tcPr>
                  <w:tcW w:w="1362" w:type="pct"/>
                  <w:tcBorders>
                    <w:tl2br w:val="nil"/>
                    <w:tr2bl w:val="nil"/>
                  </w:tcBorders>
                  <w:noWrap w:val="0"/>
                  <w:vAlign w:val="center"/>
                </w:tcPr>
                <w:p w14:paraId="1D2A90E5">
                  <w:pPr>
                    <w:pStyle w:val="75"/>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水质 亚硝酸盐氮的测定 分光光度法</w:t>
                  </w:r>
                </w:p>
                <w:p w14:paraId="0B2A99FD">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GB 7493-1987</w:t>
                  </w:r>
                </w:p>
              </w:tc>
              <w:tc>
                <w:tcPr>
                  <w:tcW w:w="1142" w:type="pct"/>
                  <w:tcBorders>
                    <w:tl2br w:val="nil"/>
                    <w:tr2bl w:val="nil"/>
                  </w:tcBorders>
                  <w:noWrap w:val="0"/>
                  <w:vAlign w:val="center"/>
                </w:tcPr>
                <w:p w14:paraId="61680F15">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7200 可见分光光度计</w:t>
                  </w:r>
                </w:p>
              </w:tc>
              <w:tc>
                <w:tcPr>
                  <w:tcW w:w="839" w:type="pct"/>
                  <w:tcBorders>
                    <w:tl2br w:val="nil"/>
                    <w:tr2bl w:val="nil"/>
                  </w:tcBorders>
                  <w:noWrap w:val="0"/>
                  <w:vAlign w:val="center"/>
                </w:tcPr>
                <w:p w14:paraId="16FE1EF8">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zh-CN"/>
                    </w:rPr>
                    <w:t>QYYQ-006(2025.09.10)</w:t>
                  </w:r>
                </w:p>
              </w:tc>
              <w:tc>
                <w:tcPr>
                  <w:tcW w:w="649" w:type="pct"/>
                  <w:tcBorders>
                    <w:tl2br w:val="nil"/>
                    <w:tr2bl w:val="nil"/>
                  </w:tcBorders>
                  <w:noWrap w:val="0"/>
                  <w:vAlign w:val="center"/>
                </w:tcPr>
                <w:p w14:paraId="3B6F323A">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0.003mg/L</w:t>
                  </w:r>
                </w:p>
              </w:tc>
              <w:tc>
                <w:tcPr>
                  <w:tcW w:w="369" w:type="pct"/>
                  <w:tcBorders>
                    <w:tl2br w:val="nil"/>
                    <w:tr2bl w:val="nil"/>
                  </w:tcBorders>
                  <w:noWrap w:val="0"/>
                  <w:vAlign w:val="center"/>
                </w:tcPr>
                <w:p w14:paraId="2673FD6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罗晓</w:t>
                  </w:r>
                </w:p>
              </w:tc>
            </w:tr>
            <w:tr w14:paraId="5279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E0EBC65">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lang w:val="en-US" w:eastAsia="zh-CN" w:bidi="ar-SA"/>
                    </w:rPr>
                    <w:t>挥发性酚类</w:t>
                  </w:r>
                </w:p>
              </w:tc>
              <w:tc>
                <w:tcPr>
                  <w:tcW w:w="1362" w:type="pct"/>
                  <w:tcBorders>
                    <w:tl2br w:val="nil"/>
                    <w:tr2bl w:val="nil"/>
                  </w:tcBorders>
                  <w:noWrap w:val="0"/>
                  <w:vAlign w:val="center"/>
                </w:tcPr>
                <w:p w14:paraId="27D64D3F">
                  <w:pPr>
                    <w:jc w:val="center"/>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 xml:space="preserve">水质 挥发酚的测定 </w:t>
                  </w:r>
                </w:p>
                <w:p w14:paraId="207E416B">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cs="Times New Roman"/>
                      <w:color w:val="auto"/>
                      <w:sz w:val="21"/>
                      <w:szCs w:val="21"/>
                      <w:highlight w:val="none"/>
                      <w:lang w:val="en-US" w:eastAsia="zh-CN" w:bidi="ar-SA"/>
                    </w:rPr>
                    <w:t>4-氨基安替比林分光光度法</w:t>
                  </w:r>
                  <w:r>
                    <w:rPr>
                      <w:rFonts w:hint="eastAsia" w:ascii="Times New Roman" w:hAnsi="Times New Roman" w:cs="Times New Roman"/>
                      <w:color w:val="auto"/>
                      <w:sz w:val="21"/>
                      <w:szCs w:val="21"/>
                      <w:highlight w:val="none"/>
                      <w:lang w:val="en-US" w:eastAsia="zh-CN" w:bidi="ar-SA"/>
                    </w:rPr>
                    <w:t xml:space="preserve"> </w:t>
                  </w:r>
                  <w:r>
                    <w:rPr>
                      <w:rFonts w:hint="default" w:ascii="Times New Roman" w:hAnsi="Times New Roman" w:cs="Times New Roman"/>
                      <w:color w:val="auto"/>
                      <w:sz w:val="21"/>
                      <w:szCs w:val="21"/>
                      <w:highlight w:val="none"/>
                      <w:lang w:val="en-US" w:eastAsia="zh-CN" w:bidi="ar-SA"/>
                    </w:rPr>
                    <w:t>HJ 503-2009</w:t>
                  </w:r>
                </w:p>
              </w:tc>
              <w:tc>
                <w:tcPr>
                  <w:tcW w:w="1142" w:type="pct"/>
                  <w:tcBorders>
                    <w:tl2br w:val="nil"/>
                    <w:tr2bl w:val="nil"/>
                  </w:tcBorders>
                  <w:noWrap w:val="0"/>
                  <w:vAlign w:val="center"/>
                </w:tcPr>
                <w:p w14:paraId="5E9C058C">
                  <w:pPr>
                    <w:jc w:val="center"/>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7200</w:t>
                  </w:r>
                  <w:r>
                    <w:rPr>
                      <w:rFonts w:hint="eastAsia" w:ascii="Times New Roman" w:hAnsi="Times New Roman" w:eastAsia="宋体" w:cs="Times New Roman"/>
                      <w:color w:val="auto"/>
                      <w:sz w:val="21"/>
                      <w:szCs w:val="21"/>
                      <w:highlight w:val="none"/>
                      <w:lang w:val="en-US" w:eastAsia="zh-CN" w:bidi="ar-SA"/>
                    </w:rPr>
                    <w:t xml:space="preserve"> </w:t>
                  </w:r>
                  <w:r>
                    <w:rPr>
                      <w:rFonts w:hint="default" w:ascii="Times New Roman" w:hAnsi="Times New Roman" w:eastAsia="宋体" w:cs="Times New Roman"/>
                      <w:color w:val="auto"/>
                      <w:sz w:val="21"/>
                      <w:szCs w:val="21"/>
                      <w:highlight w:val="none"/>
                      <w:lang w:val="en-US" w:eastAsia="zh-CN" w:bidi="ar-SA"/>
                    </w:rPr>
                    <w:t>可见分光光度计</w:t>
                  </w:r>
                </w:p>
              </w:tc>
              <w:tc>
                <w:tcPr>
                  <w:tcW w:w="839" w:type="pct"/>
                  <w:tcBorders>
                    <w:tl2br w:val="nil"/>
                    <w:tr2bl w:val="nil"/>
                  </w:tcBorders>
                  <w:noWrap w:val="0"/>
                  <w:vAlign w:val="center"/>
                </w:tcPr>
                <w:p w14:paraId="324590E6">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QYYQ-006</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cs="Times New Roman"/>
                      <w:color w:val="auto"/>
                      <w:sz w:val="21"/>
                      <w:szCs w:val="21"/>
                      <w:highlight w:val="none"/>
                      <w:lang w:val="en-US" w:eastAsia="zh-CN" w:bidi="ar-SA"/>
                    </w:rPr>
                    <w:t>202</w:t>
                  </w:r>
                  <w:r>
                    <w:rPr>
                      <w:rFonts w:hint="eastAsia" w:ascii="Times New Roman" w:hAnsi="Times New Roman" w:cs="Times New Roman"/>
                      <w:color w:val="auto"/>
                      <w:sz w:val="21"/>
                      <w:szCs w:val="21"/>
                      <w:highlight w:val="none"/>
                      <w:lang w:val="en-US" w:eastAsia="zh-CN" w:bidi="ar-SA"/>
                    </w:rPr>
                    <w:t>5.09.10)</w:t>
                  </w:r>
                </w:p>
              </w:tc>
              <w:tc>
                <w:tcPr>
                  <w:tcW w:w="649" w:type="pct"/>
                  <w:tcBorders>
                    <w:tl2br w:val="nil"/>
                    <w:tr2bl w:val="nil"/>
                  </w:tcBorders>
                  <w:noWrap w:val="0"/>
                  <w:vAlign w:val="center"/>
                </w:tcPr>
                <w:p w14:paraId="42CBADEC">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0.0003mg/L</w:t>
                  </w:r>
                </w:p>
              </w:tc>
              <w:tc>
                <w:tcPr>
                  <w:tcW w:w="369" w:type="pct"/>
                  <w:tcBorders>
                    <w:tl2br w:val="nil"/>
                    <w:tr2bl w:val="nil"/>
                  </w:tcBorders>
                  <w:noWrap w:val="0"/>
                  <w:vAlign w:val="center"/>
                </w:tcPr>
                <w:p w14:paraId="040D5419">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闫晓虹</w:t>
                  </w:r>
                </w:p>
              </w:tc>
            </w:tr>
            <w:tr w14:paraId="37F7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269734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21"/>
                      <w:szCs w:val="21"/>
                      <w:lang w:val="en-US" w:eastAsia="zh-CN" w:bidi="zh-CN"/>
                    </w:rPr>
                  </w:pPr>
                  <w:r>
                    <w:rPr>
                      <w:rFonts w:hint="eastAsia" w:ascii="Times New Roman" w:hAnsi="Times New Roman" w:cs="Times New Roman"/>
                      <w:color w:val="auto"/>
                      <w:kern w:val="0"/>
                      <w:sz w:val="21"/>
                      <w:szCs w:val="21"/>
                      <w:lang w:val="en-US" w:eastAsia="zh-CN" w:bidi="zh-CN"/>
                    </w:rPr>
                    <w:t>高锰酸盐指数</w:t>
                  </w:r>
                </w:p>
                <w:p w14:paraId="71A4831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0"/>
                      <w:sz w:val="21"/>
                      <w:szCs w:val="21"/>
                      <w:lang w:val="en-US" w:eastAsia="zh-CN" w:bidi="zh-CN"/>
                    </w:rPr>
                    <w:t>（耗氧量）</w:t>
                  </w:r>
                </w:p>
              </w:tc>
              <w:tc>
                <w:tcPr>
                  <w:tcW w:w="1362" w:type="pct"/>
                  <w:tcBorders>
                    <w:tl2br w:val="nil"/>
                    <w:tr2bl w:val="nil"/>
                  </w:tcBorders>
                  <w:noWrap w:val="0"/>
                  <w:vAlign w:val="center"/>
                </w:tcPr>
                <w:p w14:paraId="1F97FE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生活饮用水标准检验方法 第7部分：有机物综合指标 酸性高锰酸钾法</w:t>
                  </w:r>
                </w:p>
                <w:p w14:paraId="364661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GB/T 5750.7-2023</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4.1</w:t>
                  </w:r>
                  <w:r>
                    <w:rPr>
                      <w:rFonts w:hint="eastAsia" w:ascii="Times New Roman" w:hAnsi="Times New Roman" w:eastAsia="宋体" w:cs="Times New Roman"/>
                      <w:color w:val="auto"/>
                      <w:sz w:val="21"/>
                      <w:szCs w:val="21"/>
                      <w:highlight w:val="none"/>
                      <w:lang w:val="en-US" w:eastAsia="zh-CN" w:bidi="ar-SA"/>
                    </w:rPr>
                    <w:t>)</w:t>
                  </w:r>
                </w:p>
              </w:tc>
              <w:tc>
                <w:tcPr>
                  <w:tcW w:w="1142" w:type="pct"/>
                  <w:tcBorders>
                    <w:tl2br w:val="nil"/>
                    <w:tr2bl w:val="nil"/>
                  </w:tcBorders>
                  <w:noWrap w:val="0"/>
                  <w:vAlign w:val="center"/>
                </w:tcPr>
                <w:p w14:paraId="253D61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25.00m</w:t>
                  </w:r>
                  <w:r>
                    <w:rPr>
                      <w:rFonts w:hint="eastAsia" w:ascii="Times New Roman" w:hAnsi="Times New Roman" w:eastAsia="宋体" w:cs="Times New Roman"/>
                      <w:color w:val="auto"/>
                      <w:sz w:val="21"/>
                      <w:szCs w:val="21"/>
                      <w:highlight w:val="none"/>
                      <w:lang w:val="en-US" w:eastAsia="zh-CN" w:bidi="ar-SA"/>
                    </w:rPr>
                    <w:t>L</w:t>
                  </w:r>
                  <w:r>
                    <w:rPr>
                      <w:rFonts w:hint="default" w:ascii="Times New Roman" w:hAnsi="Times New Roman" w:eastAsia="宋体" w:cs="Times New Roman"/>
                      <w:color w:val="auto"/>
                      <w:sz w:val="21"/>
                      <w:szCs w:val="21"/>
                      <w:highlight w:val="none"/>
                      <w:lang w:val="en-US" w:eastAsia="zh-CN" w:bidi="ar-SA"/>
                    </w:rPr>
                    <w:t xml:space="preserve"> 棕色酸式滴定管</w:t>
                  </w:r>
                </w:p>
              </w:tc>
              <w:tc>
                <w:tcPr>
                  <w:tcW w:w="839" w:type="pct"/>
                  <w:tcBorders>
                    <w:tl2br w:val="nil"/>
                    <w:tr2bl w:val="nil"/>
                  </w:tcBorders>
                  <w:noWrap w:val="0"/>
                  <w:vAlign w:val="center"/>
                </w:tcPr>
                <w:p w14:paraId="3F37D4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QYYQ-070</w:t>
                  </w:r>
                  <w:r>
                    <w:rPr>
                      <w:rFonts w:hint="eastAsia" w:ascii="Times New Roman" w:hAnsi="Times New Roman" w:eastAsia="宋体" w:cs="Times New Roman"/>
                      <w:color w:val="auto"/>
                      <w:sz w:val="21"/>
                      <w:szCs w:val="21"/>
                      <w:highlight w:val="none"/>
                      <w:lang w:val="en-US" w:eastAsia="zh-CN" w:bidi="ar-SA"/>
                    </w:rPr>
                    <w:t>(2027.09.10)</w:t>
                  </w:r>
                </w:p>
              </w:tc>
              <w:tc>
                <w:tcPr>
                  <w:tcW w:w="649" w:type="pct"/>
                  <w:tcBorders>
                    <w:tl2br w:val="nil"/>
                    <w:tr2bl w:val="nil"/>
                  </w:tcBorders>
                  <w:noWrap w:val="0"/>
                  <w:vAlign w:val="center"/>
                </w:tcPr>
                <w:p w14:paraId="5C9EFC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0.05mg/L</w:t>
                  </w:r>
                </w:p>
              </w:tc>
              <w:tc>
                <w:tcPr>
                  <w:tcW w:w="369" w:type="pct"/>
                  <w:tcBorders>
                    <w:tl2br w:val="nil"/>
                    <w:tr2bl w:val="nil"/>
                  </w:tcBorders>
                  <w:noWrap w:val="0"/>
                  <w:vAlign w:val="center"/>
                </w:tcPr>
                <w:p w14:paraId="1D5548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闫晓虹</w:t>
                  </w:r>
                </w:p>
              </w:tc>
            </w:tr>
            <w:tr w14:paraId="6FDB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14AEAF6">
                  <w:pPr>
                    <w:jc w:val="center"/>
                    <w:rPr>
                      <w:rFonts w:hint="default" w:ascii="Times New Roman" w:hAnsi="Times New Roman" w:eastAsia="宋体" w:cs="Times New Roman"/>
                      <w:color w:val="auto"/>
                      <w:spacing w:val="-2"/>
                      <w:sz w:val="21"/>
                      <w:szCs w:val="21"/>
                      <w:lang w:val="en-US" w:eastAsia="zh-CN" w:bidi="ar-SA"/>
                    </w:rPr>
                  </w:pPr>
                  <w:r>
                    <w:rPr>
                      <w:rFonts w:hint="eastAsia" w:ascii="微软雅黑" w:hAnsi="微软雅黑" w:eastAsia="微软雅黑" w:cs="微软雅黑"/>
                      <w:color w:val="auto"/>
                      <w:sz w:val="21"/>
                      <w:szCs w:val="21"/>
                      <w:highlight w:val="none"/>
                      <w:vertAlign w:val="superscript"/>
                      <w:lang w:val="en-US" w:eastAsia="zh-CN" w:bidi="zh-CN"/>
                    </w:rPr>
                    <w:t>★</w:t>
                  </w:r>
                  <w:r>
                    <w:rPr>
                      <w:rFonts w:hint="eastAsia" w:ascii="Times New Roman" w:hAnsi="Times New Roman" w:eastAsia="宋体" w:cs="Times New Roman"/>
                      <w:color w:val="auto"/>
                      <w:sz w:val="21"/>
                      <w:szCs w:val="21"/>
                      <w:highlight w:val="none"/>
                      <w:lang w:val="en-US" w:eastAsia="zh-CN" w:bidi="ar-SA"/>
                    </w:rPr>
                    <w:t>总大肠菌群</w:t>
                  </w:r>
                </w:p>
              </w:tc>
              <w:tc>
                <w:tcPr>
                  <w:tcW w:w="1362" w:type="pct"/>
                  <w:tcBorders>
                    <w:tl2br w:val="nil"/>
                    <w:tr2bl w:val="nil"/>
                  </w:tcBorders>
                  <w:noWrap w:val="0"/>
                  <w:vAlign w:val="center"/>
                </w:tcPr>
                <w:p w14:paraId="52F17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bidi="ar-SA"/>
                    </w:rPr>
                    <w:t>生活饮用水标准检验方法 第12部分：微生物指标</w:t>
                  </w:r>
                  <w:r>
                    <w:rPr>
                      <w:rFonts w:hint="eastAsia" w:ascii="Times New Roman" w:hAnsi="Times New Roman"/>
                      <w:color w:val="auto"/>
                      <w:sz w:val="21"/>
                      <w:szCs w:val="21"/>
                      <w:highlight w:val="none"/>
                      <w:lang w:val="en-US" w:eastAsia="zh-CN" w:bidi="ar-SA"/>
                    </w:rPr>
                    <w:t xml:space="preserve"> 总大肠菌群 酶底物法</w:t>
                  </w:r>
                </w:p>
                <w:p w14:paraId="7BBB10C6">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olor w:val="auto"/>
                      <w:sz w:val="21"/>
                      <w:szCs w:val="21"/>
                      <w:highlight w:val="none"/>
                      <w:lang w:val="en-US" w:eastAsia="zh-CN" w:bidi="ar-SA"/>
                    </w:rPr>
                    <w:t>GB/T5750.12-2023(</w:t>
                  </w:r>
                  <w:r>
                    <w:rPr>
                      <w:rFonts w:hint="eastAsia" w:ascii="Times New Roman" w:hAnsi="Times New Roman"/>
                      <w:color w:val="auto"/>
                      <w:sz w:val="21"/>
                      <w:szCs w:val="21"/>
                      <w:highlight w:val="none"/>
                      <w:lang w:val="en-US" w:eastAsia="zh-CN" w:bidi="ar-SA"/>
                    </w:rPr>
                    <w:t>5.3)</w:t>
                  </w:r>
                </w:p>
              </w:tc>
              <w:tc>
                <w:tcPr>
                  <w:tcW w:w="1142" w:type="pct"/>
                  <w:tcBorders>
                    <w:tl2br w:val="nil"/>
                    <w:tr2bl w:val="nil"/>
                  </w:tcBorders>
                  <w:noWrap w:val="0"/>
                  <w:vAlign w:val="center"/>
                </w:tcPr>
                <w:p w14:paraId="31EE6DC2">
                  <w:pPr>
                    <w:keepNext w:val="0"/>
                    <w:keepLines w:val="0"/>
                    <w:pageBreakBefore w:val="0"/>
                    <w:widowControl w:val="0"/>
                    <w:kinsoku/>
                    <w:wordWrap w:val="0"/>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手提式压力蒸汽灭菌器</w:t>
                  </w:r>
                </w:p>
                <w:p w14:paraId="54C21DD5">
                  <w:pPr>
                    <w:keepNext w:val="0"/>
                    <w:keepLines w:val="0"/>
                    <w:pageBreakBefore w:val="0"/>
                    <w:widowControl w:val="0"/>
                    <w:kinsoku/>
                    <w:wordWrap w:val="0"/>
                    <w:overflowPunct/>
                    <w:topLinePunct w:val="0"/>
                    <w:autoSpaceDE/>
                    <w:autoSpaceDN/>
                    <w:bidi w:val="0"/>
                    <w:adjustRightInd/>
                    <w:snapToGrid/>
                    <w:jc w:val="center"/>
                    <w:textAlignment w:val="auto"/>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cs="Times New Roman"/>
                      <w:color w:val="auto"/>
                      <w:sz w:val="21"/>
                      <w:szCs w:val="21"/>
                      <w:highlight w:val="none"/>
                      <w:lang w:val="en-US" w:eastAsia="zh-CN" w:bidi="ar-SA"/>
                    </w:rPr>
                    <w:t>SPX-70B生化培养箱</w:t>
                  </w:r>
                </w:p>
              </w:tc>
              <w:tc>
                <w:tcPr>
                  <w:tcW w:w="839" w:type="pct"/>
                  <w:tcBorders>
                    <w:tl2br w:val="nil"/>
                    <w:tr2bl w:val="nil"/>
                  </w:tcBorders>
                  <w:noWrap w:val="0"/>
                  <w:vAlign w:val="center"/>
                </w:tcPr>
                <w:p w14:paraId="4D78DE6F">
                  <w:pPr>
                    <w:keepNext w:val="0"/>
                    <w:keepLines w:val="0"/>
                    <w:widowControl/>
                    <w:suppressLineNumbers w:val="0"/>
                    <w:jc w:val="center"/>
                    <w:rPr>
                      <w:rFonts w:hint="eastAsia" w:ascii="Times New Roman" w:hAnsi="Times New Roman" w:eastAsia="宋体" w:cs="Times New Roman"/>
                      <w:color w:val="auto"/>
                      <w:kern w:val="2"/>
                      <w:sz w:val="21"/>
                      <w:szCs w:val="21"/>
                      <w:highlight w:val="red"/>
                      <w:lang w:val="en-US" w:eastAsia="zh-CN" w:bidi="ar-SA"/>
                    </w:rPr>
                  </w:pPr>
                  <w:r>
                    <w:rPr>
                      <w:rFonts w:hint="default" w:ascii="Times New Roman" w:hAnsi="Times New Roman" w:cs="Times New Roman"/>
                      <w:color w:val="auto"/>
                      <w:sz w:val="21"/>
                      <w:szCs w:val="21"/>
                      <w:highlight w:val="none"/>
                      <w:lang w:val="en-US" w:eastAsia="zh-CN" w:bidi="ar-SA"/>
                    </w:rPr>
                    <w:t>YLBQ-YQ-</w:t>
                  </w:r>
                  <w:r>
                    <w:rPr>
                      <w:rFonts w:hint="eastAsia" w:ascii="Times New Roman" w:hAnsi="Times New Roman" w:cs="Times New Roman"/>
                      <w:color w:val="auto"/>
                      <w:sz w:val="21"/>
                      <w:szCs w:val="21"/>
                      <w:highlight w:val="none"/>
                      <w:lang w:val="en-US" w:eastAsia="zh-CN" w:bidi="ar-SA"/>
                    </w:rPr>
                    <w:t>084(</w:t>
                  </w:r>
                  <w:r>
                    <w:rPr>
                      <w:rFonts w:hint="eastAsia" w:ascii="Times New Roman" w:hAnsi="Times New Roman" w:eastAsia="宋体" w:cs="Times New Roman"/>
                      <w:color w:val="auto"/>
                      <w:sz w:val="21"/>
                      <w:szCs w:val="21"/>
                      <w:highlight w:val="none"/>
                      <w:lang w:val="en-US" w:eastAsia="zh-CN" w:bidi="ar-SA"/>
                    </w:rPr>
                    <w:t>2025.07.17)</w:t>
                  </w:r>
                </w:p>
                <w:p w14:paraId="3983D862">
                  <w:pPr>
                    <w:keepNext w:val="0"/>
                    <w:keepLines w:val="0"/>
                    <w:widowControl/>
                    <w:suppressLineNumbers w:val="0"/>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cs="Times New Roman"/>
                      <w:color w:val="auto"/>
                      <w:sz w:val="21"/>
                      <w:szCs w:val="21"/>
                      <w:highlight w:val="none"/>
                      <w:lang w:val="en-US" w:eastAsia="zh-CN" w:bidi="ar-SA"/>
                    </w:rPr>
                    <w:t>YLBQ-YQ-</w:t>
                  </w:r>
                  <w:r>
                    <w:rPr>
                      <w:rFonts w:hint="eastAsia" w:ascii="Times New Roman" w:hAnsi="Times New Roman" w:cs="Times New Roman"/>
                      <w:color w:val="auto"/>
                      <w:sz w:val="21"/>
                      <w:szCs w:val="21"/>
                      <w:highlight w:val="none"/>
                      <w:lang w:val="en-US" w:eastAsia="zh-CN" w:bidi="ar-SA"/>
                    </w:rPr>
                    <w:t>063(</w:t>
                  </w:r>
                  <w:r>
                    <w:rPr>
                      <w:rFonts w:hint="eastAsia" w:ascii="Times New Roman" w:hAnsi="Times New Roman" w:eastAsia="宋体" w:cs="Times New Roman"/>
                      <w:color w:val="auto"/>
                      <w:sz w:val="21"/>
                      <w:szCs w:val="21"/>
                      <w:highlight w:val="none"/>
                      <w:lang w:val="en-US" w:eastAsia="zh-CN" w:bidi="ar-SA"/>
                    </w:rPr>
                    <w:t>2025.07.17)</w:t>
                  </w:r>
                </w:p>
              </w:tc>
              <w:tc>
                <w:tcPr>
                  <w:tcW w:w="649" w:type="pct"/>
                  <w:tcBorders>
                    <w:tl2br w:val="nil"/>
                    <w:tr2bl w:val="nil"/>
                  </w:tcBorders>
                  <w:noWrap w:val="0"/>
                  <w:vAlign w:val="center"/>
                </w:tcPr>
                <w:p w14:paraId="08D850D6">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69" w:type="pct"/>
                  <w:tcBorders>
                    <w:tl2br w:val="nil"/>
                    <w:tr2bl w:val="nil"/>
                  </w:tcBorders>
                  <w:noWrap w:val="0"/>
                  <w:vAlign w:val="center"/>
                </w:tcPr>
                <w:p w14:paraId="6F44269C">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刘梦</w:t>
                  </w:r>
                </w:p>
              </w:tc>
            </w:tr>
            <w:tr w14:paraId="22CA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768FF1F">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宋体" w:eastAsia="宋体" w:cs="宋体"/>
                      <w:color w:val="auto"/>
                      <w:sz w:val="21"/>
                      <w:szCs w:val="21"/>
                      <w:lang w:val="en-US" w:eastAsia="zh-CN" w:bidi="ar-SA"/>
                    </w:rPr>
                    <w:t>氟化物</w:t>
                  </w:r>
                </w:p>
              </w:tc>
              <w:tc>
                <w:tcPr>
                  <w:tcW w:w="1362" w:type="pct"/>
                  <w:tcBorders>
                    <w:tl2br w:val="nil"/>
                    <w:tr2bl w:val="nil"/>
                  </w:tcBorders>
                  <w:noWrap w:val="0"/>
                  <w:vAlign w:val="center"/>
                </w:tcPr>
                <w:p w14:paraId="78249064">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水质 氟化物的测定 </w:t>
                  </w:r>
                </w:p>
                <w:p w14:paraId="1BF5B49A">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离子选择电极法</w:t>
                  </w:r>
                </w:p>
                <w:p w14:paraId="00168C7C">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GB 7484-1987</w:t>
                  </w:r>
                </w:p>
              </w:tc>
              <w:tc>
                <w:tcPr>
                  <w:tcW w:w="1142" w:type="pct"/>
                  <w:tcBorders>
                    <w:tl2br w:val="nil"/>
                    <w:tr2bl w:val="nil"/>
                  </w:tcBorders>
                  <w:noWrap w:val="0"/>
                  <w:vAlign w:val="center"/>
                </w:tcPr>
                <w:p w14:paraId="6C54343F">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PXSJ-216F</w:t>
                  </w:r>
                </w:p>
                <w:p w14:paraId="3642F7BE">
                  <w:pPr>
                    <w:keepNext w:val="0"/>
                    <w:keepLines w:val="0"/>
                    <w:pageBreakBefore w:val="0"/>
                    <w:widowControl w:val="0"/>
                    <w:kinsoku/>
                    <w:wordWrap w:val="0"/>
                    <w:overflowPunct/>
                    <w:topLinePunct w:val="0"/>
                    <w:autoSpaceDE/>
                    <w:autoSpaceDN/>
                    <w:bidi w:val="0"/>
                    <w:adjustRightInd/>
                    <w:snapToGrid/>
                    <w:jc w:val="center"/>
                    <w:textAlignment w:val="auto"/>
                    <w:rPr>
                      <w:rFonts w:hint="default" w:ascii="Times New Roman" w:hAnsi="Times New Roman" w:eastAsia="宋体" w:cs="Times New Roman"/>
                      <w:color w:val="auto"/>
                      <w:spacing w:val="-1"/>
                      <w:sz w:val="21"/>
                      <w:szCs w:val="21"/>
                      <w:lang w:val="en-US" w:eastAsia="zh-CN" w:bidi="ar-SA"/>
                    </w:rPr>
                  </w:pPr>
                  <w:r>
                    <w:rPr>
                      <w:rFonts w:hint="eastAsia" w:ascii="宋体" w:hAnsi="宋体"/>
                      <w:color w:val="auto"/>
                      <w:sz w:val="21"/>
                      <w:szCs w:val="21"/>
                      <w:lang w:val="en-US" w:eastAsia="zh-CN" w:bidi="ar-SA"/>
                    </w:rPr>
                    <w:t>离子计</w:t>
                  </w:r>
                </w:p>
              </w:tc>
              <w:tc>
                <w:tcPr>
                  <w:tcW w:w="839" w:type="pct"/>
                  <w:tcBorders>
                    <w:tl2br w:val="nil"/>
                    <w:tr2bl w:val="nil"/>
                  </w:tcBorders>
                  <w:noWrap w:val="0"/>
                  <w:vAlign w:val="center"/>
                </w:tcPr>
                <w:p w14:paraId="5558025C">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w:t>
                  </w:r>
                  <w:r>
                    <w:rPr>
                      <w:rFonts w:hint="eastAsia" w:ascii="Times New Roman" w:hAnsi="Times New Roman" w:eastAsia="宋体" w:cs="Times New Roman"/>
                      <w:color w:val="auto"/>
                      <w:sz w:val="21"/>
                      <w:szCs w:val="21"/>
                      <w:highlight w:val="none"/>
                      <w:lang w:val="en-US" w:eastAsia="zh-CN" w:bidi="ar-SA"/>
                    </w:rPr>
                    <w:t>174(</w:t>
                  </w:r>
                  <w:r>
                    <w:rPr>
                      <w:rFonts w:hint="eastAsia" w:ascii="Times New Roman" w:hAnsi="Times New Roman" w:eastAsia="宋体" w:cs="Times New Roman"/>
                      <w:color w:val="auto"/>
                      <w:sz w:val="21"/>
                      <w:szCs w:val="21"/>
                      <w:lang w:val="en-US" w:eastAsia="zh-CN" w:bidi="ar-SA"/>
                    </w:rPr>
                    <w:t>2025.09.10)</w:t>
                  </w:r>
                </w:p>
              </w:tc>
              <w:tc>
                <w:tcPr>
                  <w:tcW w:w="649" w:type="pct"/>
                  <w:tcBorders>
                    <w:tl2br w:val="nil"/>
                    <w:tr2bl w:val="nil"/>
                  </w:tcBorders>
                  <w:noWrap w:val="0"/>
                  <w:vAlign w:val="center"/>
                </w:tcPr>
                <w:p w14:paraId="72F98B9A">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0.05mg/L</w:t>
                  </w:r>
                </w:p>
              </w:tc>
              <w:tc>
                <w:tcPr>
                  <w:tcW w:w="369" w:type="pct"/>
                  <w:tcBorders>
                    <w:tl2br w:val="nil"/>
                    <w:tr2bl w:val="nil"/>
                  </w:tcBorders>
                  <w:noWrap w:val="0"/>
                  <w:vAlign w:val="center"/>
                </w:tcPr>
                <w:p w14:paraId="7F674304">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highlight w:val="none"/>
                      <w:lang w:val="en-US" w:eastAsia="zh-CN" w:bidi="ar-SA"/>
                    </w:rPr>
                    <w:t>李强</w:t>
                  </w:r>
                </w:p>
              </w:tc>
            </w:tr>
            <w:tr w14:paraId="4BAE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6312EB0">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kern w:val="2"/>
                      <w:sz w:val="21"/>
                      <w:szCs w:val="21"/>
                      <w:highlight w:val="none"/>
                      <w:lang w:val="en-US" w:eastAsia="zh-CN" w:bidi="ar-SA"/>
                    </w:rPr>
                    <w:t>铁</w:t>
                  </w:r>
                </w:p>
              </w:tc>
              <w:tc>
                <w:tcPr>
                  <w:tcW w:w="1362" w:type="pct"/>
                  <w:tcBorders>
                    <w:tl2br w:val="nil"/>
                    <w:tr2bl w:val="nil"/>
                  </w:tcBorders>
                  <w:noWrap w:val="0"/>
                  <w:vAlign w:val="center"/>
                </w:tcPr>
                <w:p w14:paraId="401BEE95">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水质 铁、锰的测定 火焰原子吸收分光光度法</w:t>
                  </w:r>
                </w:p>
                <w:p w14:paraId="10D98B4C">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GB</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11911-1989</w:t>
                  </w:r>
                </w:p>
              </w:tc>
              <w:tc>
                <w:tcPr>
                  <w:tcW w:w="1142" w:type="pct"/>
                  <w:tcBorders>
                    <w:tl2br w:val="nil"/>
                    <w:tr2bl w:val="nil"/>
                  </w:tcBorders>
                  <w:noWrap w:val="0"/>
                  <w:vAlign w:val="center"/>
                </w:tcPr>
                <w:p w14:paraId="1C8790B8">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AA-7003 原子吸收分光光度计</w:t>
                  </w:r>
                </w:p>
              </w:tc>
              <w:tc>
                <w:tcPr>
                  <w:tcW w:w="839" w:type="pct"/>
                  <w:tcBorders>
                    <w:tl2br w:val="nil"/>
                    <w:tr2bl w:val="nil"/>
                  </w:tcBorders>
                  <w:noWrap w:val="0"/>
                  <w:vAlign w:val="center"/>
                </w:tcPr>
                <w:p w14:paraId="4314EA89">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QYYQ-012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2025.09.11</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49" w:type="pct"/>
                  <w:tcBorders>
                    <w:tl2br w:val="nil"/>
                    <w:tr2bl w:val="nil"/>
                  </w:tcBorders>
                  <w:noWrap w:val="0"/>
                  <w:vAlign w:val="center"/>
                </w:tcPr>
                <w:p w14:paraId="5541FFF6">
                  <w:pPr>
                    <w:keepNext w:val="0"/>
                    <w:keepLines w:val="0"/>
                    <w:pageBreakBefore w:val="0"/>
                    <w:kinsoku/>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0.0</w:t>
                  </w:r>
                  <w:r>
                    <w:rPr>
                      <w:rFonts w:hint="eastAsia" w:ascii="Times New Roman" w:hAnsi="Times New Roman" w:eastAsia="宋体" w:cs="Times New Roman"/>
                      <w:color w:val="auto"/>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bidi="ar-SA"/>
                    </w:rPr>
                    <w:t>mg/L</w:t>
                  </w:r>
                </w:p>
              </w:tc>
              <w:tc>
                <w:tcPr>
                  <w:tcW w:w="369" w:type="pct"/>
                  <w:tcBorders>
                    <w:tl2br w:val="nil"/>
                    <w:tr2bl w:val="nil"/>
                  </w:tcBorders>
                  <w:noWrap w:val="0"/>
                  <w:vAlign w:val="center"/>
                </w:tcPr>
                <w:p w14:paraId="62F8FE2C">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许月霞</w:t>
                  </w:r>
                </w:p>
              </w:tc>
            </w:tr>
            <w:tr w14:paraId="54B2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EF703D6">
                  <w:pPr>
                    <w:keepNext w:val="0"/>
                    <w:keepLines w:val="0"/>
                    <w:pageBreakBefore w:val="0"/>
                    <w:kinsoku/>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锰</w:t>
                  </w:r>
                </w:p>
              </w:tc>
              <w:tc>
                <w:tcPr>
                  <w:tcW w:w="1362" w:type="pct"/>
                  <w:tcBorders>
                    <w:tl2br w:val="nil"/>
                    <w:tr2bl w:val="nil"/>
                  </w:tcBorders>
                  <w:noWrap w:val="0"/>
                  <w:vAlign w:val="center"/>
                </w:tcPr>
                <w:p w14:paraId="292F6660">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水质 铁、锰的测定 火焰原子吸收分光光度法</w:t>
                  </w:r>
                </w:p>
                <w:p w14:paraId="0156BCF8">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GB</w:t>
                  </w:r>
                  <w:r>
                    <w:rPr>
                      <w:rFonts w:hint="eastAsia" w:ascii="Times New Roman" w:hAnsi="Times New Roman" w:cs="Times New Roman"/>
                      <w:i w:val="0"/>
                      <w:iCs w:val="0"/>
                      <w:color w:val="auto"/>
                      <w:kern w:val="0"/>
                      <w:sz w:val="21"/>
                      <w:szCs w:val="21"/>
                      <w:highlight w:val="none"/>
                      <w:u w:val="non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11911-1989</w:t>
                  </w:r>
                </w:p>
              </w:tc>
              <w:tc>
                <w:tcPr>
                  <w:tcW w:w="1142" w:type="pct"/>
                  <w:tcBorders>
                    <w:tl2br w:val="nil"/>
                    <w:tr2bl w:val="nil"/>
                  </w:tcBorders>
                  <w:noWrap w:val="0"/>
                  <w:vAlign w:val="center"/>
                </w:tcPr>
                <w:p w14:paraId="24141055">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AA-7003 原子吸收分光光度计</w:t>
                  </w:r>
                </w:p>
              </w:tc>
              <w:tc>
                <w:tcPr>
                  <w:tcW w:w="839" w:type="pct"/>
                  <w:tcBorders>
                    <w:tl2br w:val="nil"/>
                    <w:tr2bl w:val="nil"/>
                  </w:tcBorders>
                  <w:noWrap w:val="0"/>
                  <w:vAlign w:val="center"/>
                </w:tcPr>
                <w:p w14:paraId="18D16D0C">
                  <w:pPr>
                    <w:keepNext w:val="0"/>
                    <w:keepLines w:val="0"/>
                    <w:pageBreakBefore w:val="0"/>
                    <w:widowControl/>
                    <w:suppressLineNumbers w:val="0"/>
                    <w:kinsoku/>
                    <w:overflowPunct/>
                    <w:topLinePunct w:val="0"/>
                    <w:bidi w:val="0"/>
                    <w:snapToGrid/>
                    <w:jc w:val="center"/>
                    <w:textAlignment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QYYQ-012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2025.09.11</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49" w:type="pct"/>
                  <w:tcBorders>
                    <w:tl2br w:val="nil"/>
                    <w:tr2bl w:val="nil"/>
                  </w:tcBorders>
                  <w:noWrap w:val="0"/>
                  <w:vAlign w:val="center"/>
                </w:tcPr>
                <w:p w14:paraId="0136E0AF">
                  <w:pPr>
                    <w:keepNext w:val="0"/>
                    <w:keepLines w:val="0"/>
                    <w:pageBreakBefore w:val="0"/>
                    <w:kinsoku/>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0.01mg/L</w:t>
                  </w:r>
                </w:p>
              </w:tc>
              <w:tc>
                <w:tcPr>
                  <w:tcW w:w="369" w:type="pct"/>
                  <w:tcBorders>
                    <w:tl2br w:val="nil"/>
                    <w:tr2bl w:val="nil"/>
                  </w:tcBorders>
                  <w:noWrap w:val="0"/>
                  <w:vAlign w:val="center"/>
                </w:tcPr>
                <w:p w14:paraId="6362A686">
                  <w:pPr>
                    <w:keepNext w:val="0"/>
                    <w:keepLines w:val="0"/>
                    <w:pageBreakBefore w:val="0"/>
                    <w:kinsoku/>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许月霞</w:t>
                  </w:r>
                </w:p>
              </w:tc>
            </w:tr>
            <w:tr w14:paraId="576C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098E010">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镉</w:t>
                  </w:r>
                </w:p>
              </w:tc>
              <w:tc>
                <w:tcPr>
                  <w:tcW w:w="1362" w:type="pct"/>
                  <w:tcBorders>
                    <w:tl2br w:val="nil"/>
                    <w:tr2bl w:val="nil"/>
                  </w:tcBorders>
                  <w:noWrap w:val="0"/>
                  <w:vAlign w:val="center"/>
                </w:tcPr>
                <w:p w14:paraId="50A933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生活饮用水标准检验方法</w:t>
                  </w:r>
                  <w:r>
                    <w:rPr>
                      <w:rFonts w:hint="eastAsia" w:ascii="Times New Roman" w:hAnsi="Times New Roman" w:eastAsia="宋体" w:cs="Times New Roman"/>
                      <w:color w:val="auto"/>
                      <w:sz w:val="21"/>
                      <w:szCs w:val="21"/>
                      <w:highlight w:val="none"/>
                      <w:lang w:val="en-US" w:eastAsia="zh-CN" w:bidi="ar-SA"/>
                    </w:rPr>
                    <w:t xml:space="preserve"> 第6部分：</w:t>
                  </w:r>
                  <w:r>
                    <w:rPr>
                      <w:rFonts w:hint="default" w:ascii="Times New Roman" w:hAnsi="Times New Roman" w:eastAsia="宋体" w:cs="Times New Roman"/>
                      <w:color w:val="auto"/>
                      <w:sz w:val="21"/>
                      <w:szCs w:val="21"/>
                      <w:highlight w:val="none"/>
                      <w:lang w:val="en-US" w:eastAsia="zh-CN" w:bidi="ar-SA"/>
                    </w:rPr>
                    <w:t>金属</w:t>
                  </w:r>
                  <w:r>
                    <w:rPr>
                      <w:rFonts w:hint="eastAsia" w:ascii="Times New Roman" w:hAnsi="Times New Roman" w:eastAsia="宋体" w:cs="Times New Roman"/>
                      <w:color w:val="auto"/>
                      <w:sz w:val="21"/>
                      <w:szCs w:val="21"/>
                      <w:highlight w:val="none"/>
                      <w:lang w:val="en-US" w:eastAsia="zh-CN" w:bidi="ar-SA"/>
                    </w:rPr>
                    <w:t>和类金属</w:t>
                  </w:r>
                  <w:r>
                    <w:rPr>
                      <w:rFonts w:hint="default" w:ascii="Times New Roman" w:hAnsi="Times New Roman" w:eastAsia="宋体" w:cs="Times New Roman"/>
                      <w:color w:val="auto"/>
                      <w:sz w:val="21"/>
                      <w:szCs w:val="21"/>
                      <w:highlight w:val="none"/>
                      <w:lang w:val="en-US" w:eastAsia="zh-CN" w:bidi="ar-SA"/>
                    </w:rPr>
                    <w:t xml:space="preserve">指标 </w:t>
                  </w:r>
                  <w:r>
                    <w:rPr>
                      <w:rFonts w:hint="eastAsia" w:ascii="Times New Roman" w:hAnsi="Times New Roman" w:eastAsia="宋体" w:cs="Times New Roman"/>
                      <w:color w:val="auto"/>
                      <w:sz w:val="21"/>
                      <w:szCs w:val="21"/>
                      <w:highlight w:val="none"/>
                      <w:lang w:val="en-US" w:eastAsia="zh-CN" w:bidi="ar-SA"/>
                    </w:rPr>
                    <w:t>无火焰</w:t>
                  </w:r>
                  <w:r>
                    <w:rPr>
                      <w:rFonts w:hint="default" w:ascii="Times New Roman" w:hAnsi="Times New Roman" w:eastAsia="宋体" w:cs="Times New Roman"/>
                      <w:color w:val="auto"/>
                      <w:sz w:val="21"/>
                      <w:szCs w:val="21"/>
                      <w:highlight w:val="none"/>
                      <w:lang w:val="en-US" w:eastAsia="zh-CN" w:bidi="ar-SA"/>
                    </w:rPr>
                    <w:t>原子吸收分光光度法</w:t>
                  </w:r>
                </w:p>
                <w:p w14:paraId="30F25E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GB/T 5750.6-20</w:t>
                  </w:r>
                  <w:r>
                    <w:rPr>
                      <w:rFonts w:hint="eastAsia" w:ascii="Times New Roman" w:hAnsi="Times New Roman" w:eastAsia="宋体" w:cs="Times New Roman"/>
                      <w:color w:val="auto"/>
                      <w:sz w:val="21"/>
                      <w:szCs w:val="21"/>
                      <w:highlight w:val="none"/>
                      <w:lang w:val="en-US" w:eastAsia="zh-CN" w:bidi="ar-SA"/>
                    </w:rPr>
                    <w:t>23(12</w:t>
                  </w:r>
                  <w:r>
                    <w:rPr>
                      <w:rFonts w:hint="default" w:ascii="Times New Roman" w:hAnsi="Times New Roman" w:eastAsia="宋体"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w:t>
                  </w:r>
                </w:p>
              </w:tc>
              <w:tc>
                <w:tcPr>
                  <w:tcW w:w="1142" w:type="pct"/>
                  <w:tcBorders>
                    <w:tl2br w:val="nil"/>
                    <w:tr2bl w:val="nil"/>
                  </w:tcBorders>
                  <w:noWrap w:val="0"/>
                  <w:vAlign w:val="center"/>
                </w:tcPr>
                <w:p w14:paraId="361C5E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AA-7003</w:t>
                  </w:r>
                  <w:r>
                    <w:rPr>
                      <w:rFonts w:hint="eastAsia" w:ascii="Times New Roman" w:hAnsi="Times New Roman" w:eastAsia="宋体" w:cs="Times New Roman"/>
                      <w:b w:val="0"/>
                      <w:bCs w:val="0"/>
                      <w:color w:val="auto"/>
                      <w:sz w:val="21"/>
                      <w:szCs w:val="21"/>
                      <w:highlight w:val="none"/>
                      <w:lang w:val="en-US" w:eastAsia="zh-CN" w:bidi="ar-SA"/>
                    </w:rPr>
                    <w:t xml:space="preserve"> </w:t>
                  </w:r>
                  <w:r>
                    <w:rPr>
                      <w:rFonts w:hint="default" w:ascii="Times New Roman" w:hAnsi="Times New Roman" w:eastAsia="宋体" w:cs="Times New Roman"/>
                      <w:b w:val="0"/>
                      <w:bCs w:val="0"/>
                      <w:color w:val="auto"/>
                      <w:sz w:val="21"/>
                      <w:szCs w:val="21"/>
                      <w:highlight w:val="none"/>
                      <w:lang w:val="en-US" w:eastAsia="zh-CN" w:bidi="ar-SA"/>
                    </w:rPr>
                    <w:t>原子吸收分光光度计</w:t>
                  </w:r>
                </w:p>
              </w:tc>
              <w:tc>
                <w:tcPr>
                  <w:tcW w:w="839" w:type="pct"/>
                  <w:tcBorders>
                    <w:tl2br w:val="nil"/>
                    <w:tr2bl w:val="nil"/>
                  </w:tcBorders>
                  <w:noWrap w:val="0"/>
                  <w:vAlign w:val="center"/>
                </w:tcPr>
                <w:p w14:paraId="6BE113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QYYQ-012</w:t>
                  </w:r>
                  <w:r>
                    <w:rPr>
                      <w:rFonts w:hint="eastAsia" w:ascii="Times New Roman" w:hAnsi="Times New Roman" w:eastAsia="宋体" w:cs="Times New Roman"/>
                      <w:b w:val="0"/>
                      <w:bCs w:val="0"/>
                      <w:color w:val="auto"/>
                      <w:sz w:val="21"/>
                      <w:szCs w:val="21"/>
                      <w:highlight w:val="none"/>
                      <w:lang w:val="en-US" w:eastAsia="zh-CN" w:bidi="ar-SA"/>
                    </w:rPr>
                    <w:t>(2025.09.11)</w:t>
                  </w:r>
                </w:p>
              </w:tc>
              <w:tc>
                <w:tcPr>
                  <w:tcW w:w="649" w:type="pct"/>
                  <w:tcBorders>
                    <w:tl2br w:val="nil"/>
                    <w:tr2bl w:val="nil"/>
                  </w:tcBorders>
                  <w:noWrap w:val="0"/>
                  <w:vAlign w:val="center"/>
                </w:tcPr>
                <w:p w14:paraId="46FCED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bidi="ar-SA"/>
                    </w:rPr>
                    <w:sym w:font="Symbol" w:char="006D"/>
                  </w:r>
                  <w:r>
                    <w:rPr>
                      <w:rFonts w:hint="default" w:ascii="Times New Roman" w:hAnsi="Times New Roman" w:eastAsia="宋体" w:cs="Times New Roman"/>
                      <w:color w:val="auto"/>
                      <w:sz w:val="21"/>
                      <w:szCs w:val="21"/>
                      <w:highlight w:val="none"/>
                      <w:lang w:val="en-US" w:eastAsia="zh-CN" w:bidi="ar-SA"/>
                    </w:rPr>
                    <w:t>g/L</w:t>
                  </w:r>
                </w:p>
              </w:tc>
              <w:tc>
                <w:tcPr>
                  <w:tcW w:w="369" w:type="pct"/>
                  <w:tcBorders>
                    <w:tl2br w:val="nil"/>
                    <w:tr2bl w:val="nil"/>
                  </w:tcBorders>
                  <w:noWrap w:val="0"/>
                  <w:vAlign w:val="center"/>
                </w:tcPr>
                <w:p w14:paraId="3731ECA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许月霞</w:t>
                  </w:r>
                </w:p>
              </w:tc>
            </w:tr>
            <w:tr w14:paraId="5EED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E9E869D">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砷</w:t>
                  </w:r>
                </w:p>
              </w:tc>
              <w:tc>
                <w:tcPr>
                  <w:tcW w:w="1362" w:type="pct"/>
                  <w:vMerge w:val="restart"/>
                  <w:tcBorders>
                    <w:tl2br w:val="nil"/>
                    <w:tr2bl w:val="nil"/>
                  </w:tcBorders>
                  <w:noWrap w:val="0"/>
                  <w:vAlign w:val="center"/>
                </w:tcPr>
                <w:p w14:paraId="7465E8C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水质汞、砷、硒、铋和锑的测定</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原子荧光法</w:t>
                  </w:r>
                </w:p>
                <w:p w14:paraId="2746944F">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lang w:val="en-US" w:eastAsia="zh-CN" w:bidi="ar-SA"/>
                    </w:rPr>
                    <w:t>HJ</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694-2014</w:t>
                  </w:r>
                </w:p>
              </w:tc>
              <w:tc>
                <w:tcPr>
                  <w:tcW w:w="1142" w:type="pct"/>
                  <w:vMerge w:val="restart"/>
                  <w:tcBorders>
                    <w:tl2br w:val="nil"/>
                    <w:tr2bl w:val="nil"/>
                  </w:tcBorders>
                  <w:noWrap w:val="0"/>
                  <w:vAlign w:val="center"/>
                </w:tcPr>
                <w:p w14:paraId="669B763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AFS-2202E</w:t>
                  </w:r>
                </w:p>
                <w:p w14:paraId="28CCF2DB">
                  <w:pPr>
                    <w:jc w:val="center"/>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color w:val="auto"/>
                      <w:sz w:val="21"/>
                      <w:szCs w:val="21"/>
                      <w:lang w:val="en-US" w:eastAsia="zh-CN" w:bidi="ar-SA"/>
                    </w:rPr>
                    <w:t>双道氢化物-原子荧光光度计</w:t>
                  </w:r>
                </w:p>
              </w:tc>
              <w:tc>
                <w:tcPr>
                  <w:tcW w:w="839" w:type="pct"/>
                  <w:vMerge w:val="restart"/>
                  <w:tcBorders>
                    <w:tl2br w:val="nil"/>
                    <w:tr2bl w:val="nil"/>
                  </w:tcBorders>
                  <w:noWrap w:val="0"/>
                  <w:vAlign w:val="center"/>
                </w:tcPr>
                <w:p w14:paraId="7B92205D">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cs="Times New Roman"/>
                      <w:color w:val="auto"/>
                      <w:sz w:val="21"/>
                      <w:szCs w:val="21"/>
                      <w:lang w:val="en-US" w:eastAsia="zh-CN" w:bidi="ar-SA"/>
                    </w:rPr>
                    <w:t>QYYQ-013</w:t>
                  </w:r>
                  <w:r>
                    <w:rPr>
                      <w:rFonts w:hint="eastAsia" w:ascii="Times New Roman" w:hAnsi="Times New Roman" w:cs="Times New Roman"/>
                      <w:color w:val="auto"/>
                      <w:sz w:val="21"/>
                      <w:szCs w:val="21"/>
                      <w:lang w:val="en-US" w:eastAsia="zh-CN" w:bidi="ar-SA"/>
                    </w:rPr>
                    <w:t>(</w:t>
                  </w:r>
                  <w:r>
                    <w:rPr>
                      <w:rFonts w:hint="default" w:ascii="Times New Roman" w:hAnsi="Times New Roman" w:cs="Times New Roman"/>
                      <w:color w:val="auto"/>
                      <w:sz w:val="21"/>
                      <w:szCs w:val="21"/>
                      <w:lang w:val="en-US" w:eastAsia="zh-CN" w:bidi="ar-SA"/>
                    </w:rPr>
                    <w:t>202</w:t>
                  </w:r>
                  <w:r>
                    <w:rPr>
                      <w:rFonts w:hint="eastAsia" w:ascii="Times New Roman" w:hAnsi="Times New Roman" w:cs="Times New Roman"/>
                      <w:color w:val="auto"/>
                      <w:sz w:val="21"/>
                      <w:szCs w:val="21"/>
                      <w:lang w:val="en-US" w:eastAsia="zh-CN" w:bidi="ar-SA"/>
                    </w:rPr>
                    <w:t>5.09.10)</w:t>
                  </w:r>
                </w:p>
              </w:tc>
              <w:tc>
                <w:tcPr>
                  <w:tcW w:w="649" w:type="pct"/>
                  <w:tcBorders>
                    <w:tl2br w:val="nil"/>
                    <w:tr2bl w:val="nil"/>
                  </w:tcBorders>
                  <w:noWrap w:val="0"/>
                  <w:vAlign w:val="center"/>
                </w:tcPr>
                <w:p w14:paraId="53848764">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bidi="ar-SA"/>
                    </w:rPr>
                    <w:t>0.3</w:t>
                  </w:r>
                  <w:r>
                    <w:rPr>
                      <w:rFonts w:hint="eastAsia" w:ascii="Times New Roman" w:hAnsi="Times New Roman" w:eastAsia="宋体" w:cs="Times New Roman"/>
                      <w:color w:val="auto"/>
                      <w:sz w:val="21"/>
                      <w:szCs w:val="21"/>
                      <w:vertAlign w:val="baseline"/>
                      <w:lang w:val="en-US" w:eastAsia="zh-CN" w:bidi="ar-SA"/>
                    </w:rPr>
                    <w:sym w:font="Symbol" w:char="006D"/>
                  </w:r>
                  <w:r>
                    <w:rPr>
                      <w:rFonts w:hint="eastAsia" w:ascii="Times New Roman" w:hAnsi="Times New Roman" w:eastAsia="宋体" w:cs="Times New Roman"/>
                      <w:color w:val="auto"/>
                      <w:sz w:val="21"/>
                      <w:szCs w:val="21"/>
                      <w:vertAlign w:val="baseline"/>
                      <w:lang w:val="en-US" w:eastAsia="zh-CN" w:bidi="ar-SA"/>
                    </w:rPr>
                    <w:t>g/L</w:t>
                  </w:r>
                </w:p>
              </w:tc>
              <w:tc>
                <w:tcPr>
                  <w:tcW w:w="369" w:type="pct"/>
                  <w:vMerge w:val="restart"/>
                  <w:tcBorders>
                    <w:tl2br w:val="nil"/>
                    <w:tr2bl w:val="nil"/>
                  </w:tcBorders>
                  <w:noWrap w:val="0"/>
                  <w:vAlign w:val="center"/>
                </w:tcPr>
                <w:p w14:paraId="26C296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1"/>
                      <w:highlight w:val="none"/>
                      <w:lang w:val="en-US" w:eastAsia="zh-CN" w:bidi="ar-SA"/>
                    </w:rPr>
                    <w:t>白蕾蕾</w:t>
                  </w:r>
                </w:p>
              </w:tc>
            </w:tr>
            <w:tr w14:paraId="4082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6D0A60B">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1362" w:type="pct"/>
                  <w:vMerge w:val="continue"/>
                  <w:tcBorders>
                    <w:tl2br w:val="nil"/>
                    <w:tr2bl w:val="nil"/>
                  </w:tcBorders>
                  <w:noWrap w:val="0"/>
                  <w:vAlign w:val="center"/>
                </w:tcPr>
                <w:p w14:paraId="2617F19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rPr>
                  </w:pPr>
                </w:p>
              </w:tc>
              <w:tc>
                <w:tcPr>
                  <w:tcW w:w="1142" w:type="pct"/>
                  <w:vMerge w:val="continue"/>
                  <w:tcBorders>
                    <w:tl2br w:val="nil"/>
                    <w:tr2bl w:val="nil"/>
                  </w:tcBorders>
                  <w:noWrap w:val="0"/>
                  <w:vAlign w:val="center"/>
                </w:tcPr>
                <w:p w14:paraId="75949F51">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1"/>
                      <w:sz w:val="21"/>
                      <w:szCs w:val="21"/>
                    </w:rPr>
                  </w:pPr>
                </w:p>
              </w:tc>
              <w:tc>
                <w:tcPr>
                  <w:tcW w:w="839" w:type="pct"/>
                  <w:vMerge w:val="continue"/>
                  <w:tcBorders>
                    <w:tl2br w:val="nil"/>
                    <w:tr2bl w:val="nil"/>
                  </w:tcBorders>
                  <w:noWrap w:val="0"/>
                  <w:vAlign w:val="center"/>
                </w:tcPr>
                <w:p w14:paraId="310EC03C">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2"/>
                      <w:sz w:val="21"/>
                      <w:szCs w:val="21"/>
                    </w:rPr>
                  </w:pPr>
                </w:p>
              </w:tc>
              <w:tc>
                <w:tcPr>
                  <w:tcW w:w="649" w:type="pct"/>
                  <w:tcBorders>
                    <w:tl2br w:val="nil"/>
                    <w:tr2bl w:val="nil"/>
                  </w:tcBorders>
                  <w:noWrap w:val="0"/>
                  <w:vAlign w:val="center"/>
                </w:tcPr>
                <w:p w14:paraId="478724AA">
                  <w:pPr>
                    <w:spacing w:line="240" w:lineRule="auto"/>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bidi="ar-SA"/>
                    </w:rPr>
                    <w:t>0.04</w:t>
                  </w:r>
                  <w:r>
                    <w:rPr>
                      <w:rFonts w:hint="eastAsia" w:ascii="Times New Roman" w:hAnsi="Times New Roman" w:eastAsia="宋体" w:cs="Times New Roman"/>
                      <w:color w:val="auto"/>
                      <w:sz w:val="21"/>
                      <w:szCs w:val="21"/>
                      <w:vertAlign w:val="baseline"/>
                      <w:lang w:val="en-US" w:eastAsia="zh-CN" w:bidi="ar-SA"/>
                    </w:rPr>
                    <w:sym w:font="Symbol" w:char="006D"/>
                  </w:r>
                  <w:r>
                    <w:rPr>
                      <w:rFonts w:hint="eastAsia" w:ascii="Times New Roman" w:hAnsi="Times New Roman" w:eastAsia="宋体" w:cs="Times New Roman"/>
                      <w:color w:val="auto"/>
                      <w:sz w:val="21"/>
                      <w:szCs w:val="21"/>
                      <w:vertAlign w:val="baseline"/>
                      <w:lang w:val="en-US" w:eastAsia="zh-CN" w:bidi="ar-SA"/>
                    </w:rPr>
                    <w:t>g</w:t>
                  </w:r>
                  <w:r>
                    <w:rPr>
                      <w:rFonts w:hint="eastAsia" w:ascii="Times New Roman" w:hAnsi="Times New Roman" w:eastAsia="宋体" w:cs="Times New Roman"/>
                      <w:color w:val="auto"/>
                      <w:sz w:val="21"/>
                      <w:szCs w:val="21"/>
                      <w:lang w:val="en-US" w:eastAsia="zh-CN" w:bidi="ar-SA"/>
                    </w:rPr>
                    <w:t>/L</w:t>
                  </w:r>
                </w:p>
              </w:tc>
              <w:tc>
                <w:tcPr>
                  <w:tcW w:w="369" w:type="pct"/>
                  <w:vMerge w:val="continue"/>
                  <w:tcBorders>
                    <w:tl2br w:val="nil"/>
                    <w:tr2bl w:val="nil"/>
                  </w:tcBorders>
                  <w:noWrap w:val="0"/>
                  <w:vAlign w:val="center"/>
                </w:tcPr>
                <w:p w14:paraId="163504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p>
              </w:tc>
            </w:tr>
            <w:tr w14:paraId="48C9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BA9327B">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zh-CN"/>
                    </w:rPr>
                    <w:t>铬（六价）</w:t>
                  </w:r>
                </w:p>
              </w:tc>
              <w:tc>
                <w:tcPr>
                  <w:tcW w:w="1362" w:type="pct"/>
                  <w:tcBorders>
                    <w:tl2br w:val="nil"/>
                    <w:tr2bl w:val="nil"/>
                  </w:tcBorders>
                  <w:noWrap w:val="0"/>
                  <w:vAlign w:val="center"/>
                </w:tcPr>
                <w:p w14:paraId="0DF67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生活饮用水标准检验方法</w:t>
                  </w:r>
                  <w:r>
                    <w:rPr>
                      <w:rFonts w:hint="eastAsia" w:ascii="Times New Roman" w:hAnsi="Times New Roman" w:eastAsia="宋体" w:cs="Times New Roman"/>
                      <w:color w:val="auto"/>
                      <w:sz w:val="21"/>
                      <w:szCs w:val="21"/>
                      <w:highlight w:val="none"/>
                      <w:lang w:val="en-US" w:eastAsia="zh-CN" w:bidi="ar-SA"/>
                    </w:rPr>
                    <w:t xml:space="preserve"> 第6部分：</w:t>
                  </w:r>
                  <w:r>
                    <w:rPr>
                      <w:rFonts w:hint="default" w:ascii="Times New Roman" w:hAnsi="Times New Roman" w:eastAsia="宋体" w:cs="Times New Roman"/>
                      <w:color w:val="auto"/>
                      <w:sz w:val="21"/>
                      <w:szCs w:val="21"/>
                      <w:highlight w:val="none"/>
                      <w:lang w:val="en-US" w:eastAsia="zh-CN" w:bidi="ar-SA"/>
                    </w:rPr>
                    <w:t>金属</w:t>
                  </w:r>
                  <w:r>
                    <w:rPr>
                      <w:rFonts w:hint="eastAsia" w:ascii="Times New Roman" w:hAnsi="Times New Roman" w:eastAsia="宋体" w:cs="Times New Roman"/>
                      <w:color w:val="auto"/>
                      <w:sz w:val="21"/>
                      <w:szCs w:val="21"/>
                      <w:highlight w:val="none"/>
                      <w:lang w:val="en-US" w:eastAsia="zh-CN" w:bidi="ar-SA"/>
                    </w:rPr>
                    <w:t>和类金属</w:t>
                  </w:r>
                  <w:r>
                    <w:rPr>
                      <w:rFonts w:hint="default" w:ascii="Times New Roman" w:hAnsi="Times New Roman" w:eastAsia="宋体" w:cs="Times New Roman"/>
                      <w:color w:val="auto"/>
                      <w:sz w:val="21"/>
                      <w:szCs w:val="21"/>
                      <w:highlight w:val="none"/>
                      <w:lang w:val="en-US" w:eastAsia="zh-CN" w:bidi="ar-SA"/>
                    </w:rPr>
                    <w:t xml:space="preserve">指标 </w:t>
                  </w:r>
                  <w:r>
                    <w:rPr>
                      <w:rFonts w:hint="eastAsia" w:ascii="Times New Roman" w:hAnsi="Times New Roman" w:eastAsia="宋体" w:cs="Times New Roman"/>
                      <w:color w:val="auto"/>
                      <w:sz w:val="21"/>
                      <w:szCs w:val="21"/>
                      <w:highlight w:val="none"/>
                      <w:lang w:val="en-US" w:eastAsia="zh-CN" w:bidi="ar-SA"/>
                    </w:rPr>
                    <w:t xml:space="preserve">六价铬 </w:t>
                  </w:r>
                  <w:r>
                    <w:rPr>
                      <w:rFonts w:hint="default" w:ascii="Times New Roman" w:hAnsi="Times New Roman" w:eastAsia="宋体" w:cs="Times New Roman"/>
                      <w:color w:val="auto"/>
                      <w:sz w:val="21"/>
                      <w:szCs w:val="21"/>
                      <w:highlight w:val="none"/>
                      <w:lang w:val="en-US" w:eastAsia="zh-CN" w:bidi="ar-SA"/>
                    </w:rPr>
                    <w:t>二苯碳酰二肼分光光度法</w:t>
                  </w:r>
                </w:p>
                <w:p w14:paraId="5060BA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GB/T 5750.6-20</w:t>
                  </w:r>
                  <w:r>
                    <w:rPr>
                      <w:rFonts w:hint="eastAsia" w:ascii="Times New Roman" w:hAnsi="Times New Roman" w:eastAsia="宋体" w:cs="Times New Roman"/>
                      <w:color w:val="auto"/>
                      <w:sz w:val="21"/>
                      <w:szCs w:val="21"/>
                      <w:highlight w:val="none"/>
                      <w:lang w:val="en-US" w:eastAsia="zh-CN" w:bidi="ar-SA"/>
                    </w:rPr>
                    <w:t>23(</w:t>
                  </w:r>
                  <w:r>
                    <w:rPr>
                      <w:rFonts w:hint="default" w:ascii="Times New Roman" w:hAnsi="Times New Roman" w:eastAsia="宋体"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w:t>
                  </w:r>
                </w:p>
              </w:tc>
              <w:tc>
                <w:tcPr>
                  <w:tcW w:w="1142" w:type="pct"/>
                  <w:tcBorders>
                    <w:tl2br w:val="nil"/>
                    <w:tr2bl w:val="nil"/>
                  </w:tcBorders>
                  <w:noWrap w:val="0"/>
                  <w:vAlign w:val="center"/>
                </w:tcPr>
                <w:p w14:paraId="1282C0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7200可见分光光度计</w:t>
                  </w:r>
                </w:p>
              </w:tc>
              <w:tc>
                <w:tcPr>
                  <w:tcW w:w="839" w:type="pct"/>
                  <w:tcBorders>
                    <w:tl2br w:val="nil"/>
                    <w:tr2bl w:val="nil"/>
                  </w:tcBorders>
                  <w:noWrap w:val="0"/>
                  <w:vAlign w:val="center"/>
                </w:tcPr>
                <w:p w14:paraId="690691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QYYQ-006</w:t>
                  </w:r>
                  <w:r>
                    <w:rPr>
                      <w:rFonts w:hint="eastAsia" w:ascii="Times New Roman" w:hAnsi="Times New Roman" w:eastAsia="宋体" w:cs="Times New Roman"/>
                      <w:color w:val="auto"/>
                      <w:sz w:val="21"/>
                      <w:szCs w:val="21"/>
                      <w:highlight w:val="none"/>
                      <w:lang w:val="en-US" w:eastAsia="zh-CN" w:bidi="ar-SA"/>
                    </w:rPr>
                    <w:t>(2025.09.10)</w:t>
                  </w:r>
                </w:p>
              </w:tc>
              <w:tc>
                <w:tcPr>
                  <w:tcW w:w="649" w:type="pct"/>
                  <w:tcBorders>
                    <w:tl2br w:val="nil"/>
                    <w:tr2bl w:val="nil"/>
                  </w:tcBorders>
                  <w:noWrap w:val="0"/>
                  <w:vAlign w:val="center"/>
                </w:tcPr>
                <w:p w14:paraId="5C8866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0.004mg/L</w:t>
                  </w:r>
                </w:p>
              </w:tc>
              <w:tc>
                <w:tcPr>
                  <w:tcW w:w="369" w:type="pct"/>
                  <w:tcBorders>
                    <w:tl2br w:val="nil"/>
                    <w:tr2bl w:val="nil"/>
                  </w:tcBorders>
                  <w:noWrap w:val="0"/>
                  <w:vAlign w:val="center"/>
                </w:tcPr>
                <w:p w14:paraId="183A768D">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许月霞</w:t>
                  </w:r>
                </w:p>
              </w:tc>
            </w:tr>
            <w:tr w14:paraId="693F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880A07B">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铅</w:t>
                  </w:r>
                </w:p>
              </w:tc>
              <w:tc>
                <w:tcPr>
                  <w:tcW w:w="1362" w:type="pct"/>
                  <w:tcBorders>
                    <w:tl2br w:val="nil"/>
                    <w:tr2bl w:val="nil"/>
                  </w:tcBorders>
                  <w:noWrap w:val="0"/>
                  <w:vAlign w:val="center"/>
                </w:tcPr>
                <w:p w14:paraId="5604CCF3">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生活饮用水标准检验方法 第6部分：金属和类金属指标 无火焰原子吸收分光光度法</w:t>
                  </w:r>
                </w:p>
                <w:p w14:paraId="7C195F70">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GB/T 5750.6-2023(14.1)</w:t>
                  </w:r>
                </w:p>
              </w:tc>
              <w:tc>
                <w:tcPr>
                  <w:tcW w:w="1142" w:type="pct"/>
                  <w:tcBorders>
                    <w:tl2br w:val="nil"/>
                    <w:tr2bl w:val="nil"/>
                  </w:tcBorders>
                  <w:noWrap w:val="0"/>
                  <w:vAlign w:val="center"/>
                </w:tcPr>
                <w:p w14:paraId="3EB1AAC4">
                  <w:pPr>
                    <w:jc w:val="center"/>
                    <w:rPr>
                      <w:rFonts w:hint="default" w:ascii="Times New Roman" w:hAnsi="Times New Roman" w:eastAsia="宋体" w:cs="Times New Roman"/>
                      <w:color w:val="auto"/>
                      <w:spacing w:val="-1"/>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AA-7003</w:t>
                  </w:r>
                  <w:r>
                    <w:rPr>
                      <w:rFonts w:hint="eastAsia" w:ascii="Times New Roman" w:hAnsi="Times New Roman" w:eastAsia="宋体" w:cs="Times New Roman"/>
                      <w:b w:val="0"/>
                      <w:bCs w:val="0"/>
                      <w:color w:val="auto"/>
                      <w:sz w:val="21"/>
                      <w:szCs w:val="21"/>
                      <w:highlight w:val="none"/>
                      <w:lang w:val="en-US" w:eastAsia="zh-CN" w:bidi="ar-SA"/>
                    </w:rPr>
                    <w:t xml:space="preserve"> </w:t>
                  </w:r>
                  <w:r>
                    <w:rPr>
                      <w:rFonts w:hint="default" w:ascii="Times New Roman" w:hAnsi="Times New Roman" w:eastAsia="宋体" w:cs="Times New Roman"/>
                      <w:b w:val="0"/>
                      <w:bCs w:val="0"/>
                      <w:color w:val="auto"/>
                      <w:sz w:val="21"/>
                      <w:szCs w:val="21"/>
                      <w:highlight w:val="none"/>
                      <w:lang w:val="en-US" w:eastAsia="zh-CN" w:bidi="ar-SA"/>
                    </w:rPr>
                    <w:t>原子吸收分光光度计</w:t>
                  </w:r>
                </w:p>
              </w:tc>
              <w:tc>
                <w:tcPr>
                  <w:tcW w:w="839" w:type="pct"/>
                  <w:tcBorders>
                    <w:tl2br w:val="nil"/>
                    <w:tr2bl w:val="nil"/>
                  </w:tcBorders>
                  <w:noWrap w:val="0"/>
                  <w:vAlign w:val="center"/>
                </w:tcPr>
                <w:p w14:paraId="2A9C830B">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QYYQ-012</w:t>
                  </w:r>
                  <w:r>
                    <w:rPr>
                      <w:rFonts w:hint="eastAsia" w:ascii="Times New Roman" w:hAnsi="Times New Roman" w:eastAsia="宋体" w:cs="Times New Roman"/>
                      <w:b w:val="0"/>
                      <w:bCs w:val="0"/>
                      <w:color w:val="auto"/>
                      <w:sz w:val="21"/>
                      <w:szCs w:val="21"/>
                      <w:highlight w:val="none"/>
                      <w:lang w:val="en-US" w:eastAsia="zh-CN" w:bidi="ar-SA"/>
                    </w:rPr>
                    <w:t>(</w:t>
                  </w:r>
                  <w:r>
                    <w:rPr>
                      <w:rFonts w:hint="eastAsia" w:ascii="Times New Roman" w:hAnsi="Times New Roman" w:cs="Times New Roman"/>
                      <w:color w:val="auto"/>
                      <w:sz w:val="21"/>
                      <w:szCs w:val="21"/>
                      <w:highlight w:val="none"/>
                      <w:lang w:val="en-US" w:eastAsia="zh-CN" w:bidi="ar-SA"/>
                    </w:rPr>
                    <w:t>2025.09.11)</w:t>
                  </w:r>
                </w:p>
              </w:tc>
              <w:tc>
                <w:tcPr>
                  <w:tcW w:w="649" w:type="pct"/>
                  <w:tcBorders>
                    <w:tl2br w:val="nil"/>
                    <w:tr2bl w:val="nil"/>
                  </w:tcBorders>
                  <w:noWrap w:val="0"/>
                  <w:vAlign w:val="center"/>
                </w:tcPr>
                <w:p w14:paraId="59D058DC">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2.5</w:t>
                  </w:r>
                  <w:r>
                    <w:rPr>
                      <w:rFonts w:hint="eastAsia" w:ascii="Times New Roman" w:hAnsi="Times New Roman" w:eastAsia="宋体" w:cs="Times New Roman"/>
                      <w:color w:val="auto"/>
                      <w:sz w:val="21"/>
                      <w:szCs w:val="21"/>
                      <w:highlight w:val="none"/>
                      <w:vertAlign w:val="baseline"/>
                      <w:lang w:val="en-US" w:eastAsia="zh-CN" w:bidi="ar-SA"/>
                    </w:rPr>
                    <w:sym w:font="Symbol" w:char="006D"/>
                  </w:r>
                  <w:r>
                    <w:rPr>
                      <w:rFonts w:hint="eastAsia" w:ascii="Times New Roman" w:hAnsi="Times New Roman" w:eastAsia="宋体" w:cs="Times New Roman"/>
                      <w:color w:val="auto"/>
                      <w:sz w:val="21"/>
                      <w:szCs w:val="21"/>
                      <w:highlight w:val="none"/>
                      <w:vertAlign w:val="baseline"/>
                      <w:lang w:val="en-US" w:eastAsia="zh-CN" w:bidi="ar-SA"/>
                    </w:rPr>
                    <w:t>g/L</w:t>
                  </w:r>
                </w:p>
              </w:tc>
              <w:tc>
                <w:tcPr>
                  <w:tcW w:w="369" w:type="pct"/>
                  <w:tcBorders>
                    <w:tl2br w:val="nil"/>
                    <w:tr2bl w:val="nil"/>
                  </w:tcBorders>
                  <w:noWrap w:val="0"/>
                  <w:vAlign w:val="center"/>
                </w:tcPr>
                <w:p w14:paraId="69CC8D67">
                  <w:pPr>
                    <w:pStyle w:val="7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许月霞</w:t>
                  </w:r>
                </w:p>
              </w:tc>
            </w:tr>
          </w:tbl>
          <w:p w14:paraId="683C600B">
            <w:pPr>
              <w:spacing w:line="360" w:lineRule="auto"/>
              <w:ind w:firstLine="480" w:firstLineChars="200"/>
              <w:jc w:val="left"/>
              <w:rPr>
                <w:color w:val="auto"/>
                <w:sz w:val="24"/>
              </w:rPr>
            </w:pPr>
            <w:r>
              <w:rPr>
                <w:rFonts w:hint="eastAsia" w:ascii="仿宋" w:hAnsi="仿宋" w:eastAsia="仿宋" w:cs="仿宋"/>
                <w:color w:val="auto"/>
                <w:sz w:val="24"/>
              </w:rPr>
              <w:t>④</w:t>
            </w:r>
            <w:r>
              <w:rPr>
                <w:rFonts w:hint="eastAsia" w:eastAsia="宋体"/>
                <w:color w:val="auto"/>
                <w:sz w:val="24"/>
                <w:lang w:val="en-US" w:eastAsia="zh-CN"/>
              </w:rPr>
              <w:t xml:space="preserve"> </w:t>
            </w:r>
            <w:r>
              <w:rPr>
                <w:color w:val="auto"/>
                <w:sz w:val="24"/>
              </w:rPr>
              <w:t>监测结果及评价</w:t>
            </w:r>
          </w:p>
          <w:p w14:paraId="00BE18E1">
            <w:pPr>
              <w:spacing w:line="360" w:lineRule="auto"/>
              <w:ind w:firstLine="480" w:firstLineChars="200"/>
              <w:jc w:val="left"/>
              <w:rPr>
                <w:color w:val="auto"/>
                <w:sz w:val="24"/>
              </w:rPr>
            </w:pPr>
            <w:r>
              <w:rPr>
                <w:color w:val="auto"/>
                <w:sz w:val="24"/>
              </w:rPr>
              <w:t>地下水监测结果见表</w:t>
            </w:r>
            <w:r>
              <w:rPr>
                <w:rFonts w:hint="eastAsia"/>
                <w:color w:val="auto"/>
                <w:sz w:val="24"/>
              </w:rPr>
              <w:t>3-</w:t>
            </w:r>
            <w:r>
              <w:rPr>
                <w:rFonts w:hint="eastAsia"/>
                <w:color w:val="auto"/>
                <w:sz w:val="24"/>
                <w:lang w:val="en-US" w:eastAsia="zh-CN"/>
              </w:rPr>
              <w:t>8，监测水井相关信息见监测原始记录，附件9</w:t>
            </w:r>
            <w:r>
              <w:rPr>
                <w:color w:val="auto"/>
                <w:sz w:val="24"/>
              </w:rPr>
              <w:t>。</w:t>
            </w:r>
          </w:p>
          <w:p w14:paraId="24DEF06F">
            <w:pPr>
              <w:tabs>
                <w:tab w:val="left" w:pos="420"/>
              </w:tabs>
              <w:snapToGrid w:val="0"/>
              <w:contextualSpacing/>
              <w:jc w:val="center"/>
              <w:rPr>
                <w:b/>
                <w:color w:val="auto"/>
                <w:sz w:val="24"/>
              </w:rPr>
            </w:pPr>
            <w:r>
              <w:rPr>
                <w:b/>
                <w:color w:val="auto"/>
                <w:sz w:val="24"/>
              </w:rPr>
              <w:t>表</w:t>
            </w:r>
            <w:r>
              <w:rPr>
                <w:rFonts w:hint="eastAsia"/>
                <w:b/>
                <w:color w:val="auto"/>
                <w:sz w:val="24"/>
              </w:rPr>
              <w:t>3-</w:t>
            </w:r>
            <w:r>
              <w:rPr>
                <w:rFonts w:hint="eastAsia"/>
                <w:b/>
                <w:color w:val="auto"/>
                <w:sz w:val="24"/>
                <w:lang w:val="en-US" w:eastAsia="zh-CN"/>
              </w:rPr>
              <w:t>8</w:t>
            </w:r>
            <w:r>
              <w:rPr>
                <w:b/>
                <w:color w:val="auto"/>
                <w:sz w:val="24"/>
              </w:rPr>
              <w:t xml:space="preserve">  地下水水质监测结果统计表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52"/>
              <w:gridCol w:w="2039"/>
              <w:gridCol w:w="899"/>
              <w:gridCol w:w="902"/>
            </w:tblGrid>
            <w:tr w14:paraId="4B9E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Merge w:val="restart"/>
                  <w:tcBorders>
                    <w:top w:val="single" w:color="auto" w:sz="4" w:space="0"/>
                    <w:left w:val="single" w:color="auto" w:sz="4" w:space="0"/>
                    <w:right w:val="single" w:color="auto" w:sz="4" w:space="0"/>
                    <w:tl2br w:val="single" w:color="auto" w:sz="4" w:space="0"/>
                  </w:tcBorders>
                  <w:noWrap w:val="0"/>
                  <w:vAlign w:val="center"/>
                </w:tcPr>
                <w:p w14:paraId="233E456B">
                  <w:pPr>
                    <w:jc w:val="center"/>
                    <w:rPr>
                      <w:color w:val="auto"/>
                      <w:szCs w:val="21"/>
                    </w:rPr>
                  </w:pPr>
                  <w:r>
                    <w:rPr>
                      <w:color w:val="auto"/>
                      <w:szCs w:val="21"/>
                    </w:rPr>
                    <w:t xml:space="preserve">     监测点位</w:t>
                  </w:r>
                </w:p>
                <w:p w14:paraId="3C8A7263">
                  <w:pPr>
                    <w:jc w:val="center"/>
                    <w:rPr>
                      <w:color w:val="auto"/>
                      <w:szCs w:val="21"/>
                    </w:rPr>
                  </w:pPr>
                  <w:r>
                    <w:rPr>
                      <w:color w:val="auto"/>
                      <w:szCs w:val="21"/>
                    </w:rPr>
                    <w:t>污染物</w:t>
                  </w:r>
                </w:p>
              </w:tc>
              <w:tc>
                <w:tcPr>
                  <w:tcW w:w="1180" w:type="pct"/>
                  <w:tcBorders>
                    <w:top w:val="single" w:color="auto" w:sz="4" w:space="0"/>
                    <w:left w:val="nil"/>
                    <w:bottom w:val="single" w:color="auto" w:sz="4" w:space="0"/>
                    <w:right w:val="single" w:color="auto" w:sz="4" w:space="0"/>
                  </w:tcBorders>
                  <w:noWrap w:val="0"/>
                  <w:vAlign w:val="center"/>
                </w:tcPr>
                <w:p w14:paraId="4F9572A3">
                  <w:pPr>
                    <w:jc w:val="center"/>
                    <w:rPr>
                      <w:rFonts w:hint="default" w:eastAsia="宋体"/>
                      <w:color w:val="auto"/>
                      <w:szCs w:val="21"/>
                      <w:lang w:val="en-US" w:eastAsia="zh-CN"/>
                    </w:rPr>
                  </w:pPr>
                  <w:r>
                    <w:rPr>
                      <w:color w:val="auto"/>
                      <w:spacing w:val="-3"/>
                    </w:rPr>
                    <w:t>项目场址东北侧芦草畔村居民水井</w:t>
                  </w:r>
                  <w:r>
                    <w:rPr>
                      <w:color w:val="auto"/>
                      <w:spacing w:val="-24"/>
                    </w:rPr>
                    <w:t xml:space="preserve"> </w:t>
                  </w:r>
                  <w:r>
                    <w:rPr>
                      <w:rFonts w:ascii="Times New Roman" w:hAnsi="Times New Roman" w:eastAsia="Times New Roman" w:cs="Times New Roman"/>
                      <w:color w:val="auto"/>
                      <w:spacing w:val="-3"/>
                    </w:rPr>
                    <w:t>1#</w:t>
                  </w:r>
                </w:p>
              </w:tc>
              <w:tc>
                <w:tcPr>
                  <w:tcW w:w="1299" w:type="pct"/>
                  <w:vMerge w:val="restart"/>
                  <w:tcBorders>
                    <w:top w:val="single" w:color="auto" w:sz="4" w:space="0"/>
                    <w:left w:val="nil"/>
                    <w:right w:val="single" w:color="auto" w:sz="4" w:space="0"/>
                  </w:tcBorders>
                  <w:noWrap w:val="0"/>
                  <w:vAlign w:val="center"/>
                </w:tcPr>
                <w:p w14:paraId="0767269F">
                  <w:pPr>
                    <w:jc w:val="center"/>
                    <w:rPr>
                      <w:color w:val="auto"/>
                      <w:szCs w:val="21"/>
                    </w:rPr>
                  </w:pPr>
                  <w:r>
                    <w:rPr>
                      <w:color w:val="auto"/>
                      <w:szCs w:val="21"/>
                    </w:rPr>
                    <w:t>《地下水质量标准》（GB/T14848-2017）Ⅲ类标准</w:t>
                  </w:r>
                </w:p>
              </w:tc>
              <w:tc>
                <w:tcPr>
                  <w:tcW w:w="573" w:type="pct"/>
                  <w:vMerge w:val="restart"/>
                  <w:tcBorders>
                    <w:top w:val="single" w:color="auto" w:sz="4" w:space="0"/>
                    <w:left w:val="nil"/>
                    <w:right w:val="single" w:color="auto" w:sz="4" w:space="0"/>
                  </w:tcBorders>
                  <w:noWrap w:val="0"/>
                  <w:vAlign w:val="center"/>
                </w:tcPr>
                <w:p w14:paraId="08F7D98B">
                  <w:pPr>
                    <w:widowControl/>
                    <w:snapToGrid w:val="0"/>
                    <w:jc w:val="center"/>
                    <w:rPr>
                      <w:rFonts w:hint="default" w:eastAsia="宋体"/>
                      <w:color w:val="auto"/>
                      <w:szCs w:val="21"/>
                      <w:lang w:val="en-US" w:eastAsia="zh-CN"/>
                    </w:rPr>
                  </w:pPr>
                  <w:r>
                    <w:rPr>
                      <w:rFonts w:hint="eastAsia"/>
                      <w:color w:val="auto"/>
                      <w:szCs w:val="21"/>
                      <w:lang w:val="en-US" w:eastAsia="zh-CN"/>
                    </w:rPr>
                    <w:t>超标率（%）</w:t>
                  </w:r>
                </w:p>
              </w:tc>
              <w:tc>
                <w:tcPr>
                  <w:tcW w:w="575" w:type="pct"/>
                  <w:vMerge w:val="restart"/>
                  <w:tcBorders>
                    <w:top w:val="single" w:color="auto" w:sz="4" w:space="0"/>
                    <w:left w:val="nil"/>
                    <w:right w:val="single" w:color="auto" w:sz="4" w:space="0"/>
                  </w:tcBorders>
                  <w:noWrap w:val="0"/>
                  <w:vAlign w:val="center"/>
                </w:tcPr>
                <w:p w14:paraId="390C7824">
                  <w:pPr>
                    <w:widowControl/>
                    <w:snapToGrid w:val="0"/>
                    <w:jc w:val="center"/>
                    <w:rPr>
                      <w:rFonts w:hint="default" w:eastAsia="宋体"/>
                      <w:color w:val="auto"/>
                      <w:szCs w:val="21"/>
                      <w:lang w:val="en-US" w:eastAsia="zh-CN"/>
                    </w:rPr>
                  </w:pPr>
                  <w:r>
                    <w:rPr>
                      <w:rFonts w:hint="eastAsia"/>
                      <w:color w:val="auto"/>
                      <w:szCs w:val="21"/>
                      <w:lang w:val="en-US" w:eastAsia="zh-CN"/>
                    </w:rPr>
                    <w:t>达标情况</w:t>
                  </w:r>
                </w:p>
              </w:tc>
            </w:tr>
            <w:tr w14:paraId="2EB3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Merge w:val="continue"/>
                  <w:tcBorders>
                    <w:left w:val="single" w:color="auto" w:sz="4" w:space="0"/>
                    <w:bottom w:val="single" w:color="auto" w:sz="4" w:space="0"/>
                    <w:right w:val="single" w:color="auto" w:sz="4" w:space="0"/>
                    <w:tl2br w:val="single" w:color="auto" w:sz="4" w:space="0"/>
                  </w:tcBorders>
                  <w:noWrap w:val="0"/>
                  <w:vAlign w:val="center"/>
                </w:tcPr>
                <w:p w14:paraId="3D03E178">
                  <w:pPr>
                    <w:jc w:val="center"/>
                    <w:rPr>
                      <w:color w:val="auto"/>
                      <w:szCs w:val="21"/>
                    </w:rPr>
                  </w:pPr>
                </w:p>
              </w:tc>
              <w:tc>
                <w:tcPr>
                  <w:tcW w:w="1180" w:type="pct"/>
                  <w:tcBorders>
                    <w:top w:val="single" w:color="auto" w:sz="4" w:space="0"/>
                    <w:left w:val="nil"/>
                    <w:bottom w:val="single" w:color="auto" w:sz="4" w:space="0"/>
                    <w:right w:val="single" w:color="auto" w:sz="4" w:space="0"/>
                  </w:tcBorders>
                  <w:noWrap w:val="0"/>
                  <w:vAlign w:val="center"/>
                </w:tcPr>
                <w:p w14:paraId="55A2B371">
                  <w:pPr>
                    <w:jc w:val="center"/>
                    <w:rPr>
                      <w:rFonts w:hint="default" w:eastAsia="宋体"/>
                      <w:color w:val="auto"/>
                      <w:szCs w:val="21"/>
                      <w:lang w:val="en-US" w:eastAsia="zh-CN"/>
                    </w:rPr>
                  </w:pPr>
                  <w:r>
                    <w:rPr>
                      <w:color w:val="auto"/>
                      <w:szCs w:val="21"/>
                    </w:rPr>
                    <w:t>20</w:t>
                  </w:r>
                  <w:r>
                    <w:rPr>
                      <w:rFonts w:hint="eastAsia"/>
                      <w:color w:val="auto"/>
                      <w:szCs w:val="21"/>
                      <w:lang w:val="en-US" w:eastAsia="zh-CN"/>
                    </w:rPr>
                    <w:t>24.11.28</w:t>
                  </w:r>
                </w:p>
              </w:tc>
              <w:tc>
                <w:tcPr>
                  <w:tcW w:w="1299" w:type="pct"/>
                  <w:vMerge w:val="continue"/>
                  <w:tcBorders>
                    <w:left w:val="nil"/>
                    <w:bottom w:val="single" w:color="auto" w:sz="4" w:space="0"/>
                    <w:right w:val="single" w:color="auto" w:sz="4" w:space="0"/>
                  </w:tcBorders>
                  <w:noWrap w:val="0"/>
                  <w:vAlign w:val="center"/>
                </w:tcPr>
                <w:p w14:paraId="3D14E6E6">
                  <w:pPr>
                    <w:widowControl/>
                    <w:snapToGrid w:val="0"/>
                    <w:jc w:val="center"/>
                    <w:rPr>
                      <w:color w:val="auto"/>
                      <w:szCs w:val="21"/>
                    </w:rPr>
                  </w:pPr>
                </w:p>
              </w:tc>
              <w:tc>
                <w:tcPr>
                  <w:tcW w:w="573" w:type="pct"/>
                  <w:vMerge w:val="continue"/>
                  <w:tcBorders>
                    <w:left w:val="nil"/>
                    <w:bottom w:val="single" w:color="auto" w:sz="4" w:space="0"/>
                    <w:right w:val="single" w:color="auto" w:sz="4" w:space="0"/>
                  </w:tcBorders>
                  <w:noWrap w:val="0"/>
                  <w:vAlign w:val="center"/>
                </w:tcPr>
                <w:p w14:paraId="2B7A69D6">
                  <w:pPr>
                    <w:widowControl/>
                    <w:snapToGrid w:val="0"/>
                    <w:jc w:val="center"/>
                    <w:rPr>
                      <w:rFonts w:hint="default" w:eastAsia="宋体"/>
                      <w:color w:val="auto"/>
                      <w:szCs w:val="21"/>
                      <w:lang w:val="en-US" w:eastAsia="zh-CN"/>
                    </w:rPr>
                  </w:pPr>
                </w:p>
              </w:tc>
              <w:tc>
                <w:tcPr>
                  <w:tcW w:w="575" w:type="pct"/>
                  <w:vMerge w:val="continue"/>
                  <w:tcBorders>
                    <w:left w:val="nil"/>
                    <w:bottom w:val="single" w:color="auto" w:sz="4" w:space="0"/>
                    <w:right w:val="single" w:color="auto" w:sz="4" w:space="0"/>
                  </w:tcBorders>
                  <w:noWrap w:val="0"/>
                  <w:vAlign w:val="center"/>
                </w:tcPr>
                <w:p w14:paraId="3162B8C9">
                  <w:pPr>
                    <w:widowControl/>
                    <w:snapToGrid w:val="0"/>
                    <w:jc w:val="center"/>
                    <w:rPr>
                      <w:rFonts w:hint="default" w:eastAsia="宋体"/>
                      <w:color w:val="auto"/>
                      <w:szCs w:val="21"/>
                      <w:lang w:val="en-US" w:eastAsia="zh-CN"/>
                    </w:rPr>
                  </w:pPr>
                </w:p>
              </w:tc>
            </w:tr>
            <w:tr w14:paraId="6ED3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7C53D9D1">
                  <w:pPr>
                    <w:jc w:val="center"/>
                    <w:rPr>
                      <w:rFonts w:hint="eastAsia" w:eastAsia="宋体"/>
                      <w:color w:val="auto"/>
                      <w:szCs w:val="21"/>
                      <w:lang w:val="en-US" w:eastAsia="zh-CN"/>
                    </w:rPr>
                  </w:pPr>
                  <w:r>
                    <w:rPr>
                      <w:color w:val="auto"/>
                      <w:szCs w:val="21"/>
                    </w:rPr>
                    <w:t>Ph</w:t>
                  </w:r>
                  <w:r>
                    <w:rPr>
                      <w:rFonts w:hint="eastAsia"/>
                      <w:color w:val="auto"/>
                      <w:szCs w:val="21"/>
                      <w:lang w:eastAsia="zh-CN"/>
                    </w:rPr>
                    <w:t>（</w:t>
                  </w:r>
                  <w:r>
                    <w:rPr>
                      <w:rFonts w:hint="eastAsia"/>
                      <w:color w:val="auto"/>
                      <w:szCs w:val="21"/>
                      <w:lang w:val="en-US" w:eastAsia="zh-CN"/>
                    </w:rPr>
                    <w:t>无量纲</w:t>
                  </w:r>
                  <w:r>
                    <w:rPr>
                      <w:rFonts w:hint="eastAsia"/>
                      <w:color w:val="auto"/>
                      <w:szCs w:val="21"/>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4315E2F5">
                  <w:pPr>
                    <w:jc w:val="center"/>
                    <w:rPr>
                      <w:rFonts w:hint="default" w:eastAsia="宋体"/>
                      <w:color w:val="auto"/>
                      <w:szCs w:val="21"/>
                      <w:lang w:val="en-US" w:eastAsia="zh-CN"/>
                    </w:rPr>
                  </w:pPr>
                  <w:r>
                    <w:rPr>
                      <w:rFonts w:hint="eastAsia"/>
                      <w:color w:val="auto"/>
                      <w:szCs w:val="21"/>
                      <w:lang w:val="en-US" w:eastAsia="zh-CN"/>
                    </w:rPr>
                    <w:t>7.3</w:t>
                  </w:r>
                </w:p>
              </w:tc>
              <w:tc>
                <w:tcPr>
                  <w:tcW w:w="1299" w:type="pct"/>
                  <w:tcBorders>
                    <w:top w:val="single" w:color="auto" w:sz="4" w:space="0"/>
                    <w:left w:val="nil"/>
                    <w:bottom w:val="single" w:color="auto" w:sz="4" w:space="0"/>
                    <w:right w:val="single" w:color="auto" w:sz="4" w:space="0"/>
                  </w:tcBorders>
                  <w:noWrap w:val="0"/>
                  <w:vAlign w:val="center"/>
                </w:tcPr>
                <w:p w14:paraId="1A0026E6">
                  <w:pPr>
                    <w:jc w:val="center"/>
                    <w:rPr>
                      <w:color w:val="auto"/>
                      <w:szCs w:val="21"/>
                    </w:rPr>
                  </w:pPr>
                  <w:r>
                    <w:rPr>
                      <w:color w:val="auto"/>
                      <w:szCs w:val="21"/>
                    </w:rPr>
                    <w:t>6.5-8.5</w:t>
                  </w:r>
                </w:p>
              </w:tc>
              <w:tc>
                <w:tcPr>
                  <w:tcW w:w="573" w:type="pct"/>
                  <w:tcBorders>
                    <w:top w:val="single" w:color="auto" w:sz="4" w:space="0"/>
                    <w:left w:val="nil"/>
                    <w:right w:val="single" w:color="auto" w:sz="4" w:space="0"/>
                  </w:tcBorders>
                  <w:noWrap w:val="0"/>
                  <w:vAlign w:val="center"/>
                </w:tcPr>
                <w:p w14:paraId="4A11520E">
                  <w:pPr>
                    <w:jc w:val="center"/>
                    <w:rPr>
                      <w:rFonts w:hint="eastAsia" w:eastAsia="宋体"/>
                      <w:color w:val="auto"/>
                      <w:szCs w:val="21"/>
                      <w:lang w:val="en-US" w:eastAsia="zh-CN"/>
                    </w:rPr>
                  </w:pPr>
                  <w:r>
                    <w:rPr>
                      <w:rFonts w:hint="eastAsia"/>
                      <w:color w:val="auto"/>
                      <w:szCs w:val="21"/>
                      <w:lang w:val="en-US" w:eastAsia="zh-CN"/>
                    </w:rPr>
                    <w:t>0</w:t>
                  </w:r>
                </w:p>
              </w:tc>
              <w:tc>
                <w:tcPr>
                  <w:tcW w:w="574" w:type="pct"/>
                  <w:tcBorders>
                    <w:top w:val="single" w:color="auto" w:sz="4" w:space="0"/>
                    <w:left w:val="nil"/>
                    <w:right w:val="single" w:color="auto" w:sz="4" w:space="0"/>
                  </w:tcBorders>
                  <w:noWrap w:val="0"/>
                  <w:vAlign w:val="center"/>
                </w:tcPr>
                <w:p w14:paraId="43673900">
                  <w:pPr>
                    <w:jc w:val="center"/>
                    <w:rPr>
                      <w:rFonts w:hint="eastAsia" w:eastAsia="宋体"/>
                      <w:color w:val="auto"/>
                      <w:szCs w:val="21"/>
                      <w:lang w:val="en-US" w:eastAsia="zh-CN"/>
                    </w:rPr>
                  </w:pPr>
                  <w:r>
                    <w:rPr>
                      <w:rFonts w:hint="eastAsia"/>
                      <w:color w:val="auto"/>
                      <w:szCs w:val="21"/>
                      <w:lang w:val="en-US" w:eastAsia="zh-CN"/>
                    </w:rPr>
                    <w:t>达标</w:t>
                  </w:r>
                </w:p>
              </w:tc>
            </w:tr>
            <w:tr w14:paraId="5055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736CF073">
                  <w:pPr>
                    <w:widowControl/>
                    <w:snapToGrid w:val="0"/>
                    <w:jc w:val="center"/>
                    <w:rPr>
                      <w:bCs/>
                      <w:color w:val="auto"/>
                      <w:szCs w:val="21"/>
                    </w:rPr>
                  </w:pPr>
                  <w:r>
                    <w:rPr>
                      <w:bCs/>
                      <w:color w:val="auto"/>
                      <w:szCs w:val="21"/>
                    </w:rPr>
                    <w:t>氨氮</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545F7BCA">
                  <w:pPr>
                    <w:snapToGrid w:val="0"/>
                    <w:jc w:val="center"/>
                    <w:rPr>
                      <w:rFonts w:hint="default" w:eastAsia="宋体"/>
                      <w:color w:val="auto"/>
                      <w:szCs w:val="21"/>
                      <w:lang w:val="en-US" w:eastAsia="zh-CN"/>
                    </w:rPr>
                  </w:pPr>
                  <w:r>
                    <w:rPr>
                      <w:rFonts w:hint="default" w:eastAsia="宋体"/>
                      <w:color w:val="auto"/>
                      <w:szCs w:val="21"/>
                      <w:lang w:val="en-US" w:eastAsia="zh-CN"/>
                    </w:rPr>
                    <w:t>0.066</w:t>
                  </w:r>
                </w:p>
              </w:tc>
              <w:tc>
                <w:tcPr>
                  <w:tcW w:w="1299" w:type="pct"/>
                  <w:tcBorders>
                    <w:top w:val="single" w:color="auto" w:sz="4" w:space="0"/>
                    <w:left w:val="nil"/>
                    <w:bottom w:val="single" w:color="auto" w:sz="4" w:space="0"/>
                    <w:right w:val="single" w:color="auto" w:sz="4" w:space="0"/>
                  </w:tcBorders>
                  <w:noWrap w:val="0"/>
                  <w:vAlign w:val="center"/>
                </w:tcPr>
                <w:p w14:paraId="0F539BA0">
                  <w:pPr>
                    <w:snapToGrid w:val="0"/>
                    <w:jc w:val="center"/>
                    <w:rPr>
                      <w:color w:val="auto"/>
                      <w:szCs w:val="21"/>
                    </w:rPr>
                  </w:pPr>
                  <w:r>
                    <w:rPr>
                      <w:color w:val="auto"/>
                      <w:szCs w:val="21"/>
                    </w:rPr>
                    <w:t>≤0.50</w:t>
                  </w:r>
                </w:p>
              </w:tc>
              <w:tc>
                <w:tcPr>
                  <w:tcW w:w="573" w:type="pct"/>
                  <w:tcBorders>
                    <w:left w:val="nil"/>
                    <w:right w:val="single" w:color="auto" w:sz="4" w:space="0"/>
                  </w:tcBorders>
                  <w:noWrap w:val="0"/>
                  <w:vAlign w:val="center"/>
                </w:tcPr>
                <w:p w14:paraId="34C26A6B">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0E2D6530">
                  <w:pPr>
                    <w:snapToGrid w:val="0"/>
                    <w:jc w:val="center"/>
                    <w:rPr>
                      <w:color w:val="auto"/>
                      <w:szCs w:val="21"/>
                    </w:rPr>
                  </w:pPr>
                  <w:r>
                    <w:rPr>
                      <w:rFonts w:hint="eastAsia"/>
                      <w:color w:val="auto"/>
                      <w:szCs w:val="21"/>
                      <w:lang w:val="en-US" w:eastAsia="zh-CN"/>
                    </w:rPr>
                    <w:t>达标</w:t>
                  </w:r>
                </w:p>
              </w:tc>
            </w:tr>
            <w:tr w14:paraId="69F4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3430380D">
                  <w:pPr>
                    <w:jc w:val="center"/>
                    <w:rPr>
                      <w:color w:val="auto"/>
                      <w:szCs w:val="21"/>
                    </w:rPr>
                  </w:pPr>
                  <w:r>
                    <w:rPr>
                      <w:color w:val="auto"/>
                      <w:szCs w:val="21"/>
                    </w:rPr>
                    <w:t>硝酸盐氮</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01A7A65C">
                  <w:pPr>
                    <w:jc w:val="center"/>
                    <w:rPr>
                      <w:rFonts w:hint="default" w:eastAsia="宋体"/>
                      <w:color w:val="auto"/>
                      <w:szCs w:val="21"/>
                      <w:lang w:val="en-US" w:eastAsia="zh-CN"/>
                    </w:rPr>
                  </w:pPr>
                  <w:r>
                    <w:rPr>
                      <w:rFonts w:hint="default" w:eastAsia="宋体"/>
                      <w:color w:val="auto"/>
                      <w:szCs w:val="21"/>
                      <w:lang w:val="en-US" w:eastAsia="zh-CN"/>
                    </w:rPr>
                    <w:t>0.18</w:t>
                  </w:r>
                </w:p>
              </w:tc>
              <w:tc>
                <w:tcPr>
                  <w:tcW w:w="1299" w:type="pct"/>
                  <w:tcBorders>
                    <w:top w:val="single" w:color="auto" w:sz="4" w:space="0"/>
                    <w:left w:val="nil"/>
                    <w:bottom w:val="single" w:color="auto" w:sz="4" w:space="0"/>
                    <w:right w:val="single" w:color="auto" w:sz="4" w:space="0"/>
                  </w:tcBorders>
                  <w:noWrap w:val="0"/>
                  <w:vAlign w:val="center"/>
                </w:tcPr>
                <w:p w14:paraId="1B48C8CE">
                  <w:pPr>
                    <w:jc w:val="center"/>
                    <w:rPr>
                      <w:color w:val="auto"/>
                      <w:szCs w:val="21"/>
                    </w:rPr>
                  </w:pPr>
                  <w:r>
                    <w:rPr>
                      <w:color w:val="auto"/>
                      <w:szCs w:val="21"/>
                    </w:rPr>
                    <w:t>≤20.0</w:t>
                  </w:r>
                </w:p>
              </w:tc>
              <w:tc>
                <w:tcPr>
                  <w:tcW w:w="573" w:type="pct"/>
                  <w:tcBorders>
                    <w:left w:val="nil"/>
                    <w:right w:val="single" w:color="auto" w:sz="4" w:space="0"/>
                  </w:tcBorders>
                  <w:noWrap w:val="0"/>
                  <w:vAlign w:val="center"/>
                </w:tcPr>
                <w:p w14:paraId="085DF238">
                  <w:pPr>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0A86EA13">
                  <w:pPr>
                    <w:jc w:val="center"/>
                    <w:rPr>
                      <w:color w:val="auto"/>
                      <w:szCs w:val="21"/>
                    </w:rPr>
                  </w:pPr>
                  <w:r>
                    <w:rPr>
                      <w:rFonts w:hint="eastAsia"/>
                      <w:color w:val="auto"/>
                      <w:szCs w:val="21"/>
                      <w:lang w:val="en-US" w:eastAsia="zh-CN"/>
                    </w:rPr>
                    <w:t>达标</w:t>
                  </w:r>
                </w:p>
              </w:tc>
            </w:tr>
            <w:tr w14:paraId="3214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7B8D0A6E">
                  <w:pPr>
                    <w:jc w:val="center"/>
                    <w:rPr>
                      <w:color w:val="auto"/>
                      <w:szCs w:val="21"/>
                    </w:rPr>
                  </w:pPr>
                  <w:r>
                    <w:rPr>
                      <w:color w:val="auto"/>
                      <w:szCs w:val="21"/>
                    </w:rPr>
                    <w:t>亚硝酸盐氮</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78F32F15">
                  <w:pPr>
                    <w:jc w:val="center"/>
                    <w:rPr>
                      <w:rFonts w:hint="default" w:eastAsia="宋体"/>
                      <w:color w:val="auto"/>
                      <w:szCs w:val="21"/>
                      <w:lang w:val="en-US" w:eastAsia="zh-CN"/>
                    </w:rPr>
                  </w:pPr>
                  <w:r>
                    <w:rPr>
                      <w:rFonts w:hint="default" w:eastAsia="宋体"/>
                      <w:color w:val="auto"/>
                      <w:szCs w:val="21"/>
                      <w:lang w:val="en-US" w:eastAsia="zh-CN"/>
                    </w:rPr>
                    <w:t>0.003ND</w:t>
                  </w:r>
                </w:p>
              </w:tc>
              <w:tc>
                <w:tcPr>
                  <w:tcW w:w="1299" w:type="pct"/>
                  <w:tcBorders>
                    <w:top w:val="single" w:color="auto" w:sz="4" w:space="0"/>
                    <w:left w:val="nil"/>
                    <w:bottom w:val="single" w:color="auto" w:sz="4" w:space="0"/>
                    <w:right w:val="single" w:color="auto" w:sz="4" w:space="0"/>
                  </w:tcBorders>
                  <w:noWrap w:val="0"/>
                  <w:vAlign w:val="center"/>
                </w:tcPr>
                <w:p w14:paraId="715ECA86">
                  <w:pPr>
                    <w:jc w:val="center"/>
                    <w:rPr>
                      <w:color w:val="auto"/>
                      <w:szCs w:val="21"/>
                    </w:rPr>
                  </w:pPr>
                  <w:r>
                    <w:rPr>
                      <w:color w:val="auto"/>
                      <w:szCs w:val="21"/>
                    </w:rPr>
                    <w:t>≤1.00</w:t>
                  </w:r>
                </w:p>
              </w:tc>
              <w:tc>
                <w:tcPr>
                  <w:tcW w:w="573" w:type="pct"/>
                  <w:tcBorders>
                    <w:left w:val="nil"/>
                    <w:right w:val="single" w:color="auto" w:sz="4" w:space="0"/>
                  </w:tcBorders>
                  <w:noWrap w:val="0"/>
                  <w:vAlign w:val="center"/>
                </w:tcPr>
                <w:p w14:paraId="7CAC7087">
                  <w:pPr>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44E99C13">
                  <w:pPr>
                    <w:jc w:val="center"/>
                    <w:rPr>
                      <w:color w:val="auto"/>
                      <w:szCs w:val="21"/>
                    </w:rPr>
                  </w:pPr>
                  <w:r>
                    <w:rPr>
                      <w:rFonts w:hint="eastAsia"/>
                      <w:color w:val="auto"/>
                      <w:szCs w:val="21"/>
                      <w:lang w:val="en-US" w:eastAsia="zh-CN"/>
                    </w:rPr>
                    <w:t>达标</w:t>
                  </w:r>
                </w:p>
              </w:tc>
            </w:tr>
            <w:tr w14:paraId="0BB1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18838BF5">
                  <w:pPr>
                    <w:jc w:val="center"/>
                    <w:rPr>
                      <w:color w:val="auto"/>
                      <w:szCs w:val="21"/>
                    </w:rPr>
                  </w:pPr>
                  <w:r>
                    <w:rPr>
                      <w:color w:val="auto"/>
                      <w:szCs w:val="21"/>
                    </w:rPr>
                    <w:t>总硬度</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7F5984E1">
                  <w:pPr>
                    <w:jc w:val="center"/>
                    <w:rPr>
                      <w:color w:val="auto"/>
                      <w:szCs w:val="21"/>
                    </w:rPr>
                  </w:pPr>
                  <w:r>
                    <w:rPr>
                      <w:rFonts w:hint="eastAsia"/>
                      <w:color w:val="auto"/>
                      <w:szCs w:val="21"/>
                    </w:rPr>
                    <w:t>642</w:t>
                  </w:r>
                </w:p>
              </w:tc>
              <w:tc>
                <w:tcPr>
                  <w:tcW w:w="1299" w:type="pct"/>
                  <w:tcBorders>
                    <w:top w:val="single" w:color="auto" w:sz="4" w:space="0"/>
                    <w:left w:val="nil"/>
                    <w:bottom w:val="single" w:color="auto" w:sz="4" w:space="0"/>
                    <w:right w:val="single" w:color="auto" w:sz="4" w:space="0"/>
                  </w:tcBorders>
                  <w:noWrap w:val="0"/>
                  <w:vAlign w:val="center"/>
                </w:tcPr>
                <w:p w14:paraId="15B9D7A2">
                  <w:pPr>
                    <w:jc w:val="center"/>
                    <w:rPr>
                      <w:color w:val="auto"/>
                      <w:szCs w:val="21"/>
                    </w:rPr>
                  </w:pPr>
                  <w:r>
                    <w:rPr>
                      <w:color w:val="auto"/>
                      <w:szCs w:val="21"/>
                    </w:rPr>
                    <w:t>≤450</w:t>
                  </w:r>
                </w:p>
              </w:tc>
              <w:tc>
                <w:tcPr>
                  <w:tcW w:w="573" w:type="pct"/>
                  <w:tcBorders>
                    <w:left w:val="nil"/>
                    <w:right w:val="single" w:color="auto" w:sz="4" w:space="0"/>
                  </w:tcBorders>
                  <w:noWrap w:val="0"/>
                  <w:vAlign w:val="center"/>
                </w:tcPr>
                <w:p w14:paraId="111565C1">
                  <w:pPr>
                    <w:jc w:val="center"/>
                    <w:rPr>
                      <w:rFonts w:hint="default"/>
                      <w:color w:val="auto"/>
                      <w:szCs w:val="21"/>
                      <w:lang w:val="en-US"/>
                    </w:rPr>
                  </w:pPr>
                  <w:r>
                    <w:rPr>
                      <w:rFonts w:hint="eastAsia"/>
                      <w:color w:val="auto"/>
                      <w:szCs w:val="21"/>
                      <w:lang w:val="en-US" w:eastAsia="zh-CN"/>
                    </w:rPr>
                    <w:t>42.67</w:t>
                  </w:r>
                </w:p>
              </w:tc>
              <w:tc>
                <w:tcPr>
                  <w:tcW w:w="574" w:type="pct"/>
                  <w:tcBorders>
                    <w:left w:val="nil"/>
                    <w:right w:val="single" w:color="auto" w:sz="4" w:space="0"/>
                  </w:tcBorders>
                  <w:noWrap w:val="0"/>
                  <w:vAlign w:val="center"/>
                </w:tcPr>
                <w:p w14:paraId="3DFEE367">
                  <w:pPr>
                    <w:jc w:val="center"/>
                    <w:rPr>
                      <w:color w:val="auto"/>
                      <w:szCs w:val="21"/>
                    </w:rPr>
                  </w:pPr>
                  <w:r>
                    <w:rPr>
                      <w:rFonts w:hint="eastAsia"/>
                      <w:color w:val="auto"/>
                      <w:szCs w:val="21"/>
                      <w:lang w:val="en-US" w:eastAsia="zh-CN"/>
                    </w:rPr>
                    <w:t>超标</w:t>
                  </w:r>
                </w:p>
              </w:tc>
            </w:tr>
            <w:tr w14:paraId="7DE1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33EAAB21">
                  <w:pPr>
                    <w:widowControl/>
                    <w:snapToGrid w:val="0"/>
                    <w:jc w:val="center"/>
                    <w:rPr>
                      <w:color w:val="auto"/>
                      <w:szCs w:val="21"/>
                    </w:rPr>
                  </w:pPr>
                  <w:r>
                    <w:rPr>
                      <w:color w:val="auto"/>
                      <w:szCs w:val="21"/>
                    </w:rPr>
                    <w:t>溶解性总固体</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3ED107D5">
                  <w:pPr>
                    <w:snapToGrid w:val="0"/>
                    <w:jc w:val="center"/>
                    <w:rPr>
                      <w:rFonts w:hint="default" w:eastAsia="宋体"/>
                      <w:color w:val="auto"/>
                      <w:szCs w:val="21"/>
                      <w:lang w:val="en-US" w:eastAsia="zh-CN"/>
                    </w:rPr>
                  </w:pPr>
                  <w:r>
                    <w:rPr>
                      <w:rFonts w:hint="eastAsia"/>
                      <w:color w:val="auto"/>
                      <w:szCs w:val="21"/>
                      <w:lang w:val="en-US" w:eastAsia="zh-CN"/>
                    </w:rPr>
                    <w:t>914</w:t>
                  </w:r>
                </w:p>
              </w:tc>
              <w:tc>
                <w:tcPr>
                  <w:tcW w:w="1299" w:type="pct"/>
                  <w:tcBorders>
                    <w:top w:val="single" w:color="auto" w:sz="4" w:space="0"/>
                    <w:left w:val="nil"/>
                    <w:bottom w:val="single" w:color="auto" w:sz="4" w:space="0"/>
                    <w:right w:val="single" w:color="auto" w:sz="4" w:space="0"/>
                  </w:tcBorders>
                  <w:noWrap w:val="0"/>
                  <w:vAlign w:val="center"/>
                </w:tcPr>
                <w:p w14:paraId="1DDF93F2">
                  <w:pPr>
                    <w:snapToGrid w:val="0"/>
                    <w:jc w:val="center"/>
                    <w:rPr>
                      <w:color w:val="auto"/>
                      <w:szCs w:val="21"/>
                    </w:rPr>
                  </w:pPr>
                  <w:r>
                    <w:rPr>
                      <w:color w:val="auto"/>
                      <w:szCs w:val="21"/>
                    </w:rPr>
                    <w:t>≤1000</w:t>
                  </w:r>
                </w:p>
              </w:tc>
              <w:tc>
                <w:tcPr>
                  <w:tcW w:w="573" w:type="pct"/>
                  <w:tcBorders>
                    <w:left w:val="nil"/>
                    <w:right w:val="single" w:color="auto" w:sz="4" w:space="0"/>
                  </w:tcBorders>
                  <w:noWrap w:val="0"/>
                  <w:vAlign w:val="center"/>
                </w:tcPr>
                <w:p w14:paraId="306CEFA3">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46F338B6">
                  <w:pPr>
                    <w:snapToGrid w:val="0"/>
                    <w:jc w:val="center"/>
                    <w:rPr>
                      <w:color w:val="auto"/>
                      <w:szCs w:val="21"/>
                    </w:rPr>
                  </w:pPr>
                  <w:r>
                    <w:rPr>
                      <w:rFonts w:hint="eastAsia"/>
                      <w:color w:val="auto"/>
                      <w:szCs w:val="21"/>
                      <w:lang w:val="en-US" w:eastAsia="zh-CN"/>
                    </w:rPr>
                    <w:t>达标</w:t>
                  </w:r>
                </w:p>
              </w:tc>
            </w:tr>
            <w:tr w14:paraId="4D2B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1DF8C15E">
                  <w:pPr>
                    <w:widowControl/>
                    <w:snapToGrid w:val="0"/>
                    <w:jc w:val="center"/>
                    <w:rPr>
                      <w:rFonts w:hint="eastAsia" w:eastAsia="宋体"/>
                      <w:color w:val="auto"/>
                      <w:szCs w:val="21"/>
                      <w:lang w:val="en-US" w:eastAsia="zh-CN"/>
                    </w:rPr>
                  </w:pPr>
                  <w:r>
                    <w:rPr>
                      <w:rFonts w:hint="eastAsia"/>
                      <w:color w:val="auto"/>
                      <w:szCs w:val="21"/>
                      <w:lang w:val="en-US" w:eastAsia="zh-CN"/>
                    </w:rPr>
                    <w:t>汞</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23A40900">
                  <w:pPr>
                    <w:snapToGrid w:val="0"/>
                    <w:jc w:val="center"/>
                    <w:rPr>
                      <w:rFonts w:hint="default"/>
                      <w:color w:val="auto"/>
                      <w:szCs w:val="21"/>
                      <w:lang w:val="en-US" w:eastAsia="zh-CN"/>
                    </w:rPr>
                  </w:pPr>
                  <w:r>
                    <w:rPr>
                      <w:rFonts w:hint="eastAsia"/>
                      <w:color w:val="auto"/>
                      <w:szCs w:val="21"/>
                      <w:lang w:val="en-US" w:eastAsia="zh-CN"/>
                    </w:rPr>
                    <w:t>0.00004ND</w:t>
                  </w:r>
                </w:p>
              </w:tc>
              <w:tc>
                <w:tcPr>
                  <w:tcW w:w="1299" w:type="pct"/>
                  <w:tcBorders>
                    <w:top w:val="single" w:color="auto" w:sz="4" w:space="0"/>
                    <w:left w:val="nil"/>
                    <w:bottom w:val="single" w:color="auto" w:sz="4" w:space="0"/>
                    <w:right w:val="single" w:color="auto" w:sz="4" w:space="0"/>
                  </w:tcBorders>
                  <w:noWrap w:val="0"/>
                  <w:vAlign w:val="center"/>
                </w:tcPr>
                <w:p w14:paraId="0FF8F775">
                  <w:pPr>
                    <w:snapToGrid w:val="0"/>
                    <w:jc w:val="center"/>
                    <w:rPr>
                      <w:color w:val="auto"/>
                      <w:szCs w:val="21"/>
                    </w:rPr>
                  </w:pPr>
                  <w:r>
                    <w:rPr>
                      <w:color w:val="auto"/>
                      <w:szCs w:val="21"/>
                    </w:rPr>
                    <w:t>≤</w:t>
                  </w:r>
                  <w:r>
                    <w:rPr>
                      <w:rFonts w:hint="eastAsia"/>
                      <w:color w:val="auto"/>
                      <w:szCs w:val="21"/>
                    </w:rPr>
                    <w:t>0.001</w:t>
                  </w:r>
                </w:p>
              </w:tc>
              <w:tc>
                <w:tcPr>
                  <w:tcW w:w="573" w:type="pct"/>
                  <w:tcBorders>
                    <w:left w:val="nil"/>
                    <w:right w:val="single" w:color="auto" w:sz="4" w:space="0"/>
                  </w:tcBorders>
                  <w:noWrap w:val="0"/>
                  <w:vAlign w:val="center"/>
                </w:tcPr>
                <w:p w14:paraId="5DD24BC2">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1E5DE144">
                  <w:pPr>
                    <w:snapToGrid w:val="0"/>
                    <w:jc w:val="center"/>
                    <w:rPr>
                      <w:color w:val="auto"/>
                      <w:szCs w:val="21"/>
                    </w:rPr>
                  </w:pPr>
                  <w:r>
                    <w:rPr>
                      <w:rFonts w:hint="eastAsia"/>
                      <w:color w:val="auto"/>
                      <w:szCs w:val="21"/>
                      <w:lang w:val="en-US" w:eastAsia="zh-CN"/>
                    </w:rPr>
                    <w:t>达标</w:t>
                  </w:r>
                </w:p>
              </w:tc>
            </w:tr>
            <w:tr w14:paraId="0AC7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52D63FEB">
                  <w:pPr>
                    <w:widowControl/>
                    <w:snapToGrid w:val="0"/>
                    <w:jc w:val="center"/>
                    <w:rPr>
                      <w:rFonts w:hint="default" w:eastAsia="宋体"/>
                      <w:color w:val="auto"/>
                      <w:szCs w:val="21"/>
                      <w:lang w:val="en-US" w:eastAsia="zh-CN"/>
                    </w:rPr>
                  </w:pPr>
                  <w:r>
                    <w:rPr>
                      <w:rFonts w:hint="eastAsia"/>
                      <w:color w:val="auto"/>
                      <w:szCs w:val="21"/>
                      <w:lang w:val="en-US" w:eastAsia="zh-CN"/>
                    </w:rPr>
                    <w:t>砷</w:t>
                  </w:r>
                  <w:r>
                    <w:rPr>
                      <w:rFonts w:hint="eastAsia"/>
                      <w:b w:val="0"/>
                      <w:bCs w:val="0"/>
                      <w:color w:val="auto"/>
                      <w:szCs w:val="21"/>
                      <w:vertAlign w:val="baseline"/>
                      <w:lang w:eastAsia="zh-CN"/>
                    </w:rPr>
                    <w:t>（</w:t>
                  </w:r>
                  <w:r>
                    <w:rPr>
                      <w:b w:val="0"/>
                      <w:bCs w:val="0"/>
                      <w:color w:val="auto"/>
                      <w:sz w:val="24"/>
                      <w:vertAlign w:val="baseline"/>
                    </w:rPr>
                    <w:t>mg/L</w:t>
                  </w:r>
                  <w:r>
                    <w:rPr>
                      <w:rFonts w:hint="eastAsia"/>
                      <w:b w:val="0"/>
                      <w:bCs w:val="0"/>
                      <w:color w:val="auto"/>
                      <w:szCs w:val="21"/>
                      <w:vertAlign w:val="baseline"/>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6F10002C">
                  <w:pPr>
                    <w:snapToGrid w:val="0"/>
                    <w:jc w:val="center"/>
                    <w:rPr>
                      <w:rFonts w:hint="default"/>
                      <w:color w:val="auto"/>
                      <w:szCs w:val="21"/>
                      <w:lang w:val="en-US" w:eastAsia="zh-CN"/>
                    </w:rPr>
                  </w:pPr>
                  <w:r>
                    <w:rPr>
                      <w:rFonts w:hint="eastAsia"/>
                      <w:color w:val="auto"/>
                      <w:szCs w:val="21"/>
                      <w:lang w:val="en-US" w:eastAsia="zh-CN"/>
                    </w:rPr>
                    <w:t>0.003</w:t>
                  </w:r>
                </w:p>
              </w:tc>
              <w:tc>
                <w:tcPr>
                  <w:tcW w:w="1299" w:type="pct"/>
                  <w:tcBorders>
                    <w:top w:val="single" w:color="auto" w:sz="4" w:space="0"/>
                    <w:left w:val="nil"/>
                    <w:bottom w:val="single" w:color="auto" w:sz="4" w:space="0"/>
                    <w:right w:val="single" w:color="auto" w:sz="4" w:space="0"/>
                  </w:tcBorders>
                  <w:noWrap w:val="0"/>
                  <w:vAlign w:val="center"/>
                </w:tcPr>
                <w:p w14:paraId="4C989721">
                  <w:pPr>
                    <w:snapToGrid w:val="0"/>
                    <w:jc w:val="center"/>
                    <w:rPr>
                      <w:color w:val="auto"/>
                      <w:szCs w:val="21"/>
                    </w:rPr>
                  </w:pPr>
                  <w:r>
                    <w:rPr>
                      <w:color w:val="auto"/>
                      <w:szCs w:val="21"/>
                    </w:rPr>
                    <w:t>≤</w:t>
                  </w:r>
                  <w:r>
                    <w:rPr>
                      <w:rFonts w:hint="eastAsia"/>
                      <w:color w:val="auto"/>
                      <w:szCs w:val="21"/>
                    </w:rPr>
                    <w:t>0.01</w:t>
                  </w:r>
                </w:p>
              </w:tc>
              <w:tc>
                <w:tcPr>
                  <w:tcW w:w="573" w:type="pct"/>
                  <w:tcBorders>
                    <w:left w:val="nil"/>
                    <w:right w:val="single" w:color="auto" w:sz="4" w:space="0"/>
                  </w:tcBorders>
                  <w:noWrap w:val="0"/>
                  <w:vAlign w:val="center"/>
                </w:tcPr>
                <w:p w14:paraId="0FAE50E2">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33A857C3">
                  <w:pPr>
                    <w:snapToGrid w:val="0"/>
                    <w:jc w:val="center"/>
                    <w:rPr>
                      <w:color w:val="auto"/>
                      <w:szCs w:val="21"/>
                    </w:rPr>
                  </w:pPr>
                  <w:r>
                    <w:rPr>
                      <w:rFonts w:hint="eastAsia"/>
                      <w:color w:val="auto"/>
                      <w:szCs w:val="21"/>
                      <w:lang w:val="en-US" w:eastAsia="zh-CN"/>
                    </w:rPr>
                    <w:t>达标</w:t>
                  </w:r>
                </w:p>
              </w:tc>
            </w:tr>
            <w:tr w14:paraId="602A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16F7CCFB">
                  <w:pPr>
                    <w:widowControl/>
                    <w:snapToGrid w:val="0"/>
                    <w:jc w:val="center"/>
                    <w:rPr>
                      <w:color w:val="auto"/>
                      <w:szCs w:val="21"/>
                    </w:rPr>
                  </w:pPr>
                  <w:r>
                    <w:rPr>
                      <w:color w:val="auto"/>
                      <w:spacing w:val="-2"/>
                    </w:rPr>
                    <w:t>铬（六价</w:t>
                  </w:r>
                  <w:r>
                    <w:rPr>
                      <w:color w:val="auto"/>
                      <w:spacing w:val="3"/>
                    </w:rPr>
                    <w:t>）（</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71AD73A2">
                  <w:pPr>
                    <w:snapToGrid w:val="0"/>
                    <w:jc w:val="center"/>
                    <w:rPr>
                      <w:rFonts w:hint="eastAsia"/>
                      <w:color w:val="auto"/>
                      <w:szCs w:val="21"/>
                      <w:lang w:val="en-US" w:eastAsia="zh-CN"/>
                    </w:rPr>
                  </w:pPr>
                  <w:r>
                    <w:rPr>
                      <w:rFonts w:ascii="Times New Roman" w:hAnsi="Times New Roman" w:eastAsia="Times New Roman" w:cs="Times New Roman"/>
                      <w:color w:val="auto"/>
                      <w:spacing w:val="-2"/>
                      <w:sz w:val="24"/>
                      <w:szCs w:val="24"/>
                    </w:rPr>
                    <w:t>0.018</w:t>
                  </w:r>
                </w:p>
              </w:tc>
              <w:tc>
                <w:tcPr>
                  <w:tcW w:w="1299" w:type="pct"/>
                  <w:tcBorders>
                    <w:top w:val="single" w:color="auto" w:sz="4" w:space="0"/>
                    <w:left w:val="nil"/>
                    <w:bottom w:val="single" w:color="auto" w:sz="4" w:space="0"/>
                    <w:right w:val="single" w:color="auto" w:sz="4" w:space="0"/>
                  </w:tcBorders>
                  <w:noWrap w:val="0"/>
                  <w:vAlign w:val="center"/>
                </w:tcPr>
                <w:p w14:paraId="261306CA">
                  <w:pPr>
                    <w:snapToGrid w:val="0"/>
                    <w:jc w:val="center"/>
                    <w:rPr>
                      <w:color w:val="auto"/>
                      <w:szCs w:val="21"/>
                    </w:rPr>
                  </w:pPr>
                  <w:r>
                    <w:rPr>
                      <w:color w:val="auto"/>
                      <w:szCs w:val="21"/>
                    </w:rPr>
                    <w:t>≤0.0</w:t>
                  </w:r>
                  <w:r>
                    <w:rPr>
                      <w:rFonts w:hint="eastAsia"/>
                      <w:color w:val="auto"/>
                      <w:szCs w:val="21"/>
                    </w:rPr>
                    <w:t>5</w:t>
                  </w:r>
                </w:p>
              </w:tc>
              <w:tc>
                <w:tcPr>
                  <w:tcW w:w="573" w:type="pct"/>
                  <w:tcBorders>
                    <w:left w:val="nil"/>
                    <w:right w:val="single" w:color="auto" w:sz="4" w:space="0"/>
                  </w:tcBorders>
                  <w:noWrap w:val="0"/>
                  <w:vAlign w:val="center"/>
                </w:tcPr>
                <w:p w14:paraId="39A3C988">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0FFAA94D">
                  <w:pPr>
                    <w:snapToGrid w:val="0"/>
                    <w:jc w:val="center"/>
                    <w:rPr>
                      <w:color w:val="auto"/>
                      <w:szCs w:val="21"/>
                    </w:rPr>
                  </w:pPr>
                  <w:r>
                    <w:rPr>
                      <w:rFonts w:hint="eastAsia"/>
                      <w:color w:val="auto"/>
                      <w:szCs w:val="21"/>
                      <w:lang w:val="en-US" w:eastAsia="zh-CN"/>
                    </w:rPr>
                    <w:t>达标</w:t>
                  </w:r>
                </w:p>
              </w:tc>
            </w:tr>
            <w:tr w14:paraId="1A40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562846A3">
                  <w:pPr>
                    <w:widowControl/>
                    <w:snapToGrid w:val="0"/>
                    <w:jc w:val="center"/>
                    <w:rPr>
                      <w:rFonts w:hint="default" w:eastAsia="宋体"/>
                      <w:color w:val="auto"/>
                      <w:szCs w:val="21"/>
                      <w:lang w:val="en-US" w:eastAsia="zh-CN"/>
                    </w:rPr>
                  </w:pPr>
                  <w:r>
                    <w:rPr>
                      <w:color w:val="auto"/>
                      <w:spacing w:val="-2"/>
                    </w:rPr>
                    <w:t>铅（</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618C0B59">
                  <w:pPr>
                    <w:snapToGrid w:val="0"/>
                    <w:jc w:val="center"/>
                    <w:rPr>
                      <w:rFonts w:hint="default"/>
                      <w:color w:val="auto"/>
                      <w:szCs w:val="21"/>
                      <w:lang w:val="en-US" w:eastAsia="zh-CN"/>
                    </w:rPr>
                  </w:pPr>
                  <w:r>
                    <w:rPr>
                      <w:rFonts w:ascii="Times New Roman" w:hAnsi="Times New Roman" w:eastAsia="Times New Roman" w:cs="Times New Roman"/>
                      <w:color w:val="auto"/>
                      <w:spacing w:val="-1"/>
                    </w:rPr>
                    <w:t>2.5</w:t>
                  </w:r>
                  <w:r>
                    <w:rPr>
                      <w:color w:val="auto"/>
                      <w:spacing w:val="-1"/>
                    </w:rPr>
                    <w:t>×</w:t>
                  </w:r>
                  <w:r>
                    <w:rPr>
                      <w:rFonts w:ascii="Times New Roman" w:hAnsi="Times New Roman" w:eastAsia="Times New Roman" w:cs="Times New Roman"/>
                      <w:color w:val="auto"/>
                      <w:spacing w:val="-1"/>
                    </w:rPr>
                    <w:t>10</w:t>
                  </w:r>
                  <w:r>
                    <w:rPr>
                      <w:rFonts w:ascii="Times New Roman" w:hAnsi="Times New Roman" w:eastAsia="Times New Roman" w:cs="Times New Roman"/>
                      <w:color w:val="auto"/>
                      <w:spacing w:val="-1"/>
                      <w:position w:val="7"/>
                      <w:sz w:val="15"/>
                      <w:szCs w:val="15"/>
                    </w:rPr>
                    <w:t>-3</w:t>
                  </w:r>
                  <w:r>
                    <w:rPr>
                      <w:rFonts w:ascii="Times New Roman" w:hAnsi="Times New Roman" w:eastAsia="Times New Roman" w:cs="Times New Roman"/>
                      <w:color w:val="auto"/>
                      <w:spacing w:val="-1"/>
                    </w:rPr>
                    <w:t>ND</w:t>
                  </w:r>
                </w:p>
              </w:tc>
              <w:tc>
                <w:tcPr>
                  <w:tcW w:w="1299" w:type="pct"/>
                  <w:tcBorders>
                    <w:top w:val="single" w:color="auto" w:sz="4" w:space="0"/>
                    <w:left w:val="nil"/>
                    <w:bottom w:val="single" w:color="auto" w:sz="4" w:space="0"/>
                    <w:right w:val="single" w:color="auto" w:sz="4" w:space="0"/>
                  </w:tcBorders>
                  <w:noWrap w:val="0"/>
                  <w:vAlign w:val="center"/>
                </w:tcPr>
                <w:p w14:paraId="2EBFB699">
                  <w:pPr>
                    <w:snapToGrid w:val="0"/>
                    <w:jc w:val="center"/>
                    <w:rPr>
                      <w:rFonts w:hint="eastAsia" w:eastAsia="宋体"/>
                      <w:color w:val="auto"/>
                      <w:szCs w:val="21"/>
                      <w:lang w:val="en-US" w:eastAsia="zh-CN"/>
                    </w:rPr>
                  </w:pPr>
                  <w:r>
                    <w:rPr>
                      <w:color w:val="auto"/>
                      <w:szCs w:val="21"/>
                    </w:rPr>
                    <w:t>≤0.0</w:t>
                  </w:r>
                  <w:r>
                    <w:rPr>
                      <w:rFonts w:hint="eastAsia"/>
                      <w:color w:val="auto"/>
                      <w:szCs w:val="21"/>
                    </w:rPr>
                    <w:t>1</w:t>
                  </w:r>
                </w:p>
              </w:tc>
              <w:tc>
                <w:tcPr>
                  <w:tcW w:w="573" w:type="pct"/>
                  <w:tcBorders>
                    <w:left w:val="nil"/>
                    <w:right w:val="single" w:color="auto" w:sz="4" w:space="0"/>
                  </w:tcBorders>
                  <w:noWrap w:val="0"/>
                  <w:vAlign w:val="center"/>
                </w:tcPr>
                <w:p w14:paraId="23883AEA">
                  <w:pPr>
                    <w:snapToGrid w:val="0"/>
                    <w:jc w:val="center"/>
                    <w:rPr>
                      <w:rFonts w:hint="eastAsia" w:eastAsia="宋体"/>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02ECAEEC">
                  <w:pPr>
                    <w:snapToGrid w:val="0"/>
                    <w:jc w:val="center"/>
                    <w:rPr>
                      <w:rFonts w:hint="eastAsia" w:eastAsia="宋体"/>
                      <w:color w:val="auto"/>
                      <w:szCs w:val="21"/>
                      <w:lang w:val="en-US" w:eastAsia="zh-CN"/>
                    </w:rPr>
                  </w:pPr>
                  <w:r>
                    <w:rPr>
                      <w:rFonts w:hint="eastAsia"/>
                      <w:color w:val="auto"/>
                      <w:szCs w:val="21"/>
                      <w:lang w:val="en-US" w:eastAsia="zh-CN"/>
                    </w:rPr>
                    <w:t>达标</w:t>
                  </w:r>
                </w:p>
              </w:tc>
            </w:tr>
            <w:tr w14:paraId="5405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2BFBDECB">
                  <w:pPr>
                    <w:widowControl/>
                    <w:snapToGrid w:val="0"/>
                    <w:jc w:val="center"/>
                    <w:rPr>
                      <w:color w:val="auto"/>
                      <w:spacing w:val="-2"/>
                    </w:rPr>
                  </w:pPr>
                  <w:r>
                    <w:rPr>
                      <w:color w:val="auto"/>
                      <w:spacing w:val="-2"/>
                    </w:rPr>
                    <w:t>镉（</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12117184">
                  <w:pPr>
                    <w:snapToGrid w:val="0"/>
                    <w:jc w:val="center"/>
                    <w:rPr>
                      <w:rFonts w:ascii="Times New Roman" w:hAnsi="Times New Roman" w:eastAsia="Times New Roman" w:cs="Times New Roman"/>
                      <w:color w:val="auto"/>
                      <w:spacing w:val="-1"/>
                      <w:sz w:val="21"/>
                      <w:szCs w:val="21"/>
                    </w:rPr>
                  </w:pPr>
                  <w:r>
                    <w:rPr>
                      <w:rFonts w:ascii="Times New Roman" w:hAnsi="Times New Roman" w:eastAsia="Times New Roman" w:cs="Times New Roman"/>
                      <w:color w:val="auto"/>
                      <w:spacing w:val="-1"/>
                      <w:sz w:val="21"/>
                      <w:szCs w:val="21"/>
                    </w:rPr>
                    <w:t>5</w:t>
                  </w:r>
                  <w:r>
                    <w:rPr>
                      <w:color w:val="auto"/>
                      <w:spacing w:val="-1"/>
                      <w:sz w:val="21"/>
                      <w:szCs w:val="21"/>
                    </w:rPr>
                    <w:t>×</w:t>
                  </w:r>
                  <w:r>
                    <w:rPr>
                      <w:rFonts w:ascii="Times New Roman" w:hAnsi="Times New Roman" w:eastAsia="Times New Roman" w:cs="Times New Roman"/>
                      <w:color w:val="auto"/>
                      <w:spacing w:val="-1"/>
                      <w:sz w:val="21"/>
                      <w:szCs w:val="21"/>
                    </w:rPr>
                    <w:t>10</w:t>
                  </w:r>
                  <w:r>
                    <w:rPr>
                      <w:rFonts w:ascii="Times New Roman" w:hAnsi="Times New Roman" w:eastAsia="Times New Roman" w:cs="Times New Roman"/>
                      <w:color w:val="auto"/>
                      <w:spacing w:val="-1"/>
                      <w:position w:val="7"/>
                      <w:sz w:val="21"/>
                      <w:szCs w:val="21"/>
                    </w:rPr>
                    <w:t>-4</w:t>
                  </w:r>
                  <w:r>
                    <w:rPr>
                      <w:rFonts w:ascii="Times New Roman" w:hAnsi="Times New Roman" w:eastAsia="Times New Roman" w:cs="Times New Roman"/>
                      <w:color w:val="auto"/>
                      <w:spacing w:val="-1"/>
                      <w:sz w:val="21"/>
                      <w:szCs w:val="21"/>
                    </w:rPr>
                    <w:t>ND</w:t>
                  </w:r>
                </w:p>
              </w:tc>
              <w:tc>
                <w:tcPr>
                  <w:tcW w:w="1299" w:type="pct"/>
                  <w:tcBorders>
                    <w:top w:val="single" w:color="auto" w:sz="4" w:space="0"/>
                    <w:left w:val="nil"/>
                    <w:bottom w:val="single" w:color="auto" w:sz="4" w:space="0"/>
                    <w:right w:val="single" w:color="auto" w:sz="4" w:space="0"/>
                  </w:tcBorders>
                  <w:noWrap w:val="0"/>
                  <w:vAlign w:val="center"/>
                </w:tcPr>
                <w:p w14:paraId="77FD6BC5">
                  <w:pPr>
                    <w:snapToGrid w:val="0"/>
                    <w:jc w:val="center"/>
                    <w:rPr>
                      <w:rFonts w:hint="eastAsia" w:eastAsia="宋体"/>
                      <w:color w:val="auto"/>
                      <w:szCs w:val="21"/>
                      <w:lang w:val="en-US" w:eastAsia="zh-CN"/>
                    </w:rPr>
                  </w:pPr>
                  <w:r>
                    <w:rPr>
                      <w:color w:val="auto"/>
                      <w:szCs w:val="21"/>
                    </w:rPr>
                    <w:t>≤0.00</w:t>
                  </w:r>
                  <w:r>
                    <w:rPr>
                      <w:rFonts w:hint="eastAsia"/>
                      <w:color w:val="auto"/>
                      <w:szCs w:val="21"/>
                    </w:rPr>
                    <w:t>5</w:t>
                  </w:r>
                </w:p>
              </w:tc>
              <w:tc>
                <w:tcPr>
                  <w:tcW w:w="573" w:type="pct"/>
                  <w:tcBorders>
                    <w:left w:val="nil"/>
                    <w:right w:val="single" w:color="auto" w:sz="4" w:space="0"/>
                  </w:tcBorders>
                  <w:noWrap w:val="0"/>
                  <w:vAlign w:val="center"/>
                </w:tcPr>
                <w:p w14:paraId="54101C70">
                  <w:pPr>
                    <w:snapToGrid w:val="0"/>
                    <w:jc w:val="center"/>
                    <w:rPr>
                      <w:rFonts w:hint="eastAsia" w:eastAsia="宋体"/>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723AD6B7">
                  <w:pPr>
                    <w:snapToGrid w:val="0"/>
                    <w:jc w:val="center"/>
                    <w:rPr>
                      <w:rFonts w:hint="eastAsia" w:eastAsia="宋体"/>
                      <w:color w:val="auto"/>
                      <w:szCs w:val="21"/>
                      <w:lang w:val="en-US" w:eastAsia="zh-CN"/>
                    </w:rPr>
                  </w:pPr>
                  <w:r>
                    <w:rPr>
                      <w:rFonts w:hint="eastAsia"/>
                      <w:color w:val="auto"/>
                      <w:szCs w:val="21"/>
                      <w:lang w:val="en-US" w:eastAsia="zh-CN"/>
                    </w:rPr>
                    <w:t>达标</w:t>
                  </w:r>
                </w:p>
              </w:tc>
            </w:tr>
            <w:tr w14:paraId="7C8F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7D585045">
                  <w:pPr>
                    <w:widowControl/>
                    <w:snapToGrid w:val="0"/>
                    <w:jc w:val="center"/>
                    <w:rPr>
                      <w:rFonts w:hint="default"/>
                      <w:color w:val="auto"/>
                      <w:szCs w:val="21"/>
                      <w:lang w:val="en-US" w:eastAsia="zh-CN"/>
                    </w:rPr>
                  </w:pPr>
                  <w:r>
                    <w:rPr>
                      <w:color w:val="auto"/>
                      <w:spacing w:val="-1"/>
                    </w:rPr>
                    <w:t>挥发性酚类（</w:t>
                  </w:r>
                  <w:r>
                    <w:rPr>
                      <w:rFonts w:ascii="Times New Roman" w:hAnsi="Times New Roman" w:eastAsia="Times New Roman" w:cs="Times New Roman"/>
                      <w:color w:val="auto"/>
                      <w:spacing w:val="-1"/>
                    </w:rPr>
                    <w:t>mg/L</w:t>
                  </w:r>
                  <w:r>
                    <w:rPr>
                      <w:color w:val="auto"/>
                      <w:spacing w:val="-1"/>
                    </w:rPr>
                    <w:t>）</w:t>
                  </w:r>
                </w:p>
              </w:tc>
              <w:tc>
                <w:tcPr>
                  <w:tcW w:w="1180" w:type="pct"/>
                  <w:tcBorders>
                    <w:top w:val="single" w:color="auto" w:sz="4" w:space="0"/>
                    <w:left w:val="nil"/>
                    <w:bottom w:val="single" w:color="auto" w:sz="4" w:space="0"/>
                    <w:right w:val="single" w:color="auto" w:sz="4" w:space="0"/>
                  </w:tcBorders>
                  <w:noWrap w:val="0"/>
                  <w:vAlign w:val="center"/>
                </w:tcPr>
                <w:p w14:paraId="66152FE6">
                  <w:pPr>
                    <w:snapToGrid w:val="0"/>
                    <w:jc w:val="center"/>
                    <w:rPr>
                      <w:rFonts w:hint="default"/>
                      <w:color w:val="auto"/>
                      <w:sz w:val="21"/>
                      <w:szCs w:val="21"/>
                      <w:lang w:val="en-US" w:eastAsia="zh-CN"/>
                    </w:rPr>
                  </w:pPr>
                  <w:r>
                    <w:rPr>
                      <w:rFonts w:ascii="Times New Roman" w:hAnsi="Times New Roman" w:eastAsia="Times New Roman" w:cs="Times New Roman"/>
                      <w:color w:val="auto"/>
                      <w:spacing w:val="-2"/>
                      <w:sz w:val="21"/>
                      <w:szCs w:val="21"/>
                    </w:rPr>
                    <w:t>0.0003ND</w:t>
                  </w:r>
                </w:p>
              </w:tc>
              <w:tc>
                <w:tcPr>
                  <w:tcW w:w="1299" w:type="pct"/>
                  <w:tcBorders>
                    <w:top w:val="single" w:color="auto" w:sz="4" w:space="0"/>
                    <w:left w:val="nil"/>
                    <w:bottom w:val="single" w:color="auto" w:sz="4" w:space="0"/>
                    <w:right w:val="single" w:color="auto" w:sz="4" w:space="0"/>
                  </w:tcBorders>
                  <w:noWrap w:val="0"/>
                  <w:vAlign w:val="center"/>
                </w:tcPr>
                <w:p w14:paraId="47E203F0">
                  <w:pPr>
                    <w:snapToGrid w:val="0"/>
                    <w:jc w:val="center"/>
                    <w:rPr>
                      <w:rFonts w:hint="default"/>
                      <w:color w:val="auto"/>
                      <w:szCs w:val="21"/>
                      <w:lang w:val="en-US" w:eastAsia="zh-CN"/>
                    </w:rPr>
                  </w:pPr>
                  <w:r>
                    <w:rPr>
                      <w:color w:val="auto"/>
                      <w:szCs w:val="21"/>
                    </w:rPr>
                    <w:t>≤0.002</w:t>
                  </w:r>
                </w:p>
              </w:tc>
              <w:tc>
                <w:tcPr>
                  <w:tcW w:w="573" w:type="pct"/>
                  <w:tcBorders>
                    <w:left w:val="nil"/>
                    <w:right w:val="single" w:color="auto" w:sz="4" w:space="0"/>
                  </w:tcBorders>
                  <w:noWrap w:val="0"/>
                  <w:vAlign w:val="center"/>
                </w:tcPr>
                <w:p w14:paraId="32C62383">
                  <w:pPr>
                    <w:snapToGrid w:val="0"/>
                    <w:jc w:val="center"/>
                    <w:rPr>
                      <w:rFonts w:hint="default"/>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74670F3C">
                  <w:pPr>
                    <w:snapToGrid w:val="0"/>
                    <w:jc w:val="center"/>
                    <w:rPr>
                      <w:rFonts w:hint="default"/>
                      <w:color w:val="auto"/>
                      <w:szCs w:val="21"/>
                      <w:lang w:val="en-US" w:eastAsia="zh-CN"/>
                    </w:rPr>
                  </w:pPr>
                  <w:r>
                    <w:rPr>
                      <w:rFonts w:hint="eastAsia"/>
                      <w:color w:val="auto"/>
                      <w:szCs w:val="21"/>
                      <w:lang w:val="en-US" w:eastAsia="zh-CN"/>
                    </w:rPr>
                    <w:t>达标</w:t>
                  </w:r>
                </w:p>
              </w:tc>
            </w:tr>
            <w:tr w14:paraId="2BFC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1D18F1D7">
                  <w:pPr>
                    <w:widowControl/>
                    <w:snapToGrid w:val="0"/>
                    <w:jc w:val="center"/>
                    <w:rPr>
                      <w:rFonts w:hint="default"/>
                      <w:color w:val="auto"/>
                      <w:szCs w:val="21"/>
                      <w:lang w:val="en-US" w:eastAsia="zh-CN"/>
                    </w:rPr>
                  </w:pPr>
                  <w:r>
                    <w:rPr>
                      <w:color w:val="auto"/>
                      <w:spacing w:val="-2"/>
                    </w:rPr>
                    <w:t>硫酸盐（</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026F7179">
                  <w:pPr>
                    <w:snapToGrid w:val="0"/>
                    <w:jc w:val="center"/>
                    <w:rPr>
                      <w:rFonts w:hint="default"/>
                      <w:color w:val="auto"/>
                      <w:sz w:val="21"/>
                      <w:szCs w:val="21"/>
                      <w:lang w:val="en-US" w:eastAsia="zh-CN"/>
                    </w:rPr>
                  </w:pPr>
                  <w:r>
                    <w:rPr>
                      <w:rFonts w:ascii="Times New Roman" w:hAnsi="Times New Roman" w:eastAsia="Times New Roman" w:cs="Times New Roman"/>
                      <w:color w:val="auto"/>
                      <w:spacing w:val="-4"/>
                      <w:sz w:val="21"/>
                      <w:szCs w:val="21"/>
                    </w:rPr>
                    <w:t>306</w:t>
                  </w:r>
                </w:p>
              </w:tc>
              <w:tc>
                <w:tcPr>
                  <w:tcW w:w="1299" w:type="pct"/>
                  <w:tcBorders>
                    <w:top w:val="single" w:color="auto" w:sz="4" w:space="0"/>
                    <w:left w:val="nil"/>
                    <w:bottom w:val="single" w:color="auto" w:sz="4" w:space="0"/>
                    <w:right w:val="single" w:color="auto" w:sz="4" w:space="0"/>
                  </w:tcBorders>
                  <w:noWrap w:val="0"/>
                  <w:vAlign w:val="center"/>
                </w:tcPr>
                <w:p w14:paraId="52863E2D">
                  <w:pPr>
                    <w:snapToGrid w:val="0"/>
                    <w:jc w:val="center"/>
                    <w:rPr>
                      <w:rFonts w:hint="eastAsia"/>
                      <w:color w:val="auto"/>
                      <w:szCs w:val="21"/>
                      <w:lang w:val="en-US" w:eastAsia="zh-CN"/>
                    </w:rPr>
                  </w:pPr>
                  <w:r>
                    <w:rPr>
                      <w:color w:val="auto"/>
                      <w:szCs w:val="21"/>
                    </w:rPr>
                    <w:t>≤</w:t>
                  </w:r>
                  <w:r>
                    <w:rPr>
                      <w:rFonts w:hint="eastAsia"/>
                      <w:color w:val="auto"/>
                      <w:szCs w:val="21"/>
                    </w:rPr>
                    <w:t>250</w:t>
                  </w:r>
                </w:p>
              </w:tc>
              <w:tc>
                <w:tcPr>
                  <w:tcW w:w="573" w:type="pct"/>
                  <w:tcBorders>
                    <w:left w:val="nil"/>
                    <w:right w:val="single" w:color="auto" w:sz="4" w:space="0"/>
                  </w:tcBorders>
                  <w:noWrap w:val="0"/>
                  <w:vAlign w:val="center"/>
                </w:tcPr>
                <w:p w14:paraId="36C9B8D8">
                  <w:pPr>
                    <w:snapToGrid w:val="0"/>
                    <w:jc w:val="center"/>
                    <w:rPr>
                      <w:rFonts w:hint="eastAsia"/>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5DB4C5EA">
                  <w:pPr>
                    <w:snapToGrid w:val="0"/>
                    <w:jc w:val="center"/>
                    <w:rPr>
                      <w:rFonts w:hint="eastAsia"/>
                      <w:color w:val="auto"/>
                      <w:szCs w:val="21"/>
                      <w:lang w:val="en-US" w:eastAsia="zh-CN"/>
                    </w:rPr>
                  </w:pPr>
                  <w:r>
                    <w:rPr>
                      <w:rFonts w:hint="eastAsia"/>
                      <w:color w:val="auto"/>
                      <w:szCs w:val="21"/>
                      <w:lang w:val="en-US" w:eastAsia="zh-CN"/>
                    </w:rPr>
                    <w:t>达标</w:t>
                  </w:r>
                </w:p>
              </w:tc>
            </w:tr>
            <w:tr w14:paraId="4393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087CECD5">
                  <w:pPr>
                    <w:widowControl/>
                    <w:snapToGrid w:val="0"/>
                    <w:jc w:val="center"/>
                    <w:rPr>
                      <w:rFonts w:hint="default"/>
                      <w:color w:val="auto"/>
                      <w:szCs w:val="21"/>
                      <w:lang w:val="en-US" w:eastAsia="zh-CN"/>
                    </w:rPr>
                  </w:pPr>
                  <w:r>
                    <w:rPr>
                      <w:color w:val="auto"/>
                      <w:spacing w:val="-2"/>
                    </w:rPr>
                    <w:t>氯化物（</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005024A2">
                  <w:pPr>
                    <w:snapToGrid w:val="0"/>
                    <w:jc w:val="center"/>
                    <w:rPr>
                      <w:rFonts w:hint="default"/>
                      <w:color w:val="auto"/>
                      <w:sz w:val="21"/>
                      <w:szCs w:val="21"/>
                      <w:lang w:val="en-US" w:eastAsia="zh-CN"/>
                    </w:rPr>
                  </w:pPr>
                  <w:r>
                    <w:rPr>
                      <w:rFonts w:ascii="Times New Roman" w:hAnsi="Times New Roman" w:eastAsia="Times New Roman" w:cs="Times New Roman"/>
                      <w:color w:val="auto"/>
                      <w:spacing w:val="-11"/>
                      <w:sz w:val="21"/>
                      <w:szCs w:val="21"/>
                    </w:rPr>
                    <w:t>116</w:t>
                  </w:r>
                </w:p>
              </w:tc>
              <w:tc>
                <w:tcPr>
                  <w:tcW w:w="1299" w:type="pct"/>
                  <w:tcBorders>
                    <w:top w:val="single" w:color="auto" w:sz="4" w:space="0"/>
                    <w:left w:val="nil"/>
                    <w:bottom w:val="single" w:color="auto" w:sz="4" w:space="0"/>
                    <w:right w:val="single" w:color="auto" w:sz="4" w:space="0"/>
                  </w:tcBorders>
                  <w:noWrap w:val="0"/>
                  <w:vAlign w:val="center"/>
                </w:tcPr>
                <w:p w14:paraId="4E4106C2">
                  <w:pPr>
                    <w:snapToGrid w:val="0"/>
                    <w:jc w:val="center"/>
                    <w:rPr>
                      <w:rFonts w:hint="eastAsia"/>
                      <w:color w:val="auto"/>
                      <w:szCs w:val="21"/>
                      <w:lang w:val="en-US" w:eastAsia="zh-CN"/>
                    </w:rPr>
                  </w:pPr>
                  <w:r>
                    <w:rPr>
                      <w:color w:val="auto"/>
                      <w:szCs w:val="21"/>
                    </w:rPr>
                    <w:t>≤</w:t>
                  </w:r>
                  <w:r>
                    <w:rPr>
                      <w:rFonts w:hint="eastAsia"/>
                      <w:color w:val="auto"/>
                      <w:szCs w:val="21"/>
                    </w:rPr>
                    <w:t>250</w:t>
                  </w:r>
                </w:p>
              </w:tc>
              <w:tc>
                <w:tcPr>
                  <w:tcW w:w="573" w:type="pct"/>
                  <w:tcBorders>
                    <w:left w:val="nil"/>
                    <w:right w:val="single" w:color="auto" w:sz="4" w:space="0"/>
                  </w:tcBorders>
                  <w:noWrap w:val="0"/>
                  <w:vAlign w:val="center"/>
                </w:tcPr>
                <w:p w14:paraId="3D336C3E">
                  <w:pPr>
                    <w:snapToGrid w:val="0"/>
                    <w:jc w:val="center"/>
                    <w:rPr>
                      <w:rFonts w:hint="eastAsia"/>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0507D6AD">
                  <w:pPr>
                    <w:snapToGrid w:val="0"/>
                    <w:jc w:val="center"/>
                    <w:rPr>
                      <w:rFonts w:hint="eastAsia"/>
                      <w:color w:val="auto"/>
                      <w:szCs w:val="21"/>
                      <w:lang w:val="en-US" w:eastAsia="zh-CN"/>
                    </w:rPr>
                  </w:pPr>
                  <w:r>
                    <w:rPr>
                      <w:rFonts w:hint="eastAsia"/>
                      <w:color w:val="auto"/>
                      <w:szCs w:val="21"/>
                      <w:lang w:val="en-US" w:eastAsia="zh-CN"/>
                    </w:rPr>
                    <w:t>达标</w:t>
                  </w:r>
                </w:p>
              </w:tc>
            </w:tr>
            <w:tr w14:paraId="0E4F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0F1955F8">
                  <w:pPr>
                    <w:widowControl/>
                    <w:snapToGrid w:val="0"/>
                    <w:jc w:val="center"/>
                    <w:rPr>
                      <w:rFonts w:hint="eastAsia"/>
                      <w:color w:val="auto"/>
                      <w:szCs w:val="21"/>
                      <w:lang w:val="en-US" w:eastAsia="zh-CN"/>
                    </w:rPr>
                  </w:pPr>
                  <w:r>
                    <w:rPr>
                      <w:color w:val="auto"/>
                      <w:spacing w:val="-2"/>
                    </w:rPr>
                    <w:t>氟化物（</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30FD7463">
                  <w:pPr>
                    <w:snapToGrid w:val="0"/>
                    <w:jc w:val="center"/>
                    <w:rPr>
                      <w:rFonts w:hint="default"/>
                      <w:color w:val="auto"/>
                      <w:sz w:val="21"/>
                      <w:szCs w:val="21"/>
                      <w:lang w:val="en-US" w:eastAsia="zh-CN"/>
                    </w:rPr>
                  </w:pPr>
                  <w:r>
                    <w:rPr>
                      <w:rFonts w:ascii="Times New Roman" w:hAnsi="Times New Roman" w:eastAsia="Times New Roman" w:cs="Times New Roman"/>
                      <w:color w:val="auto"/>
                      <w:spacing w:val="-3"/>
                      <w:sz w:val="21"/>
                      <w:szCs w:val="21"/>
                    </w:rPr>
                    <w:t>0.20</w:t>
                  </w:r>
                </w:p>
              </w:tc>
              <w:tc>
                <w:tcPr>
                  <w:tcW w:w="1299" w:type="pct"/>
                  <w:tcBorders>
                    <w:top w:val="single" w:color="auto" w:sz="4" w:space="0"/>
                    <w:left w:val="nil"/>
                    <w:bottom w:val="single" w:color="auto" w:sz="4" w:space="0"/>
                    <w:right w:val="single" w:color="auto" w:sz="4" w:space="0"/>
                  </w:tcBorders>
                  <w:noWrap w:val="0"/>
                  <w:vAlign w:val="center"/>
                </w:tcPr>
                <w:p w14:paraId="5C90BB5C">
                  <w:pPr>
                    <w:snapToGrid w:val="0"/>
                    <w:jc w:val="center"/>
                    <w:rPr>
                      <w:rFonts w:hint="eastAsia"/>
                      <w:color w:val="auto"/>
                      <w:szCs w:val="21"/>
                      <w:lang w:val="en-US" w:eastAsia="zh-CN"/>
                    </w:rPr>
                  </w:pPr>
                  <w:r>
                    <w:rPr>
                      <w:color w:val="auto"/>
                      <w:szCs w:val="21"/>
                    </w:rPr>
                    <w:t>≤</w:t>
                  </w:r>
                  <w:r>
                    <w:rPr>
                      <w:rFonts w:hint="eastAsia"/>
                      <w:color w:val="auto"/>
                      <w:szCs w:val="21"/>
                      <w:lang w:val="en-US" w:eastAsia="zh-CN"/>
                    </w:rPr>
                    <w:t>1.0</w:t>
                  </w:r>
                </w:p>
              </w:tc>
              <w:tc>
                <w:tcPr>
                  <w:tcW w:w="573" w:type="pct"/>
                  <w:tcBorders>
                    <w:left w:val="nil"/>
                    <w:right w:val="single" w:color="auto" w:sz="4" w:space="0"/>
                  </w:tcBorders>
                  <w:noWrap w:val="0"/>
                  <w:vAlign w:val="center"/>
                </w:tcPr>
                <w:p w14:paraId="48B15EF4">
                  <w:pPr>
                    <w:snapToGrid w:val="0"/>
                    <w:jc w:val="center"/>
                    <w:rPr>
                      <w:rFonts w:hint="eastAsia"/>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602810AA">
                  <w:pPr>
                    <w:snapToGrid w:val="0"/>
                    <w:jc w:val="center"/>
                    <w:rPr>
                      <w:rFonts w:hint="eastAsia"/>
                      <w:color w:val="auto"/>
                      <w:szCs w:val="21"/>
                      <w:lang w:val="en-US" w:eastAsia="zh-CN"/>
                    </w:rPr>
                  </w:pPr>
                  <w:r>
                    <w:rPr>
                      <w:rFonts w:hint="eastAsia"/>
                      <w:color w:val="auto"/>
                      <w:szCs w:val="21"/>
                      <w:lang w:val="en-US" w:eastAsia="zh-CN"/>
                    </w:rPr>
                    <w:t>达标</w:t>
                  </w:r>
                </w:p>
              </w:tc>
            </w:tr>
            <w:tr w14:paraId="2941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0D826301">
                  <w:pPr>
                    <w:widowControl/>
                    <w:snapToGrid w:val="0"/>
                    <w:jc w:val="center"/>
                    <w:rPr>
                      <w:rFonts w:hint="default"/>
                      <w:color w:val="auto"/>
                      <w:szCs w:val="21"/>
                      <w:lang w:val="en-US" w:eastAsia="zh-CN"/>
                    </w:rPr>
                  </w:pPr>
                  <w:r>
                    <w:rPr>
                      <w:color w:val="auto"/>
                      <w:spacing w:val="-2"/>
                    </w:rPr>
                    <w:t>铁（</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5FA0BCA0">
                  <w:pPr>
                    <w:snapToGrid w:val="0"/>
                    <w:jc w:val="center"/>
                    <w:rPr>
                      <w:rFonts w:hint="default"/>
                      <w:color w:val="auto"/>
                      <w:szCs w:val="21"/>
                      <w:lang w:val="en-US" w:eastAsia="zh-CN"/>
                    </w:rPr>
                  </w:pPr>
                  <w:r>
                    <w:rPr>
                      <w:rFonts w:hint="default"/>
                      <w:color w:val="auto"/>
                      <w:szCs w:val="21"/>
                      <w:lang w:val="en-US" w:eastAsia="zh-CN"/>
                    </w:rPr>
                    <w:t>0.03ND</w:t>
                  </w:r>
                </w:p>
              </w:tc>
              <w:tc>
                <w:tcPr>
                  <w:tcW w:w="1299" w:type="pct"/>
                  <w:tcBorders>
                    <w:top w:val="single" w:color="auto" w:sz="4" w:space="0"/>
                    <w:left w:val="nil"/>
                    <w:bottom w:val="single" w:color="auto" w:sz="4" w:space="0"/>
                    <w:right w:val="single" w:color="auto" w:sz="4" w:space="0"/>
                  </w:tcBorders>
                  <w:noWrap w:val="0"/>
                  <w:vAlign w:val="center"/>
                </w:tcPr>
                <w:p w14:paraId="6386D3FB">
                  <w:pPr>
                    <w:snapToGrid w:val="0"/>
                    <w:jc w:val="center"/>
                    <w:rPr>
                      <w:rFonts w:hint="eastAsia"/>
                      <w:color w:val="auto"/>
                      <w:szCs w:val="21"/>
                      <w:lang w:val="en-US" w:eastAsia="zh-CN"/>
                    </w:rPr>
                  </w:pPr>
                  <w:r>
                    <w:rPr>
                      <w:color w:val="auto"/>
                      <w:szCs w:val="21"/>
                    </w:rPr>
                    <w:t>≤</w:t>
                  </w:r>
                  <w:r>
                    <w:rPr>
                      <w:rFonts w:hint="eastAsia"/>
                      <w:color w:val="auto"/>
                      <w:szCs w:val="21"/>
                      <w:lang w:val="en-US" w:eastAsia="zh-CN"/>
                    </w:rPr>
                    <w:t>0.3</w:t>
                  </w:r>
                </w:p>
              </w:tc>
              <w:tc>
                <w:tcPr>
                  <w:tcW w:w="573" w:type="pct"/>
                  <w:tcBorders>
                    <w:left w:val="nil"/>
                    <w:right w:val="single" w:color="auto" w:sz="4" w:space="0"/>
                  </w:tcBorders>
                  <w:noWrap w:val="0"/>
                  <w:vAlign w:val="center"/>
                </w:tcPr>
                <w:p w14:paraId="3117E348">
                  <w:pPr>
                    <w:snapToGrid w:val="0"/>
                    <w:jc w:val="center"/>
                    <w:rPr>
                      <w:rFonts w:hint="eastAsia"/>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50B3A3FA">
                  <w:pPr>
                    <w:snapToGrid w:val="0"/>
                    <w:jc w:val="center"/>
                    <w:rPr>
                      <w:rFonts w:hint="eastAsia"/>
                      <w:color w:val="auto"/>
                      <w:szCs w:val="21"/>
                      <w:lang w:val="en-US" w:eastAsia="zh-CN"/>
                    </w:rPr>
                  </w:pPr>
                  <w:r>
                    <w:rPr>
                      <w:rFonts w:hint="eastAsia"/>
                      <w:color w:val="auto"/>
                      <w:szCs w:val="21"/>
                      <w:lang w:val="en-US" w:eastAsia="zh-CN"/>
                    </w:rPr>
                    <w:t>达标</w:t>
                  </w:r>
                </w:p>
              </w:tc>
            </w:tr>
            <w:tr w14:paraId="4D08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12942455">
                  <w:pPr>
                    <w:widowControl/>
                    <w:snapToGrid w:val="0"/>
                    <w:jc w:val="center"/>
                    <w:rPr>
                      <w:color w:val="auto"/>
                      <w:spacing w:val="-2"/>
                    </w:rPr>
                  </w:pPr>
                  <w:r>
                    <w:rPr>
                      <w:color w:val="auto"/>
                      <w:spacing w:val="-2"/>
                    </w:rPr>
                    <w:t>锰（</w:t>
                  </w:r>
                  <w:r>
                    <w:rPr>
                      <w:rFonts w:ascii="Times New Roman" w:hAnsi="Times New Roman" w:eastAsia="Times New Roman" w:cs="Times New Roman"/>
                      <w:color w:val="auto"/>
                      <w:spacing w:val="-2"/>
                    </w:rPr>
                    <w:t>mg/L</w:t>
                  </w:r>
                  <w:r>
                    <w:rPr>
                      <w:color w:val="auto"/>
                      <w:spacing w:val="-2"/>
                    </w:rPr>
                    <w:t>）</w:t>
                  </w:r>
                </w:p>
              </w:tc>
              <w:tc>
                <w:tcPr>
                  <w:tcW w:w="1180" w:type="pct"/>
                  <w:tcBorders>
                    <w:top w:val="single" w:color="auto" w:sz="4" w:space="0"/>
                    <w:left w:val="nil"/>
                    <w:bottom w:val="single" w:color="auto" w:sz="4" w:space="0"/>
                    <w:right w:val="single" w:color="auto" w:sz="4" w:space="0"/>
                  </w:tcBorders>
                  <w:noWrap w:val="0"/>
                  <w:vAlign w:val="center"/>
                </w:tcPr>
                <w:p w14:paraId="559DD2E5">
                  <w:pPr>
                    <w:snapToGrid w:val="0"/>
                    <w:jc w:val="center"/>
                    <w:rPr>
                      <w:rFonts w:hint="default"/>
                      <w:color w:val="auto"/>
                      <w:szCs w:val="21"/>
                      <w:lang w:val="en-US" w:eastAsia="zh-CN"/>
                    </w:rPr>
                  </w:pPr>
                  <w:r>
                    <w:rPr>
                      <w:rFonts w:ascii="Times New Roman" w:hAnsi="Times New Roman" w:eastAsia="Times New Roman" w:cs="Times New Roman"/>
                      <w:color w:val="auto"/>
                      <w:spacing w:val="-2"/>
                      <w:sz w:val="24"/>
                      <w:szCs w:val="24"/>
                    </w:rPr>
                    <w:t>0.01ND</w:t>
                  </w:r>
                </w:p>
              </w:tc>
              <w:tc>
                <w:tcPr>
                  <w:tcW w:w="1299" w:type="pct"/>
                  <w:tcBorders>
                    <w:top w:val="single" w:color="auto" w:sz="4" w:space="0"/>
                    <w:left w:val="nil"/>
                    <w:bottom w:val="single" w:color="auto" w:sz="4" w:space="0"/>
                    <w:right w:val="single" w:color="auto" w:sz="4" w:space="0"/>
                  </w:tcBorders>
                  <w:noWrap w:val="0"/>
                  <w:vAlign w:val="center"/>
                </w:tcPr>
                <w:p w14:paraId="27DD2408">
                  <w:pPr>
                    <w:snapToGrid w:val="0"/>
                    <w:jc w:val="center"/>
                    <w:rPr>
                      <w:rFonts w:hint="eastAsia"/>
                      <w:color w:val="auto"/>
                      <w:szCs w:val="21"/>
                      <w:lang w:val="en-US" w:eastAsia="zh-CN"/>
                    </w:rPr>
                  </w:pPr>
                  <w:r>
                    <w:rPr>
                      <w:color w:val="auto"/>
                      <w:szCs w:val="21"/>
                    </w:rPr>
                    <w:t>≤</w:t>
                  </w:r>
                  <w:r>
                    <w:rPr>
                      <w:rFonts w:hint="eastAsia"/>
                      <w:color w:val="auto"/>
                      <w:szCs w:val="21"/>
                      <w:lang w:val="en-US" w:eastAsia="zh-CN"/>
                    </w:rPr>
                    <w:t>0.10</w:t>
                  </w:r>
                </w:p>
              </w:tc>
              <w:tc>
                <w:tcPr>
                  <w:tcW w:w="573" w:type="pct"/>
                  <w:tcBorders>
                    <w:left w:val="nil"/>
                    <w:right w:val="single" w:color="auto" w:sz="4" w:space="0"/>
                  </w:tcBorders>
                  <w:noWrap w:val="0"/>
                  <w:vAlign w:val="center"/>
                </w:tcPr>
                <w:p w14:paraId="061CD1BB">
                  <w:pPr>
                    <w:snapToGrid w:val="0"/>
                    <w:jc w:val="center"/>
                    <w:rPr>
                      <w:rFonts w:hint="eastAsia"/>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6B9A4D16">
                  <w:pPr>
                    <w:snapToGrid w:val="0"/>
                    <w:jc w:val="center"/>
                    <w:rPr>
                      <w:rFonts w:hint="eastAsia"/>
                      <w:color w:val="auto"/>
                      <w:szCs w:val="21"/>
                      <w:lang w:val="en-US" w:eastAsia="zh-CN"/>
                    </w:rPr>
                  </w:pPr>
                  <w:r>
                    <w:rPr>
                      <w:rFonts w:hint="eastAsia"/>
                      <w:color w:val="auto"/>
                      <w:szCs w:val="21"/>
                      <w:lang w:val="en-US" w:eastAsia="zh-CN"/>
                    </w:rPr>
                    <w:t>达标</w:t>
                  </w:r>
                </w:p>
              </w:tc>
            </w:tr>
            <w:tr w14:paraId="5687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397AB6A1">
                  <w:pPr>
                    <w:pStyle w:val="102"/>
                    <w:spacing w:before="66" w:line="219" w:lineRule="auto"/>
                    <w:rPr>
                      <w:color w:val="auto"/>
                    </w:rPr>
                  </w:pPr>
                  <w:r>
                    <w:rPr>
                      <w:color w:val="auto"/>
                      <w:spacing w:val="-2"/>
                    </w:rPr>
                    <w:t>高锰酸盐指数（耗氧量）</w:t>
                  </w:r>
                </w:p>
                <w:p w14:paraId="445DC15E">
                  <w:pPr>
                    <w:widowControl/>
                    <w:snapToGrid w:val="0"/>
                    <w:jc w:val="center"/>
                    <w:rPr>
                      <w:rFonts w:hint="default"/>
                      <w:color w:val="auto"/>
                      <w:szCs w:val="21"/>
                      <w:lang w:val="en-US" w:eastAsia="zh-CN"/>
                    </w:rPr>
                  </w:pPr>
                  <w:r>
                    <w:rPr>
                      <w:rFonts w:hint="eastAsia"/>
                      <w:color w:val="auto"/>
                      <w:spacing w:val="-4"/>
                      <w:lang w:eastAsia="zh-CN"/>
                    </w:rPr>
                    <w:t>(</w:t>
                  </w:r>
                  <w:r>
                    <w:rPr>
                      <w:rFonts w:ascii="Times New Roman" w:hAnsi="Times New Roman" w:eastAsia="Times New Roman" w:cs="Times New Roman"/>
                      <w:color w:val="auto"/>
                      <w:spacing w:val="-4"/>
                    </w:rPr>
                    <w:t>mg/L</w:t>
                  </w:r>
                  <w:r>
                    <w:rPr>
                      <w:rFonts w:hint="eastAsia" w:ascii="Times New Roman" w:hAnsi="Times New Roman" w:eastAsia="宋体" w:cs="Times New Roman"/>
                      <w:color w:val="auto"/>
                      <w:spacing w:val="-4"/>
                      <w:lang w:eastAsia="zh-CN"/>
                    </w:rPr>
                    <w:t>)</w:t>
                  </w:r>
                </w:p>
              </w:tc>
              <w:tc>
                <w:tcPr>
                  <w:tcW w:w="1180" w:type="pct"/>
                  <w:tcBorders>
                    <w:top w:val="single" w:color="auto" w:sz="4" w:space="0"/>
                    <w:left w:val="nil"/>
                    <w:bottom w:val="single" w:color="auto" w:sz="4" w:space="0"/>
                    <w:right w:val="single" w:color="auto" w:sz="4" w:space="0"/>
                  </w:tcBorders>
                  <w:noWrap w:val="0"/>
                  <w:vAlign w:val="center"/>
                </w:tcPr>
                <w:p w14:paraId="797F54B4">
                  <w:pPr>
                    <w:snapToGrid w:val="0"/>
                    <w:jc w:val="center"/>
                    <w:rPr>
                      <w:rFonts w:hint="default"/>
                      <w:color w:val="auto"/>
                      <w:szCs w:val="21"/>
                      <w:lang w:val="en-US" w:eastAsia="zh-CN"/>
                    </w:rPr>
                  </w:pPr>
                  <w:r>
                    <w:rPr>
                      <w:rFonts w:hint="default"/>
                      <w:color w:val="auto"/>
                      <w:szCs w:val="21"/>
                      <w:lang w:val="en-US" w:eastAsia="zh-CN"/>
                    </w:rPr>
                    <w:t>2.22</w:t>
                  </w:r>
                </w:p>
              </w:tc>
              <w:tc>
                <w:tcPr>
                  <w:tcW w:w="1299" w:type="pct"/>
                  <w:tcBorders>
                    <w:top w:val="single" w:color="auto" w:sz="4" w:space="0"/>
                    <w:left w:val="nil"/>
                    <w:bottom w:val="single" w:color="auto" w:sz="4" w:space="0"/>
                    <w:right w:val="single" w:color="auto" w:sz="4" w:space="0"/>
                  </w:tcBorders>
                  <w:noWrap w:val="0"/>
                  <w:vAlign w:val="center"/>
                </w:tcPr>
                <w:p w14:paraId="6611AD05">
                  <w:pPr>
                    <w:snapToGrid w:val="0"/>
                    <w:jc w:val="center"/>
                    <w:rPr>
                      <w:rFonts w:hint="eastAsia" w:eastAsia="宋体"/>
                      <w:color w:val="auto"/>
                      <w:szCs w:val="21"/>
                      <w:lang w:val="en-US" w:eastAsia="zh-CN"/>
                    </w:rPr>
                  </w:pPr>
                  <w:r>
                    <w:rPr>
                      <w:color w:val="auto"/>
                      <w:szCs w:val="21"/>
                    </w:rPr>
                    <w:t>≤</w:t>
                  </w:r>
                  <w:r>
                    <w:rPr>
                      <w:rFonts w:hint="eastAsia"/>
                      <w:color w:val="auto"/>
                      <w:szCs w:val="21"/>
                    </w:rPr>
                    <w:t>3.0</w:t>
                  </w:r>
                </w:p>
              </w:tc>
              <w:tc>
                <w:tcPr>
                  <w:tcW w:w="573" w:type="pct"/>
                  <w:tcBorders>
                    <w:left w:val="nil"/>
                    <w:right w:val="single" w:color="auto" w:sz="4" w:space="0"/>
                  </w:tcBorders>
                  <w:noWrap w:val="0"/>
                  <w:vAlign w:val="center"/>
                </w:tcPr>
                <w:p w14:paraId="0377145F">
                  <w:pPr>
                    <w:snapToGrid w:val="0"/>
                    <w:jc w:val="center"/>
                    <w:rPr>
                      <w:color w:val="auto"/>
                      <w:szCs w:val="21"/>
                    </w:rPr>
                  </w:pPr>
                  <w:r>
                    <w:rPr>
                      <w:rFonts w:hint="eastAsia"/>
                      <w:color w:val="auto"/>
                      <w:szCs w:val="21"/>
                      <w:lang w:val="en-US" w:eastAsia="zh-CN"/>
                    </w:rPr>
                    <w:t>0</w:t>
                  </w:r>
                </w:p>
              </w:tc>
              <w:tc>
                <w:tcPr>
                  <w:tcW w:w="574" w:type="pct"/>
                  <w:tcBorders>
                    <w:left w:val="nil"/>
                    <w:right w:val="single" w:color="auto" w:sz="4" w:space="0"/>
                  </w:tcBorders>
                  <w:noWrap w:val="0"/>
                  <w:vAlign w:val="center"/>
                </w:tcPr>
                <w:p w14:paraId="544F35B2">
                  <w:pPr>
                    <w:snapToGrid w:val="0"/>
                    <w:jc w:val="center"/>
                    <w:rPr>
                      <w:color w:val="auto"/>
                      <w:szCs w:val="21"/>
                    </w:rPr>
                  </w:pPr>
                  <w:r>
                    <w:rPr>
                      <w:rFonts w:hint="eastAsia"/>
                      <w:color w:val="auto"/>
                      <w:szCs w:val="21"/>
                      <w:lang w:val="en-US" w:eastAsia="zh-CN"/>
                    </w:rPr>
                    <w:t>达标</w:t>
                  </w:r>
                </w:p>
              </w:tc>
            </w:tr>
            <w:tr w14:paraId="1A34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41D87536">
                  <w:pPr>
                    <w:widowControl/>
                    <w:snapToGrid w:val="0"/>
                    <w:jc w:val="center"/>
                    <w:rPr>
                      <w:rFonts w:hint="default"/>
                      <w:color w:val="auto"/>
                      <w:szCs w:val="21"/>
                      <w:lang w:val="en-US" w:eastAsia="zh-CN"/>
                    </w:rPr>
                  </w:pPr>
                  <w:r>
                    <w:rPr>
                      <w:color w:val="auto"/>
                      <w:spacing w:val="-1"/>
                    </w:rPr>
                    <w:t>总大肠菌群（</w:t>
                  </w:r>
                  <w:r>
                    <w:rPr>
                      <w:rFonts w:ascii="Times New Roman" w:hAnsi="Times New Roman" w:eastAsia="Times New Roman" w:cs="Times New Roman"/>
                      <w:color w:val="auto"/>
                      <w:spacing w:val="-1"/>
                    </w:rPr>
                    <w:t>MPN/100mL</w:t>
                  </w:r>
                  <w:r>
                    <w:rPr>
                      <w:color w:val="auto"/>
                      <w:spacing w:val="-1"/>
                    </w:rPr>
                    <w:t>）</w:t>
                  </w:r>
                </w:p>
              </w:tc>
              <w:tc>
                <w:tcPr>
                  <w:tcW w:w="1180" w:type="pct"/>
                  <w:tcBorders>
                    <w:top w:val="single" w:color="auto" w:sz="4" w:space="0"/>
                    <w:left w:val="nil"/>
                    <w:bottom w:val="single" w:color="auto" w:sz="4" w:space="0"/>
                    <w:right w:val="single" w:color="auto" w:sz="4" w:space="0"/>
                  </w:tcBorders>
                  <w:noWrap w:val="0"/>
                  <w:vAlign w:val="center"/>
                </w:tcPr>
                <w:p w14:paraId="74F5A001">
                  <w:pPr>
                    <w:snapToGrid w:val="0"/>
                    <w:jc w:val="center"/>
                    <w:rPr>
                      <w:rFonts w:hint="default"/>
                      <w:color w:val="auto"/>
                      <w:szCs w:val="21"/>
                      <w:lang w:val="en-US" w:eastAsia="zh-CN"/>
                    </w:rPr>
                  </w:pPr>
                  <w:r>
                    <w:rPr>
                      <w:color w:val="auto"/>
                      <w:spacing w:val="-5"/>
                    </w:rPr>
                    <w:t>未检出</w:t>
                  </w:r>
                </w:p>
              </w:tc>
              <w:tc>
                <w:tcPr>
                  <w:tcW w:w="1299" w:type="pct"/>
                  <w:tcBorders>
                    <w:top w:val="single" w:color="auto" w:sz="4" w:space="0"/>
                    <w:left w:val="nil"/>
                    <w:bottom w:val="single" w:color="auto" w:sz="4" w:space="0"/>
                    <w:right w:val="single" w:color="auto" w:sz="4" w:space="0"/>
                  </w:tcBorders>
                  <w:noWrap w:val="0"/>
                  <w:vAlign w:val="center"/>
                </w:tcPr>
                <w:p w14:paraId="576A9CC2">
                  <w:pPr>
                    <w:snapToGrid w:val="0"/>
                    <w:jc w:val="center"/>
                    <w:rPr>
                      <w:rFonts w:hint="eastAsia" w:eastAsia="宋体"/>
                      <w:color w:val="auto"/>
                      <w:szCs w:val="21"/>
                      <w:lang w:val="en-US" w:eastAsia="zh-CN"/>
                    </w:rPr>
                  </w:pPr>
                  <w:r>
                    <w:rPr>
                      <w:color w:val="auto"/>
                      <w:szCs w:val="21"/>
                    </w:rPr>
                    <w:t>≤</w:t>
                  </w:r>
                  <w:r>
                    <w:rPr>
                      <w:rFonts w:hint="eastAsia"/>
                      <w:color w:val="auto"/>
                      <w:szCs w:val="21"/>
                    </w:rPr>
                    <w:t>3.0</w:t>
                  </w:r>
                </w:p>
              </w:tc>
              <w:tc>
                <w:tcPr>
                  <w:tcW w:w="573" w:type="pct"/>
                  <w:tcBorders>
                    <w:left w:val="nil"/>
                    <w:right w:val="single" w:color="auto" w:sz="4" w:space="0"/>
                  </w:tcBorders>
                  <w:noWrap w:val="0"/>
                  <w:vAlign w:val="center"/>
                </w:tcPr>
                <w:p w14:paraId="66CB29E3">
                  <w:pPr>
                    <w:snapToGrid w:val="0"/>
                    <w:jc w:val="center"/>
                    <w:rPr>
                      <w:rFonts w:hint="eastAsia" w:eastAsia="宋体"/>
                      <w:color w:val="auto"/>
                      <w:szCs w:val="21"/>
                      <w:lang w:val="en-US" w:eastAsia="zh-CN"/>
                    </w:rPr>
                  </w:pPr>
                  <w:r>
                    <w:rPr>
                      <w:rFonts w:hint="eastAsia"/>
                      <w:color w:val="auto"/>
                      <w:szCs w:val="21"/>
                      <w:lang w:val="en-US" w:eastAsia="zh-CN"/>
                    </w:rPr>
                    <w:t>0</w:t>
                  </w:r>
                </w:p>
              </w:tc>
              <w:tc>
                <w:tcPr>
                  <w:tcW w:w="574" w:type="pct"/>
                  <w:tcBorders>
                    <w:left w:val="nil"/>
                    <w:right w:val="single" w:color="auto" w:sz="4" w:space="0"/>
                  </w:tcBorders>
                  <w:noWrap w:val="0"/>
                  <w:vAlign w:val="center"/>
                </w:tcPr>
                <w:p w14:paraId="488C4AEE">
                  <w:pPr>
                    <w:snapToGrid w:val="0"/>
                    <w:jc w:val="center"/>
                    <w:rPr>
                      <w:rFonts w:hint="eastAsia" w:eastAsia="宋体"/>
                      <w:color w:val="auto"/>
                      <w:szCs w:val="21"/>
                      <w:lang w:val="en-US" w:eastAsia="zh-CN"/>
                    </w:rPr>
                  </w:pPr>
                  <w:r>
                    <w:rPr>
                      <w:rFonts w:hint="eastAsia"/>
                      <w:color w:val="auto"/>
                      <w:szCs w:val="21"/>
                      <w:lang w:val="en-US" w:eastAsia="zh-CN"/>
                    </w:rPr>
                    <w:t>达标</w:t>
                  </w:r>
                </w:p>
              </w:tc>
            </w:tr>
            <w:tr w14:paraId="1CB4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3EC05F27">
                  <w:pPr>
                    <w:widowControl/>
                    <w:snapToGrid w:val="0"/>
                    <w:jc w:val="center"/>
                    <w:rPr>
                      <w:rFonts w:hint="default" w:eastAsia="宋体"/>
                      <w:color w:val="auto"/>
                      <w:spacing w:val="-1"/>
                      <w:lang w:val="en-US" w:eastAsia="zh-CN"/>
                    </w:rPr>
                  </w:pPr>
                  <w:r>
                    <w:rPr>
                      <w:rFonts w:hint="eastAsia"/>
                      <w:color w:val="auto"/>
                      <w:spacing w:val="-1"/>
                      <w:lang w:val="en-US" w:eastAsia="zh-CN"/>
                    </w:rPr>
                    <w:t>井口标高（m）</w:t>
                  </w:r>
                </w:p>
              </w:tc>
              <w:tc>
                <w:tcPr>
                  <w:tcW w:w="1180" w:type="pct"/>
                  <w:tcBorders>
                    <w:top w:val="single" w:color="auto" w:sz="4" w:space="0"/>
                    <w:left w:val="nil"/>
                    <w:bottom w:val="single" w:color="auto" w:sz="4" w:space="0"/>
                    <w:right w:val="single" w:color="auto" w:sz="4" w:space="0"/>
                  </w:tcBorders>
                  <w:noWrap w:val="0"/>
                  <w:vAlign w:val="center"/>
                </w:tcPr>
                <w:p w14:paraId="0CDEFF4E">
                  <w:pPr>
                    <w:snapToGrid w:val="0"/>
                    <w:jc w:val="center"/>
                    <w:rPr>
                      <w:rFonts w:hint="default" w:eastAsia="宋体"/>
                      <w:color w:val="auto"/>
                      <w:spacing w:val="-5"/>
                      <w:lang w:val="en-US" w:eastAsia="zh-CN"/>
                    </w:rPr>
                  </w:pPr>
                  <w:r>
                    <w:rPr>
                      <w:rFonts w:hint="eastAsia"/>
                      <w:color w:val="auto"/>
                      <w:spacing w:val="-5"/>
                      <w:lang w:val="en-US" w:eastAsia="zh-CN"/>
                    </w:rPr>
                    <w:t>1165</w:t>
                  </w:r>
                </w:p>
              </w:tc>
              <w:tc>
                <w:tcPr>
                  <w:tcW w:w="1299" w:type="pct"/>
                  <w:tcBorders>
                    <w:top w:val="single" w:color="auto" w:sz="4" w:space="0"/>
                    <w:left w:val="nil"/>
                    <w:bottom w:val="single" w:color="auto" w:sz="4" w:space="0"/>
                    <w:right w:val="single" w:color="auto" w:sz="4" w:space="0"/>
                  </w:tcBorders>
                  <w:noWrap w:val="0"/>
                  <w:vAlign w:val="center"/>
                </w:tcPr>
                <w:p w14:paraId="0C7D51C0">
                  <w:pPr>
                    <w:snapToGrid w:val="0"/>
                    <w:jc w:val="center"/>
                    <w:rPr>
                      <w:rFonts w:hint="eastAsia" w:eastAsia="宋体"/>
                      <w:color w:val="auto"/>
                      <w:szCs w:val="21"/>
                      <w:lang w:val="en-US" w:eastAsia="zh-CN"/>
                    </w:rPr>
                  </w:pPr>
                  <w:r>
                    <w:rPr>
                      <w:rFonts w:hint="eastAsia"/>
                      <w:color w:val="auto"/>
                      <w:szCs w:val="21"/>
                      <w:lang w:val="en-US" w:eastAsia="zh-CN"/>
                    </w:rPr>
                    <w:t>/</w:t>
                  </w:r>
                </w:p>
              </w:tc>
              <w:tc>
                <w:tcPr>
                  <w:tcW w:w="573" w:type="pct"/>
                  <w:tcBorders>
                    <w:left w:val="nil"/>
                    <w:right w:val="single" w:color="auto" w:sz="4" w:space="0"/>
                  </w:tcBorders>
                  <w:noWrap w:val="0"/>
                  <w:vAlign w:val="center"/>
                </w:tcPr>
                <w:p w14:paraId="1602D2CE">
                  <w:pPr>
                    <w:snapToGrid w:val="0"/>
                    <w:jc w:val="center"/>
                    <w:rPr>
                      <w:rFonts w:hint="eastAsia"/>
                      <w:color w:val="auto"/>
                      <w:szCs w:val="21"/>
                      <w:lang w:val="en-US" w:eastAsia="zh-CN"/>
                    </w:rPr>
                  </w:pPr>
                  <w:r>
                    <w:rPr>
                      <w:rFonts w:hint="eastAsia"/>
                      <w:color w:val="auto"/>
                      <w:szCs w:val="21"/>
                      <w:lang w:val="en-US" w:eastAsia="zh-CN"/>
                    </w:rPr>
                    <w:t>/</w:t>
                  </w:r>
                </w:p>
              </w:tc>
              <w:tc>
                <w:tcPr>
                  <w:tcW w:w="574" w:type="pct"/>
                  <w:tcBorders>
                    <w:left w:val="nil"/>
                    <w:right w:val="single" w:color="auto" w:sz="4" w:space="0"/>
                  </w:tcBorders>
                  <w:noWrap w:val="0"/>
                  <w:vAlign w:val="center"/>
                </w:tcPr>
                <w:p w14:paraId="45D678A7">
                  <w:pPr>
                    <w:snapToGrid w:val="0"/>
                    <w:jc w:val="center"/>
                    <w:rPr>
                      <w:rFonts w:hint="eastAsia"/>
                      <w:color w:val="auto"/>
                      <w:szCs w:val="21"/>
                      <w:lang w:val="en-US" w:eastAsia="zh-CN"/>
                    </w:rPr>
                  </w:pPr>
                  <w:r>
                    <w:rPr>
                      <w:rFonts w:hint="eastAsia"/>
                      <w:color w:val="auto"/>
                      <w:szCs w:val="21"/>
                      <w:lang w:val="en-US" w:eastAsia="zh-CN"/>
                    </w:rPr>
                    <w:t>/</w:t>
                  </w:r>
                </w:p>
              </w:tc>
            </w:tr>
            <w:tr w14:paraId="57A7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7E7E3B53">
                  <w:pPr>
                    <w:widowControl/>
                    <w:snapToGrid w:val="0"/>
                    <w:jc w:val="center"/>
                    <w:rPr>
                      <w:rFonts w:hint="default"/>
                      <w:color w:val="auto"/>
                      <w:spacing w:val="-1"/>
                      <w:lang w:val="en-US" w:eastAsia="zh-CN"/>
                    </w:rPr>
                  </w:pPr>
                  <w:r>
                    <w:rPr>
                      <w:rFonts w:hint="eastAsia"/>
                      <w:color w:val="auto"/>
                      <w:spacing w:val="-1"/>
                      <w:lang w:val="en-US" w:eastAsia="zh-CN"/>
                    </w:rPr>
                    <w:t>水井水位标高（m）</w:t>
                  </w:r>
                </w:p>
              </w:tc>
              <w:tc>
                <w:tcPr>
                  <w:tcW w:w="1180" w:type="pct"/>
                  <w:tcBorders>
                    <w:top w:val="single" w:color="auto" w:sz="4" w:space="0"/>
                    <w:left w:val="nil"/>
                    <w:bottom w:val="single" w:color="auto" w:sz="4" w:space="0"/>
                    <w:right w:val="single" w:color="auto" w:sz="4" w:space="0"/>
                  </w:tcBorders>
                  <w:noWrap w:val="0"/>
                  <w:vAlign w:val="center"/>
                </w:tcPr>
                <w:p w14:paraId="3982DE0B">
                  <w:pPr>
                    <w:snapToGrid w:val="0"/>
                    <w:jc w:val="center"/>
                    <w:rPr>
                      <w:rFonts w:hint="default" w:eastAsia="宋体"/>
                      <w:color w:val="auto"/>
                      <w:spacing w:val="-5"/>
                      <w:lang w:val="en-US" w:eastAsia="zh-CN"/>
                    </w:rPr>
                  </w:pPr>
                  <w:r>
                    <w:rPr>
                      <w:rFonts w:hint="eastAsia"/>
                      <w:color w:val="auto"/>
                      <w:spacing w:val="-5"/>
                      <w:lang w:val="en-US" w:eastAsia="zh-CN"/>
                    </w:rPr>
                    <w:t>1156</w:t>
                  </w:r>
                </w:p>
              </w:tc>
              <w:tc>
                <w:tcPr>
                  <w:tcW w:w="1299" w:type="pct"/>
                  <w:tcBorders>
                    <w:top w:val="single" w:color="auto" w:sz="4" w:space="0"/>
                    <w:left w:val="nil"/>
                    <w:bottom w:val="single" w:color="auto" w:sz="4" w:space="0"/>
                    <w:right w:val="single" w:color="auto" w:sz="4" w:space="0"/>
                  </w:tcBorders>
                  <w:noWrap w:val="0"/>
                  <w:vAlign w:val="center"/>
                </w:tcPr>
                <w:p w14:paraId="2E406D81">
                  <w:pPr>
                    <w:snapToGrid w:val="0"/>
                    <w:jc w:val="center"/>
                    <w:rPr>
                      <w:color w:val="auto"/>
                      <w:szCs w:val="21"/>
                    </w:rPr>
                  </w:pPr>
                  <w:r>
                    <w:rPr>
                      <w:rFonts w:hint="eastAsia"/>
                      <w:color w:val="auto"/>
                      <w:szCs w:val="21"/>
                      <w:lang w:val="en-US" w:eastAsia="zh-CN"/>
                    </w:rPr>
                    <w:t>/</w:t>
                  </w:r>
                </w:p>
              </w:tc>
              <w:tc>
                <w:tcPr>
                  <w:tcW w:w="573" w:type="pct"/>
                  <w:tcBorders>
                    <w:left w:val="nil"/>
                    <w:right w:val="single" w:color="auto" w:sz="4" w:space="0"/>
                  </w:tcBorders>
                  <w:noWrap w:val="0"/>
                  <w:vAlign w:val="center"/>
                </w:tcPr>
                <w:p w14:paraId="3C590E50">
                  <w:pPr>
                    <w:snapToGrid w:val="0"/>
                    <w:jc w:val="center"/>
                    <w:rPr>
                      <w:rFonts w:hint="eastAsia"/>
                      <w:color w:val="auto"/>
                      <w:szCs w:val="21"/>
                      <w:lang w:val="en-US" w:eastAsia="zh-CN"/>
                    </w:rPr>
                  </w:pPr>
                  <w:r>
                    <w:rPr>
                      <w:rFonts w:hint="eastAsia"/>
                      <w:color w:val="auto"/>
                      <w:szCs w:val="21"/>
                      <w:lang w:val="en-US" w:eastAsia="zh-CN"/>
                    </w:rPr>
                    <w:t>/</w:t>
                  </w:r>
                </w:p>
              </w:tc>
              <w:tc>
                <w:tcPr>
                  <w:tcW w:w="574" w:type="pct"/>
                  <w:tcBorders>
                    <w:left w:val="nil"/>
                    <w:right w:val="single" w:color="auto" w:sz="4" w:space="0"/>
                  </w:tcBorders>
                  <w:noWrap w:val="0"/>
                  <w:vAlign w:val="center"/>
                </w:tcPr>
                <w:p w14:paraId="29B5D466">
                  <w:pPr>
                    <w:snapToGrid w:val="0"/>
                    <w:jc w:val="center"/>
                    <w:rPr>
                      <w:rFonts w:hint="eastAsia"/>
                      <w:color w:val="auto"/>
                      <w:szCs w:val="21"/>
                      <w:lang w:val="en-US" w:eastAsia="zh-CN"/>
                    </w:rPr>
                  </w:pPr>
                  <w:r>
                    <w:rPr>
                      <w:rFonts w:hint="eastAsia"/>
                      <w:color w:val="auto"/>
                      <w:szCs w:val="21"/>
                      <w:lang w:val="en-US" w:eastAsia="zh-CN"/>
                    </w:rPr>
                    <w:t>/</w:t>
                  </w:r>
                </w:p>
              </w:tc>
            </w:tr>
            <w:tr w14:paraId="5A94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660897D3">
                  <w:pPr>
                    <w:widowControl/>
                    <w:snapToGrid w:val="0"/>
                    <w:jc w:val="center"/>
                    <w:rPr>
                      <w:rFonts w:hint="default"/>
                      <w:color w:val="auto"/>
                      <w:spacing w:val="-1"/>
                      <w:lang w:val="en-US" w:eastAsia="zh-CN"/>
                    </w:rPr>
                  </w:pPr>
                  <w:r>
                    <w:rPr>
                      <w:rFonts w:hint="eastAsia"/>
                      <w:color w:val="auto"/>
                      <w:spacing w:val="-1"/>
                      <w:lang w:val="en-US" w:eastAsia="zh-CN"/>
                    </w:rPr>
                    <w:t>水深（m）</w:t>
                  </w:r>
                </w:p>
              </w:tc>
              <w:tc>
                <w:tcPr>
                  <w:tcW w:w="1180" w:type="pct"/>
                  <w:tcBorders>
                    <w:top w:val="single" w:color="auto" w:sz="4" w:space="0"/>
                    <w:left w:val="nil"/>
                    <w:bottom w:val="single" w:color="auto" w:sz="4" w:space="0"/>
                    <w:right w:val="single" w:color="auto" w:sz="4" w:space="0"/>
                  </w:tcBorders>
                  <w:noWrap w:val="0"/>
                  <w:vAlign w:val="center"/>
                </w:tcPr>
                <w:p w14:paraId="00170256">
                  <w:pPr>
                    <w:snapToGrid w:val="0"/>
                    <w:jc w:val="center"/>
                    <w:rPr>
                      <w:rFonts w:hint="default"/>
                      <w:color w:val="auto"/>
                      <w:spacing w:val="-5"/>
                      <w:lang w:val="en-US" w:eastAsia="zh-CN"/>
                    </w:rPr>
                  </w:pPr>
                  <w:r>
                    <w:rPr>
                      <w:rFonts w:hint="eastAsia"/>
                      <w:color w:val="auto"/>
                      <w:spacing w:val="-5"/>
                      <w:lang w:val="en-US" w:eastAsia="zh-CN"/>
                    </w:rPr>
                    <w:t>3</w:t>
                  </w:r>
                </w:p>
              </w:tc>
              <w:tc>
                <w:tcPr>
                  <w:tcW w:w="1299" w:type="pct"/>
                  <w:tcBorders>
                    <w:top w:val="single" w:color="auto" w:sz="4" w:space="0"/>
                    <w:left w:val="nil"/>
                    <w:bottom w:val="single" w:color="auto" w:sz="4" w:space="0"/>
                    <w:right w:val="single" w:color="auto" w:sz="4" w:space="0"/>
                  </w:tcBorders>
                  <w:noWrap w:val="0"/>
                  <w:vAlign w:val="center"/>
                </w:tcPr>
                <w:p w14:paraId="53578927">
                  <w:pPr>
                    <w:snapToGrid w:val="0"/>
                    <w:jc w:val="center"/>
                    <w:rPr>
                      <w:color w:val="auto"/>
                      <w:szCs w:val="21"/>
                    </w:rPr>
                  </w:pPr>
                </w:p>
              </w:tc>
              <w:tc>
                <w:tcPr>
                  <w:tcW w:w="573" w:type="pct"/>
                  <w:tcBorders>
                    <w:left w:val="nil"/>
                    <w:right w:val="single" w:color="auto" w:sz="4" w:space="0"/>
                  </w:tcBorders>
                  <w:noWrap w:val="0"/>
                  <w:vAlign w:val="center"/>
                </w:tcPr>
                <w:p w14:paraId="46F4A72C">
                  <w:pPr>
                    <w:snapToGrid w:val="0"/>
                    <w:jc w:val="center"/>
                    <w:rPr>
                      <w:rFonts w:hint="eastAsia"/>
                      <w:color w:val="auto"/>
                      <w:szCs w:val="21"/>
                      <w:lang w:val="en-US" w:eastAsia="zh-CN"/>
                    </w:rPr>
                  </w:pPr>
                  <w:r>
                    <w:rPr>
                      <w:rFonts w:hint="eastAsia"/>
                      <w:color w:val="auto"/>
                      <w:szCs w:val="21"/>
                      <w:lang w:val="en-US" w:eastAsia="zh-CN"/>
                    </w:rPr>
                    <w:t>/</w:t>
                  </w:r>
                </w:p>
              </w:tc>
              <w:tc>
                <w:tcPr>
                  <w:tcW w:w="574" w:type="pct"/>
                  <w:tcBorders>
                    <w:left w:val="nil"/>
                    <w:right w:val="single" w:color="auto" w:sz="4" w:space="0"/>
                  </w:tcBorders>
                  <w:noWrap w:val="0"/>
                  <w:vAlign w:val="center"/>
                </w:tcPr>
                <w:p w14:paraId="500624F3">
                  <w:pPr>
                    <w:snapToGrid w:val="0"/>
                    <w:jc w:val="center"/>
                    <w:rPr>
                      <w:rFonts w:hint="eastAsia"/>
                      <w:color w:val="auto"/>
                      <w:szCs w:val="21"/>
                      <w:lang w:val="en-US" w:eastAsia="zh-CN"/>
                    </w:rPr>
                  </w:pPr>
                  <w:r>
                    <w:rPr>
                      <w:rFonts w:hint="eastAsia"/>
                      <w:color w:val="auto"/>
                      <w:szCs w:val="21"/>
                      <w:lang w:val="en-US" w:eastAsia="zh-CN"/>
                    </w:rPr>
                    <w:t>/</w:t>
                  </w:r>
                </w:p>
              </w:tc>
            </w:tr>
            <w:tr w14:paraId="4F9F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006F4063">
                  <w:pPr>
                    <w:widowControl/>
                    <w:snapToGrid w:val="0"/>
                    <w:jc w:val="center"/>
                    <w:rPr>
                      <w:rFonts w:hint="default"/>
                      <w:color w:val="auto"/>
                      <w:spacing w:val="-1"/>
                      <w:lang w:val="en-US" w:eastAsia="zh-CN"/>
                    </w:rPr>
                  </w:pPr>
                  <w:r>
                    <w:rPr>
                      <w:rFonts w:hint="eastAsia"/>
                      <w:color w:val="auto"/>
                      <w:spacing w:val="-1"/>
                      <w:lang w:val="en-US" w:eastAsia="zh-CN"/>
                    </w:rPr>
                    <w:t>井深（m）</w:t>
                  </w:r>
                </w:p>
              </w:tc>
              <w:tc>
                <w:tcPr>
                  <w:tcW w:w="1180" w:type="pct"/>
                  <w:tcBorders>
                    <w:top w:val="single" w:color="auto" w:sz="4" w:space="0"/>
                    <w:left w:val="nil"/>
                    <w:bottom w:val="single" w:color="auto" w:sz="4" w:space="0"/>
                    <w:right w:val="single" w:color="auto" w:sz="4" w:space="0"/>
                  </w:tcBorders>
                  <w:noWrap w:val="0"/>
                  <w:vAlign w:val="center"/>
                </w:tcPr>
                <w:p w14:paraId="2A670314">
                  <w:pPr>
                    <w:snapToGrid w:val="0"/>
                    <w:jc w:val="center"/>
                    <w:rPr>
                      <w:rFonts w:hint="default"/>
                      <w:color w:val="auto"/>
                      <w:spacing w:val="-5"/>
                      <w:lang w:val="en-US" w:eastAsia="zh-CN"/>
                    </w:rPr>
                  </w:pPr>
                  <w:r>
                    <w:rPr>
                      <w:rFonts w:hint="eastAsia"/>
                      <w:color w:val="auto"/>
                      <w:spacing w:val="-5"/>
                      <w:lang w:val="en-US" w:eastAsia="zh-CN"/>
                    </w:rPr>
                    <w:t>12</w:t>
                  </w:r>
                </w:p>
              </w:tc>
              <w:tc>
                <w:tcPr>
                  <w:tcW w:w="1299" w:type="pct"/>
                  <w:tcBorders>
                    <w:top w:val="single" w:color="auto" w:sz="4" w:space="0"/>
                    <w:left w:val="nil"/>
                    <w:bottom w:val="single" w:color="auto" w:sz="4" w:space="0"/>
                    <w:right w:val="single" w:color="auto" w:sz="4" w:space="0"/>
                  </w:tcBorders>
                  <w:noWrap w:val="0"/>
                  <w:vAlign w:val="center"/>
                </w:tcPr>
                <w:p w14:paraId="77FE956F">
                  <w:pPr>
                    <w:snapToGrid w:val="0"/>
                    <w:jc w:val="center"/>
                    <w:rPr>
                      <w:color w:val="auto"/>
                      <w:szCs w:val="21"/>
                    </w:rPr>
                  </w:pPr>
                </w:p>
              </w:tc>
              <w:tc>
                <w:tcPr>
                  <w:tcW w:w="573" w:type="pct"/>
                  <w:tcBorders>
                    <w:left w:val="nil"/>
                    <w:right w:val="single" w:color="auto" w:sz="4" w:space="0"/>
                  </w:tcBorders>
                  <w:noWrap w:val="0"/>
                  <w:vAlign w:val="center"/>
                </w:tcPr>
                <w:p w14:paraId="4064294E">
                  <w:pPr>
                    <w:snapToGrid w:val="0"/>
                    <w:jc w:val="center"/>
                    <w:rPr>
                      <w:rFonts w:hint="eastAsia"/>
                      <w:color w:val="auto"/>
                      <w:szCs w:val="21"/>
                      <w:lang w:val="en-US" w:eastAsia="zh-CN"/>
                    </w:rPr>
                  </w:pPr>
                  <w:r>
                    <w:rPr>
                      <w:rFonts w:hint="eastAsia"/>
                      <w:color w:val="auto"/>
                      <w:szCs w:val="21"/>
                      <w:lang w:val="en-US" w:eastAsia="zh-CN"/>
                    </w:rPr>
                    <w:t>/</w:t>
                  </w:r>
                </w:p>
              </w:tc>
              <w:tc>
                <w:tcPr>
                  <w:tcW w:w="574" w:type="pct"/>
                  <w:tcBorders>
                    <w:left w:val="nil"/>
                    <w:right w:val="single" w:color="auto" w:sz="4" w:space="0"/>
                  </w:tcBorders>
                  <w:noWrap w:val="0"/>
                  <w:vAlign w:val="center"/>
                </w:tcPr>
                <w:p w14:paraId="06A4C6A7">
                  <w:pPr>
                    <w:snapToGrid w:val="0"/>
                    <w:jc w:val="center"/>
                    <w:rPr>
                      <w:rFonts w:hint="eastAsia"/>
                      <w:color w:val="auto"/>
                      <w:szCs w:val="21"/>
                      <w:lang w:val="en-US" w:eastAsia="zh-CN"/>
                    </w:rPr>
                  </w:pPr>
                  <w:r>
                    <w:rPr>
                      <w:rFonts w:hint="eastAsia"/>
                      <w:color w:val="auto"/>
                      <w:szCs w:val="21"/>
                      <w:lang w:val="en-US" w:eastAsia="zh-CN"/>
                    </w:rPr>
                    <w:t>/</w:t>
                  </w:r>
                </w:p>
              </w:tc>
            </w:tr>
            <w:tr w14:paraId="6660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tcBorders>
                    <w:top w:val="single" w:color="auto" w:sz="4" w:space="0"/>
                    <w:left w:val="single" w:color="auto" w:sz="4" w:space="0"/>
                    <w:bottom w:val="single" w:color="auto" w:sz="4" w:space="0"/>
                    <w:right w:val="single" w:color="auto" w:sz="4" w:space="0"/>
                  </w:tcBorders>
                  <w:noWrap w:val="0"/>
                  <w:vAlign w:val="center"/>
                </w:tcPr>
                <w:p w14:paraId="2B6363AD">
                  <w:pPr>
                    <w:widowControl/>
                    <w:snapToGrid w:val="0"/>
                    <w:jc w:val="center"/>
                    <w:rPr>
                      <w:rFonts w:hint="default"/>
                      <w:color w:val="auto"/>
                      <w:spacing w:val="-1"/>
                      <w:lang w:val="en-US" w:eastAsia="zh-CN"/>
                    </w:rPr>
                  </w:pPr>
                  <w:r>
                    <w:rPr>
                      <w:rFonts w:hint="eastAsia"/>
                      <w:color w:val="auto"/>
                      <w:spacing w:val="-1"/>
                      <w:lang w:val="en-US" w:eastAsia="zh-CN"/>
                    </w:rPr>
                    <w:t>水温（</w:t>
                  </w:r>
                  <w:r>
                    <w:rPr>
                      <w:rFonts w:hint="eastAsia" w:ascii="宋体" w:hAnsi="宋体" w:eastAsia="宋体" w:cs="宋体"/>
                      <w:color w:val="auto"/>
                      <w:spacing w:val="-1"/>
                      <w:lang w:val="en-US" w:eastAsia="zh-CN"/>
                    </w:rPr>
                    <w:t>℃</w:t>
                  </w:r>
                  <w:r>
                    <w:rPr>
                      <w:rFonts w:hint="eastAsia"/>
                      <w:color w:val="auto"/>
                      <w:spacing w:val="-1"/>
                      <w:lang w:val="en-US" w:eastAsia="zh-CN"/>
                    </w:rPr>
                    <w:t>）</w:t>
                  </w:r>
                </w:p>
              </w:tc>
              <w:tc>
                <w:tcPr>
                  <w:tcW w:w="1180" w:type="pct"/>
                  <w:tcBorders>
                    <w:top w:val="single" w:color="auto" w:sz="4" w:space="0"/>
                    <w:left w:val="nil"/>
                    <w:bottom w:val="single" w:color="auto" w:sz="4" w:space="0"/>
                    <w:right w:val="single" w:color="auto" w:sz="4" w:space="0"/>
                  </w:tcBorders>
                  <w:noWrap w:val="0"/>
                  <w:vAlign w:val="center"/>
                </w:tcPr>
                <w:p w14:paraId="69AA41CD">
                  <w:pPr>
                    <w:snapToGrid w:val="0"/>
                    <w:jc w:val="center"/>
                    <w:rPr>
                      <w:rFonts w:hint="default"/>
                      <w:color w:val="auto"/>
                      <w:spacing w:val="-5"/>
                      <w:lang w:val="en-US" w:eastAsia="zh-CN"/>
                    </w:rPr>
                  </w:pPr>
                  <w:r>
                    <w:rPr>
                      <w:rFonts w:hint="eastAsia"/>
                      <w:color w:val="auto"/>
                      <w:spacing w:val="-5"/>
                      <w:lang w:val="en-US" w:eastAsia="zh-CN"/>
                    </w:rPr>
                    <w:t>7.2</w:t>
                  </w:r>
                </w:p>
              </w:tc>
              <w:tc>
                <w:tcPr>
                  <w:tcW w:w="1299" w:type="pct"/>
                  <w:tcBorders>
                    <w:top w:val="single" w:color="auto" w:sz="4" w:space="0"/>
                    <w:left w:val="nil"/>
                    <w:bottom w:val="single" w:color="auto" w:sz="4" w:space="0"/>
                    <w:right w:val="single" w:color="auto" w:sz="4" w:space="0"/>
                  </w:tcBorders>
                  <w:noWrap w:val="0"/>
                  <w:vAlign w:val="center"/>
                </w:tcPr>
                <w:p w14:paraId="267352C5">
                  <w:pPr>
                    <w:snapToGrid w:val="0"/>
                    <w:jc w:val="center"/>
                    <w:rPr>
                      <w:color w:val="auto"/>
                      <w:szCs w:val="21"/>
                    </w:rPr>
                  </w:pPr>
                  <w:r>
                    <w:rPr>
                      <w:rFonts w:hint="eastAsia"/>
                      <w:color w:val="auto"/>
                      <w:szCs w:val="21"/>
                      <w:lang w:val="en-US" w:eastAsia="zh-CN"/>
                    </w:rPr>
                    <w:t>/</w:t>
                  </w:r>
                </w:p>
              </w:tc>
              <w:tc>
                <w:tcPr>
                  <w:tcW w:w="573" w:type="pct"/>
                  <w:tcBorders>
                    <w:left w:val="nil"/>
                    <w:bottom w:val="single" w:color="auto" w:sz="4" w:space="0"/>
                    <w:right w:val="single" w:color="auto" w:sz="4" w:space="0"/>
                  </w:tcBorders>
                  <w:noWrap w:val="0"/>
                  <w:vAlign w:val="center"/>
                </w:tcPr>
                <w:p w14:paraId="757F6529">
                  <w:pPr>
                    <w:snapToGrid w:val="0"/>
                    <w:jc w:val="center"/>
                    <w:rPr>
                      <w:rFonts w:hint="eastAsia"/>
                      <w:color w:val="auto"/>
                      <w:szCs w:val="21"/>
                      <w:lang w:val="en-US" w:eastAsia="zh-CN"/>
                    </w:rPr>
                  </w:pPr>
                  <w:r>
                    <w:rPr>
                      <w:rFonts w:hint="eastAsia"/>
                      <w:color w:val="auto"/>
                      <w:szCs w:val="21"/>
                      <w:lang w:val="en-US" w:eastAsia="zh-CN"/>
                    </w:rPr>
                    <w:t>/</w:t>
                  </w:r>
                </w:p>
              </w:tc>
              <w:tc>
                <w:tcPr>
                  <w:tcW w:w="574" w:type="pct"/>
                  <w:tcBorders>
                    <w:left w:val="nil"/>
                    <w:bottom w:val="single" w:color="auto" w:sz="4" w:space="0"/>
                    <w:right w:val="single" w:color="auto" w:sz="4" w:space="0"/>
                  </w:tcBorders>
                  <w:noWrap w:val="0"/>
                  <w:vAlign w:val="center"/>
                </w:tcPr>
                <w:p w14:paraId="76EADDCA">
                  <w:pPr>
                    <w:snapToGrid w:val="0"/>
                    <w:jc w:val="center"/>
                    <w:rPr>
                      <w:rFonts w:hint="eastAsia"/>
                      <w:color w:val="auto"/>
                      <w:szCs w:val="21"/>
                      <w:lang w:val="en-US" w:eastAsia="zh-CN"/>
                    </w:rPr>
                  </w:pPr>
                  <w:r>
                    <w:rPr>
                      <w:rFonts w:hint="eastAsia"/>
                      <w:color w:val="auto"/>
                      <w:szCs w:val="21"/>
                      <w:lang w:val="en-US" w:eastAsia="zh-CN"/>
                    </w:rPr>
                    <w:t>/</w:t>
                  </w:r>
                </w:p>
              </w:tc>
            </w:tr>
          </w:tbl>
          <w:p w14:paraId="451C6B0C">
            <w:pPr>
              <w:spacing w:line="360" w:lineRule="auto"/>
              <w:ind w:firstLine="480" w:firstLineChars="200"/>
              <w:rPr>
                <w:color w:val="auto"/>
                <w:sz w:val="24"/>
              </w:rPr>
            </w:pPr>
            <w:r>
              <w:rPr>
                <w:color w:val="auto"/>
                <w:sz w:val="24"/>
              </w:rPr>
              <w:t>根据地下水水质监测结果统计表，</w:t>
            </w:r>
            <w:bookmarkStart w:id="7" w:name="_Hlk122025879"/>
            <w:r>
              <w:rPr>
                <w:color w:val="auto"/>
                <w:sz w:val="24"/>
              </w:rPr>
              <w:t>该项目评价区内</w:t>
            </w:r>
            <w:r>
              <w:rPr>
                <w:rFonts w:hint="eastAsia"/>
                <w:color w:val="auto"/>
                <w:sz w:val="24"/>
                <w:lang w:val="en-US" w:eastAsia="zh-CN"/>
              </w:rPr>
              <w:t>除总硬度外</w:t>
            </w:r>
            <w:r>
              <w:rPr>
                <w:color w:val="auto"/>
                <w:sz w:val="24"/>
              </w:rPr>
              <w:t>各地下水监测指标均符合《地下水质量标准》（GB/T14848-2017）的Ⅲ类标准</w:t>
            </w:r>
            <w:bookmarkEnd w:id="7"/>
            <w:r>
              <w:rPr>
                <w:color w:val="auto"/>
                <w:sz w:val="24"/>
              </w:rPr>
              <w:t>。</w:t>
            </w:r>
            <w:r>
              <w:rPr>
                <w:rFonts w:hint="eastAsia"/>
                <w:color w:val="auto"/>
                <w:sz w:val="24"/>
                <w:lang w:val="en-US" w:eastAsia="zh-CN"/>
              </w:rPr>
              <w:t>总硬度</w:t>
            </w:r>
            <w:r>
              <w:rPr>
                <w:rFonts w:hint="eastAsia"/>
                <w:color w:val="auto"/>
                <w:sz w:val="24"/>
              </w:rPr>
              <w:t>超标的原因主要是自然地质过程水岩相互作用造成。</w:t>
            </w:r>
          </w:p>
          <w:p w14:paraId="3ACDAA8F">
            <w:pPr>
              <w:tabs>
                <w:tab w:val="left" w:pos="0"/>
              </w:tabs>
              <w:spacing w:line="360" w:lineRule="auto"/>
              <w:ind w:firstLine="482" w:firstLineChars="200"/>
              <w:rPr>
                <w:rFonts w:hint="default" w:ascii="Times New Roman" w:hAnsi="Times New Roman" w:eastAsia="宋体"/>
                <w:color w:val="auto"/>
                <w:sz w:val="24"/>
                <w:lang w:val="en-US" w:eastAsia="zh-CN"/>
              </w:rPr>
            </w:pPr>
            <w:r>
              <w:rPr>
                <w:rFonts w:hint="eastAsia" w:ascii="Times New Roman" w:hAnsi="Times New Roman" w:eastAsia="宋体"/>
                <w:b/>
                <w:bCs/>
                <w:color w:val="auto"/>
                <w:sz w:val="24"/>
                <w:lang w:val="en-US" w:eastAsia="zh-CN"/>
              </w:rPr>
              <w:t>4</w:t>
            </w:r>
            <w:r>
              <w:rPr>
                <w:rFonts w:ascii="Times New Roman" w:hAnsi="Times New Roman" w:eastAsia="宋体"/>
                <w:b/>
                <w:bCs/>
                <w:color w:val="auto"/>
                <w:sz w:val="24"/>
              </w:rPr>
              <w:t>、</w:t>
            </w:r>
            <w:r>
              <w:rPr>
                <w:rFonts w:hint="eastAsia" w:ascii="Times New Roman" w:hAnsi="Times New Roman" w:eastAsia="宋体"/>
                <w:b/>
                <w:bCs/>
                <w:color w:val="auto"/>
                <w:sz w:val="24"/>
                <w:lang w:val="en-US" w:eastAsia="zh-CN"/>
              </w:rPr>
              <w:t>声环境质量现状</w:t>
            </w:r>
          </w:p>
          <w:p w14:paraId="1B12691F">
            <w:pPr>
              <w:tabs>
                <w:tab w:val="left" w:pos="0"/>
              </w:tabs>
              <w:spacing w:line="360" w:lineRule="auto"/>
              <w:ind w:firstLine="480" w:firstLineChars="200"/>
              <w:rPr>
                <w:color w:val="auto"/>
              </w:rPr>
            </w:pPr>
            <w:r>
              <w:rPr>
                <w:rFonts w:hint="eastAsia" w:ascii="Times New Roman" w:hAnsi="Times New Roman" w:eastAsia="宋体"/>
                <w:color w:val="auto"/>
                <w:sz w:val="24"/>
                <w:lang w:val="en-US" w:eastAsia="zh-CN"/>
              </w:rPr>
              <w:t>项目周边50m范围内不存在声环境保护目标，且本技改项目未新增噪声源，故无需进行声环境质量现状监测。</w:t>
            </w:r>
          </w:p>
          <w:p w14:paraId="11389DE0">
            <w:pPr>
              <w:adjustRightInd w:val="0"/>
              <w:snapToGrid w:val="0"/>
              <w:spacing w:line="360" w:lineRule="auto"/>
              <w:ind w:firstLine="482" w:firstLineChars="200"/>
              <w:rPr>
                <w:rFonts w:hint="eastAsia"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5、土壤环境</w:t>
            </w:r>
          </w:p>
          <w:p w14:paraId="4B524E4C">
            <w:p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陕西青源环保科技有限公司于</w:t>
            </w:r>
            <w:r>
              <w:rPr>
                <w:rFonts w:hint="default" w:ascii="Times New Roman" w:hAnsi="Times New Roman" w:eastAsia="宋体" w:cs="Times New Roman"/>
                <w:color w:val="auto"/>
                <w:sz w:val="24"/>
                <w:lang w:val="en-US" w:eastAsia="zh-CN"/>
              </w:rPr>
              <w:t>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eastAsia="宋体"/>
                <w:color w:val="auto"/>
                <w:sz w:val="24"/>
                <w:lang w:val="en-US" w:eastAsia="zh-CN"/>
              </w:rPr>
              <w:t>11</w:t>
            </w:r>
            <w:r>
              <w:rPr>
                <w:color w:val="auto"/>
                <w:sz w:val="24"/>
              </w:rPr>
              <w:t>月</w:t>
            </w:r>
            <w:r>
              <w:rPr>
                <w:rFonts w:hint="eastAsia"/>
                <w:color w:val="auto"/>
                <w:sz w:val="24"/>
                <w:lang w:val="en-US" w:eastAsia="zh-CN"/>
              </w:rPr>
              <w:t>26</w:t>
            </w:r>
            <w:r>
              <w:rPr>
                <w:color w:val="auto"/>
                <w:sz w:val="24"/>
              </w:rPr>
              <w:t>日</w:t>
            </w:r>
            <w:r>
              <w:rPr>
                <w:rFonts w:hint="default" w:ascii="Times New Roman" w:hAnsi="Times New Roman" w:eastAsia="宋体" w:cs="Times New Roman"/>
                <w:color w:val="auto"/>
                <w:sz w:val="24"/>
                <w:lang w:val="en-US" w:eastAsia="zh-CN"/>
              </w:rPr>
              <w:t>对项目厂区内土壤进行了监测，监测报告见附件</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w:t>
            </w:r>
          </w:p>
          <w:p w14:paraId="156F3CE3">
            <w:p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（1）监测点位</w:t>
            </w:r>
          </w:p>
          <w:p w14:paraId="6E0C42FB">
            <w:pPr>
              <w:tabs>
                <w:tab w:val="left" w:pos="0"/>
              </w:tabs>
              <w:spacing w:line="360" w:lineRule="auto"/>
              <w:ind w:firstLine="480" w:firstLineChars="200"/>
              <w:rPr>
                <w:color w:val="auto"/>
                <w:sz w:val="24"/>
              </w:rPr>
            </w:pPr>
            <w:r>
              <w:rPr>
                <w:rFonts w:hint="eastAsia"/>
                <w:color w:val="auto"/>
                <w:sz w:val="24"/>
              </w:rPr>
              <w:t>在</w:t>
            </w:r>
            <w:r>
              <w:rPr>
                <w:rFonts w:hint="eastAsia"/>
                <w:color w:val="auto"/>
                <w:sz w:val="24"/>
                <w:lang w:val="en-US" w:eastAsia="zh-CN"/>
              </w:rPr>
              <w:t>现有</w:t>
            </w:r>
            <w:r>
              <w:rPr>
                <w:rFonts w:hint="eastAsia"/>
                <w:color w:val="auto"/>
                <w:sz w:val="24"/>
              </w:rPr>
              <w:t>厂区内</w:t>
            </w:r>
            <w:r>
              <w:rPr>
                <w:rFonts w:hint="eastAsia" w:cs="Times New Roman"/>
                <w:color w:val="auto"/>
                <w:sz w:val="24"/>
                <w:lang w:val="en-US" w:eastAsia="zh-CN"/>
              </w:rPr>
              <w:t>（110°39′06″E，39°03′18″N</w:t>
            </w:r>
            <w:r>
              <w:rPr>
                <w:rFonts w:hint="eastAsia"/>
                <w:color w:val="auto"/>
                <w:sz w:val="24"/>
                <w:lang w:eastAsia="zh-CN"/>
              </w:rPr>
              <w:t>），</w:t>
            </w:r>
            <w:r>
              <w:rPr>
                <w:rFonts w:hint="eastAsia"/>
                <w:color w:val="auto"/>
                <w:sz w:val="24"/>
                <w:lang w:val="en-US" w:eastAsia="zh-CN"/>
              </w:rPr>
              <w:t>位于</w:t>
            </w:r>
            <w:r>
              <w:rPr>
                <w:rFonts w:hint="eastAsia" w:cs="Times New Roman"/>
                <w:color w:val="auto"/>
                <w:sz w:val="24"/>
                <w:lang w:val="en-US" w:eastAsia="zh-CN"/>
              </w:rPr>
              <w:t>本项目厂区内</w:t>
            </w:r>
            <w:r>
              <w:rPr>
                <w:color w:val="auto"/>
                <w:sz w:val="24"/>
              </w:rPr>
              <w:t>设置1个表层样监测点。</w:t>
            </w:r>
          </w:p>
          <w:p w14:paraId="46B03AE1">
            <w:p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（2）监测时间与频次：</w:t>
            </w:r>
          </w:p>
          <w:p w14:paraId="5BDFB783">
            <w:p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项目土壤采样时间：202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11</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26</w:t>
            </w:r>
            <w:r>
              <w:rPr>
                <w:rFonts w:hint="default" w:ascii="Times New Roman" w:hAnsi="Times New Roman" w:eastAsia="宋体" w:cs="Times New Roman"/>
                <w:color w:val="auto"/>
                <w:sz w:val="24"/>
                <w:lang w:val="en-US" w:eastAsia="zh-CN"/>
              </w:rPr>
              <w:t>日，监测1天，每天1次。</w:t>
            </w:r>
          </w:p>
          <w:p w14:paraId="2A4C3CE0">
            <w:pPr>
              <w:numPr>
                <w:ilvl w:val="0"/>
                <w:numId w:val="3"/>
              </w:num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土壤监测项目</w:t>
            </w:r>
          </w:p>
          <w:p w14:paraId="739C2E1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本项目土壤监测项目对应的分析方法详见表3-</w:t>
            </w:r>
            <w:r>
              <w:rPr>
                <w:rFonts w:hint="eastAsia" w:cs="Times New Roman"/>
                <w:color w:val="auto"/>
                <w:sz w:val="24"/>
                <w:lang w:val="en-US" w:eastAsia="zh-CN"/>
              </w:rPr>
              <w:t>9</w:t>
            </w:r>
            <w:r>
              <w:rPr>
                <w:rFonts w:hint="default" w:ascii="Times New Roman" w:hAnsi="Times New Roman" w:eastAsia="宋体" w:cs="Times New Roman"/>
                <w:color w:val="auto"/>
                <w:sz w:val="24"/>
                <w:lang w:val="en-US" w:eastAsia="zh-CN"/>
              </w:rPr>
              <w:t>。</w:t>
            </w:r>
          </w:p>
          <w:p w14:paraId="6863DFD7">
            <w:pPr>
              <w:numPr>
                <w:ilvl w:val="0"/>
                <w:numId w:val="0"/>
              </w:numPr>
              <w:tabs>
                <w:tab w:val="left" w:pos="0"/>
              </w:tabs>
              <w:spacing w:line="24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表3-</w:t>
            </w:r>
            <w:r>
              <w:rPr>
                <w:rFonts w:hint="eastAsia" w:cs="Times New Roman"/>
                <w:b/>
                <w:bCs/>
                <w:color w:val="auto"/>
                <w:sz w:val="24"/>
                <w:lang w:val="en-US" w:eastAsia="zh-CN"/>
              </w:rPr>
              <w:t>9</w:t>
            </w:r>
            <w:r>
              <w:rPr>
                <w:rFonts w:hint="default" w:ascii="Times New Roman" w:hAnsi="Times New Roman" w:eastAsia="宋体" w:cs="Times New Roman"/>
                <w:b/>
                <w:bCs/>
                <w:color w:val="auto"/>
                <w:sz w:val="24"/>
                <w:lang w:val="en-US" w:eastAsia="zh-CN"/>
              </w:rPr>
              <w:t xml:space="preserve"> 土壤监测项目及分析方法</w:t>
            </w:r>
          </w:p>
          <w:tbl>
            <w:tblPr>
              <w:tblStyle w:val="87"/>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7"/>
              <w:gridCol w:w="2139"/>
              <w:gridCol w:w="1794"/>
              <w:gridCol w:w="1317"/>
              <w:gridCol w:w="1020"/>
              <w:gridCol w:w="579"/>
            </w:tblGrid>
            <w:tr w14:paraId="1DD6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000" w:type="pct"/>
                  <w:gridSpan w:val="6"/>
                  <w:tcBorders>
                    <w:tl2br w:val="nil"/>
                    <w:tr2bl w:val="nil"/>
                  </w:tcBorders>
                  <w:noWrap w:val="0"/>
                  <w:vAlign w:val="center"/>
                </w:tcPr>
                <w:p w14:paraId="1E8ED212">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分析方法及主要仪器</w:t>
                  </w:r>
                </w:p>
              </w:tc>
            </w:tr>
            <w:tr w14:paraId="6035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3A3D74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项目</w:t>
                  </w:r>
                </w:p>
              </w:tc>
              <w:tc>
                <w:tcPr>
                  <w:tcW w:w="1363" w:type="pct"/>
                  <w:tcBorders>
                    <w:tl2br w:val="nil"/>
                    <w:tr2bl w:val="nil"/>
                  </w:tcBorders>
                  <w:noWrap w:val="0"/>
                  <w:vAlign w:val="center"/>
                </w:tcPr>
                <w:p w14:paraId="7BD21C2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分析方法/依据</w:t>
                  </w:r>
                </w:p>
              </w:tc>
              <w:tc>
                <w:tcPr>
                  <w:tcW w:w="1143" w:type="pct"/>
                  <w:tcBorders>
                    <w:tl2br w:val="nil"/>
                    <w:tr2bl w:val="nil"/>
                  </w:tcBorders>
                  <w:noWrap w:val="0"/>
                  <w:vAlign w:val="center"/>
                </w:tcPr>
                <w:p w14:paraId="5D23D2C7">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仪器设备名称</w:t>
                  </w:r>
                </w:p>
              </w:tc>
              <w:tc>
                <w:tcPr>
                  <w:tcW w:w="839" w:type="pct"/>
                  <w:tcBorders>
                    <w:tl2br w:val="nil"/>
                    <w:tr2bl w:val="nil"/>
                  </w:tcBorders>
                  <w:noWrap w:val="0"/>
                  <w:vAlign w:val="center"/>
                </w:tcPr>
                <w:p w14:paraId="6EE9D3E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仪器编号及检/校</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4"/>
                      <w:sz w:val="21"/>
                      <w:szCs w:val="21"/>
                    </w:rPr>
                    <w:t>有效期</w:t>
                  </w:r>
                </w:p>
              </w:tc>
              <w:tc>
                <w:tcPr>
                  <w:tcW w:w="650" w:type="pct"/>
                  <w:tcBorders>
                    <w:tl2br w:val="nil"/>
                    <w:tr2bl w:val="nil"/>
                  </w:tcBorders>
                  <w:noWrap w:val="0"/>
                  <w:vAlign w:val="center"/>
                </w:tcPr>
                <w:p w14:paraId="7AA66656">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检出限/最</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低检出浓度</w:t>
                  </w:r>
                </w:p>
              </w:tc>
              <w:tc>
                <w:tcPr>
                  <w:tcW w:w="367" w:type="pct"/>
                  <w:tcBorders>
                    <w:tl2br w:val="nil"/>
                    <w:tr2bl w:val="nil"/>
                  </w:tcBorders>
                  <w:noWrap w:val="0"/>
                  <w:vAlign w:val="center"/>
                </w:tcPr>
                <w:p w14:paraId="0396F41F">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分析</w:t>
                  </w:r>
                  <w:r>
                    <w:rPr>
                      <w:rFonts w:hint="default" w:ascii="Times New Roman" w:hAnsi="Times New Roman" w:eastAsia="宋体" w:cs="Times New Roman"/>
                      <w:color w:val="auto"/>
                      <w:spacing w:val="-6"/>
                      <w:sz w:val="21"/>
                      <w:szCs w:val="21"/>
                    </w:rPr>
                    <w:t>人员</w:t>
                  </w:r>
                </w:p>
              </w:tc>
            </w:tr>
            <w:tr w14:paraId="3449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3113F8F">
                  <w:pPr>
                    <w:pStyle w:val="75"/>
                    <w:jc w:val="center"/>
                    <w:rPr>
                      <w:rFonts w:hint="default" w:ascii="Times New Roman" w:hAnsi="Times New Roman" w:eastAsia="宋体" w:cs="Times New Roman"/>
                      <w:color w:val="auto"/>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default" w:ascii="Times New Roman" w:hAnsi="Times New Roman" w:eastAsia="宋体" w:cs="Times New Roman"/>
                      <w:color w:val="auto"/>
                      <w:sz w:val="21"/>
                      <w:szCs w:val="21"/>
                    </w:rPr>
                    <w:t>镉</w:t>
                  </w:r>
                </w:p>
              </w:tc>
              <w:tc>
                <w:tcPr>
                  <w:tcW w:w="1363" w:type="pct"/>
                  <w:tcBorders>
                    <w:tl2br w:val="nil"/>
                    <w:tr2bl w:val="nil"/>
                  </w:tcBorders>
                  <w:noWrap w:val="0"/>
                  <w:vAlign w:val="center"/>
                </w:tcPr>
                <w:p w14:paraId="0A28B0E0">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 xml:space="preserve">土壤质量 铅、镉的测定 石墨炉原子吸收分光光度法 </w:t>
                  </w:r>
                </w:p>
                <w:p w14:paraId="20F661B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GB/T 17141-1997</w:t>
                  </w:r>
                </w:p>
              </w:tc>
              <w:tc>
                <w:tcPr>
                  <w:tcW w:w="1143" w:type="pct"/>
                  <w:tcBorders>
                    <w:tl2br w:val="nil"/>
                    <w:tr2bl w:val="nil"/>
                  </w:tcBorders>
                  <w:noWrap w:val="0"/>
                  <w:vAlign w:val="center"/>
                </w:tcPr>
                <w:p w14:paraId="4CF6809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单石墨炉原子吸收光谱仪</w:t>
                  </w:r>
                </w:p>
              </w:tc>
              <w:tc>
                <w:tcPr>
                  <w:tcW w:w="839" w:type="pct"/>
                  <w:tcBorders>
                    <w:tl2br w:val="nil"/>
                    <w:tr2bl w:val="nil"/>
                  </w:tcBorders>
                  <w:noWrap w:val="0"/>
                  <w:vAlign w:val="center"/>
                </w:tcPr>
                <w:p w14:paraId="0C2F9CC4">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HZ-FA-157</w:t>
                  </w:r>
                </w:p>
              </w:tc>
              <w:tc>
                <w:tcPr>
                  <w:tcW w:w="650" w:type="pct"/>
                  <w:tcBorders>
                    <w:tl2br w:val="nil"/>
                    <w:tr2bl w:val="nil"/>
                  </w:tcBorders>
                  <w:noWrap w:val="0"/>
                  <w:vAlign w:val="center"/>
                </w:tcPr>
                <w:p w14:paraId="2FE00BA5">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0.01mg/kg</w:t>
                  </w:r>
                </w:p>
              </w:tc>
              <w:tc>
                <w:tcPr>
                  <w:tcW w:w="367" w:type="pct"/>
                  <w:tcBorders>
                    <w:tl2br w:val="nil"/>
                    <w:tr2bl w:val="nil"/>
                  </w:tcBorders>
                  <w:noWrap w:val="0"/>
                  <w:vAlign w:val="center"/>
                </w:tcPr>
                <w:p w14:paraId="10D32264">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lang w:val="en-US" w:eastAsia="zh-CN" w:bidi="zh-CN"/>
                    </w:rPr>
                    <w:t>/</w:t>
                  </w:r>
                </w:p>
              </w:tc>
            </w:tr>
            <w:tr w14:paraId="4EBD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9ABD174">
                  <w:pPr>
                    <w:jc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sz w:val="21"/>
                      <w:szCs w:val="21"/>
                      <w:vertAlign w:val="superscript"/>
                      <w:lang w:val="en-US" w:eastAsia="zh-CN" w:bidi="ar-SA"/>
                    </w:rPr>
                    <w:t xml:space="preserve"> ★</w:t>
                  </w:r>
                  <w:r>
                    <w:rPr>
                      <w:rFonts w:hint="eastAsia" w:ascii="Times New Roman" w:hAnsi="Times New Roman" w:eastAsia="宋体" w:cs="Times New Roman"/>
                      <w:color w:val="auto"/>
                      <w:sz w:val="21"/>
                      <w:szCs w:val="21"/>
                      <w:highlight w:val="none"/>
                      <w:lang w:val="en-US" w:eastAsia="zh-CN" w:bidi="ar-SA"/>
                    </w:rPr>
                    <w:t>六价铬</w:t>
                  </w:r>
                </w:p>
              </w:tc>
              <w:tc>
                <w:tcPr>
                  <w:tcW w:w="1363" w:type="pct"/>
                  <w:tcBorders>
                    <w:tl2br w:val="nil"/>
                    <w:tr2bl w:val="nil"/>
                  </w:tcBorders>
                  <w:noWrap w:val="0"/>
                  <w:vAlign w:val="center"/>
                </w:tcPr>
                <w:p w14:paraId="4770B22D">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土壤和沉积物 六价铬的测定 碱溶液提取-火焰</w:t>
                  </w:r>
                  <w:r>
                    <w:rPr>
                      <w:rFonts w:hint="default" w:ascii="Times New Roman" w:hAnsi="Times New Roman" w:eastAsia="宋体" w:cs="Times New Roman"/>
                      <w:color w:val="auto"/>
                      <w:sz w:val="21"/>
                      <w:szCs w:val="21"/>
                      <w:lang w:val="en-US" w:eastAsia="zh-CN" w:bidi="ar-SA"/>
                    </w:rPr>
                    <w:t>原子吸收分光光度法</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HJ 1082-2019</w:t>
                  </w:r>
                </w:p>
              </w:tc>
              <w:tc>
                <w:tcPr>
                  <w:tcW w:w="1143" w:type="pct"/>
                  <w:tcBorders>
                    <w:tl2br w:val="nil"/>
                    <w:tr2bl w:val="nil"/>
                  </w:tcBorders>
                  <w:noWrap w:val="0"/>
                  <w:vAlign w:val="center"/>
                </w:tcPr>
                <w:p w14:paraId="0658D529">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单火焰原子吸收光谱仪</w:t>
                  </w:r>
                </w:p>
              </w:tc>
              <w:tc>
                <w:tcPr>
                  <w:tcW w:w="839" w:type="pct"/>
                  <w:tcBorders>
                    <w:tl2br w:val="nil"/>
                    <w:tr2bl w:val="nil"/>
                  </w:tcBorders>
                  <w:noWrap w:val="0"/>
                  <w:vAlign w:val="center"/>
                </w:tcPr>
                <w:p w14:paraId="2CD83DB1">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HZ-FA-156</w:t>
                  </w:r>
                </w:p>
              </w:tc>
              <w:tc>
                <w:tcPr>
                  <w:tcW w:w="650" w:type="pct"/>
                  <w:tcBorders>
                    <w:tl2br w:val="nil"/>
                    <w:tr2bl w:val="nil"/>
                  </w:tcBorders>
                  <w:noWrap w:val="0"/>
                  <w:vAlign w:val="center"/>
                </w:tcPr>
                <w:p w14:paraId="39202AED">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0.5mg/kg</w:t>
                  </w:r>
                </w:p>
              </w:tc>
              <w:tc>
                <w:tcPr>
                  <w:tcW w:w="367" w:type="pct"/>
                  <w:tcBorders>
                    <w:tl2br w:val="nil"/>
                    <w:tr2bl w:val="nil"/>
                  </w:tcBorders>
                  <w:noWrap w:val="0"/>
                  <w:vAlign w:val="center"/>
                </w:tcPr>
                <w:p w14:paraId="7780246D">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1DE0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FB0129D">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kern w:val="2"/>
                      <w:sz w:val="24"/>
                      <w:szCs w:val="24"/>
                      <w:lang w:val="en-US" w:eastAsia="zh-CN" w:bidi="ar-SA"/>
                    </w:rPr>
                    <w:t>汞</w:t>
                  </w:r>
                </w:p>
              </w:tc>
              <w:tc>
                <w:tcPr>
                  <w:tcW w:w="1363" w:type="pct"/>
                  <w:vMerge w:val="restart"/>
                  <w:tcBorders>
                    <w:tl2br w:val="nil"/>
                    <w:tr2bl w:val="nil"/>
                  </w:tcBorders>
                  <w:noWrap w:val="0"/>
                  <w:vAlign w:val="center"/>
                </w:tcPr>
                <w:p w14:paraId="6324C0D2">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土壤和沉积物 汞、砷、硒、铋、锑的测定 微波消解原子荧光光度法</w:t>
                  </w:r>
                </w:p>
                <w:p w14:paraId="385D7225">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lang w:val="en-US" w:eastAsia="zh-CN" w:bidi="ar-SA"/>
                    </w:rPr>
                    <w:t>HJ 680-2013</w:t>
                  </w:r>
                </w:p>
              </w:tc>
              <w:tc>
                <w:tcPr>
                  <w:tcW w:w="1143" w:type="pct"/>
                  <w:vMerge w:val="restart"/>
                  <w:tcBorders>
                    <w:tl2br w:val="nil"/>
                    <w:tr2bl w:val="nil"/>
                  </w:tcBorders>
                  <w:noWrap w:val="0"/>
                  <w:vAlign w:val="center"/>
                </w:tcPr>
                <w:p w14:paraId="157F947C">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lang w:val="en-US" w:eastAsia="zh-CN" w:bidi="ar-SA"/>
                    </w:rPr>
                    <w:t>双道原子荧光光度计</w:t>
                  </w:r>
                </w:p>
              </w:tc>
              <w:tc>
                <w:tcPr>
                  <w:tcW w:w="839" w:type="pct"/>
                  <w:vMerge w:val="restart"/>
                  <w:tcBorders>
                    <w:tl2br w:val="nil"/>
                    <w:tr2bl w:val="nil"/>
                  </w:tcBorders>
                  <w:noWrap w:val="0"/>
                  <w:vAlign w:val="center"/>
                </w:tcPr>
                <w:p w14:paraId="236A91F7">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HZ-FA-162</w:t>
                  </w:r>
                </w:p>
              </w:tc>
              <w:tc>
                <w:tcPr>
                  <w:tcW w:w="650" w:type="pct"/>
                  <w:tcBorders>
                    <w:tl2br w:val="nil"/>
                    <w:tr2bl w:val="nil"/>
                  </w:tcBorders>
                  <w:noWrap w:val="0"/>
                  <w:vAlign w:val="center"/>
                </w:tcPr>
                <w:p w14:paraId="286267A4">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z w:val="21"/>
                      <w:szCs w:val="21"/>
                      <w:lang w:val="en-US" w:eastAsia="zh-CN" w:bidi="zh-CN"/>
                    </w:rPr>
                    <w:t>0.002mg/kg</w:t>
                  </w:r>
                </w:p>
              </w:tc>
              <w:tc>
                <w:tcPr>
                  <w:tcW w:w="367" w:type="pct"/>
                  <w:tcBorders>
                    <w:tl2br w:val="nil"/>
                    <w:tr2bl w:val="nil"/>
                  </w:tcBorders>
                  <w:noWrap w:val="0"/>
                  <w:vAlign w:val="center"/>
                </w:tcPr>
                <w:p w14:paraId="7230B0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7BF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E9A234B">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kern w:val="2"/>
                      <w:sz w:val="24"/>
                      <w:szCs w:val="24"/>
                      <w:lang w:val="en-US" w:eastAsia="zh-CN" w:bidi="ar-SA"/>
                    </w:rPr>
                    <w:t>砷</w:t>
                  </w:r>
                </w:p>
              </w:tc>
              <w:tc>
                <w:tcPr>
                  <w:tcW w:w="1363" w:type="pct"/>
                  <w:vMerge w:val="continue"/>
                  <w:tcBorders>
                    <w:tl2br w:val="nil"/>
                    <w:tr2bl w:val="nil"/>
                  </w:tcBorders>
                  <w:noWrap w:val="0"/>
                  <w:vAlign w:val="center"/>
                </w:tcPr>
                <w:p w14:paraId="215B5CD4">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E4FF7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2448B9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F0C09A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z w:val="21"/>
                      <w:szCs w:val="21"/>
                      <w:lang w:val="en-US" w:eastAsia="zh-CN" w:bidi="zh-CN"/>
                    </w:rPr>
                    <w:t>0.01mg/kg</w:t>
                  </w:r>
                </w:p>
              </w:tc>
              <w:tc>
                <w:tcPr>
                  <w:tcW w:w="367" w:type="pct"/>
                  <w:tcBorders>
                    <w:tl2br w:val="nil"/>
                    <w:tr2bl w:val="nil"/>
                  </w:tcBorders>
                  <w:noWrap w:val="0"/>
                  <w:vAlign w:val="center"/>
                </w:tcPr>
                <w:p w14:paraId="4E0A57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87B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F9B33E3">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铜</w:t>
                  </w:r>
                </w:p>
              </w:tc>
              <w:tc>
                <w:tcPr>
                  <w:tcW w:w="1363" w:type="pct"/>
                  <w:vMerge w:val="restart"/>
                  <w:tcBorders>
                    <w:tl2br w:val="nil"/>
                    <w:tr2bl w:val="nil"/>
                  </w:tcBorders>
                  <w:noWrap w:val="0"/>
                  <w:vAlign w:val="center"/>
                </w:tcPr>
                <w:p w14:paraId="19A3F5A2">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土壤和沉积物铜、锌、铅、镍、铬的测定 火焰原子吸收分光光度法</w:t>
                  </w:r>
                </w:p>
                <w:p w14:paraId="0BFEC820">
                  <w:pPr>
                    <w:jc w:val="center"/>
                    <w:rPr>
                      <w:rFonts w:hint="default" w:ascii="Times New Roman" w:hAnsi="Times New Roman" w:eastAsia="宋体" w:cs="Times New Roman"/>
                      <w:color w:val="auto"/>
                      <w:spacing w:val="-2"/>
                      <w:sz w:val="21"/>
                      <w:szCs w:val="21"/>
                      <w:lang w:val="en-US" w:eastAsia="zh-CN" w:bidi="ar-SA"/>
                    </w:rPr>
                  </w:pPr>
                  <w:r>
                    <w:rPr>
                      <w:rFonts w:hint="default" w:ascii="Times New Roman" w:hAnsi="Times New Roman" w:eastAsia="宋体" w:cs="Times New Roman"/>
                      <w:color w:val="auto"/>
                      <w:sz w:val="21"/>
                      <w:szCs w:val="21"/>
                      <w:lang w:val="en-US" w:eastAsia="zh-CN" w:bidi="ar-SA"/>
                    </w:rPr>
                    <w:t>HJ 491-2019</w:t>
                  </w:r>
                </w:p>
              </w:tc>
              <w:tc>
                <w:tcPr>
                  <w:tcW w:w="1143" w:type="pct"/>
                  <w:vMerge w:val="restart"/>
                  <w:tcBorders>
                    <w:tl2br w:val="nil"/>
                    <w:tr2bl w:val="nil"/>
                  </w:tcBorders>
                  <w:noWrap w:val="0"/>
                  <w:vAlign w:val="center"/>
                </w:tcPr>
                <w:p w14:paraId="23943A30">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lang w:val="en-US" w:eastAsia="zh-CN" w:bidi="ar-SA"/>
                    </w:rPr>
                    <w:t>单火焰原子吸收光谱仪</w:t>
                  </w:r>
                </w:p>
              </w:tc>
              <w:tc>
                <w:tcPr>
                  <w:tcW w:w="839" w:type="pct"/>
                  <w:vMerge w:val="restart"/>
                  <w:tcBorders>
                    <w:tl2br w:val="nil"/>
                    <w:tr2bl w:val="nil"/>
                  </w:tcBorders>
                  <w:noWrap w:val="0"/>
                  <w:vAlign w:val="center"/>
                </w:tcPr>
                <w:p w14:paraId="2475132F">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HZ-FA-156</w:t>
                  </w:r>
                </w:p>
              </w:tc>
              <w:tc>
                <w:tcPr>
                  <w:tcW w:w="650" w:type="pct"/>
                  <w:tcBorders>
                    <w:tl2br w:val="nil"/>
                    <w:tr2bl w:val="nil"/>
                  </w:tcBorders>
                  <w:noWrap w:val="0"/>
                  <w:vAlign w:val="center"/>
                </w:tcPr>
                <w:p w14:paraId="3A715FB8">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zh-CN"/>
                    </w:rPr>
                    <w:t>1mg/kg</w:t>
                  </w:r>
                </w:p>
              </w:tc>
              <w:tc>
                <w:tcPr>
                  <w:tcW w:w="367" w:type="pct"/>
                  <w:tcBorders>
                    <w:tl2br w:val="nil"/>
                    <w:tr2bl w:val="nil"/>
                  </w:tcBorders>
                  <w:noWrap w:val="0"/>
                  <w:vAlign w:val="center"/>
                </w:tcPr>
                <w:p w14:paraId="71B3B8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0C27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8FE3EF3">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铅</w:t>
                  </w:r>
                </w:p>
              </w:tc>
              <w:tc>
                <w:tcPr>
                  <w:tcW w:w="1363" w:type="pct"/>
                  <w:vMerge w:val="continue"/>
                  <w:tcBorders>
                    <w:tl2br w:val="nil"/>
                    <w:tr2bl w:val="nil"/>
                  </w:tcBorders>
                  <w:noWrap w:val="0"/>
                  <w:vAlign w:val="center"/>
                </w:tcPr>
                <w:p w14:paraId="37BF02A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4F0154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1B9C3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226DAE02">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zh-CN"/>
                    </w:rPr>
                    <w:t>10mg/kg</w:t>
                  </w:r>
                </w:p>
              </w:tc>
              <w:tc>
                <w:tcPr>
                  <w:tcW w:w="367" w:type="pct"/>
                  <w:tcBorders>
                    <w:tl2br w:val="nil"/>
                    <w:tr2bl w:val="nil"/>
                  </w:tcBorders>
                  <w:noWrap w:val="0"/>
                  <w:vAlign w:val="center"/>
                </w:tcPr>
                <w:p w14:paraId="77C0C6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806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36" w:type="pct"/>
                  <w:tcBorders>
                    <w:tl2br w:val="nil"/>
                    <w:tr2bl w:val="nil"/>
                  </w:tcBorders>
                  <w:noWrap w:val="0"/>
                  <w:vAlign w:val="center"/>
                </w:tcPr>
                <w:p w14:paraId="31C4D494">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镍</w:t>
                  </w:r>
                </w:p>
              </w:tc>
              <w:tc>
                <w:tcPr>
                  <w:tcW w:w="1363" w:type="pct"/>
                  <w:vMerge w:val="continue"/>
                  <w:tcBorders>
                    <w:tl2br w:val="nil"/>
                    <w:tr2bl w:val="nil"/>
                  </w:tcBorders>
                  <w:noWrap w:val="0"/>
                  <w:vAlign w:val="center"/>
                </w:tcPr>
                <w:p w14:paraId="119E9D6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0162DE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0D915D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3C6BDD52">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zh-CN"/>
                    </w:rPr>
                    <w:t>3mg/kg</w:t>
                  </w:r>
                </w:p>
              </w:tc>
              <w:tc>
                <w:tcPr>
                  <w:tcW w:w="367" w:type="pct"/>
                  <w:tcBorders>
                    <w:tl2br w:val="nil"/>
                    <w:tr2bl w:val="nil"/>
                  </w:tcBorders>
                  <w:noWrap w:val="0"/>
                  <w:vAlign w:val="center"/>
                </w:tcPr>
                <w:p w14:paraId="3B002E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C8D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5D522EC5">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0"/>
                      <w:sz w:val="24"/>
                      <w:szCs w:val="24"/>
                      <w:highlight w:val="none"/>
                      <w:vertAlign w:val="superscript"/>
                      <w:lang w:val="en-US" w:eastAsia="zh-CN" w:bidi="zh-CN"/>
                    </w:rPr>
                    <w:t>★</w:t>
                  </w:r>
                  <w:r>
                    <w:rPr>
                      <w:rFonts w:hint="eastAsia" w:ascii="Times New Roman" w:hAnsi="Times New Roman" w:eastAsia="宋体" w:cs="Times New Roman"/>
                      <w:color w:val="auto"/>
                      <w:kern w:val="0"/>
                      <w:sz w:val="24"/>
                      <w:szCs w:val="24"/>
                      <w:highlight w:val="none"/>
                      <w:lang w:val="en-US" w:eastAsia="zh-CN" w:bidi="zh-CN"/>
                    </w:rPr>
                    <w:t>2-氯苯酚（2-氯酚）</w:t>
                  </w:r>
                </w:p>
              </w:tc>
              <w:tc>
                <w:tcPr>
                  <w:tcW w:w="1363" w:type="pct"/>
                  <w:vMerge w:val="restart"/>
                  <w:tcBorders>
                    <w:tl2br w:val="nil"/>
                    <w:tr2bl w:val="nil"/>
                  </w:tcBorders>
                  <w:noWrap w:val="0"/>
                  <w:vAlign w:val="center"/>
                </w:tcPr>
                <w:p w14:paraId="5F06B67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土壤和沉积物 半挥发性有机物的测定 气相色谱-质谱法 </w:t>
                  </w:r>
                </w:p>
                <w:p w14:paraId="260B91CC">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HJ 834-2017</w:t>
                  </w:r>
                </w:p>
              </w:tc>
              <w:tc>
                <w:tcPr>
                  <w:tcW w:w="1143" w:type="pct"/>
                  <w:vMerge w:val="restart"/>
                  <w:tcBorders>
                    <w:tl2br w:val="nil"/>
                    <w:tr2bl w:val="nil"/>
                  </w:tcBorders>
                  <w:noWrap w:val="0"/>
                  <w:vAlign w:val="center"/>
                </w:tcPr>
                <w:p w14:paraId="034B3A0E">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快速溶剂萃取仪</w:t>
                  </w:r>
                </w:p>
                <w:p w14:paraId="118F0DEA">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定量平行浓缩仪</w:t>
                  </w:r>
                </w:p>
                <w:p w14:paraId="30E64B0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气质联用仪器</w:t>
                  </w:r>
                </w:p>
                <w:p w14:paraId="571B63F6">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电子分析天平</w:t>
                  </w:r>
                </w:p>
                <w:p w14:paraId="5CB73770">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lang w:val="en-US" w:eastAsia="zh-CN" w:bidi="ar-SA"/>
                    </w:rPr>
                    <w:t>真空冷冻干燥机</w:t>
                  </w:r>
                </w:p>
              </w:tc>
              <w:tc>
                <w:tcPr>
                  <w:tcW w:w="839" w:type="pct"/>
                  <w:vMerge w:val="restart"/>
                  <w:tcBorders>
                    <w:tl2br w:val="nil"/>
                    <w:tr2bl w:val="nil"/>
                  </w:tcBorders>
                  <w:noWrap w:val="0"/>
                  <w:vAlign w:val="center"/>
                </w:tcPr>
                <w:p w14:paraId="28972E21">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HZ-FA-321</w:t>
                  </w:r>
                </w:p>
                <w:p w14:paraId="5414D001">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HZ-FA-322</w:t>
                  </w:r>
                </w:p>
                <w:p w14:paraId="7BBF59FC">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HZ-FA-155</w:t>
                  </w:r>
                </w:p>
                <w:p w14:paraId="2FC44032">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HZ-FA-299</w:t>
                  </w:r>
                </w:p>
                <w:p w14:paraId="03280BCF">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HZ-FA-284</w:t>
                  </w:r>
                </w:p>
              </w:tc>
              <w:tc>
                <w:tcPr>
                  <w:tcW w:w="650" w:type="pct"/>
                  <w:tcBorders>
                    <w:tl2br w:val="nil"/>
                    <w:tr2bl w:val="nil"/>
                  </w:tcBorders>
                  <w:noWrap w:val="0"/>
                  <w:vAlign w:val="center"/>
                </w:tcPr>
                <w:p w14:paraId="55B3F209">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0.06mg/kg</w:t>
                  </w:r>
                </w:p>
              </w:tc>
              <w:tc>
                <w:tcPr>
                  <w:tcW w:w="367" w:type="pct"/>
                  <w:tcBorders>
                    <w:tl2br w:val="nil"/>
                    <w:tr2bl w:val="nil"/>
                  </w:tcBorders>
                  <w:noWrap w:val="0"/>
                  <w:vAlign w:val="center"/>
                </w:tcPr>
                <w:p w14:paraId="3BF436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F0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D2D5960">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硝基苯</w:t>
                  </w:r>
                </w:p>
              </w:tc>
              <w:tc>
                <w:tcPr>
                  <w:tcW w:w="1363" w:type="pct"/>
                  <w:vMerge w:val="continue"/>
                  <w:tcBorders>
                    <w:tl2br w:val="nil"/>
                    <w:tr2bl w:val="nil"/>
                  </w:tcBorders>
                  <w:noWrap w:val="0"/>
                  <w:vAlign w:val="center"/>
                </w:tcPr>
                <w:p w14:paraId="6DE92D81">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207AFF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67CB2A9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485362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0.09mg/kg</w:t>
                  </w:r>
                </w:p>
              </w:tc>
              <w:tc>
                <w:tcPr>
                  <w:tcW w:w="367" w:type="pct"/>
                  <w:tcBorders>
                    <w:tl2br w:val="nil"/>
                    <w:tr2bl w:val="nil"/>
                  </w:tcBorders>
                  <w:noWrap w:val="0"/>
                  <w:vAlign w:val="center"/>
                </w:tcPr>
                <w:p w14:paraId="071EEA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04B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6366EDA">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萘</w:t>
                  </w:r>
                </w:p>
              </w:tc>
              <w:tc>
                <w:tcPr>
                  <w:tcW w:w="1363" w:type="pct"/>
                  <w:vMerge w:val="continue"/>
                  <w:tcBorders>
                    <w:tl2br w:val="nil"/>
                    <w:tr2bl w:val="nil"/>
                  </w:tcBorders>
                  <w:noWrap w:val="0"/>
                  <w:vAlign w:val="center"/>
                </w:tcPr>
                <w:p w14:paraId="1BD40BD1">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492192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2B87BE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1E61194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0.09mg/kg</w:t>
                  </w:r>
                </w:p>
              </w:tc>
              <w:tc>
                <w:tcPr>
                  <w:tcW w:w="367" w:type="pct"/>
                  <w:tcBorders>
                    <w:tl2br w:val="nil"/>
                    <w:tr2bl w:val="nil"/>
                  </w:tcBorders>
                  <w:noWrap w:val="0"/>
                  <w:vAlign w:val="center"/>
                </w:tcPr>
                <w:p w14:paraId="192A74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1B1E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2259A02">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苯并[a]蒽</w:t>
                  </w:r>
                </w:p>
              </w:tc>
              <w:tc>
                <w:tcPr>
                  <w:tcW w:w="1363" w:type="pct"/>
                  <w:vMerge w:val="continue"/>
                  <w:tcBorders>
                    <w:tl2br w:val="nil"/>
                    <w:tr2bl w:val="nil"/>
                  </w:tcBorders>
                  <w:noWrap w:val="0"/>
                  <w:vAlign w:val="center"/>
                </w:tcPr>
                <w:p w14:paraId="0C08F88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3EFA58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69EB98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BF3E669">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46CB3D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536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8263EBC">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䓛</w:t>
                  </w:r>
                </w:p>
              </w:tc>
              <w:tc>
                <w:tcPr>
                  <w:tcW w:w="1363" w:type="pct"/>
                  <w:vMerge w:val="continue"/>
                  <w:tcBorders>
                    <w:tl2br w:val="nil"/>
                    <w:tr2bl w:val="nil"/>
                  </w:tcBorders>
                  <w:noWrap w:val="0"/>
                  <w:vAlign w:val="center"/>
                </w:tcPr>
                <w:p w14:paraId="14F743FB">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033956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98583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2BBF8982">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3249E8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1B22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B7EC1A5">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4"/>
                      <w:szCs w:val="24"/>
                      <w:vertAlign w:val="superscript"/>
                      <w:lang w:val="en-US" w:eastAsia="zh-CN" w:bidi="zh-CN"/>
                    </w:rPr>
                    <w:t>★</w:t>
                  </w:r>
                  <w:r>
                    <w:rPr>
                      <w:rFonts w:hint="eastAsia" w:ascii="Times New Roman" w:hAnsi="Times New Roman" w:eastAsia="宋体" w:cs="Times New Roman"/>
                      <w:color w:val="auto"/>
                      <w:sz w:val="24"/>
                      <w:szCs w:val="24"/>
                      <w:lang w:val="en-US" w:eastAsia="zh-CN" w:bidi="zh-CN"/>
                    </w:rPr>
                    <w:t>苯并[b]荧蒽</w:t>
                  </w:r>
                </w:p>
              </w:tc>
              <w:tc>
                <w:tcPr>
                  <w:tcW w:w="1363" w:type="pct"/>
                  <w:vMerge w:val="continue"/>
                  <w:tcBorders>
                    <w:tl2br w:val="nil"/>
                    <w:tr2bl w:val="nil"/>
                  </w:tcBorders>
                  <w:noWrap w:val="0"/>
                  <w:vAlign w:val="center"/>
                </w:tcPr>
                <w:p w14:paraId="4C40BC56">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83C810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5C5D8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8DDEE0A">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0.2mg/kg</w:t>
                  </w:r>
                </w:p>
              </w:tc>
              <w:tc>
                <w:tcPr>
                  <w:tcW w:w="367" w:type="pct"/>
                  <w:tcBorders>
                    <w:tl2br w:val="nil"/>
                    <w:tr2bl w:val="nil"/>
                  </w:tcBorders>
                  <w:noWrap w:val="0"/>
                  <w:vAlign w:val="center"/>
                </w:tcPr>
                <w:p w14:paraId="4050A4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87D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636" w:type="pct"/>
                  <w:tcBorders>
                    <w:tl2br w:val="nil"/>
                    <w:tr2bl w:val="nil"/>
                  </w:tcBorders>
                  <w:noWrap w:val="0"/>
                  <w:vAlign w:val="center"/>
                </w:tcPr>
                <w:p w14:paraId="1B572D95">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苯并[k]荧蒽</w:t>
                  </w:r>
                </w:p>
              </w:tc>
              <w:tc>
                <w:tcPr>
                  <w:tcW w:w="1363" w:type="pct"/>
                  <w:vMerge w:val="continue"/>
                  <w:tcBorders>
                    <w:tl2br w:val="nil"/>
                    <w:tr2bl w:val="nil"/>
                  </w:tcBorders>
                  <w:noWrap w:val="0"/>
                  <w:vAlign w:val="center"/>
                </w:tcPr>
                <w:p w14:paraId="67A4A402">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723CC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694E3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3E043EFD">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5BAD39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97E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FB803DD">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苯并[a]芘</w:t>
                  </w:r>
                </w:p>
              </w:tc>
              <w:tc>
                <w:tcPr>
                  <w:tcW w:w="1363" w:type="pct"/>
                  <w:vMerge w:val="continue"/>
                  <w:tcBorders>
                    <w:tl2br w:val="nil"/>
                    <w:tr2bl w:val="nil"/>
                  </w:tcBorders>
                  <w:noWrap w:val="0"/>
                  <w:vAlign w:val="center"/>
                </w:tcPr>
                <w:p w14:paraId="146A6503">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A75EA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692C22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2D90AF4">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49E5F5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6BC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33929B1">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茚并[1,2,3-cd]芘</w:t>
                  </w:r>
                </w:p>
              </w:tc>
              <w:tc>
                <w:tcPr>
                  <w:tcW w:w="1363" w:type="pct"/>
                  <w:vMerge w:val="continue"/>
                  <w:tcBorders>
                    <w:tl2br w:val="nil"/>
                    <w:tr2bl w:val="nil"/>
                  </w:tcBorders>
                  <w:noWrap w:val="0"/>
                  <w:vAlign w:val="center"/>
                </w:tcPr>
                <w:p w14:paraId="18049AE0">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D2F68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6526D7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CEF25EA">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1618A2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ECE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311D995">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二苯并[a,h]蒽</w:t>
                  </w:r>
                </w:p>
              </w:tc>
              <w:tc>
                <w:tcPr>
                  <w:tcW w:w="1363" w:type="pct"/>
                  <w:vMerge w:val="continue"/>
                  <w:tcBorders>
                    <w:tl2br w:val="nil"/>
                    <w:tr2bl w:val="nil"/>
                  </w:tcBorders>
                  <w:noWrap w:val="0"/>
                  <w:vAlign w:val="center"/>
                </w:tcPr>
                <w:p w14:paraId="2982CBB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1FAA2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4CF53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3DB06A56">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0.1mg/kg</w:t>
                  </w:r>
                </w:p>
              </w:tc>
              <w:tc>
                <w:tcPr>
                  <w:tcW w:w="367" w:type="pct"/>
                  <w:tcBorders>
                    <w:tl2br w:val="nil"/>
                    <w:tr2bl w:val="nil"/>
                  </w:tcBorders>
                  <w:noWrap w:val="0"/>
                  <w:vAlign w:val="center"/>
                </w:tcPr>
                <w:p w14:paraId="6AD5CD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A29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D502288">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苯胺</w:t>
                  </w:r>
                </w:p>
              </w:tc>
              <w:tc>
                <w:tcPr>
                  <w:tcW w:w="1363" w:type="pct"/>
                  <w:tcBorders>
                    <w:tl2br w:val="nil"/>
                    <w:tr2bl w:val="nil"/>
                  </w:tcBorders>
                  <w:noWrap w:val="0"/>
                  <w:vAlign w:val="center"/>
                </w:tcPr>
                <w:p w14:paraId="2B56A609">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kern w:val="2"/>
                      <w:sz w:val="21"/>
                      <w:szCs w:val="21"/>
                      <w:lang w:val="en-US" w:eastAsia="zh-CN" w:bidi="zh-CN"/>
                    </w:rPr>
                    <w:t>危险废物鉴别标准 浸出毒性鉴别 GB 5085.3-2007附录 K</w:t>
                  </w:r>
                </w:p>
              </w:tc>
              <w:tc>
                <w:tcPr>
                  <w:tcW w:w="1143" w:type="pct"/>
                  <w:tcBorders>
                    <w:tl2br w:val="nil"/>
                    <w:tr2bl w:val="nil"/>
                  </w:tcBorders>
                  <w:noWrap w:val="0"/>
                  <w:vAlign w:val="center"/>
                </w:tcPr>
                <w:p w14:paraId="4CADD255">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定量平行浓缩仪</w:t>
                  </w:r>
                </w:p>
                <w:p w14:paraId="0A779774">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气质联用仪器</w:t>
                  </w:r>
                </w:p>
                <w:p w14:paraId="5325CF18">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电子分析天平</w:t>
                  </w:r>
                </w:p>
                <w:p w14:paraId="3A4E79D6">
                  <w:pPr>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eastAsia="宋体" w:cs="Times New Roman"/>
                      <w:color w:val="auto"/>
                      <w:sz w:val="21"/>
                      <w:szCs w:val="21"/>
                      <w:lang w:val="en-US" w:eastAsia="zh-CN" w:bidi="ar-SA"/>
                    </w:rPr>
                    <w:t>真空冷冻干燥机</w:t>
                  </w:r>
                </w:p>
              </w:tc>
              <w:tc>
                <w:tcPr>
                  <w:tcW w:w="839" w:type="pct"/>
                  <w:tcBorders>
                    <w:tl2br w:val="nil"/>
                    <w:tr2bl w:val="nil"/>
                  </w:tcBorders>
                  <w:noWrap w:val="0"/>
                  <w:vAlign w:val="center"/>
                </w:tcPr>
                <w:p w14:paraId="079AD0B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HZ-FA-322</w:t>
                  </w:r>
                </w:p>
                <w:p w14:paraId="70A9ED5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HZ-FA-457</w:t>
                  </w:r>
                </w:p>
                <w:p w14:paraId="2D849F3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HZ-FA-299</w:t>
                  </w:r>
                </w:p>
                <w:p w14:paraId="403E7C3D">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HZ-FA-284</w:t>
                  </w:r>
                </w:p>
              </w:tc>
              <w:tc>
                <w:tcPr>
                  <w:tcW w:w="650" w:type="pct"/>
                  <w:tcBorders>
                    <w:tl2br w:val="nil"/>
                    <w:tr2bl w:val="nil"/>
                  </w:tcBorders>
                  <w:noWrap w:val="0"/>
                  <w:vAlign w:val="center"/>
                </w:tcPr>
                <w:p w14:paraId="38E41286">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kern w:val="2"/>
                      <w:sz w:val="21"/>
                      <w:szCs w:val="21"/>
                      <w:lang w:val="en-US" w:eastAsia="zh-CN" w:bidi="ar-SA"/>
                    </w:rPr>
                    <w:t>0.0</w:t>
                  </w:r>
                  <w:r>
                    <w:rPr>
                      <w:rFonts w:hint="eastAsia" w:ascii="Times New Roman" w:hAnsi="Times New Roman" w:cs="Times New Roman"/>
                      <w:color w:val="auto"/>
                      <w:kern w:val="2"/>
                      <w:sz w:val="21"/>
                      <w:szCs w:val="21"/>
                      <w:lang w:val="en-US" w:eastAsia="zh-CN" w:bidi="ar-SA"/>
                    </w:rPr>
                    <w:t>8</w:t>
                  </w:r>
                  <w:r>
                    <w:rPr>
                      <w:rFonts w:hint="eastAsia" w:ascii="Times New Roman" w:hAnsi="Times New Roman" w:eastAsia="宋体" w:cs="Times New Roman"/>
                      <w:color w:val="auto"/>
                      <w:kern w:val="2"/>
                      <w:sz w:val="21"/>
                      <w:szCs w:val="21"/>
                      <w:lang w:val="en-US" w:eastAsia="zh-CN" w:bidi="ar-SA"/>
                    </w:rPr>
                    <w:t>mg/kg</w:t>
                  </w:r>
                </w:p>
              </w:tc>
              <w:tc>
                <w:tcPr>
                  <w:tcW w:w="367" w:type="pct"/>
                  <w:tcBorders>
                    <w:tl2br w:val="nil"/>
                    <w:tr2bl w:val="nil"/>
                  </w:tcBorders>
                  <w:noWrap w:val="0"/>
                  <w:vAlign w:val="center"/>
                </w:tcPr>
                <w:p w14:paraId="299F3E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ABB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DC47883">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氯甲烷</w:t>
                  </w:r>
                </w:p>
              </w:tc>
              <w:tc>
                <w:tcPr>
                  <w:tcW w:w="2139" w:type="dxa"/>
                  <w:vMerge w:val="restart"/>
                  <w:tcBorders>
                    <w:tl2br w:val="nil"/>
                    <w:tr2bl w:val="nil"/>
                  </w:tcBorders>
                  <w:noWrap w:val="0"/>
                  <w:vAlign w:val="center"/>
                </w:tcPr>
                <w:p w14:paraId="1DBABB8B">
                  <w:pPr>
                    <w:pStyle w:val="75"/>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土壤和沉积物 挥发性有机物的测定 吹扫捕集/</w:t>
                  </w:r>
                  <w:r>
                    <w:rPr>
                      <w:rFonts w:hint="eastAsia" w:ascii="Times New Roman" w:hAnsi="Times New Roman" w:eastAsia="宋体" w:cs="Times New Roman"/>
                      <w:color w:val="auto"/>
                      <w:sz w:val="21"/>
                      <w:szCs w:val="21"/>
                      <w:lang w:val="en-US" w:eastAsia="zh-CN" w:bidi="zh-CN"/>
                    </w:rPr>
                    <w:t>气相色谱-质谱法</w:t>
                  </w:r>
                </w:p>
                <w:p w14:paraId="0B970FF9">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z w:val="21"/>
                      <w:szCs w:val="21"/>
                      <w:lang w:val="en-US" w:eastAsia="zh-CN" w:bidi="zh-CN"/>
                    </w:rPr>
                    <w:t xml:space="preserve">HJ </w:t>
                  </w:r>
                  <w:r>
                    <w:rPr>
                      <w:rFonts w:hint="eastAsia" w:ascii="Times New Roman" w:hAnsi="Times New Roman" w:cs="Times New Roman"/>
                      <w:color w:val="auto"/>
                      <w:sz w:val="21"/>
                      <w:szCs w:val="21"/>
                      <w:lang w:val="en-US" w:eastAsia="zh-CN" w:bidi="zh-CN"/>
                    </w:rPr>
                    <w:t>605-2011</w:t>
                  </w:r>
                </w:p>
              </w:tc>
              <w:tc>
                <w:tcPr>
                  <w:tcW w:w="1794" w:type="dxa"/>
                  <w:vMerge w:val="restart"/>
                  <w:tcBorders>
                    <w:tl2br w:val="nil"/>
                    <w:tr2bl w:val="nil"/>
                  </w:tcBorders>
                  <w:noWrap w:val="0"/>
                  <w:vAlign w:val="center"/>
                </w:tcPr>
                <w:p w14:paraId="430E349C">
                  <w:pPr>
                    <w:pStyle w:val="75"/>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吹扫捕集仪器</w:t>
                  </w:r>
                </w:p>
                <w:p w14:paraId="4ACE7886">
                  <w:pPr>
                    <w:pStyle w:val="75"/>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气质联用仪器</w:t>
                  </w:r>
                </w:p>
                <w:p w14:paraId="120B3182">
                  <w:pPr>
                    <w:pStyle w:val="75"/>
                    <w:jc w:val="center"/>
                    <w:rPr>
                      <w:rFonts w:hint="default" w:ascii="Times New Roman" w:hAnsi="Times New Roman" w:eastAsia="宋体" w:cs="Times New Roman"/>
                      <w:color w:val="auto"/>
                      <w:spacing w:val="-1"/>
                      <w:sz w:val="21"/>
                      <w:szCs w:val="21"/>
                    </w:rPr>
                  </w:pPr>
                  <w:r>
                    <w:rPr>
                      <w:rFonts w:hint="eastAsia" w:ascii="Times New Roman" w:hAnsi="Times New Roman" w:cs="Times New Roman"/>
                      <w:color w:val="auto"/>
                      <w:sz w:val="21"/>
                      <w:szCs w:val="21"/>
                      <w:lang w:val="en-US" w:eastAsia="zh-CN" w:bidi="zh-CN"/>
                    </w:rPr>
                    <w:t>电子分析天平</w:t>
                  </w:r>
                </w:p>
              </w:tc>
              <w:tc>
                <w:tcPr>
                  <w:tcW w:w="1317" w:type="dxa"/>
                  <w:vMerge w:val="restart"/>
                  <w:tcBorders>
                    <w:tl2br w:val="nil"/>
                    <w:tr2bl w:val="nil"/>
                  </w:tcBorders>
                  <w:noWrap w:val="0"/>
                  <w:vAlign w:val="center"/>
                </w:tcPr>
                <w:p w14:paraId="23A1E401">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HZ-FA-153</w:t>
                  </w:r>
                </w:p>
                <w:p w14:paraId="7C4EDF8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HZ-FA-154</w:t>
                  </w:r>
                </w:p>
                <w:p w14:paraId="2BE2551C">
                  <w:pPr>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HZ-FA-299</w:t>
                  </w:r>
                </w:p>
              </w:tc>
              <w:tc>
                <w:tcPr>
                  <w:tcW w:w="650" w:type="pct"/>
                  <w:tcBorders>
                    <w:tl2br w:val="nil"/>
                    <w:tr2bl w:val="nil"/>
                  </w:tcBorders>
                  <w:noWrap w:val="0"/>
                  <w:vAlign w:val="center"/>
                </w:tcPr>
                <w:p w14:paraId="4661113D">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1.0</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6324F1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0E54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C9A5DCD">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氯乙烯</w:t>
                  </w:r>
                </w:p>
              </w:tc>
              <w:tc>
                <w:tcPr>
                  <w:tcW w:w="1363" w:type="pct"/>
                  <w:vMerge w:val="continue"/>
                  <w:tcBorders>
                    <w:tl2br w:val="nil"/>
                    <w:tr2bl w:val="nil"/>
                  </w:tcBorders>
                  <w:noWrap w:val="0"/>
                  <w:vAlign w:val="center"/>
                </w:tcPr>
                <w:p w14:paraId="7E552537">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3CC675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A9015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6731C32">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1.0</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14CDFE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5BC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9A810B4">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1,1-二氯乙烯</w:t>
                  </w:r>
                </w:p>
              </w:tc>
              <w:tc>
                <w:tcPr>
                  <w:tcW w:w="1363" w:type="pct"/>
                  <w:vMerge w:val="continue"/>
                  <w:tcBorders>
                    <w:tl2br w:val="nil"/>
                    <w:tr2bl w:val="nil"/>
                  </w:tcBorders>
                  <w:noWrap w:val="0"/>
                  <w:vAlign w:val="center"/>
                </w:tcPr>
                <w:p w14:paraId="2E9E6A4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8E067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305010E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10C7AD3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1.0</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43B9C3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BF7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56EA9276">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二氯甲烷</w:t>
                  </w:r>
                </w:p>
              </w:tc>
              <w:tc>
                <w:tcPr>
                  <w:tcW w:w="1363" w:type="pct"/>
                  <w:vMerge w:val="continue"/>
                  <w:tcBorders>
                    <w:tl2br w:val="nil"/>
                    <w:tr2bl w:val="nil"/>
                  </w:tcBorders>
                  <w:noWrap w:val="0"/>
                  <w:vAlign w:val="center"/>
                </w:tcPr>
                <w:p w14:paraId="2D8FD04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0D9E4C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095D9A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74059B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1.5</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2EFD62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43A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2C9CABC">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反</w:t>
                  </w:r>
                  <w:r>
                    <w:rPr>
                      <w:rFonts w:hint="eastAsia" w:ascii="Times New Roman" w:hAnsi="Times New Roman" w:cs="Times New Roman"/>
                      <w:color w:val="auto"/>
                      <w:sz w:val="21"/>
                      <w:szCs w:val="21"/>
                      <w:lang w:val="en-US" w:eastAsia="zh-CN" w:bidi="zh-CN"/>
                    </w:rPr>
                    <w:t>式</w:t>
                  </w:r>
                  <w:r>
                    <w:rPr>
                      <w:rFonts w:hint="eastAsia" w:ascii="Times New Roman" w:hAnsi="Times New Roman" w:eastAsia="宋体" w:cs="Times New Roman"/>
                      <w:color w:val="auto"/>
                      <w:sz w:val="21"/>
                      <w:szCs w:val="21"/>
                      <w:lang w:val="en-US" w:eastAsia="zh-CN" w:bidi="zh-CN"/>
                    </w:rPr>
                    <w:t>-1,2-二氯乙烯</w:t>
                  </w:r>
                </w:p>
              </w:tc>
              <w:tc>
                <w:tcPr>
                  <w:tcW w:w="1363" w:type="pct"/>
                  <w:vMerge w:val="continue"/>
                  <w:tcBorders>
                    <w:tl2br w:val="nil"/>
                    <w:tr2bl w:val="nil"/>
                  </w:tcBorders>
                  <w:noWrap w:val="0"/>
                  <w:vAlign w:val="center"/>
                </w:tcPr>
                <w:p w14:paraId="1211A976">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552F2A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C9490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BBB743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1.4</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59EA08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6520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4DE5C17">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1,1-二氯乙烷</w:t>
                  </w:r>
                </w:p>
              </w:tc>
              <w:tc>
                <w:tcPr>
                  <w:tcW w:w="1363" w:type="pct"/>
                  <w:vMerge w:val="continue"/>
                  <w:tcBorders>
                    <w:tl2br w:val="nil"/>
                    <w:tr2bl w:val="nil"/>
                  </w:tcBorders>
                  <w:noWrap w:val="0"/>
                  <w:vAlign w:val="center"/>
                </w:tcPr>
                <w:p w14:paraId="6EC97BEB">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162097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1621F3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1D895EC8">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70B500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B87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37037F1">
                  <w:pPr>
                    <w:pStyle w:val="75"/>
                    <w:jc w:val="center"/>
                    <w:rPr>
                      <w:rFonts w:hint="default" w:ascii="Times New Roman" w:hAnsi="Times New Roman" w:eastAsia="宋体" w:cs="Times New Roman"/>
                      <w:color w:val="auto"/>
                      <w:spacing w:val="-2"/>
                      <w:sz w:val="21"/>
                      <w:szCs w:val="21"/>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顺</w:t>
                  </w:r>
                  <w:r>
                    <w:rPr>
                      <w:rFonts w:hint="eastAsia" w:ascii="Times New Roman" w:hAnsi="Times New Roman" w:cs="Times New Roman"/>
                      <w:color w:val="auto"/>
                      <w:sz w:val="21"/>
                      <w:szCs w:val="21"/>
                      <w:lang w:val="en-US" w:eastAsia="zh-CN" w:bidi="zh-CN"/>
                    </w:rPr>
                    <w:t>式</w:t>
                  </w:r>
                  <w:r>
                    <w:rPr>
                      <w:rFonts w:hint="eastAsia" w:ascii="Times New Roman" w:hAnsi="Times New Roman" w:eastAsia="宋体" w:cs="Times New Roman"/>
                      <w:color w:val="auto"/>
                      <w:sz w:val="21"/>
                      <w:szCs w:val="21"/>
                      <w:lang w:val="en-US" w:eastAsia="zh-CN" w:bidi="zh-CN"/>
                    </w:rPr>
                    <w:t>-1,2-二氯乙烯</w:t>
                  </w:r>
                </w:p>
              </w:tc>
              <w:tc>
                <w:tcPr>
                  <w:tcW w:w="1363" w:type="pct"/>
                  <w:vMerge w:val="continue"/>
                  <w:tcBorders>
                    <w:tl2br w:val="nil"/>
                    <w:tr2bl w:val="nil"/>
                  </w:tcBorders>
                  <w:noWrap w:val="0"/>
                  <w:vAlign w:val="center"/>
                </w:tcPr>
                <w:p w14:paraId="2A356271">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52C60B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0030B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D25F66E">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1.3</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0B9D9F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531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F964A91">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氯仿</w:t>
                  </w:r>
                </w:p>
              </w:tc>
              <w:tc>
                <w:tcPr>
                  <w:tcW w:w="1363" w:type="pct"/>
                  <w:vMerge w:val="continue"/>
                  <w:tcBorders>
                    <w:tl2br w:val="nil"/>
                    <w:tr2bl w:val="nil"/>
                  </w:tcBorders>
                  <w:noWrap w:val="0"/>
                  <w:vAlign w:val="center"/>
                </w:tcPr>
                <w:p w14:paraId="1EF7C1E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7598033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1CE8347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FECD21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1.1</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49DE17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662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B4A786C">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宋体" w:hAnsi="宋体" w:eastAsia="宋体" w:cs="宋体"/>
                      <w:color w:val="auto"/>
                      <w:sz w:val="21"/>
                      <w:szCs w:val="21"/>
                      <w:vertAlign w:val="superscript"/>
                      <w:lang w:val="en-US" w:eastAsia="zh-CN"/>
                    </w:rPr>
                    <w:t>★</w:t>
                  </w:r>
                  <w:r>
                    <w:rPr>
                      <w:rFonts w:hint="eastAsia" w:ascii="Times New Roman" w:hAnsi="Times New Roman" w:eastAsia="宋体" w:cs="Times New Roman"/>
                      <w:color w:val="auto"/>
                      <w:sz w:val="21"/>
                      <w:szCs w:val="21"/>
                      <w:lang w:val="en-US" w:eastAsia="zh-CN" w:bidi="zh-CN"/>
                    </w:rPr>
                    <w:t>1,1,1-三氯乙烷</w:t>
                  </w:r>
                </w:p>
              </w:tc>
              <w:tc>
                <w:tcPr>
                  <w:tcW w:w="1363" w:type="pct"/>
                  <w:vMerge w:val="continue"/>
                  <w:tcBorders>
                    <w:tl2br w:val="nil"/>
                    <w:tr2bl w:val="nil"/>
                  </w:tcBorders>
                  <w:noWrap w:val="0"/>
                  <w:vAlign w:val="center"/>
                </w:tcPr>
                <w:p w14:paraId="5BDB866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1752B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E421C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DE03F1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1.3</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119B18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6481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793B7F8">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宋体" w:hAnsi="宋体" w:eastAsia="宋体" w:cs="宋体"/>
                      <w:color w:val="auto"/>
                      <w:sz w:val="21"/>
                      <w:szCs w:val="21"/>
                      <w:vertAlign w:val="superscript"/>
                      <w:lang w:val="en-US" w:eastAsia="zh-CN"/>
                    </w:rPr>
                    <w:t>★</w:t>
                  </w:r>
                  <w:r>
                    <w:rPr>
                      <w:rFonts w:hint="eastAsia" w:ascii="Times New Roman" w:hAnsi="Times New Roman" w:eastAsia="宋体" w:cs="Times New Roman"/>
                      <w:color w:val="auto"/>
                      <w:sz w:val="21"/>
                      <w:szCs w:val="21"/>
                      <w:lang w:val="en-US" w:eastAsia="zh-CN" w:bidi="zh-CN"/>
                    </w:rPr>
                    <w:t>四氯化碳</w:t>
                  </w:r>
                </w:p>
              </w:tc>
              <w:tc>
                <w:tcPr>
                  <w:tcW w:w="1363" w:type="pct"/>
                  <w:vMerge w:val="continue"/>
                  <w:tcBorders>
                    <w:tl2br w:val="nil"/>
                    <w:tr2bl w:val="nil"/>
                  </w:tcBorders>
                  <w:noWrap w:val="0"/>
                  <w:vAlign w:val="center"/>
                </w:tcPr>
                <w:p w14:paraId="1DDCEC3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A4A778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03B108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5D35A43">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1.3</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5F2CEE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6A03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120C64C">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1,2-二氯乙烷</w:t>
                  </w:r>
                </w:p>
              </w:tc>
              <w:tc>
                <w:tcPr>
                  <w:tcW w:w="1363" w:type="pct"/>
                  <w:vMerge w:val="continue"/>
                  <w:tcBorders>
                    <w:tl2br w:val="nil"/>
                    <w:tr2bl w:val="nil"/>
                  </w:tcBorders>
                  <w:noWrap w:val="0"/>
                  <w:vAlign w:val="center"/>
                </w:tcPr>
                <w:p w14:paraId="111F679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55A079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50CA07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7BA665E2">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1.3</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650BDA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F11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E42F46D">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三氯乙烯</w:t>
                  </w:r>
                </w:p>
              </w:tc>
              <w:tc>
                <w:tcPr>
                  <w:tcW w:w="1363" w:type="pct"/>
                  <w:vMerge w:val="continue"/>
                  <w:tcBorders>
                    <w:tl2br w:val="nil"/>
                    <w:tr2bl w:val="nil"/>
                  </w:tcBorders>
                  <w:noWrap w:val="0"/>
                  <w:vAlign w:val="center"/>
                </w:tcPr>
                <w:p w14:paraId="768F6A1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47EE3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F2C1C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511A845">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4B711D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1B2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3F253EB0">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1,2-二氯丙烷</w:t>
                  </w:r>
                </w:p>
              </w:tc>
              <w:tc>
                <w:tcPr>
                  <w:tcW w:w="1363" w:type="pct"/>
                  <w:vMerge w:val="continue"/>
                  <w:tcBorders>
                    <w:tl2br w:val="nil"/>
                    <w:tr2bl w:val="nil"/>
                  </w:tcBorders>
                  <w:noWrap w:val="0"/>
                  <w:vAlign w:val="center"/>
                </w:tcPr>
                <w:p w14:paraId="4C52694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221CC24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380018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1881ECD4">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1.1</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7D1A35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85F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FF528B8">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1,1,2-三氯乙烷</w:t>
                  </w:r>
                </w:p>
              </w:tc>
              <w:tc>
                <w:tcPr>
                  <w:tcW w:w="1363" w:type="pct"/>
                  <w:vMerge w:val="continue"/>
                  <w:tcBorders>
                    <w:tl2br w:val="nil"/>
                    <w:tr2bl w:val="nil"/>
                  </w:tcBorders>
                  <w:noWrap w:val="0"/>
                  <w:vAlign w:val="center"/>
                </w:tcPr>
                <w:p w14:paraId="100B9BC3">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2CF437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9B714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7F20B006">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1228E8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169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0E6AD20D">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highlight w:val="none"/>
                      <w:vertAlign w:val="superscript"/>
                      <w:lang w:val="en-US" w:eastAsia="zh-CN" w:bidi="zh-CN"/>
                    </w:rPr>
                    <w:t>★</w:t>
                  </w:r>
                  <w:r>
                    <w:rPr>
                      <w:rFonts w:hint="eastAsia" w:ascii="Times New Roman" w:hAnsi="Times New Roman" w:eastAsia="宋体" w:cs="Times New Roman"/>
                      <w:color w:val="auto"/>
                      <w:sz w:val="21"/>
                      <w:szCs w:val="21"/>
                      <w:highlight w:val="none"/>
                      <w:lang w:val="en-US" w:eastAsia="zh-CN" w:bidi="zh-CN"/>
                    </w:rPr>
                    <w:t>四氯乙烯</w:t>
                  </w:r>
                </w:p>
              </w:tc>
              <w:tc>
                <w:tcPr>
                  <w:tcW w:w="1363" w:type="pct"/>
                  <w:vMerge w:val="continue"/>
                  <w:tcBorders>
                    <w:tl2br w:val="nil"/>
                    <w:tr2bl w:val="nil"/>
                  </w:tcBorders>
                  <w:noWrap w:val="0"/>
                  <w:vAlign w:val="center"/>
                </w:tcPr>
                <w:p w14:paraId="47DEC23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55D9CA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224CDC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FC225A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1.4</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1DB254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7B7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C406239">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color w:val="auto"/>
                      <w:kern w:val="2"/>
                      <w:sz w:val="21"/>
                      <w:szCs w:val="21"/>
                      <w:lang w:val="en-US" w:eastAsia="zh-CN" w:bidi="zh-CN"/>
                    </w:rPr>
                    <w:t>1,1,1,2-四氯乙烷</w:t>
                  </w:r>
                </w:p>
              </w:tc>
              <w:tc>
                <w:tcPr>
                  <w:tcW w:w="1363" w:type="pct"/>
                  <w:vMerge w:val="continue"/>
                  <w:tcBorders>
                    <w:tl2br w:val="nil"/>
                    <w:tr2bl w:val="nil"/>
                  </w:tcBorders>
                  <w:noWrap w:val="0"/>
                  <w:vAlign w:val="center"/>
                </w:tcPr>
                <w:p w14:paraId="23A6C6B6">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7691E1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5D411C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2DE5C0B">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2F4B5C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EDA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F81E524">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1,1,2,2-四氯乙烷</w:t>
                  </w:r>
                </w:p>
              </w:tc>
              <w:tc>
                <w:tcPr>
                  <w:tcW w:w="1363" w:type="pct"/>
                  <w:vMerge w:val="continue"/>
                  <w:tcBorders>
                    <w:tl2br w:val="nil"/>
                    <w:tr2bl w:val="nil"/>
                  </w:tcBorders>
                  <w:noWrap w:val="0"/>
                  <w:vAlign w:val="center"/>
                </w:tcPr>
                <w:p w14:paraId="3035731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3F5F3F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B5B9A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5614AA3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70BA2A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038A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B4CB16D">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1,2,3-三氯丙烷</w:t>
                  </w:r>
                </w:p>
              </w:tc>
              <w:tc>
                <w:tcPr>
                  <w:tcW w:w="1363" w:type="pct"/>
                  <w:vMerge w:val="continue"/>
                  <w:tcBorders>
                    <w:tl2br w:val="nil"/>
                    <w:tr2bl w:val="nil"/>
                  </w:tcBorders>
                  <w:noWrap w:val="0"/>
                  <w:vAlign w:val="center"/>
                </w:tcPr>
                <w:p w14:paraId="5B30F481">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508F85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262165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7C0EDFA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675E2C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2527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02A8114">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苯</w:t>
                  </w:r>
                </w:p>
              </w:tc>
              <w:tc>
                <w:tcPr>
                  <w:tcW w:w="1363" w:type="pct"/>
                  <w:vMerge w:val="continue"/>
                  <w:tcBorders>
                    <w:tl2br w:val="nil"/>
                    <w:tr2bl w:val="nil"/>
                  </w:tcBorders>
                  <w:noWrap w:val="0"/>
                  <w:vAlign w:val="center"/>
                </w:tcPr>
                <w:p w14:paraId="6B2F8D86">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B3D5A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6F4C08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31059E39">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1.9</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19835A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B7A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3378F6D">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甲苯</w:t>
                  </w:r>
                </w:p>
              </w:tc>
              <w:tc>
                <w:tcPr>
                  <w:tcW w:w="1363" w:type="pct"/>
                  <w:vMerge w:val="continue"/>
                  <w:tcBorders>
                    <w:tl2br w:val="nil"/>
                    <w:tr2bl w:val="nil"/>
                  </w:tcBorders>
                  <w:noWrap w:val="0"/>
                  <w:vAlign w:val="center"/>
                </w:tcPr>
                <w:p w14:paraId="23DB4FB4">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616593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18B51A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408023D7">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1.3</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3DB9A9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36DD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77E35031">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color w:val="auto"/>
                      <w:sz w:val="21"/>
                      <w:szCs w:val="21"/>
                      <w:lang w:val="en-US" w:eastAsia="zh-CN" w:bidi="zh-CN"/>
                    </w:rPr>
                    <w:t>氯苯</w:t>
                  </w:r>
                </w:p>
              </w:tc>
              <w:tc>
                <w:tcPr>
                  <w:tcW w:w="1363" w:type="pct"/>
                  <w:vMerge w:val="continue"/>
                  <w:tcBorders>
                    <w:tl2br w:val="nil"/>
                    <w:tr2bl w:val="nil"/>
                  </w:tcBorders>
                  <w:noWrap w:val="0"/>
                  <w:vAlign w:val="center"/>
                </w:tcPr>
                <w:p w14:paraId="69C1BCB0">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217937E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81AFA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F69F491">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2F7CDD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0C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AA3BE82">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color w:val="auto"/>
                      <w:kern w:val="2"/>
                      <w:sz w:val="21"/>
                      <w:szCs w:val="21"/>
                      <w:lang w:val="en-US" w:eastAsia="zh-CN" w:bidi="zh-CN"/>
                    </w:rPr>
                    <w:t>乙苯</w:t>
                  </w:r>
                </w:p>
              </w:tc>
              <w:tc>
                <w:tcPr>
                  <w:tcW w:w="1363" w:type="pct"/>
                  <w:vMerge w:val="continue"/>
                  <w:tcBorders>
                    <w:tl2br w:val="nil"/>
                    <w:tr2bl w:val="nil"/>
                  </w:tcBorders>
                  <w:noWrap w:val="0"/>
                  <w:vAlign w:val="center"/>
                </w:tcPr>
                <w:p w14:paraId="495F6FB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1D9CFD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387DF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3D3FFC4A">
                  <w:pPr>
                    <w:pStyle w:val="75"/>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lang w:val="en-US" w:eastAsia="zh-CN" w:bidi="zh-CN"/>
                    </w:rPr>
                    <w:t>1.2μg/kg</w:t>
                  </w:r>
                </w:p>
              </w:tc>
              <w:tc>
                <w:tcPr>
                  <w:tcW w:w="367" w:type="pct"/>
                  <w:tcBorders>
                    <w:tl2br w:val="nil"/>
                    <w:tr2bl w:val="nil"/>
                  </w:tcBorders>
                  <w:noWrap w:val="0"/>
                  <w:vAlign w:val="center"/>
                </w:tcPr>
                <w:p w14:paraId="61D0AD5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EDC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6E0D5D0D">
                  <w:pPr>
                    <w:keepNext w:val="0"/>
                    <w:keepLines w:val="0"/>
                    <w:widowControl/>
                    <w:suppressLineNumbers w:val="0"/>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kern w:val="2"/>
                      <w:sz w:val="21"/>
                      <w:szCs w:val="21"/>
                      <w:lang w:val="en-US" w:eastAsia="zh-CN" w:bidi="zh-CN"/>
                    </w:rPr>
                    <w:t>间，对-二甲苯</w:t>
                  </w:r>
                </w:p>
              </w:tc>
              <w:tc>
                <w:tcPr>
                  <w:tcW w:w="1363" w:type="pct"/>
                  <w:vMerge w:val="continue"/>
                  <w:tcBorders>
                    <w:tl2br w:val="nil"/>
                    <w:tr2bl w:val="nil"/>
                  </w:tcBorders>
                  <w:noWrap w:val="0"/>
                  <w:vAlign w:val="center"/>
                </w:tcPr>
                <w:p w14:paraId="5869AAD2">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7758BE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059A57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A984B3A">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38EC08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51F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829921D">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color w:val="auto"/>
                      <w:kern w:val="2"/>
                      <w:sz w:val="21"/>
                      <w:szCs w:val="21"/>
                      <w:lang w:val="en-US" w:eastAsia="zh-CN" w:bidi="zh-CN"/>
                    </w:rPr>
                    <w:t>邻二甲苯</w:t>
                  </w:r>
                </w:p>
              </w:tc>
              <w:tc>
                <w:tcPr>
                  <w:tcW w:w="1363" w:type="pct"/>
                  <w:vMerge w:val="continue"/>
                  <w:tcBorders>
                    <w:tl2br w:val="nil"/>
                    <w:tr2bl w:val="nil"/>
                  </w:tcBorders>
                  <w:noWrap w:val="0"/>
                  <w:vAlign w:val="center"/>
                </w:tcPr>
                <w:p w14:paraId="746E35BD">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77BAD0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76AB3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6CA0C01E">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1.2</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7ADA0D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67A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11282D6C">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color w:val="auto"/>
                      <w:kern w:val="2"/>
                      <w:sz w:val="21"/>
                      <w:szCs w:val="21"/>
                      <w:lang w:val="en-US" w:eastAsia="zh-CN" w:bidi="zh-CN"/>
                    </w:rPr>
                    <w:t>苯乙烯</w:t>
                  </w:r>
                </w:p>
              </w:tc>
              <w:tc>
                <w:tcPr>
                  <w:tcW w:w="1363" w:type="pct"/>
                  <w:vMerge w:val="continue"/>
                  <w:tcBorders>
                    <w:tl2br w:val="nil"/>
                    <w:tr2bl w:val="nil"/>
                  </w:tcBorders>
                  <w:noWrap w:val="0"/>
                  <w:vAlign w:val="center"/>
                </w:tcPr>
                <w:p w14:paraId="1844B4A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30F958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48D065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4677FEB6">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1.1</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04CDE5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7C95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55C6869F">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1,4-二氯苯</w:t>
                  </w:r>
                </w:p>
              </w:tc>
              <w:tc>
                <w:tcPr>
                  <w:tcW w:w="1363" w:type="pct"/>
                  <w:vMerge w:val="continue"/>
                  <w:tcBorders>
                    <w:tl2br w:val="nil"/>
                    <w:tr2bl w:val="nil"/>
                  </w:tcBorders>
                  <w:noWrap w:val="0"/>
                  <w:vAlign w:val="center"/>
                </w:tcPr>
                <w:p w14:paraId="6E654E1F">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379C4E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3C0F96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11776B50">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1.5</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3462F8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4236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2707D045">
                  <w:pPr>
                    <w:pStyle w:val="75"/>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eastAsia="宋体" w:cs="Times New Roman"/>
                      <w:color w:val="auto"/>
                      <w:sz w:val="21"/>
                      <w:szCs w:val="21"/>
                      <w:lang w:val="en-US" w:eastAsia="zh-CN" w:bidi="zh-CN"/>
                    </w:rPr>
                    <w:t>1,2-二氯苯</w:t>
                  </w:r>
                </w:p>
              </w:tc>
              <w:tc>
                <w:tcPr>
                  <w:tcW w:w="1363" w:type="pct"/>
                  <w:vMerge w:val="continue"/>
                  <w:tcBorders>
                    <w:tl2br w:val="nil"/>
                    <w:tr2bl w:val="nil"/>
                  </w:tcBorders>
                  <w:noWrap w:val="0"/>
                  <w:vAlign w:val="center"/>
                </w:tcPr>
                <w:p w14:paraId="668FA4B5">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p>
              </w:tc>
              <w:tc>
                <w:tcPr>
                  <w:tcW w:w="1143" w:type="pct"/>
                  <w:vMerge w:val="continue"/>
                  <w:tcBorders>
                    <w:tl2br w:val="nil"/>
                    <w:tr2bl w:val="nil"/>
                  </w:tcBorders>
                  <w:noWrap w:val="0"/>
                  <w:vAlign w:val="center"/>
                </w:tcPr>
                <w:p w14:paraId="276C47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bidi="ar-SA"/>
                    </w:rPr>
                  </w:pPr>
                </w:p>
              </w:tc>
              <w:tc>
                <w:tcPr>
                  <w:tcW w:w="839" w:type="pct"/>
                  <w:vMerge w:val="continue"/>
                  <w:tcBorders>
                    <w:tl2br w:val="nil"/>
                    <w:tr2bl w:val="nil"/>
                  </w:tcBorders>
                  <w:noWrap w:val="0"/>
                  <w:vAlign w:val="center"/>
                </w:tcPr>
                <w:p w14:paraId="700FF1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p>
              </w:tc>
              <w:tc>
                <w:tcPr>
                  <w:tcW w:w="650" w:type="pct"/>
                  <w:tcBorders>
                    <w:tl2br w:val="nil"/>
                    <w:tr2bl w:val="nil"/>
                  </w:tcBorders>
                  <w:noWrap w:val="0"/>
                  <w:vAlign w:val="center"/>
                </w:tcPr>
                <w:p w14:paraId="0DF1878C">
                  <w:pPr>
                    <w:pStyle w:val="75"/>
                    <w:jc w:val="center"/>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z w:val="21"/>
                      <w:szCs w:val="21"/>
                      <w:lang w:val="en-US" w:eastAsia="zh-CN" w:bidi="zh-CN"/>
                    </w:rPr>
                    <w:t>1.5</w:t>
                  </w:r>
                  <w:r>
                    <w:rPr>
                      <w:rFonts w:hint="default" w:ascii="Times New Roman" w:hAnsi="Times New Roman" w:eastAsia="宋体" w:cs="Times New Roman"/>
                      <w:color w:val="auto"/>
                      <w:sz w:val="21"/>
                      <w:szCs w:val="21"/>
                      <w:lang w:val="en-US" w:eastAsia="zh-CN" w:bidi="zh-CN"/>
                    </w:rPr>
                    <w:t>μg/kg</w:t>
                  </w:r>
                </w:p>
              </w:tc>
              <w:tc>
                <w:tcPr>
                  <w:tcW w:w="367" w:type="pct"/>
                  <w:tcBorders>
                    <w:tl2br w:val="nil"/>
                    <w:tr2bl w:val="nil"/>
                  </w:tcBorders>
                  <w:noWrap w:val="0"/>
                  <w:vAlign w:val="center"/>
                </w:tcPr>
                <w:p w14:paraId="2D6B60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r w14:paraId="53D4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36" w:type="pct"/>
                  <w:tcBorders>
                    <w:tl2br w:val="nil"/>
                    <w:tr2bl w:val="nil"/>
                  </w:tcBorders>
                  <w:noWrap w:val="0"/>
                  <w:vAlign w:val="center"/>
                </w:tcPr>
                <w:p w14:paraId="4C789D27">
                  <w:pPr>
                    <w:keepNext w:val="0"/>
                    <w:keepLines w:val="0"/>
                    <w:widowControl/>
                    <w:suppressLineNumbers w:val="0"/>
                    <w:jc w:val="center"/>
                    <w:rPr>
                      <w:rFonts w:hint="eastAsia" w:ascii="微软雅黑" w:hAnsi="微软雅黑" w:eastAsia="微软雅黑" w:cs="微软雅黑"/>
                      <w:color w:val="auto"/>
                      <w:sz w:val="21"/>
                      <w:szCs w:val="21"/>
                      <w:vertAlign w:val="superscript"/>
                      <w:lang w:val="en-US" w:eastAsia="zh-CN" w:bidi="zh-CN"/>
                    </w:rPr>
                  </w:pPr>
                  <w:r>
                    <w:rPr>
                      <w:rFonts w:hint="eastAsia" w:ascii="微软雅黑" w:hAnsi="微软雅黑" w:eastAsia="微软雅黑" w:cs="微软雅黑"/>
                      <w:color w:val="auto"/>
                      <w:sz w:val="21"/>
                      <w:szCs w:val="21"/>
                      <w:vertAlign w:val="superscript"/>
                      <w:lang w:val="en-US" w:eastAsia="zh-CN" w:bidi="zh-CN"/>
                    </w:rPr>
                    <w:t>★</w:t>
                  </w:r>
                  <w:r>
                    <w:rPr>
                      <w:rFonts w:hint="eastAsia" w:ascii="Times New Roman" w:hAnsi="Times New Roman" w:cs="Times New Roman"/>
                      <w:b w:val="0"/>
                      <w:bCs/>
                      <w:color w:val="auto"/>
                      <w:sz w:val="21"/>
                      <w:szCs w:val="21"/>
                      <w:lang w:val="en-US" w:eastAsia="zh-CN" w:bidi="ar-SA"/>
                    </w:rPr>
                    <w:t>pH值</w:t>
                  </w:r>
                </w:p>
              </w:tc>
              <w:tc>
                <w:tcPr>
                  <w:tcW w:w="2139" w:type="dxa"/>
                  <w:tcBorders>
                    <w:tl2br w:val="nil"/>
                    <w:tr2bl w:val="nil"/>
                  </w:tcBorders>
                  <w:noWrap w:val="0"/>
                  <w:vAlign w:val="center"/>
                </w:tcPr>
                <w:p w14:paraId="48BADB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土壤</w:t>
                  </w:r>
                  <w:r>
                    <w:rPr>
                      <w:rFonts w:hint="eastAsia" w:ascii="Times New Roman" w:hAnsi="Times New Roman" w:cs="Times New Roman"/>
                      <w:b w:val="0"/>
                      <w:bCs/>
                      <w:color w:val="auto"/>
                      <w:sz w:val="21"/>
                      <w:szCs w:val="21"/>
                      <w:lang w:val="en-US" w:eastAsia="zh-CN" w:bidi="ar-SA"/>
                    </w:rPr>
                    <w:t>pH值的测定</w:t>
                  </w:r>
                </w:p>
                <w:p w14:paraId="18B82D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bidi="ar-SA"/>
                    </w:rPr>
                    <w:t>电位法</w:t>
                  </w:r>
                </w:p>
                <w:p w14:paraId="6B63D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cs="Times New Roman"/>
                      <w:b w:val="0"/>
                      <w:bCs/>
                      <w:color w:val="auto"/>
                      <w:sz w:val="21"/>
                      <w:szCs w:val="21"/>
                      <w:lang w:val="en-US" w:eastAsia="zh-CN" w:bidi="ar-SA"/>
                    </w:rPr>
                    <w:t>HJ 962-2018</w:t>
                  </w:r>
                </w:p>
              </w:tc>
              <w:tc>
                <w:tcPr>
                  <w:tcW w:w="1794" w:type="dxa"/>
                  <w:tcBorders>
                    <w:tl2br w:val="nil"/>
                    <w:tr2bl w:val="nil"/>
                  </w:tcBorders>
                  <w:noWrap w:val="0"/>
                  <w:vAlign w:val="center"/>
                </w:tcPr>
                <w:p w14:paraId="7B7E7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bidi="ar-SA"/>
                    </w:rPr>
                    <w:t>台式</w:t>
                  </w:r>
                  <w:r>
                    <w:rPr>
                      <w:rFonts w:hint="eastAsia" w:ascii="Times New Roman" w:hAnsi="Times New Roman" w:cs="Times New Roman"/>
                      <w:b w:val="0"/>
                      <w:bCs/>
                      <w:color w:val="auto"/>
                      <w:sz w:val="21"/>
                      <w:szCs w:val="21"/>
                      <w:lang w:val="en-US" w:eastAsia="zh-CN" w:bidi="ar-SA"/>
                    </w:rPr>
                    <w:t>pH计</w:t>
                  </w:r>
                </w:p>
                <w:p w14:paraId="0B82CBA2">
                  <w:pPr>
                    <w:pStyle w:val="13"/>
                    <w:ind w:left="0" w:leftChars="0" w:firstLine="0" w:firstLineChars="0"/>
                    <w:jc w:val="center"/>
                    <w:rPr>
                      <w:rFonts w:hint="default" w:ascii="Times New Roman" w:hAnsi="Times New Roman" w:eastAsia="宋体" w:cs="Times New Roman"/>
                      <w:color w:val="auto"/>
                      <w:spacing w:val="-1"/>
                      <w:sz w:val="21"/>
                      <w:szCs w:val="21"/>
                      <w:lang w:val="en-US" w:eastAsia="zh-CN" w:bidi="ar-SA"/>
                    </w:rPr>
                  </w:pPr>
                  <w:r>
                    <w:rPr>
                      <w:rFonts w:hint="eastAsia" w:ascii="Times New Roman" w:hAnsi="Times New Roman" w:cs="Times New Roman"/>
                      <w:b w:val="0"/>
                      <w:bCs/>
                      <w:color w:val="auto"/>
                      <w:sz w:val="21"/>
                      <w:szCs w:val="21"/>
                      <w:lang w:val="en-US" w:eastAsia="zh-CN" w:bidi="ar-SA"/>
                    </w:rPr>
                    <w:t>百分之一天平</w:t>
                  </w:r>
                </w:p>
              </w:tc>
              <w:tc>
                <w:tcPr>
                  <w:tcW w:w="1317" w:type="dxa"/>
                  <w:tcBorders>
                    <w:tl2br w:val="nil"/>
                    <w:tr2bl w:val="nil"/>
                  </w:tcBorders>
                  <w:noWrap w:val="0"/>
                  <w:vAlign w:val="center"/>
                </w:tcPr>
                <w:p w14:paraId="346CE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HZ-FA-107</w:t>
                  </w:r>
                </w:p>
                <w:p w14:paraId="7D283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z w:val="21"/>
                      <w:szCs w:val="21"/>
                      <w:lang w:val="en-US" w:eastAsia="zh-CN" w:bidi="ar-SA"/>
                    </w:rPr>
                    <w:t>HZ-FA-298</w:t>
                  </w:r>
                </w:p>
              </w:tc>
              <w:tc>
                <w:tcPr>
                  <w:tcW w:w="650" w:type="pct"/>
                  <w:tcBorders>
                    <w:tl2br w:val="nil"/>
                    <w:tr2bl w:val="nil"/>
                  </w:tcBorders>
                  <w:noWrap w:val="0"/>
                  <w:vAlign w:val="center"/>
                </w:tcPr>
                <w:p w14:paraId="3AEE45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c>
                <w:tcPr>
                  <w:tcW w:w="367" w:type="pct"/>
                  <w:tcBorders>
                    <w:tl2br w:val="nil"/>
                    <w:tr2bl w:val="nil"/>
                  </w:tcBorders>
                  <w:noWrap w:val="0"/>
                  <w:vAlign w:val="center"/>
                </w:tcPr>
                <w:p w14:paraId="417FAC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highlight w:val="none"/>
                      <w:lang w:val="en-US" w:eastAsia="zh-CN" w:bidi="ar-SA"/>
                    </w:rPr>
                    <w:t>/</w:t>
                  </w:r>
                </w:p>
              </w:tc>
            </w:tr>
          </w:tbl>
          <w:p w14:paraId="78A708D5">
            <w:pPr>
              <w:numPr>
                <w:ilvl w:val="0"/>
                <w:numId w:val="3"/>
              </w:numPr>
              <w:tabs>
                <w:tab w:val="left" w:pos="0"/>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监测结果及评价</w:t>
            </w:r>
          </w:p>
          <w:p w14:paraId="6250DDE9">
            <w:pPr>
              <w:tabs>
                <w:tab w:val="left" w:pos="0"/>
              </w:tabs>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土壤监测结果见表3-</w:t>
            </w:r>
            <w:r>
              <w:rPr>
                <w:rFonts w:hint="eastAsia" w:cs="Times New Roman"/>
                <w:b w:val="0"/>
                <w:bCs w:val="0"/>
                <w:color w:val="auto"/>
                <w:sz w:val="24"/>
                <w:lang w:val="en-US" w:eastAsia="zh-CN"/>
              </w:rPr>
              <w:t>10</w:t>
            </w:r>
            <w:r>
              <w:rPr>
                <w:rFonts w:hint="default" w:ascii="Times New Roman" w:hAnsi="Times New Roman" w:eastAsia="宋体" w:cs="Times New Roman"/>
                <w:b w:val="0"/>
                <w:bCs w:val="0"/>
                <w:color w:val="auto"/>
                <w:sz w:val="24"/>
                <w:lang w:val="en-US" w:eastAsia="zh-CN"/>
              </w:rPr>
              <w:t>.</w:t>
            </w:r>
          </w:p>
          <w:p w14:paraId="2E777F32">
            <w:pPr>
              <w:tabs>
                <w:tab w:val="left" w:pos="0"/>
              </w:tabs>
              <w:spacing w:line="240" w:lineRule="auto"/>
              <w:ind w:firstLine="482" w:firstLineChars="20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表3-</w:t>
            </w:r>
            <w:r>
              <w:rPr>
                <w:rFonts w:hint="eastAsia" w:cs="Times New Roman"/>
                <w:b/>
                <w:bCs/>
                <w:color w:val="auto"/>
                <w:sz w:val="24"/>
                <w:lang w:val="en-US" w:eastAsia="zh-CN"/>
              </w:rPr>
              <w:t xml:space="preserve">10 </w:t>
            </w:r>
            <w:r>
              <w:rPr>
                <w:rFonts w:hint="default" w:ascii="Times New Roman" w:hAnsi="Times New Roman" w:eastAsia="宋体" w:cs="Times New Roman"/>
                <w:b/>
                <w:bCs/>
                <w:color w:val="auto"/>
                <w:sz w:val="24"/>
                <w:lang w:val="en-US" w:eastAsia="zh-CN"/>
              </w:rPr>
              <w:t xml:space="preserve"> 土壤监测结果统计表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2167"/>
              <w:gridCol w:w="1852"/>
              <w:gridCol w:w="2354"/>
              <w:gridCol w:w="778"/>
            </w:tblGrid>
            <w:tr w14:paraId="3C53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41" w:type="pct"/>
                  <w:vMerge w:val="restart"/>
                  <w:tcBorders>
                    <w:tl2br w:val="nil"/>
                    <w:tr2bl w:val="nil"/>
                  </w:tcBorders>
                  <w:noWrap w:val="0"/>
                  <w:vAlign w:val="center"/>
                </w:tcPr>
                <w:p w14:paraId="15E54103">
                  <w:pPr>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lang w:val="en-US" w:eastAsia="zh-CN"/>
                    </w:rPr>
                    <w:t>监测时间</w:t>
                  </w:r>
                </w:p>
              </w:tc>
              <w:tc>
                <w:tcPr>
                  <w:tcW w:w="1381" w:type="pct"/>
                  <w:vMerge w:val="restar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 from="10000" to="24900">
                          <wpsCustomData:border w:val="single" w:color="auto" w:sz="4" w:space="0"/>
                        </wpsCustomData:diagonal>
                      </wpsCustomData:diagonals>
                    </mc:Choice>
                  </mc:AlternateContent>
                </w:tcPr>
                <w:p w14:paraId="413EE52E">
                  <w:pPr>
                    <w:keepNext/>
                    <w:keepLines w:val="0"/>
                    <w:pageBreakBefore w:val="0"/>
                    <w:widowControl w:val="0"/>
                    <w:kinsoku/>
                    <w:wordWrap/>
                    <w:overflowPunct/>
                    <w:topLinePunct w:val="0"/>
                    <w:autoSpaceDE/>
                    <w:autoSpaceDN/>
                    <w:bidi w:val="0"/>
                    <w:adjustRightInd w:val="0"/>
                    <w:snapToGrid/>
                    <w:spacing w:line="240" w:lineRule="auto"/>
                    <w:ind w:left="22" w:leftChars="-200" w:hanging="422" w:hangingChars="200"/>
                    <w:jc w:val="center"/>
                    <w:textAlignment w:val="auto"/>
                    <w:outlineLvl w:val="9"/>
                    <mc:AlternateContent>
                      <mc:Choice Requires="wpsCustomData">
                        <wpsCustomData:diagonalParaType/>
                      </mc:Choice>
                    </mc:AlternateConten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分析项目</w:t>
                  </w:r>
                </w:p>
                <w:p w14:paraId="3BAF0488">
                  <w:pPr>
                    <w:keepNext/>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b/>
                      <w:bCs/>
                      <w:color w:val="auto"/>
                      <w:sz w:val="21"/>
                      <w:szCs w:val="21"/>
                      <w:lang w:val="en-US" w:eastAsia="zh-CN"/>
                    </w:rPr>
                  </w:pPr>
                </w:p>
                <w:p w14:paraId="1A4CA645">
                  <w:pPr>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mc:AlternateContent>
                      <mc:Choice Requires="wpsCustomData">
                        <wpsCustomData:diagonalParaType/>
                      </mc:Choice>
                    </mc:AlternateConten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样品编号</w:t>
                  </w:r>
                </w:p>
                <w:p w14:paraId="4BF324A4">
                  <w:pPr>
                    <w:keepNext/>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1180" w:type="pct"/>
                  <w:tcBorders>
                    <w:tl2br w:val="nil"/>
                    <w:tr2bl w:val="nil"/>
                  </w:tcBorders>
                  <w:noWrap w:val="0"/>
                  <w:vAlign w:val="center"/>
                </w:tcPr>
                <w:p w14:paraId="48E4A3CE">
                  <w:pPr>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p>
              </w:tc>
              <w:tc>
                <w:tcPr>
                  <w:tcW w:w="1500" w:type="pct"/>
                  <w:vMerge w:val="restart"/>
                  <w:tcBorders>
                    <w:tl2br w:val="nil"/>
                    <w:tr2bl w:val="nil"/>
                  </w:tcBorders>
                  <w:noWrap w:val="0"/>
                  <w:vAlign w:val="center"/>
                </w:tcPr>
                <w:p w14:paraId="72944171">
                  <w:pPr>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《土壤环境质量标准建设用地土壤污染风险管控标准（试行）》（GB36600-2018）表 1中筛选值（第二类用地）</w:t>
                  </w:r>
                </w:p>
              </w:tc>
              <w:tc>
                <w:tcPr>
                  <w:tcW w:w="496" w:type="pct"/>
                  <w:vMerge w:val="restart"/>
                  <w:tcBorders>
                    <w:tl2br w:val="nil"/>
                    <w:tr2bl w:val="nil"/>
                  </w:tcBorders>
                  <w:noWrap w:val="0"/>
                  <w:vAlign w:val="center"/>
                </w:tcPr>
                <w:p w14:paraId="6175439C">
                  <w:pPr>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达标情况</w:t>
                  </w:r>
                </w:p>
              </w:tc>
            </w:tr>
            <w:tr w14:paraId="4BE8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41" w:type="pct"/>
                  <w:vMerge w:val="continue"/>
                  <w:tcBorders>
                    <w:tl2br w:val="nil"/>
                    <w:tr2bl w:val="nil"/>
                  </w:tcBorders>
                  <w:noWrap w:val="0"/>
                  <w:vAlign w:val="center"/>
                </w:tcPr>
                <w:p w14:paraId="37205A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1381" w:type="pct"/>
                  <w:vMerge w:val="continue"/>
                  <w:tcBorders>
                    <w:tl2br w:val="nil"/>
                    <w:tr2bl w:val="nil"/>
                  </w:tcBorders>
                  <w:noWrap w:val="0"/>
                  <w:vAlign w:val="center"/>
                </w:tcPr>
                <w:p w14:paraId="5FD0A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180" w:type="pct"/>
                  <w:tcBorders>
                    <w:tl2br w:val="nil"/>
                    <w:tr2bl w:val="nil"/>
                  </w:tcBorders>
                  <w:noWrap w:val="0"/>
                  <w:vAlign w:val="center"/>
                </w:tcPr>
                <w:p w14:paraId="25A47C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宋体" w:cs="Times New Roman"/>
                      <w:color w:val="auto"/>
                      <w:sz w:val="21"/>
                      <w:szCs w:val="21"/>
                      <w:lang w:val="en-US" w:eastAsia="zh-CN"/>
                    </w:rPr>
                    <w:t>2411100TR010101</w:t>
                  </w:r>
                </w:p>
              </w:tc>
              <w:tc>
                <w:tcPr>
                  <w:tcW w:w="1500" w:type="pct"/>
                  <w:vMerge w:val="continue"/>
                  <w:tcBorders>
                    <w:tl2br w:val="nil"/>
                    <w:tr2bl w:val="nil"/>
                  </w:tcBorders>
                  <w:noWrap w:val="0"/>
                  <w:vAlign w:val="center"/>
                </w:tcPr>
                <w:p w14:paraId="4DCDAD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496" w:type="pct"/>
                  <w:vMerge w:val="continue"/>
                  <w:tcBorders>
                    <w:tl2br w:val="nil"/>
                    <w:tr2bl w:val="nil"/>
                  </w:tcBorders>
                  <w:noWrap w:val="0"/>
                  <w:vAlign w:val="center"/>
                </w:tcPr>
                <w:p w14:paraId="7D7F34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r>
            <w:tr w14:paraId="165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tcBorders>
                    <w:tl2br w:val="nil"/>
                    <w:tr2bl w:val="nil"/>
                  </w:tcBorders>
                  <w:noWrap w:val="0"/>
                  <w:vAlign w:val="center"/>
                </w:tcPr>
                <w:p w14:paraId="06F02B4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w:t>
                  </w: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年</w:t>
                  </w:r>
                </w:p>
                <w:p w14:paraId="286B8F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cs="Times New Roman"/>
                      <w:b w:val="0"/>
                      <w:bCs w:val="0"/>
                      <w:color w:val="auto"/>
                      <w:sz w:val="21"/>
                      <w:szCs w:val="21"/>
                      <w:lang w:val="en-US" w:eastAsia="zh-CN"/>
                    </w:rPr>
                    <w:t>11</w:t>
                  </w:r>
                  <w:r>
                    <w:rPr>
                      <w:rFonts w:hint="default" w:ascii="Times New Roman" w:hAnsi="Times New Roman" w:eastAsia="宋体" w:cs="Times New Roman"/>
                      <w:b w:val="0"/>
                      <w:bCs w:val="0"/>
                      <w:color w:val="auto"/>
                      <w:sz w:val="21"/>
                      <w:szCs w:val="21"/>
                      <w:lang w:val="en-US" w:eastAsia="zh-CN"/>
                    </w:rPr>
                    <w:t>月2</w:t>
                  </w:r>
                  <w:r>
                    <w:rPr>
                      <w:rFonts w:hint="eastAsia"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日</w:t>
                  </w:r>
                </w:p>
              </w:tc>
              <w:tc>
                <w:tcPr>
                  <w:tcW w:w="1381" w:type="pct"/>
                  <w:tcBorders>
                    <w:tl2br w:val="nil"/>
                    <w:tr2bl w:val="nil"/>
                  </w:tcBorders>
                  <w:noWrap w:val="0"/>
                  <w:vAlign w:val="center"/>
                </w:tcPr>
                <w:p w14:paraId="7EED0B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★pH值（无量纲）</w:t>
                  </w:r>
                </w:p>
              </w:tc>
              <w:tc>
                <w:tcPr>
                  <w:tcW w:w="1180" w:type="pct"/>
                  <w:tcBorders>
                    <w:tl2br w:val="nil"/>
                    <w:tr2bl w:val="nil"/>
                  </w:tcBorders>
                  <w:noWrap w:val="0"/>
                  <w:vAlign w:val="center"/>
                </w:tcPr>
                <w:p w14:paraId="412CBC9B">
                  <w:pPr>
                    <w:keepNext w:val="0"/>
                    <w:keepLines w:val="0"/>
                    <w:widowControl/>
                    <w:suppressLineNumbers w:val="0"/>
                    <w:spacing w:line="240" w:lineRule="auto"/>
                    <w:jc w:val="center"/>
                    <w:textAlignment w:val="center"/>
                    <w:rPr>
                      <w:rFonts w:hint="default" w:cs="Times New Roman"/>
                      <w:b w:val="0"/>
                      <w:i w:val="0"/>
                      <w:iCs w:val="0"/>
                      <w:color w:val="auto"/>
                      <w:kern w:val="2"/>
                      <w:sz w:val="21"/>
                      <w:szCs w:val="21"/>
                      <w:u w:val="none"/>
                      <w:lang w:val="en-US" w:eastAsia="zh-CN" w:bidi="ar-SA"/>
                    </w:rPr>
                  </w:pPr>
                  <w:r>
                    <w:rPr>
                      <w:rFonts w:hint="eastAsia" w:cs="Times New Roman"/>
                      <w:b w:val="0"/>
                      <w:i w:val="0"/>
                      <w:iCs w:val="0"/>
                      <w:color w:val="auto"/>
                      <w:kern w:val="2"/>
                      <w:sz w:val="21"/>
                      <w:szCs w:val="21"/>
                      <w:u w:val="none"/>
                      <w:lang w:val="en-US" w:eastAsia="zh-CN" w:bidi="ar-SA"/>
                    </w:rPr>
                    <w:t>8.69</w:t>
                  </w:r>
                </w:p>
              </w:tc>
              <w:tc>
                <w:tcPr>
                  <w:tcW w:w="1500" w:type="pct"/>
                  <w:tcBorders>
                    <w:tl2br w:val="nil"/>
                    <w:tr2bl w:val="nil"/>
                  </w:tcBorders>
                  <w:noWrap w:val="0"/>
                  <w:vAlign w:val="center"/>
                </w:tcPr>
                <w:p w14:paraId="7A84B024">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w:t>
                  </w:r>
                </w:p>
              </w:tc>
              <w:tc>
                <w:tcPr>
                  <w:tcW w:w="496" w:type="pct"/>
                  <w:tcBorders>
                    <w:tl2br w:val="nil"/>
                    <w:tr2bl w:val="nil"/>
                  </w:tcBorders>
                  <w:noWrap w:val="0"/>
                  <w:vAlign w:val="center"/>
                </w:tcPr>
                <w:p w14:paraId="7665565A">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DAE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4FB88E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69B2AB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砷</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41BED715">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8.14</w:t>
                  </w:r>
                </w:p>
              </w:tc>
              <w:tc>
                <w:tcPr>
                  <w:tcW w:w="1500" w:type="pct"/>
                  <w:tcBorders>
                    <w:tl2br w:val="nil"/>
                    <w:tr2bl w:val="nil"/>
                  </w:tcBorders>
                  <w:noWrap w:val="0"/>
                  <w:vAlign w:val="center"/>
                </w:tcPr>
                <w:p w14:paraId="084AC125">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default" w:ascii="Times New Roman" w:hAnsi="Times New Roman" w:eastAsia="宋体" w:cs="Times New Roman"/>
                      <w:b w:val="0"/>
                      <w:i w:val="0"/>
                      <w:iCs w:val="0"/>
                      <w:color w:val="auto"/>
                      <w:kern w:val="2"/>
                      <w:sz w:val="21"/>
                      <w:szCs w:val="21"/>
                      <w:u w:val="none"/>
                      <w:lang w:val="en-US" w:eastAsia="zh-CN" w:bidi="ar-SA"/>
                    </w:rPr>
                    <w:t>60</w:t>
                  </w:r>
                </w:p>
              </w:tc>
              <w:tc>
                <w:tcPr>
                  <w:tcW w:w="496" w:type="pct"/>
                  <w:tcBorders>
                    <w:tl2br w:val="nil"/>
                    <w:tr2bl w:val="nil"/>
                  </w:tcBorders>
                  <w:noWrap w:val="0"/>
                  <w:vAlign w:val="center"/>
                </w:tcPr>
                <w:p w14:paraId="31A6526F">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AAA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34FB29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7684B9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汞</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4BB99104">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0.265</w:t>
                  </w:r>
                </w:p>
              </w:tc>
              <w:tc>
                <w:tcPr>
                  <w:tcW w:w="1500" w:type="pct"/>
                  <w:tcBorders>
                    <w:tl2br w:val="nil"/>
                    <w:tr2bl w:val="nil"/>
                  </w:tcBorders>
                  <w:noWrap w:val="0"/>
                  <w:vAlign w:val="center"/>
                </w:tcPr>
                <w:p w14:paraId="02C0743A">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38</w:t>
                  </w:r>
                </w:p>
              </w:tc>
              <w:tc>
                <w:tcPr>
                  <w:tcW w:w="496" w:type="pct"/>
                  <w:tcBorders>
                    <w:tl2br w:val="nil"/>
                    <w:tr2bl w:val="nil"/>
                  </w:tcBorders>
                  <w:noWrap w:val="0"/>
                  <w:vAlign w:val="center"/>
                </w:tcPr>
                <w:p w14:paraId="0C437D7D">
                  <w:pPr>
                    <w:keepNext w:val="0"/>
                    <w:keepLines w:val="0"/>
                    <w:widowControl/>
                    <w:suppressLineNumbers w:val="0"/>
                    <w:spacing w:line="240" w:lineRule="auto"/>
                    <w:jc w:val="center"/>
                    <w:textAlignment w:val="center"/>
                    <w:rPr>
                      <w:rFonts w:hint="eastAsia"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DA5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0E15AA0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4C326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镉</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77F2F14D">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default" w:ascii="Times New Roman" w:hAnsi="Times New Roman" w:eastAsia="宋体" w:cs="Times New Roman"/>
                      <w:b w:val="0"/>
                      <w:i w:val="0"/>
                      <w:iCs w:val="0"/>
                      <w:color w:val="auto"/>
                      <w:kern w:val="2"/>
                      <w:sz w:val="21"/>
                      <w:szCs w:val="21"/>
                      <w:u w:val="none"/>
                      <w:lang w:val="en-US" w:eastAsia="zh-CN" w:bidi="ar-SA"/>
                    </w:rPr>
                    <w:t>0.08</w:t>
                  </w:r>
                </w:p>
              </w:tc>
              <w:tc>
                <w:tcPr>
                  <w:tcW w:w="1500" w:type="pct"/>
                  <w:tcBorders>
                    <w:tl2br w:val="nil"/>
                    <w:tr2bl w:val="nil"/>
                  </w:tcBorders>
                  <w:noWrap w:val="0"/>
                  <w:vAlign w:val="center"/>
                </w:tcPr>
                <w:p w14:paraId="3C5F2CAB">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65</w:t>
                  </w:r>
                </w:p>
              </w:tc>
              <w:tc>
                <w:tcPr>
                  <w:tcW w:w="496" w:type="pct"/>
                  <w:tcBorders>
                    <w:tl2br w:val="nil"/>
                    <w:tr2bl w:val="nil"/>
                  </w:tcBorders>
                  <w:noWrap w:val="0"/>
                  <w:vAlign w:val="center"/>
                </w:tcPr>
                <w:p w14:paraId="5B8D93B9">
                  <w:pPr>
                    <w:keepNext w:val="0"/>
                    <w:keepLines w:val="0"/>
                    <w:widowControl/>
                    <w:suppressLineNumbers w:val="0"/>
                    <w:spacing w:line="240" w:lineRule="auto"/>
                    <w:jc w:val="center"/>
                    <w:textAlignment w:val="center"/>
                    <w:rPr>
                      <w:rFonts w:hint="eastAsia"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9EB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72C0C2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120A3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铅</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2C7DFC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w:t>
                  </w:r>
                </w:p>
              </w:tc>
              <w:tc>
                <w:tcPr>
                  <w:tcW w:w="1500" w:type="pct"/>
                  <w:tcBorders>
                    <w:tl2br w:val="nil"/>
                    <w:tr2bl w:val="nil"/>
                  </w:tcBorders>
                  <w:noWrap w:val="0"/>
                  <w:vAlign w:val="center"/>
                </w:tcPr>
                <w:p w14:paraId="40229D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800</w:t>
                  </w:r>
                </w:p>
              </w:tc>
              <w:tc>
                <w:tcPr>
                  <w:tcW w:w="496" w:type="pct"/>
                  <w:tcBorders>
                    <w:tl2br w:val="nil"/>
                    <w:tr2bl w:val="nil"/>
                  </w:tcBorders>
                  <w:noWrap w:val="0"/>
                  <w:vAlign w:val="center"/>
                </w:tcPr>
                <w:p w14:paraId="38BA5B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9EE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3C8496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2372D808">
                  <w:pPr>
                    <w:keepNext w:val="0"/>
                    <w:keepLines w:val="0"/>
                    <w:pageBreakBefore w:val="0"/>
                    <w:widowControl w:val="0"/>
                    <w:kinsoku/>
                    <w:wordWrap/>
                    <w:overflowPunct/>
                    <w:topLinePunct w:val="0"/>
                    <w:autoSpaceDE/>
                    <w:autoSpaceDN/>
                    <w:bidi w:val="0"/>
                    <w:adjustRightInd/>
                    <w:snapToGrid/>
                    <w:spacing w:line="240" w:lineRule="auto"/>
                    <w:ind w:left="630" w:leftChars="0" w:hanging="630" w:hangingChars="30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lang w:val="en-US" w:eastAsia="zh-CN" w:bidi="ar-SA"/>
                    </w:rPr>
                    <w:t>铜</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1FF453E1">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14</w:t>
                  </w:r>
                </w:p>
              </w:tc>
              <w:tc>
                <w:tcPr>
                  <w:tcW w:w="1500" w:type="pct"/>
                  <w:tcBorders>
                    <w:tl2br w:val="nil"/>
                    <w:tr2bl w:val="nil"/>
                  </w:tcBorders>
                  <w:noWrap w:val="0"/>
                  <w:vAlign w:val="center"/>
                </w:tcPr>
                <w:p w14:paraId="201CF004">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18000</w:t>
                  </w:r>
                </w:p>
              </w:tc>
              <w:tc>
                <w:tcPr>
                  <w:tcW w:w="496" w:type="pct"/>
                  <w:tcBorders>
                    <w:tl2br w:val="nil"/>
                    <w:tr2bl w:val="nil"/>
                  </w:tcBorders>
                  <w:noWrap w:val="0"/>
                  <w:vAlign w:val="center"/>
                </w:tcPr>
                <w:p w14:paraId="06855BB1">
                  <w:pPr>
                    <w:keepNext w:val="0"/>
                    <w:keepLines w:val="0"/>
                    <w:widowControl/>
                    <w:suppressLineNumbers w:val="0"/>
                    <w:spacing w:line="240" w:lineRule="auto"/>
                    <w:jc w:val="center"/>
                    <w:textAlignment w:val="center"/>
                    <w:rPr>
                      <w:rFonts w:hint="eastAsia"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7C0B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14B1CC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60CFA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lang w:val="en-US" w:eastAsia="zh-CN" w:bidi="ar-SA"/>
                    </w:rPr>
                    <w:t>镍</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3021EFB9">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500" w:type="pct"/>
                  <w:tcBorders>
                    <w:tl2br w:val="nil"/>
                    <w:tr2bl w:val="nil"/>
                  </w:tcBorders>
                  <w:noWrap w:val="0"/>
                  <w:vAlign w:val="center"/>
                </w:tcPr>
                <w:p w14:paraId="2F63D314">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900</w:t>
                  </w:r>
                </w:p>
              </w:tc>
              <w:tc>
                <w:tcPr>
                  <w:tcW w:w="496" w:type="pct"/>
                  <w:tcBorders>
                    <w:tl2br w:val="nil"/>
                    <w:tr2bl w:val="nil"/>
                  </w:tcBorders>
                  <w:noWrap w:val="0"/>
                  <w:vAlign w:val="center"/>
                </w:tcPr>
                <w:p w14:paraId="0D55C2FE">
                  <w:pPr>
                    <w:keepNext w:val="0"/>
                    <w:keepLines w:val="0"/>
                    <w:widowControl/>
                    <w:suppressLineNumbers w:val="0"/>
                    <w:spacing w:line="240" w:lineRule="auto"/>
                    <w:jc w:val="center"/>
                    <w:textAlignment w:val="center"/>
                    <w:rPr>
                      <w:rFonts w:hint="eastAsia"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7F36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02C99D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685B6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iC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六价铬</w:t>
                  </w:r>
                  <w:r>
                    <w:rPr>
                      <w:rFonts w:hint="default" w:ascii="Times New Roman" w:hAnsi="Times New Roman" w:eastAsia="宋体" w:cs="Times New Roman"/>
                      <w:color w:val="auto"/>
                      <w:sz w:val="24"/>
                      <w:szCs w:val="24"/>
                      <w:lang w:val="en-US" w:eastAsia="zh-CN" w:bidi="zh-CN"/>
                    </w:rPr>
                    <w:t>（mg/kg）</w:t>
                  </w:r>
                </w:p>
              </w:tc>
              <w:tc>
                <w:tcPr>
                  <w:tcW w:w="1180" w:type="pct"/>
                  <w:tcBorders>
                    <w:tl2br w:val="nil"/>
                    <w:tr2bl w:val="nil"/>
                  </w:tcBorders>
                  <w:noWrap w:val="0"/>
                  <w:vAlign w:val="center"/>
                </w:tcPr>
                <w:p w14:paraId="671CD5C7">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&lt;0.5</w:t>
                  </w:r>
                </w:p>
              </w:tc>
              <w:tc>
                <w:tcPr>
                  <w:tcW w:w="1500" w:type="pct"/>
                  <w:tcBorders>
                    <w:tl2br w:val="nil"/>
                    <w:tr2bl w:val="nil"/>
                  </w:tcBorders>
                  <w:noWrap w:val="0"/>
                  <w:vAlign w:val="center"/>
                </w:tcPr>
                <w:p w14:paraId="1B5EB575">
                  <w:pPr>
                    <w:keepNext w:val="0"/>
                    <w:keepLines w:val="0"/>
                    <w:widowControl/>
                    <w:suppressLineNumbers w:val="0"/>
                    <w:spacing w:line="240" w:lineRule="auto"/>
                    <w:jc w:val="center"/>
                    <w:textAlignment w:val="center"/>
                    <w:rPr>
                      <w:rFonts w:hint="default"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5.7</w:t>
                  </w:r>
                </w:p>
              </w:tc>
              <w:tc>
                <w:tcPr>
                  <w:tcW w:w="496" w:type="pct"/>
                  <w:tcBorders>
                    <w:tl2br w:val="nil"/>
                    <w:tr2bl w:val="nil"/>
                  </w:tcBorders>
                  <w:noWrap w:val="0"/>
                  <w:vAlign w:val="center"/>
                </w:tcPr>
                <w:p w14:paraId="6D058D2E">
                  <w:pPr>
                    <w:keepNext w:val="0"/>
                    <w:keepLines w:val="0"/>
                    <w:widowControl/>
                    <w:suppressLineNumbers w:val="0"/>
                    <w:spacing w:line="240" w:lineRule="auto"/>
                    <w:jc w:val="center"/>
                    <w:textAlignment w:val="center"/>
                    <w:rPr>
                      <w:rFonts w:hint="eastAsia" w:ascii="Times New Roman" w:hAnsi="Times New Roman" w:eastAsia="宋体" w:cs="Times New Roman"/>
                      <w:b w:val="0"/>
                      <w:i w:val="0"/>
                      <w:iCs w:val="0"/>
                      <w:color w:val="auto"/>
                      <w:kern w:val="2"/>
                      <w:sz w:val="21"/>
                      <w:szCs w:val="21"/>
                      <w:u w:val="none"/>
                      <w:lang w:val="en-US" w:eastAsia="zh-CN" w:bidi="ar-SA"/>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D50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0DAA0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3B8CE3E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1,4-二氯苯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tcBorders>
                    <w:tl2br w:val="nil"/>
                    <w:tr2bl w:val="nil"/>
                  </w:tcBorders>
                  <w:noWrap w:val="0"/>
                  <w:vAlign w:val="center"/>
                </w:tcPr>
                <w:p w14:paraId="7DD7E2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&lt;1.5</w:t>
                  </w:r>
                </w:p>
              </w:tc>
              <w:tc>
                <w:tcPr>
                  <w:tcW w:w="1500" w:type="pct"/>
                  <w:tcBorders>
                    <w:tl2br w:val="nil"/>
                    <w:tr2bl w:val="nil"/>
                  </w:tcBorders>
                  <w:noWrap w:val="0"/>
                  <w:vAlign w:val="center"/>
                </w:tcPr>
                <w:p w14:paraId="07E8CC9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496" w:type="pct"/>
                  <w:tcBorders>
                    <w:tl2br w:val="nil"/>
                    <w:tr2bl w:val="nil"/>
                  </w:tcBorders>
                  <w:noWrap w:val="0"/>
                  <w:vAlign w:val="center"/>
                </w:tcPr>
                <w:p w14:paraId="1C1F610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A21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62CE3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770D46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1,2-二氯苯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tcBorders>
                    <w:tl2br w:val="nil"/>
                    <w:tr2bl w:val="nil"/>
                  </w:tcBorders>
                  <w:noWrap w:val="0"/>
                  <w:vAlign w:val="center"/>
                </w:tcPr>
                <w:p w14:paraId="6C814D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&lt;1.5</w:t>
                  </w:r>
                </w:p>
              </w:tc>
              <w:tc>
                <w:tcPr>
                  <w:tcW w:w="1500" w:type="pct"/>
                  <w:tcBorders>
                    <w:tl2br w:val="nil"/>
                    <w:tr2bl w:val="nil"/>
                  </w:tcBorders>
                  <w:noWrap w:val="0"/>
                  <w:vAlign w:val="center"/>
                </w:tcPr>
                <w:p w14:paraId="5856EC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560</w:t>
                  </w:r>
                </w:p>
              </w:tc>
              <w:tc>
                <w:tcPr>
                  <w:tcW w:w="496" w:type="pct"/>
                  <w:tcBorders>
                    <w:tl2br w:val="nil"/>
                    <w:tr2bl w:val="nil"/>
                  </w:tcBorders>
                  <w:noWrap w:val="0"/>
                  <w:vAlign w:val="center"/>
                </w:tcPr>
                <w:p w14:paraId="2E65CC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3AA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noWrap w:val="0"/>
                  <w:vAlign w:val="center"/>
                </w:tcPr>
                <w:p w14:paraId="2E91E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tcBorders>
                    <w:tl2br w:val="nil"/>
                    <w:tr2bl w:val="nil"/>
                  </w:tcBorders>
                  <w:noWrap w:val="0"/>
                  <w:vAlign w:val="center"/>
                </w:tcPr>
                <w:p w14:paraId="3BDDB9E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氯甲烷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tcBorders>
                    <w:tl2br w:val="nil"/>
                    <w:tr2bl w:val="nil"/>
                  </w:tcBorders>
                  <w:noWrap w:val="0"/>
                  <w:vAlign w:val="center"/>
                </w:tcPr>
                <w:p w14:paraId="79C4AF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&lt;1.0</w:t>
                  </w:r>
                </w:p>
              </w:tc>
              <w:tc>
                <w:tcPr>
                  <w:tcW w:w="1500" w:type="pct"/>
                  <w:tcBorders>
                    <w:tl2br w:val="nil"/>
                    <w:tr2bl w:val="nil"/>
                  </w:tcBorders>
                  <w:noWrap w:val="0"/>
                  <w:vAlign w:val="center"/>
                </w:tcPr>
                <w:p w14:paraId="1D31307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w:t>
                  </w:r>
                </w:p>
              </w:tc>
              <w:tc>
                <w:tcPr>
                  <w:tcW w:w="496" w:type="pct"/>
                  <w:tcBorders>
                    <w:tl2br w:val="nil"/>
                    <w:tr2bl w:val="nil"/>
                  </w:tcBorders>
                  <w:noWrap w:val="0"/>
                  <w:vAlign w:val="center"/>
                </w:tcPr>
                <w:p w14:paraId="4F033B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710C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736B6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081FBAC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6E991F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&lt;1.0</w:t>
                  </w:r>
                </w:p>
              </w:tc>
              <w:tc>
                <w:tcPr>
                  <w:tcW w:w="1500" w:type="pct"/>
                  <w:noWrap w:val="0"/>
                  <w:vAlign w:val="center"/>
                </w:tcPr>
                <w:p w14:paraId="3D20857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0.43</w:t>
                  </w:r>
                </w:p>
              </w:tc>
              <w:tc>
                <w:tcPr>
                  <w:tcW w:w="496" w:type="pct"/>
                  <w:noWrap w:val="0"/>
                  <w:vAlign w:val="center"/>
                </w:tcPr>
                <w:p w14:paraId="1EAD153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23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93FC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7BCE5FD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1,1-二氯乙烯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55A0AC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&lt;1.0</w:t>
                  </w:r>
                </w:p>
              </w:tc>
              <w:tc>
                <w:tcPr>
                  <w:tcW w:w="1500" w:type="pct"/>
                  <w:noWrap w:val="0"/>
                  <w:vAlign w:val="center"/>
                </w:tcPr>
                <w:p w14:paraId="2545348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66</w:t>
                  </w:r>
                </w:p>
              </w:tc>
              <w:tc>
                <w:tcPr>
                  <w:tcW w:w="496" w:type="pct"/>
                  <w:noWrap w:val="0"/>
                  <w:vAlign w:val="center"/>
                </w:tcPr>
                <w:p w14:paraId="3EE55D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0840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798E9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6429E6F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二氯甲烷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0825E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&lt;1.5</w:t>
                  </w:r>
                </w:p>
              </w:tc>
              <w:tc>
                <w:tcPr>
                  <w:tcW w:w="1500" w:type="pct"/>
                  <w:noWrap w:val="0"/>
                  <w:vAlign w:val="center"/>
                </w:tcPr>
                <w:p w14:paraId="34941B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616</w:t>
                  </w:r>
                </w:p>
              </w:tc>
              <w:tc>
                <w:tcPr>
                  <w:tcW w:w="496" w:type="pct"/>
                  <w:noWrap w:val="0"/>
                  <w:vAlign w:val="center"/>
                </w:tcPr>
                <w:p w14:paraId="4F90AB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72D0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2F733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675DA4D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反式-1,2-二氯乙烯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52BBC2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&lt;1.4</w:t>
                  </w:r>
                </w:p>
              </w:tc>
              <w:tc>
                <w:tcPr>
                  <w:tcW w:w="1500" w:type="pct"/>
                  <w:noWrap w:val="0"/>
                  <w:vAlign w:val="center"/>
                </w:tcPr>
                <w:p w14:paraId="387B1DD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54</w:t>
                  </w:r>
                </w:p>
              </w:tc>
              <w:tc>
                <w:tcPr>
                  <w:tcW w:w="496" w:type="pct"/>
                  <w:noWrap w:val="0"/>
                  <w:vAlign w:val="center"/>
                </w:tcPr>
                <w:p w14:paraId="46708A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22AD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387DC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9A0CAA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1,1-二氯乙烷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6403CFD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05A6E5A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496" w:type="pct"/>
                  <w:noWrap w:val="0"/>
                  <w:vAlign w:val="center"/>
                </w:tcPr>
                <w:p w14:paraId="5B325CE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6020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62F71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1F00EDA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顺式-1,2-二氯乙烯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F4ADA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&lt;1.3</w:t>
                  </w:r>
                </w:p>
              </w:tc>
              <w:tc>
                <w:tcPr>
                  <w:tcW w:w="1500" w:type="pct"/>
                  <w:noWrap w:val="0"/>
                  <w:vAlign w:val="center"/>
                </w:tcPr>
                <w:p w14:paraId="5E22AAD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596</w:t>
                  </w:r>
                </w:p>
              </w:tc>
              <w:tc>
                <w:tcPr>
                  <w:tcW w:w="496" w:type="pct"/>
                  <w:noWrap w:val="0"/>
                  <w:vAlign w:val="center"/>
                </w:tcPr>
                <w:p w14:paraId="389A15F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421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4A1A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5CC25DB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氯仿</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1DBBFB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&lt;1.1</w:t>
                  </w:r>
                </w:p>
              </w:tc>
              <w:tc>
                <w:tcPr>
                  <w:tcW w:w="1500" w:type="pct"/>
                  <w:noWrap w:val="0"/>
                  <w:vAlign w:val="center"/>
                </w:tcPr>
                <w:p w14:paraId="5F458B2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w:t>
                  </w:r>
                </w:p>
              </w:tc>
              <w:tc>
                <w:tcPr>
                  <w:tcW w:w="496" w:type="pct"/>
                  <w:noWrap w:val="0"/>
                  <w:vAlign w:val="center"/>
                </w:tcPr>
                <w:p w14:paraId="2420472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62CE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39D9B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072C864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四氯化碳</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6E1E8A7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&lt;1.3</w:t>
                  </w:r>
                </w:p>
              </w:tc>
              <w:tc>
                <w:tcPr>
                  <w:tcW w:w="1500" w:type="pct"/>
                  <w:noWrap w:val="0"/>
                  <w:vAlign w:val="center"/>
                </w:tcPr>
                <w:p w14:paraId="2692BB3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2.8</w:t>
                  </w:r>
                </w:p>
              </w:tc>
              <w:tc>
                <w:tcPr>
                  <w:tcW w:w="496" w:type="pct"/>
                  <w:noWrap w:val="0"/>
                  <w:vAlign w:val="center"/>
                </w:tcPr>
                <w:p w14:paraId="5070F06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246C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77A3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736A0DD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F4D0B1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&lt;1.9</w:t>
                  </w:r>
                </w:p>
              </w:tc>
              <w:tc>
                <w:tcPr>
                  <w:tcW w:w="1500" w:type="pct"/>
                  <w:noWrap w:val="0"/>
                  <w:vAlign w:val="center"/>
                </w:tcPr>
                <w:p w14:paraId="3166CC7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496" w:type="pct"/>
                  <w:noWrap w:val="0"/>
                  <w:vAlign w:val="center"/>
                </w:tcPr>
                <w:p w14:paraId="672B3D3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487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F1E3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E9E6D4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1,1,1-三氯乙烷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2249CC3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&lt;1.3</w:t>
                  </w:r>
                </w:p>
              </w:tc>
              <w:tc>
                <w:tcPr>
                  <w:tcW w:w="1500" w:type="pct"/>
                  <w:noWrap w:val="0"/>
                  <w:vAlign w:val="center"/>
                </w:tcPr>
                <w:p w14:paraId="76284B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840</w:t>
                  </w:r>
                </w:p>
              </w:tc>
              <w:tc>
                <w:tcPr>
                  <w:tcW w:w="496" w:type="pct"/>
                  <w:noWrap w:val="0"/>
                  <w:vAlign w:val="center"/>
                </w:tcPr>
                <w:p w14:paraId="566CB64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E71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1E6F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F9220E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1,2-二氯乙烷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5F267C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&lt;1.3</w:t>
                  </w:r>
                </w:p>
              </w:tc>
              <w:tc>
                <w:tcPr>
                  <w:tcW w:w="1500" w:type="pct"/>
                  <w:noWrap w:val="0"/>
                  <w:vAlign w:val="center"/>
                </w:tcPr>
                <w:p w14:paraId="00908F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96" w:type="pct"/>
                  <w:noWrap w:val="0"/>
                  <w:vAlign w:val="center"/>
                </w:tcPr>
                <w:p w14:paraId="42A6668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941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7DFC2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0AC70B3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三氯乙烯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7CE9FB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7716A0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2.8</w:t>
                  </w:r>
                </w:p>
              </w:tc>
              <w:tc>
                <w:tcPr>
                  <w:tcW w:w="496" w:type="pct"/>
                  <w:noWrap w:val="0"/>
                  <w:vAlign w:val="center"/>
                </w:tcPr>
                <w:p w14:paraId="575598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A21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74FB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58E353D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1,2-二氯丙烷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D7D21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&lt;1.1</w:t>
                  </w:r>
                </w:p>
              </w:tc>
              <w:tc>
                <w:tcPr>
                  <w:tcW w:w="1500" w:type="pct"/>
                  <w:noWrap w:val="0"/>
                  <w:vAlign w:val="center"/>
                </w:tcPr>
                <w:p w14:paraId="66DF69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496" w:type="pct"/>
                  <w:noWrap w:val="0"/>
                  <w:vAlign w:val="center"/>
                </w:tcPr>
                <w:p w14:paraId="6B82FE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902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EDB2E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902DF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甲苯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A9664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&lt;1.3</w:t>
                  </w:r>
                </w:p>
              </w:tc>
              <w:tc>
                <w:tcPr>
                  <w:tcW w:w="1500" w:type="pct"/>
                  <w:noWrap w:val="0"/>
                  <w:vAlign w:val="center"/>
                </w:tcPr>
                <w:p w14:paraId="599BD0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1200</w:t>
                  </w:r>
                </w:p>
              </w:tc>
              <w:tc>
                <w:tcPr>
                  <w:tcW w:w="496" w:type="pct"/>
                  <w:noWrap w:val="0"/>
                  <w:vAlign w:val="center"/>
                </w:tcPr>
                <w:p w14:paraId="037150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1D3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C62D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12B7DFE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1,1,2-三氯乙烷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7A37C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09A309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2.8</w:t>
                  </w:r>
                </w:p>
              </w:tc>
              <w:tc>
                <w:tcPr>
                  <w:tcW w:w="496" w:type="pct"/>
                  <w:noWrap w:val="0"/>
                  <w:vAlign w:val="center"/>
                </w:tcPr>
                <w:p w14:paraId="36BA49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587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69D0B8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512AD32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四氯乙烯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B89A58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&lt;1.4</w:t>
                  </w:r>
                </w:p>
              </w:tc>
              <w:tc>
                <w:tcPr>
                  <w:tcW w:w="1500" w:type="pct"/>
                  <w:noWrap w:val="0"/>
                  <w:vAlign w:val="center"/>
                </w:tcPr>
                <w:p w14:paraId="7B98F4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53</w:t>
                  </w:r>
                </w:p>
              </w:tc>
              <w:tc>
                <w:tcPr>
                  <w:tcW w:w="496" w:type="pct"/>
                  <w:noWrap w:val="0"/>
                  <w:vAlign w:val="center"/>
                </w:tcPr>
                <w:p w14:paraId="647510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042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9813B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C7E97A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氯苯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03B3E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2AFE1F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270</w:t>
                  </w:r>
                </w:p>
              </w:tc>
              <w:tc>
                <w:tcPr>
                  <w:tcW w:w="496" w:type="pct"/>
                  <w:noWrap w:val="0"/>
                  <w:vAlign w:val="center"/>
                </w:tcPr>
                <w:p w14:paraId="41534C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6C7D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4B1A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CE1449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1,1,1,2-四氯乙烷*</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5D3E6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0AAC19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496" w:type="pct"/>
                  <w:noWrap w:val="0"/>
                  <w:vAlign w:val="center"/>
                </w:tcPr>
                <w:p w14:paraId="3B88503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F9C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394D22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6226B3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乙苯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519EBA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239441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28</w:t>
                  </w:r>
                </w:p>
              </w:tc>
              <w:tc>
                <w:tcPr>
                  <w:tcW w:w="496" w:type="pct"/>
                  <w:noWrap w:val="0"/>
                  <w:vAlign w:val="center"/>
                </w:tcPr>
                <w:p w14:paraId="492E61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D9E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A3B9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94D645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对</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间</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二甲苯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46819D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12FBF8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570</w:t>
                  </w:r>
                </w:p>
              </w:tc>
              <w:tc>
                <w:tcPr>
                  <w:tcW w:w="496" w:type="pct"/>
                  <w:noWrap w:val="0"/>
                  <w:vAlign w:val="center"/>
                </w:tcPr>
                <w:p w14:paraId="34FECB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028E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11DA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76B84A1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邻-二甲苯*</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461FEB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7D8E613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640</w:t>
                  </w:r>
                </w:p>
              </w:tc>
              <w:tc>
                <w:tcPr>
                  <w:tcW w:w="496" w:type="pct"/>
                  <w:noWrap w:val="0"/>
                  <w:vAlign w:val="center"/>
                </w:tcPr>
                <w:p w14:paraId="1C66DE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23F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634777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1C5EA63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苯乙烯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718608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&lt;1.1</w:t>
                  </w:r>
                </w:p>
              </w:tc>
              <w:tc>
                <w:tcPr>
                  <w:tcW w:w="1500" w:type="pct"/>
                  <w:noWrap w:val="0"/>
                  <w:vAlign w:val="center"/>
                </w:tcPr>
                <w:p w14:paraId="774AD4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1290</w:t>
                  </w:r>
                </w:p>
              </w:tc>
              <w:tc>
                <w:tcPr>
                  <w:tcW w:w="496" w:type="pct"/>
                  <w:noWrap w:val="0"/>
                  <w:vAlign w:val="center"/>
                </w:tcPr>
                <w:p w14:paraId="0F93D0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4BD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D550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EF67DC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1,1,2,2-四氯乙烷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6589B7F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1E0C38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6.8</w:t>
                  </w:r>
                </w:p>
              </w:tc>
              <w:tc>
                <w:tcPr>
                  <w:tcW w:w="496" w:type="pct"/>
                  <w:noWrap w:val="0"/>
                  <w:vAlign w:val="center"/>
                </w:tcPr>
                <w:p w14:paraId="05D6464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0342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0CAB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08FE0D1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1,2,3-三氯丙烷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μg/kg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464C896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&lt;1.2</w:t>
                  </w:r>
                </w:p>
              </w:tc>
              <w:tc>
                <w:tcPr>
                  <w:tcW w:w="1500" w:type="pct"/>
                  <w:noWrap w:val="0"/>
                  <w:vAlign w:val="center"/>
                </w:tcPr>
                <w:p w14:paraId="1ED712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496" w:type="pct"/>
                  <w:noWrap w:val="0"/>
                  <w:vAlign w:val="center"/>
                </w:tcPr>
                <w:p w14:paraId="3ECE634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10C7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38BD38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0D0767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硝基苯</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655E90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color w:val="auto"/>
                      <w:kern w:val="2"/>
                      <w:sz w:val="21"/>
                      <w:szCs w:val="21"/>
                      <w:lang w:val="en-US" w:eastAsia="zh-CN" w:bidi="ar-SA"/>
                    </w:rPr>
                    <w:t>&lt;0.09</w:t>
                  </w:r>
                </w:p>
              </w:tc>
              <w:tc>
                <w:tcPr>
                  <w:tcW w:w="1500" w:type="pct"/>
                  <w:noWrap w:val="0"/>
                  <w:vAlign w:val="center"/>
                </w:tcPr>
                <w:p w14:paraId="632AF0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76</w:t>
                  </w:r>
                </w:p>
              </w:tc>
              <w:tc>
                <w:tcPr>
                  <w:tcW w:w="496" w:type="pct"/>
                  <w:noWrap w:val="0"/>
                  <w:vAlign w:val="center"/>
                </w:tcPr>
                <w:p w14:paraId="564EC2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0760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0287974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F59C4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苯胺</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73E236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color w:val="auto"/>
                      <w:kern w:val="2"/>
                      <w:sz w:val="21"/>
                      <w:szCs w:val="21"/>
                      <w:lang w:val="en-US" w:eastAsia="zh-CN" w:bidi="ar-SA"/>
                    </w:rPr>
                    <w:t>&lt;0.08</w:t>
                  </w:r>
                </w:p>
              </w:tc>
              <w:tc>
                <w:tcPr>
                  <w:tcW w:w="1500" w:type="pct"/>
                  <w:noWrap w:val="0"/>
                  <w:vAlign w:val="center"/>
                </w:tcPr>
                <w:p w14:paraId="0063D9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260</w:t>
                  </w:r>
                </w:p>
              </w:tc>
              <w:tc>
                <w:tcPr>
                  <w:tcW w:w="496" w:type="pct"/>
                  <w:noWrap w:val="0"/>
                  <w:vAlign w:val="center"/>
                </w:tcPr>
                <w:p w14:paraId="77D660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5678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0911A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B7357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0"/>
                      <w:sz w:val="21"/>
                      <w:szCs w:val="21"/>
                      <w:highlight w:val="none"/>
                      <w:vertAlign w:val="superscript"/>
                      <w:lang w:val="en-US" w:eastAsia="zh-CN" w:bidi="zh-CN"/>
                    </w:rPr>
                    <w:t>★</w:t>
                  </w:r>
                  <w:r>
                    <w:rPr>
                      <w:rFonts w:hint="eastAsia" w:ascii="Times New Roman" w:hAnsi="Times New Roman" w:eastAsia="宋体" w:cs="Times New Roman"/>
                      <w:color w:val="auto"/>
                      <w:kern w:val="0"/>
                      <w:sz w:val="21"/>
                      <w:szCs w:val="21"/>
                      <w:highlight w:val="none"/>
                      <w:lang w:val="en-US" w:eastAsia="zh-CN" w:bidi="zh-CN"/>
                    </w:rPr>
                    <w:t>2-氯苯酚（</w:t>
                  </w:r>
                  <w:r>
                    <w:rPr>
                      <w:rFonts w:hint="default" w:ascii="Times New Roman" w:hAnsi="Times New Roman" w:eastAsia="宋体" w:cs="Times New Roman"/>
                      <w:b w:val="0"/>
                      <w:bCs w:val="0"/>
                      <w:color w:val="auto"/>
                      <w:sz w:val="21"/>
                      <w:szCs w:val="21"/>
                      <w:highlight w:val="none"/>
                      <w:lang w:val="en-US" w:eastAsia="zh-CN"/>
                    </w:rPr>
                    <w:t>2-氯酚</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0"/>
                      <w:sz w:val="21"/>
                      <w:szCs w:val="21"/>
                      <w:highlight w:val="none"/>
                      <w:lang w:val="en-US" w:eastAsia="zh-CN" w:bidi="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2D09C7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&lt;0.06</w:t>
                  </w:r>
                </w:p>
              </w:tc>
              <w:tc>
                <w:tcPr>
                  <w:tcW w:w="1500" w:type="pct"/>
                  <w:noWrap w:val="0"/>
                  <w:vAlign w:val="center"/>
                </w:tcPr>
                <w:p w14:paraId="0291AA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2256</w:t>
                  </w:r>
                </w:p>
              </w:tc>
              <w:tc>
                <w:tcPr>
                  <w:tcW w:w="496" w:type="pct"/>
                  <w:noWrap w:val="0"/>
                  <w:vAlign w:val="center"/>
                </w:tcPr>
                <w:p w14:paraId="52A24D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6948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3F2EFDB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7C97FF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萘</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2B7DD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&lt;0.09</w:t>
                  </w:r>
                </w:p>
              </w:tc>
              <w:tc>
                <w:tcPr>
                  <w:tcW w:w="1500" w:type="pct"/>
                  <w:noWrap w:val="0"/>
                  <w:vAlign w:val="center"/>
                </w:tcPr>
                <w:p w14:paraId="7E43D3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w:t>
                  </w:r>
                </w:p>
              </w:tc>
              <w:tc>
                <w:tcPr>
                  <w:tcW w:w="496" w:type="pct"/>
                  <w:noWrap w:val="0"/>
                  <w:vAlign w:val="center"/>
                </w:tcPr>
                <w:p w14:paraId="2E68C0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7DCA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2A010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2580E3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苯并（a）蒽</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ECF1E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5EE82D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96" w:type="pct"/>
                  <w:noWrap w:val="0"/>
                  <w:vAlign w:val="center"/>
                </w:tcPr>
                <w:p w14:paraId="0B0AD1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2729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5068502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26ABD8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䓛</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5D44C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70792A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1293</w:t>
                  </w:r>
                </w:p>
              </w:tc>
              <w:tc>
                <w:tcPr>
                  <w:tcW w:w="496" w:type="pct"/>
                  <w:noWrap w:val="0"/>
                  <w:vAlign w:val="center"/>
                </w:tcPr>
                <w:p w14:paraId="3A2D22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3717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3D0950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16B92B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苯并（b）荧蒽</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0A1F348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&lt;0.2</w:t>
                  </w:r>
                </w:p>
              </w:tc>
              <w:tc>
                <w:tcPr>
                  <w:tcW w:w="1500" w:type="pct"/>
                  <w:noWrap w:val="0"/>
                  <w:vAlign w:val="center"/>
                </w:tcPr>
                <w:p w14:paraId="6425BF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96" w:type="pct"/>
                  <w:noWrap w:val="0"/>
                  <w:vAlign w:val="center"/>
                </w:tcPr>
                <w:p w14:paraId="47D834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0C26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2EF211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7B02C8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苯并（k）荧蒽</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60BD5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50D7B8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151</w:t>
                  </w:r>
                </w:p>
              </w:tc>
              <w:tc>
                <w:tcPr>
                  <w:tcW w:w="496" w:type="pct"/>
                  <w:noWrap w:val="0"/>
                  <w:vAlign w:val="center"/>
                </w:tcPr>
                <w:p w14:paraId="6A118C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i w:val="0"/>
                      <w:iCs w:val="0"/>
                      <w:color w:val="auto"/>
                      <w:kern w:val="2"/>
                      <w:sz w:val="21"/>
                      <w:szCs w:val="21"/>
                      <w:u w:val="none"/>
                      <w:lang w:val="en-US" w:eastAsia="zh-CN" w:bidi="ar-SA"/>
                    </w:rPr>
                    <w:t>达标</w:t>
                  </w:r>
                </w:p>
              </w:tc>
            </w:tr>
            <w:tr w14:paraId="4B49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847E1B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5AD04F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苯并（a）芘</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1CBD10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24A691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96" w:type="pct"/>
                  <w:noWrap w:val="0"/>
                  <w:vAlign w:val="center"/>
                </w:tcPr>
                <w:p w14:paraId="1020B8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p>
              </w:tc>
            </w:tr>
            <w:tr w14:paraId="75A4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7988F97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3BE07E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二苯并（ah）蒽</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277045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3BF3F1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96" w:type="pct"/>
                  <w:noWrap w:val="0"/>
                  <w:vAlign w:val="center"/>
                </w:tcPr>
                <w:p w14:paraId="214ADD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p>
              </w:tc>
            </w:tr>
            <w:tr w14:paraId="7A5A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top"/>
                </w:tcPr>
                <w:p w14:paraId="14E902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381" w:type="pct"/>
                  <w:noWrap w:val="0"/>
                  <w:vAlign w:val="center"/>
                </w:tcPr>
                <w:p w14:paraId="6A1CB8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茚并（1,2,3-cd）芘</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color w:val="auto"/>
                      <w:sz w:val="21"/>
                      <w:szCs w:val="21"/>
                      <w:lang w:val="en-US" w:eastAsia="zh-CN" w:bidi="zh-CN"/>
                    </w:rPr>
                    <w:t>mg/kg</w:t>
                  </w:r>
                  <w:r>
                    <w:rPr>
                      <w:rFonts w:hint="eastAsia" w:ascii="Times New Roman" w:hAnsi="Times New Roman" w:eastAsia="宋体" w:cs="Times New Roman"/>
                      <w:color w:val="auto"/>
                      <w:sz w:val="21"/>
                      <w:szCs w:val="21"/>
                      <w:lang w:val="en-US" w:eastAsia="zh-CN" w:bidi="zh-CN"/>
                    </w:rPr>
                    <w:t>）</w:t>
                  </w:r>
                </w:p>
              </w:tc>
              <w:tc>
                <w:tcPr>
                  <w:tcW w:w="1180" w:type="pct"/>
                  <w:noWrap w:val="0"/>
                  <w:vAlign w:val="center"/>
                </w:tcPr>
                <w:p w14:paraId="331FE8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&lt;0.1</w:t>
                  </w:r>
                </w:p>
              </w:tc>
              <w:tc>
                <w:tcPr>
                  <w:tcW w:w="1500" w:type="pct"/>
                  <w:noWrap w:val="0"/>
                  <w:vAlign w:val="center"/>
                </w:tcPr>
                <w:p w14:paraId="4357C5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96" w:type="pct"/>
                  <w:noWrap w:val="0"/>
                  <w:vAlign w:val="center"/>
                </w:tcPr>
                <w:p w14:paraId="302190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p>
              </w:tc>
            </w:tr>
          </w:tbl>
          <w:p w14:paraId="2332E66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由表</w:t>
            </w:r>
            <w:r>
              <w:rPr>
                <w:rFonts w:hint="default" w:ascii="Times New Roman" w:hAnsi="Times New Roman" w:eastAsia="宋体" w:cs="Times New Roman"/>
                <w:color w:val="auto"/>
                <w:sz w:val="24"/>
                <w:lang w:val="en-US" w:eastAsia="zh-CN"/>
              </w:rPr>
              <w:t>3-4</w:t>
            </w:r>
            <w:r>
              <w:rPr>
                <w:rFonts w:hint="default" w:ascii="Times New Roman" w:hAnsi="Times New Roman" w:eastAsia="宋体" w:cs="Times New Roman"/>
                <w:color w:val="auto"/>
                <w:sz w:val="24"/>
              </w:rPr>
              <w:t>可知，土壤各监测因子均符合《土壤环境质量标准建设用地土壤污染风险管控标准（试行）》（GB36600-2018）中第二类用地标准的筛选值。</w:t>
            </w:r>
          </w:p>
          <w:p w14:paraId="778850D5">
            <w:pPr>
              <w:adjustRightInd w:val="0"/>
              <w:spacing w:line="360" w:lineRule="auto"/>
              <w:ind w:firstLine="482" w:firstLineChars="200"/>
              <w:rPr>
                <w:rFonts w:ascii="Times New Roman" w:hAnsi="Times New Roman" w:eastAsia="宋体"/>
                <w:b/>
                <w:color w:val="auto"/>
                <w:sz w:val="24"/>
              </w:rPr>
            </w:pPr>
            <w:r>
              <w:rPr>
                <w:rFonts w:hint="eastAsia" w:ascii="Times New Roman" w:hAnsi="Times New Roman" w:eastAsia="宋体"/>
                <w:b/>
                <w:color w:val="auto"/>
                <w:sz w:val="24"/>
                <w:lang w:val="en-US" w:eastAsia="zh-CN"/>
              </w:rPr>
              <w:t>5</w:t>
            </w:r>
            <w:r>
              <w:rPr>
                <w:rFonts w:ascii="Times New Roman" w:hAnsi="Times New Roman" w:eastAsia="宋体"/>
                <w:b/>
                <w:color w:val="auto"/>
                <w:sz w:val="24"/>
              </w:rPr>
              <w:t>、生态环境</w:t>
            </w:r>
          </w:p>
          <w:p w14:paraId="30EC3414">
            <w:pPr>
              <w:adjustRightInd w:val="0"/>
              <w:snapToGrid w:val="0"/>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s="Times New Roman"/>
                <w:bCs/>
                <w:color w:val="auto"/>
                <w:sz w:val="24"/>
                <w:lang w:val="en-US" w:eastAsia="zh-CN"/>
              </w:rPr>
              <w:t>按照项目榆林市投资项目选址“一张图”控制线检测报告中【土地利用现状2021（三调）】分析，项目新增用地总规模为1.7009公顷（折合25.5亩），全部为工业用地。综合项目占地情况以及周边区域实际情况，评价区</w:t>
            </w:r>
            <w:r>
              <w:rPr>
                <w:rFonts w:hint="default" w:ascii="Times New Roman" w:hAnsi="Times New Roman" w:eastAsia="宋体" w:cs="Times New Roman"/>
                <w:bCs/>
                <w:color w:val="auto"/>
                <w:sz w:val="24"/>
              </w:rPr>
              <w:t>植被稀少</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基本上为沙生类植物</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区</w:t>
            </w:r>
            <w:r>
              <w:rPr>
                <w:rFonts w:hint="eastAsia" w:ascii="Times New Roman" w:hAnsi="Times New Roman" w:eastAsia="宋体" w:cs="Times New Roman"/>
                <w:bCs/>
                <w:color w:val="auto"/>
                <w:sz w:val="24"/>
                <w:lang w:val="en-US" w:eastAsia="zh-CN"/>
              </w:rPr>
              <w:t>域</w:t>
            </w:r>
            <w:r>
              <w:rPr>
                <w:rFonts w:hint="default" w:ascii="Times New Roman" w:hAnsi="Times New Roman" w:eastAsia="宋体" w:cs="Times New Roman"/>
                <w:bCs/>
                <w:color w:val="auto"/>
                <w:sz w:val="24"/>
              </w:rPr>
              <w:t>内野生动物较少，有野兔、鸟类等</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无特殊生态价值、物种保护价值的动植物。</w:t>
            </w:r>
          </w:p>
        </w:tc>
      </w:tr>
      <w:tr w14:paraId="7778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687" w:type="dxa"/>
            <w:noWrap w:val="0"/>
            <w:vAlign w:val="center"/>
          </w:tcPr>
          <w:p w14:paraId="40078A3C">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生态环境保护目标</w:t>
            </w:r>
          </w:p>
        </w:tc>
        <w:tc>
          <w:tcPr>
            <w:tcW w:w="7835" w:type="dxa"/>
            <w:noWrap w:val="0"/>
            <w:vAlign w:val="center"/>
          </w:tcPr>
          <w:p w14:paraId="5847BE69">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项目主要环境保护目标见表3-</w:t>
            </w:r>
            <w:r>
              <w:rPr>
                <w:rFonts w:hint="eastAsia" w:ascii="Times New Roman" w:hAnsi="Times New Roman" w:eastAsia="宋体"/>
                <w:color w:val="auto"/>
                <w:sz w:val="24"/>
                <w:lang w:val="en-US" w:eastAsia="zh-CN"/>
              </w:rPr>
              <w:t>11</w:t>
            </w:r>
            <w:r>
              <w:rPr>
                <w:rFonts w:ascii="Times New Roman" w:hAnsi="Times New Roman" w:eastAsia="宋体"/>
                <w:color w:val="auto"/>
                <w:sz w:val="24"/>
              </w:rPr>
              <w:t>。项目环境保护目标分布图见附图</w:t>
            </w:r>
            <w:r>
              <w:rPr>
                <w:rFonts w:hint="eastAsia" w:ascii="Times New Roman" w:hAnsi="Times New Roman" w:eastAsia="宋体"/>
                <w:color w:val="auto"/>
                <w:sz w:val="24"/>
                <w:lang w:val="en-US" w:eastAsia="zh-CN"/>
              </w:rPr>
              <w:t>4</w:t>
            </w:r>
            <w:r>
              <w:rPr>
                <w:rFonts w:ascii="Times New Roman" w:hAnsi="Times New Roman" w:eastAsia="宋体"/>
                <w:color w:val="auto"/>
                <w:sz w:val="24"/>
              </w:rPr>
              <w:t>。</w:t>
            </w:r>
          </w:p>
          <w:p w14:paraId="3A6D8966">
            <w:pPr>
              <w:pStyle w:val="58"/>
              <w:ind w:firstLine="0" w:firstLineChars="0"/>
              <w:jc w:val="center"/>
              <w:rPr>
                <w:rFonts w:ascii="Times New Roman" w:hAnsi="Times New Roman" w:eastAsia="宋体"/>
                <w:b/>
                <w:bCs/>
                <w:color w:val="auto"/>
                <w:kern w:val="2"/>
                <w:szCs w:val="21"/>
                <w:lang w:val="en-US" w:eastAsia="zh-CN"/>
              </w:rPr>
            </w:pPr>
            <w:r>
              <w:rPr>
                <w:rFonts w:ascii="Times New Roman" w:hAnsi="Times New Roman" w:eastAsia="宋体"/>
                <w:b/>
                <w:bCs/>
                <w:color w:val="auto"/>
                <w:kern w:val="2"/>
                <w:szCs w:val="21"/>
                <w:lang w:val="en-US" w:eastAsia="zh-CN"/>
              </w:rPr>
              <w:t>表3-</w:t>
            </w:r>
            <w:r>
              <w:rPr>
                <w:rFonts w:hint="eastAsia" w:ascii="Times New Roman" w:hAnsi="Times New Roman" w:eastAsia="宋体"/>
                <w:b/>
                <w:bCs/>
                <w:color w:val="auto"/>
                <w:kern w:val="2"/>
                <w:szCs w:val="21"/>
                <w:lang w:val="en-US" w:eastAsia="zh-CN"/>
              </w:rPr>
              <w:t>11</w:t>
            </w:r>
            <w:r>
              <w:rPr>
                <w:rFonts w:ascii="Times New Roman" w:hAnsi="Times New Roman" w:eastAsia="宋体"/>
                <w:b/>
                <w:bCs/>
                <w:color w:val="auto"/>
                <w:kern w:val="2"/>
                <w:szCs w:val="21"/>
                <w:lang w:val="en-US" w:eastAsia="zh-CN"/>
              </w:rPr>
              <w:t xml:space="preserve"> 环境保护目标一览表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41"/>
              <w:gridCol w:w="1109"/>
              <w:gridCol w:w="1004"/>
              <w:gridCol w:w="846"/>
              <w:gridCol w:w="614"/>
              <w:gridCol w:w="1499"/>
              <w:gridCol w:w="675"/>
              <w:gridCol w:w="800"/>
            </w:tblGrid>
            <w:tr w14:paraId="629E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restart"/>
                  <w:noWrap w:val="0"/>
                  <w:vAlign w:val="center"/>
                </w:tcPr>
                <w:p w14:paraId="6FA7387E">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要素</w:t>
                  </w:r>
                </w:p>
              </w:tc>
              <w:tc>
                <w:tcPr>
                  <w:tcW w:w="424" w:type="pct"/>
                  <w:vMerge w:val="restart"/>
                  <w:noWrap w:val="0"/>
                  <w:vAlign w:val="center"/>
                </w:tcPr>
                <w:p w14:paraId="41280757">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名称</w:t>
                  </w:r>
                </w:p>
              </w:tc>
              <w:tc>
                <w:tcPr>
                  <w:tcW w:w="1340" w:type="pct"/>
                  <w:gridSpan w:val="2"/>
                  <w:noWrap w:val="0"/>
                  <w:vAlign w:val="center"/>
                </w:tcPr>
                <w:p w14:paraId="7CBCBBD2">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坐标</w:t>
                  </w:r>
                </w:p>
              </w:tc>
              <w:tc>
                <w:tcPr>
                  <w:tcW w:w="476" w:type="pct"/>
                  <w:vMerge w:val="restart"/>
                  <w:noWrap w:val="0"/>
                  <w:vAlign w:val="center"/>
                </w:tcPr>
                <w:p w14:paraId="757E7FF2">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保护</w:t>
                  </w:r>
                </w:p>
                <w:p w14:paraId="54D1EB59">
                  <w:pPr>
                    <w:snapToGrid w:val="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对象</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人</w:t>
                  </w:r>
                  <w:r>
                    <w:rPr>
                      <w:rFonts w:hint="eastAsia" w:ascii="Times New Roman" w:hAnsi="Times New Roman" w:eastAsia="宋体"/>
                      <w:color w:val="auto"/>
                      <w:sz w:val="21"/>
                      <w:szCs w:val="21"/>
                      <w:lang w:eastAsia="zh-CN"/>
                    </w:rPr>
                    <w:t>）</w:t>
                  </w:r>
                </w:p>
              </w:tc>
              <w:tc>
                <w:tcPr>
                  <w:tcW w:w="406" w:type="pct"/>
                  <w:vMerge w:val="restart"/>
                  <w:noWrap w:val="0"/>
                  <w:vAlign w:val="center"/>
                </w:tcPr>
                <w:p w14:paraId="335E3191">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保护内容</w:t>
                  </w:r>
                </w:p>
              </w:tc>
              <w:tc>
                <w:tcPr>
                  <w:tcW w:w="971" w:type="pct"/>
                  <w:vMerge w:val="restart"/>
                  <w:noWrap w:val="0"/>
                  <w:vAlign w:val="center"/>
                </w:tcPr>
                <w:p w14:paraId="79376F77">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环境功能区</w:t>
                  </w:r>
                </w:p>
              </w:tc>
              <w:tc>
                <w:tcPr>
                  <w:tcW w:w="446" w:type="pct"/>
                  <w:vMerge w:val="restart"/>
                  <w:noWrap w:val="0"/>
                  <w:vAlign w:val="center"/>
                </w:tcPr>
                <w:p w14:paraId="6230AB1D">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相对</w:t>
                  </w:r>
                </w:p>
                <w:p w14:paraId="37499D2F">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方位</w:t>
                  </w:r>
                </w:p>
              </w:tc>
              <w:tc>
                <w:tcPr>
                  <w:tcW w:w="498" w:type="pct"/>
                  <w:vMerge w:val="restart"/>
                  <w:noWrap w:val="0"/>
                  <w:vAlign w:val="center"/>
                </w:tcPr>
                <w:p w14:paraId="7BE17C92">
                  <w:pPr>
                    <w:snapToGrid w:val="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相对厂界距离</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m</w:t>
                  </w:r>
                  <w:r>
                    <w:rPr>
                      <w:rFonts w:hint="eastAsia" w:ascii="Times New Roman" w:hAnsi="Times New Roman" w:eastAsia="宋体"/>
                      <w:color w:val="auto"/>
                      <w:sz w:val="21"/>
                      <w:szCs w:val="21"/>
                      <w:lang w:eastAsia="zh-CN"/>
                    </w:rPr>
                    <w:t>）</w:t>
                  </w:r>
                </w:p>
              </w:tc>
            </w:tr>
            <w:tr w14:paraId="4CF9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noWrap w:val="0"/>
                  <w:vAlign w:val="center"/>
                </w:tcPr>
                <w:p w14:paraId="56D7265A">
                  <w:pPr>
                    <w:snapToGrid w:val="0"/>
                    <w:jc w:val="center"/>
                    <w:rPr>
                      <w:rFonts w:ascii="Times New Roman" w:hAnsi="Times New Roman" w:eastAsia="宋体"/>
                      <w:color w:val="auto"/>
                      <w:sz w:val="21"/>
                      <w:szCs w:val="21"/>
                    </w:rPr>
                  </w:pPr>
                </w:p>
              </w:tc>
              <w:tc>
                <w:tcPr>
                  <w:tcW w:w="424" w:type="pct"/>
                  <w:vMerge w:val="continue"/>
                  <w:noWrap w:val="0"/>
                  <w:vAlign w:val="center"/>
                </w:tcPr>
                <w:p w14:paraId="546A19FA">
                  <w:pPr>
                    <w:snapToGrid w:val="0"/>
                    <w:jc w:val="center"/>
                    <w:rPr>
                      <w:rFonts w:ascii="Times New Roman" w:hAnsi="Times New Roman" w:eastAsia="宋体"/>
                      <w:color w:val="auto"/>
                      <w:sz w:val="21"/>
                      <w:szCs w:val="21"/>
                    </w:rPr>
                  </w:pPr>
                </w:p>
              </w:tc>
              <w:tc>
                <w:tcPr>
                  <w:tcW w:w="703" w:type="pct"/>
                  <w:noWrap w:val="0"/>
                  <w:vAlign w:val="center"/>
                </w:tcPr>
                <w:p w14:paraId="4D8E72A9">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经度</w:t>
                  </w:r>
                </w:p>
              </w:tc>
              <w:tc>
                <w:tcPr>
                  <w:tcW w:w="637" w:type="pct"/>
                  <w:noWrap w:val="0"/>
                  <w:vAlign w:val="center"/>
                </w:tcPr>
                <w:p w14:paraId="4790A0DB">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纬度</w:t>
                  </w:r>
                </w:p>
              </w:tc>
              <w:tc>
                <w:tcPr>
                  <w:tcW w:w="476" w:type="pct"/>
                  <w:vMerge w:val="continue"/>
                  <w:noWrap w:val="0"/>
                  <w:vAlign w:val="center"/>
                </w:tcPr>
                <w:p w14:paraId="7E493CD8">
                  <w:pPr>
                    <w:snapToGrid w:val="0"/>
                    <w:jc w:val="center"/>
                    <w:rPr>
                      <w:rFonts w:ascii="Times New Roman" w:hAnsi="Times New Roman" w:eastAsia="宋体"/>
                      <w:color w:val="auto"/>
                      <w:sz w:val="21"/>
                      <w:szCs w:val="21"/>
                    </w:rPr>
                  </w:pPr>
                </w:p>
              </w:tc>
              <w:tc>
                <w:tcPr>
                  <w:tcW w:w="406" w:type="pct"/>
                  <w:vMerge w:val="continue"/>
                  <w:noWrap w:val="0"/>
                  <w:vAlign w:val="center"/>
                </w:tcPr>
                <w:p w14:paraId="0765CFFB">
                  <w:pPr>
                    <w:snapToGrid w:val="0"/>
                    <w:jc w:val="center"/>
                    <w:rPr>
                      <w:rFonts w:ascii="Times New Roman" w:hAnsi="Times New Roman" w:eastAsia="宋体"/>
                      <w:color w:val="auto"/>
                      <w:sz w:val="21"/>
                      <w:szCs w:val="21"/>
                    </w:rPr>
                  </w:pPr>
                </w:p>
              </w:tc>
              <w:tc>
                <w:tcPr>
                  <w:tcW w:w="971" w:type="pct"/>
                  <w:vMerge w:val="continue"/>
                  <w:noWrap w:val="0"/>
                  <w:vAlign w:val="center"/>
                </w:tcPr>
                <w:p w14:paraId="0E1DC3BD">
                  <w:pPr>
                    <w:snapToGrid w:val="0"/>
                    <w:jc w:val="center"/>
                    <w:rPr>
                      <w:rFonts w:ascii="Times New Roman" w:hAnsi="Times New Roman" w:eastAsia="宋体"/>
                      <w:color w:val="auto"/>
                      <w:sz w:val="21"/>
                      <w:szCs w:val="21"/>
                    </w:rPr>
                  </w:pPr>
                </w:p>
              </w:tc>
              <w:tc>
                <w:tcPr>
                  <w:tcW w:w="446" w:type="pct"/>
                  <w:vMerge w:val="continue"/>
                  <w:noWrap w:val="0"/>
                  <w:vAlign w:val="center"/>
                </w:tcPr>
                <w:p w14:paraId="04658BB7">
                  <w:pPr>
                    <w:snapToGrid w:val="0"/>
                    <w:jc w:val="center"/>
                    <w:rPr>
                      <w:rFonts w:ascii="Times New Roman" w:hAnsi="Times New Roman" w:eastAsia="宋体"/>
                      <w:color w:val="auto"/>
                      <w:sz w:val="21"/>
                      <w:szCs w:val="21"/>
                    </w:rPr>
                  </w:pPr>
                </w:p>
              </w:tc>
              <w:tc>
                <w:tcPr>
                  <w:tcW w:w="498" w:type="pct"/>
                  <w:vMerge w:val="continue"/>
                  <w:noWrap w:val="0"/>
                  <w:vAlign w:val="center"/>
                </w:tcPr>
                <w:p w14:paraId="10CD922D">
                  <w:pPr>
                    <w:snapToGrid w:val="0"/>
                    <w:jc w:val="center"/>
                    <w:rPr>
                      <w:rFonts w:ascii="Times New Roman" w:hAnsi="Times New Roman" w:eastAsia="宋体"/>
                      <w:color w:val="auto"/>
                      <w:sz w:val="21"/>
                      <w:szCs w:val="21"/>
                    </w:rPr>
                  </w:pPr>
                </w:p>
              </w:tc>
            </w:tr>
            <w:tr w14:paraId="7408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restart"/>
                  <w:noWrap w:val="0"/>
                  <w:vAlign w:val="center"/>
                </w:tcPr>
                <w:p w14:paraId="5FF753F7">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环境空气</w:t>
                  </w:r>
                </w:p>
              </w:tc>
              <w:tc>
                <w:tcPr>
                  <w:tcW w:w="424" w:type="pct"/>
                  <w:noWrap w:val="0"/>
                  <w:vAlign w:val="center"/>
                </w:tcPr>
                <w:p w14:paraId="74673BCD">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芦草畔村</w:t>
                  </w:r>
                </w:p>
              </w:tc>
              <w:tc>
                <w:tcPr>
                  <w:tcW w:w="703" w:type="pct"/>
                  <w:noWrap w:val="0"/>
                  <w:vAlign w:val="center"/>
                </w:tcPr>
                <w:p w14:paraId="0B52451E">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110.65387</w:t>
                  </w:r>
                </w:p>
              </w:tc>
              <w:tc>
                <w:tcPr>
                  <w:tcW w:w="637" w:type="pct"/>
                  <w:noWrap w:val="0"/>
                  <w:vAlign w:val="center"/>
                </w:tcPr>
                <w:p w14:paraId="58E25EFC">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39.05495</w:t>
                  </w:r>
                </w:p>
              </w:tc>
              <w:tc>
                <w:tcPr>
                  <w:tcW w:w="476" w:type="pct"/>
                  <w:noWrap w:val="0"/>
                  <w:vAlign w:val="center"/>
                </w:tcPr>
                <w:p w14:paraId="4225B097">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w:t>
                  </w:r>
                </w:p>
              </w:tc>
              <w:tc>
                <w:tcPr>
                  <w:tcW w:w="406" w:type="pct"/>
                  <w:vMerge w:val="restart"/>
                  <w:noWrap w:val="0"/>
                  <w:vAlign w:val="center"/>
                </w:tcPr>
                <w:p w14:paraId="1EB7CC1F">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居住地</w:t>
                  </w:r>
                </w:p>
              </w:tc>
              <w:tc>
                <w:tcPr>
                  <w:tcW w:w="971" w:type="pct"/>
                  <w:vMerge w:val="restart"/>
                  <w:noWrap w:val="0"/>
                  <w:vAlign w:val="center"/>
                </w:tcPr>
                <w:p w14:paraId="533BFFE7">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二类区</w:t>
                  </w:r>
                </w:p>
              </w:tc>
              <w:tc>
                <w:tcPr>
                  <w:tcW w:w="446" w:type="pct"/>
                  <w:noWrap w:val="0"/>
                  <w:vAlign w:val="center"/>
                </w:tcPr>
                <w:p w14:paraId="04E91957">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E</w:t>
                  </w:r>
                </w:p>
              </w:tc>
              <w:tc>
                <w:tcPr>
                  <w:tcW w:w="800" w:type="dxa"/>
                  <w:noWrap w:val="0"/>
                  <w:vAlign w:val="center"/>
                </w:tcPr>
                <w:p w14:paraId="6D379AAD">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77</w:t>
                  </w:r>
                </w:p>
              </w:tc>
            </w:tr>
            <w:tr w14:paraId="179F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noWrap w:val="0"/>
                  <w:vAlign w:val="center"/>
                </w:tcPr>
                <w:p w14:paraId="6276EA21">
                  <w:pPr>
                    <w:snapToGrid w:val="0"/>
                    <w:jc w:val="center"/>
                    <w:rPr>
                      <w:rFonts w:hint="eastAsia" w:ascii="Times New Roman" w:hAnsi="Times New Roman" w:eastAsia="宋体"/>
                      <w:color w:val="auto"/>
                      <w:sz w:val="21"/>
                      <w:szCs w:val="21"/>
                      <w:lang w:val="en-US" w:eastAsia="zh-CN"/>
                    </w:rPr>
                  </w:pPr>
                </w:p>
              </w:tc>
              <w:tc>
                <w:tcPr>
                  <w:tcW w:w="424" w:type="pct"/>
                  <w:noWrap w:val="0"/>
                  <w:vAlign w:val="center"/>
                </w:tcPr>
                <w:p w14:paraId="54BD98E2">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芦草畔村</w:t>
                  </w:r>
                </w:p>
              </w:tc>
              <w:tc>
                <w:tcPr>
                  <w:tcW w:w="703" w:type="pct"/>
                  <w:noWrap w:val="0"/>
                  <w:vAlign w:val="center"/>
                </w:tcPr>
                <w:p w14:paraId="3A6929A0">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110.64916</w:t>
                  </w:r>
                </w:p>
              </w:tc>
              <w:tc>
                <w:tcPr>
                  <w:tcW w:w="637" w:type="pct"/>
                  <w:noWrap w:val="0"/>
                  <w:vAlign w:val="center"/>
                </w:tcPr>
                <w:p w14:paraId="79830438">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39.05291</w:t>
                  </w:r>
                </w:p>
              </w:tc>
              <w:tc>
                <w:tcPr>
                  <w:tcW w:w="476" w:type="pct"/>
                  <w:noWrap w:val="0"/>
                  <w:vAlign w:val="center"/>
                </w:tcPr>
                <w:p w14:paraId="1F2AE971">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w:t>
                  </w:r>
                </w:p>
              </w:tc>
              <w:tc>
                <w:tcPr>
                  <w:tcW w:w="406" w:type="pct"/>
                  <w:vMerge w:val="continue"/>
                  <w:noWrap w:val="0"/>
                  <w:vAlign w:val="center"/>
                </w:tcPr>
                <w:p w14:paraId="3F9BD471">
                  <w:pPr>
                    <w:snapToGrid w:val="0"/>
                    <w:jc w:val="center"/>
                    <w:rPr>
                      <w:rFonts w:hint="eastAsia" w:ascii="Times New Roman" w:hAnsi="Times New Roman" w:eastAsia="宋体"/>
                      <w:color w:val="auto"/>
                      <w:sz w:val="21"/>
                      <w:szCs w:val="21"/>
                      <w:lang w:val="en-US" w:eastAsia="zh-CN"/>
                    </w:rPr>
                  </w:pPr>
                </w:p>
              </w:tc>
              <w:tc>
                <w:tcPr>
                  <w:tcW w:w="971" w:type="pct"/>
                  <w:vMerge w:val="continue"/>
                  <w:noWrap w:val="0"/>
                  <w:vAlign w:val="center"/>
                </w:tcPr>
                <w:p w14:paraId="4F38589B">
                  <w:pPr>
                    <w:snapToGrid w:val="0"/>
                    <w:jc w:val="center"/>
                    <w:rPr>
                      <w:rFonts w:hint="eastAsia" w:ascii="Times New Roman" w:hAnsi="Times New Roman" w:eastAsia="宋体"/>
                      <w:color w:val="auto"/>
                      <w:sz w:val="21"/>
                      <w:szCs w:val="21"/>
                      <w:lang w:val="en-US" w:eastAsia="zh-CN"/>
                    </w:rPr>
                  </w:pPr>
                </w:p>
              </w:tc>
              <w:tc>
                <w:tcPr>
                  <w:tcW w:w="446" w:type="pct"/>
                  <w:noWrap w:val="0"/>
                  <w:vAlign w:val="center"/>
                </w:tcPr>
                <w:p w14:paraId="61B92D33">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w:t>
                  </w:r>
                </w:p>
              </w:tc>
              <w:tc>
                <w:tcPr>
                  <w:tcW w:w="800" w:type="dxa"/>
                  <w:noWrap w:val="0"/>
                  <w:vAlign w:val="center"/>
                </w:tcPr>
                <w:p w14:paraId="0EEF410D">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252</w:t>
                  </w:r>
                </w:p>
              </w:tc>
            </w:tr>
            <w:tr w14:paraId="6442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14:paraId="4CAD4A70">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1765" w:type="pct"/>
                  <w:gridSpan w:val="3"/>
                  <w:noWrap w:val="0"/>
                  <w:vAlign w:val="center"/>
                </w:tcPr>
                <w:p w14:paraId="48473686">
                  <w:pPr>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50</w:t>
                  </w:r>
                  <w:r>
                    <w:rPr>
                      <w:rFonts w:ascii="Times New Roman" w:hAnsi="Times New Roman" w:eastAsia="宋体"/>
                      <w:color w:val="auto"/>
                      <w:sz w:val="21"/>
                      <w:szCs w:val="21"/>
                    </w:rPr>
                    <w:t>m范围无敏感点</w:t>
                  </w:r>
                </w:p>
              </w:tc>
              <w:tc>
                <w:tcPr>
                  <w:tcW w:w="883" w:type="pct"/>
                  <w:gridSpan w:val="2"/>
                  <w:noWrap w:val="0"/>
                  <w:vAlign w:val="center"/>
                </w:tcPr>
                <w:p w14:paraId="2343C93B">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声环境</w:t>
                  </w:r>
                </w:p>
              </w:tc>
              <w:tc>
                <w:tcPr>
                  <w:tcW w:w="1915" w:type="pct"/>
                  <w:gridSpan w:val="3"/>
                  <w:noWrap w:val="0"/>
                  <w:vAlign w:val="center"/>
                </w:tcPr>
                <w:p w14:paraId="0325AD1A">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《声环境质量标准》(GB3096-2008)</w:t>
                  </w:r>
                  <w:r>
                    <w:rPr>
                      <w:rFonts w:hint="eastAsia" w:ascii="Times New Roman" w:hAnsi="Times New Roman" w:eastAsia="宋体"/>
                      <w:color w:val="auto"/>
                      <w:sz w:val="21"/>
                      <w:szCs w:val="21"/>
                      <w:lang w:val="en-US" w:eastAsia="zh-CN"/>
                    </w:rPr>
                    <w:t>2</w:t>
                  </w:r>
                  <w:r>
                    <w:rPr>
                      <w:rFonts w:ascii="Times New Roman" w:hAnsi="Times New Roman" w:eastAsia="宋体"/>
                      <w:color w:val="auto"/>
                      <w:sz w:val="21"/>
                      <w:szCs w:val="21"/>
                    </w:rPr>
                    <w:t>类</w:t>
                  </w:r>
                </w:p>
              </w:tc>
            </w:tr>
            <w:tr w14:paraId="300F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noWrap w:val="0"/>
                  <w:vAlign w:val="center"/>
                </w:tcPr>
                <w:p w14:paraId="4B2B2A7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pacing w:val="0"/>
                      <w:sz w:val="21"/>
                      <w:szCs w:val="21"/>
                      <w:highlight w:val="none"/>
                    </w:rPr>
                    <w:t>地下水</w:t>
                  </w:r>
                </w:p>
              </w:tc>
              <w:tc>
                <w:tcPr>
                  <w:tcW w:w="2687" w:type="dxa"/>
                  <w:gridSpan w:val="3"/>
                  <w:noWrap w:val="0"/>
                  <w:vAlign w:val="center"/>
                </w:tcPr>
                <w:p w14:paraId="5556E2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bCs/>
                      <w:snapToGrid w:val="0"/>
                      <w:color w:val="auto"/>
                      <w:spacing w:val="6"/>
                      <w:kern w:val="0"/>
                      <w:sz w:val="21"/>
                      <w:szCs w:val="21"/>
                      <w:highlight w:val="none"/>
                      <w:lang w:val="en-US" w:eastAsia="zh-CN" w:bidi="ar-SA"/>
                    </w:rPr>
                    <w:t>地下水质</w:t>
                  </w:r>
                </w:p>
              </w:tc>
              <w:tc>
                <w:tcPr>
                  <w:tcW w:w="1344" w:type="dxa"/>
                  <w:gridSpan w:val="2"/>
                  <w:noWrap w:val="0"/>
                  <w:vAlign w:val="center"/>
                </w:tcPr>
                <w:p w14:paraId="5FC7EA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bCs/>
                      <w:color w:val="auto"/>
                      <w:spacing w:val="-4"/>
                      <w:sz w:val="21"/>
                      <w:szCs w:val="21"/>
                      <w:highlight w:val="none"/>
                    </w:rPr>
                    <w:t>Ⅲ</w:t>
                  </w:r>
                  <w:r>
                    <w:rPr>
                      <w:rFonts w:hint="default" w:ascii="Times New Roman" w:hAnsi="Times New Roman" w:eastAsia="宋体" w:cs="Times New Roman"/>
                      <w:color w:val="auto"/>
                      <w:spacing w:val="6"/>
                      <w:sz w:val="21"/>
                      <w:szCs w:val="21"/>
                      <w:highlight w:val="none"/>
                    </w:rPr>
                    <w:t>类区</w:t>
                  </w:r>
                </w:p>
              </w:tc>
              <w:tc>
                <w:tcPr>
                  <w:tcW w:w="2916" w:type="dxa"/>
                  <w:gridSpan w:val="3"/>
                  <w:noWrap w:val="0"/>
                  <w:vAlign w:val="center"/>
                </w:tcPr>
                <w:p w14:paraId="629AC5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bCs/>
                      <w:color w:val="auto"/>
                      <w:spacing w:val="-4"/>
                      <w:sz w:val="21"/>
                      <w:szCs w:val="21"/>
                      <w:highlight w:val="none"/>
                    </w:rPr>
                    <w:t>《地</w:t>
                  </w:r>
                  <w:r>
                    <w:rPr>
                      <w:rFonts w:hint="default" w:ascii="Times New Roman" w:hAnsi="Times New Roman" w:eastAsia="宋体" w:cs="Times New Roman"/>
                      <w:bCs/>
                      <w:color w:val="auto"/>
                      <w:spacing w:val="-4"/>
                      <w:sz w:val="21"/>
                      <w:szCs w:val="21"/>
                      <w:highlight w:val="none"/>
                      <w:lang w:eastAsia="zh-CN"/>
                    </w:rPr>
                    <w:t>下</w:t>
                  </w:r>
                  <w:r>
                    <w:rPr>
                      <w:rFonts w:hint="default" w:ascii="Times New Roman" w:hAnsi="Times New Roman" w:eastAsia="宋体" w:cs="Times New Roman"/>
                      <w:bCs/>
                      <w:color w:val="auto"/>
                      <w:spacing w:val="-4"/>
                      <w:sz w:val="21"/>
                      <w:szCs w:val="21"/>
                      <w:highlight w:val="none"/>
                    </w:rPr>
                    <w:t>水质量标准》</w:t>
                  </w:r>
                  <w:r>
                    <w:rPr>
                      <w:rFonts w:hint="default" w:ascii="Times New Roman" w:hAnsi="Times New Roman" w:eastAsia="宋体" w:cs="Times New Roman"/>
                      <w:color w:val="auto"/>
                      <w:sz w:val="21"/>
                      <w:szCs w:val="21"/>
                      <w:highlight w:val="none"/>
                    </w:rPr>
                    <w:t>GB/T14848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2017Ⅲ类标准</w:t>
                  </w:r>
                </w:p>
              </w:tc>
            </w:tr>
            <w:tr w14:paraId="4A65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noWrap w:val="0"/>
                  <w:vAlign w:val="center"/>
                </w:tcPr>
                <w:p w14:paraId="4001FE7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pacing w:val="0"/>
                      <w:sz w:val="21"/>
                      <w:szCs w:val="21"/>
                      <w:highlight w:val="none"/>
                      <w:lang w:eastAsia="zh-CN"/>
                    </w:rPr>
                    <w:t>地表水</w:t>
                  </w:r>
                </w:p>
              </w:tc>
              <w:tc>
                <w:tcPr>
                  <w:tcW w:w="2687" w:type="dxa"/>
                  <w:gridSpan w:val="3"/>
                  <w:noWrap w:val="0"/>
                  <w:vAlign w:val="center"/>
                </w:tcPr>
                <w:p w14:paraId="0008A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周边500m范围内无地表水环境保护目标</w:t>
                  </w:r>
                </w:p>
              </w:tc>
              <w:tc>
                <w:tcPr>
                  <w:tcW w:w="1344" w:type="dxa"/>
                  <w:gridSpan w:val="2"/>
                  <w:noWrap w:val="0"/>
                  <w:vAlign w:val="center"/>
                </w:tcPr>
                <w:p w14:paraId="329D4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bCs/>
                      <w:color w:val="auto"/>
                      <w:spacing w:val="-4"/>
                      <w:sz w:val="21"/>
                      <w:szCs w:val="21"/>
                      <w:highlight w:val="none"/>
                    </w:rPr>
                    <w:t>Ⅲ</w:t>
                  </w:r>
                  <w:r>
                    <w:rPr>
                      <w:rFonts w:hint="default" w:ascii="Times New Roman" w:hAnsi="Times New Roman" w:eastAsia="宋体" w:cs="Times New Roman"/>
                      <w:color w:val="auto"/>
                      <w:spacing w:val="6"/>
                      <w:sz w:val="21"/>
                      <w:szCs w:val="21"/>
                      <w:highlight w:val="none"/>
                    </w:rPr>
                    <w:t>类区</w:t>
                  </w:r>
                </w:p>
              </w:tc>
              <w:tc>
                <w:tcPr>
                  <w:tcW w:w="2916" w:type="dxa"/>
                  <w:gridSpan w:val="3"/>
                  <w:noWrap w:val="0"/>
                  <w:vAlign w:val="center"/>
                </w:tcPr>
                <w:p w14:paraId="00DDB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《地表水环境质量标准》</w:t>
                  </w:r>
                  <w:r>
                    <w:rPr>
                      <w:rFonts w:hint="default" w:ascii="Times New Roman" w:hAnsi="Times New Roman" w:eastAsia="宋体" w:cs="Times New Roman"/>
                      <w:b w:val="0"/>
                      <w:bCs w:val="0"/>
                      <w:color w:val="auto"/>
                      <w:sz w:val="21"/>
                      <w:szCs w:val="21"/>
                      <w:highlight w:val="none"/>
                    </w:rPr>
                    <w:t>GB3838</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2002</w:t>
                  </w:r>
                </w:p>
                <w:p w14:paraId="31AAC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highlight w:val="none"/>
                    </w:rPr>
                    <w:t>Ⅲ类标准</w:t>
                  </w:r>
                </w:p>
              </w:tc>
            </w:tr>
            <w:tr w14:paraId="419E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14:paraId="6128A424">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生态</w:t>
                  </w:r>
                </w:p>
              </w:tc>
              <w:tc>
                <w:tcPr>
                  <w:tcW w:w="1765" w:type="pct"/>
                  <w:gridSpan w:val="3"/>
                  <w:noWrap w:val="0"/>
                  <w:vAlign w:val="center"/>
                </w:tcPr>
                <w:p w14:paraId="72C55EBE">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项目厂址及其周边区域</w:t>
                  </w:r>
                </w:p>
              </w:tc>
              <w:tc>
                <w:tcPr>
                  <w:tcW w:w="883" w:type="pct"/>
                  <w:gridSpan w:val="2"/>
                  <w:noWrap w:val="0"/>
                  <w:vAlign w:val="center"/>
                </w:tcPr>
                <w:p w14:paraId="289AFCAA">
                  <w:pPr>
                    <w:snapToGrid w:val="0"/>
                    <w:jc w:val="center"/>
                    <w:rPr>
                      <w:rFonts w:ascii="Times New Roman" w:hAnsi="Times New Roman" w:eastAsia="宋体"/>
                      <w:color w:val="auto"/>
                      <w:sz w:val="21"/>
                      <w:szCs w:val="21"/>
                    </w:rPr>
                  </w:pPr>
                  <w:r>
                    <w:rPr>
                      <w:rFonts w:hint="default" w:ascii="Times New Roman" w:hAnsi="Times New Roman" w:eastAsia="宋体"/>
                      <w:color w:val="auto"/>
                      <w:sz w:val="21"/>
                      <w:szCs w:val="21"/>
                      <w:lang w:val="en-US" w:eastAsia="zh-CN"/>
                    </w:rPr>
                    <w:t>受影响的重要物种、生态敏感区以及其他需要保护的物种、种群、生物群落及生态空间等</w:t>
                  </w:r>
                </w:p>
              </w:tc>
              <w:tc>
                <w:tcPr>
                  <w:tcW w:w="1915" w:type="pct"/>
                  <w:gridSpan w:val="3"/>
                  <w:noWrap w:val="0"/>
                  <w:vAlign w:val="center"/>
                </w:tcPr>
                <w:p w14:paraId="780C6F17">
                  <w:pPr>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6B28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14:paraId="04982391">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土壤</w:t>
                  </w:r>
                </w:p>
              </w:tc>
              <w:tc>
                <w:tcPr>
                  <w:tcW w:w="1765" w:type="pct"/>
                  <w:gridSpan w:val="3"/>
                  <w:noWrap w:val="0"/>
                  <w:vAlign w:val="center"/>
                </w:tcPr>
                <w:p w14:paraId="11F92844">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项目厂址及其周边区域</w:t>
                  </w:r>
                </w:p>
              </w:tc>
              <w:tc>
                <w:tcPr>
                  <w:tcW w:w="883" w:type="pct"/>
                  <w:gridSpan w:val="2"/>
                  <w:noWrap w:val="0"/>
                  <w:vAlign w:val="center"/>
                </w:tcPr>
                <w:p w14:paraId="4ACC4D4E">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土壤质量</w:t>
                  </w:r>
                </w:p>
              </w:tc>
              <w:tc>
                <w:tcPr>
                  <w:tcW w:w="1915" w:type="pct"/>
                  <w:gridSpan w:val="3"/>
                  <w:noWrap w:val="0"/>
                  <w:vAlign w:val="center"/>
                </w:tcPr>
                <w:p w14:paraId="3D94B175">
                  <w:pPr>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《土壤环境质量 建设用地土壤污染风险管控标准（试行）》（GB36600-2018）</w:t>
                  </w:r>
                </w:p>
              </w:tc>
            </w:tr>
          </w:tbl>
          <w:p w14:paraId="3E7CEDED">
            <w:pPr>
              <w:adjustRightInd w:val="0"/>
              <w:snapToGrid w:val="0"/>
              <w:jc w:val="center"/>
              <w:rPr>
                <w:rFonts w:ascii="Times New Roman" w:hAnsi="Times New Roman" w:eastAsia="宋体"/>
                <w:color w:val="auto"/>
              </w:rPr>
            </w:pPr>
          </w:p>
        </w:tc>
      </w:tr>
      <w:tr w14:paraId="45D90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9" w:hRule="atLeast"/>
          <w:jc w:val="center"/>
        </w:trPr>
        <w:tc>
          <w:tcPr>
            <w:tcW w:w="687" w:type="dxa"/>
            <w:noWrap w:val="0"/>
            <w:vAlign w:val="center"/>
          </w:tcPr>
          <w:p w14:paraId="1E9C7A27">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5DD3D915">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6D4F3896">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7571EE3A">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44C1A716">
            <w:pPr>
              <w:adjustRightInd w:val="0"/>
              <w:snapToGrid w:val="0"/>
              <w:jc w:val="center"/>
              <w:rPr>
                <w:rFonts w:ascii="Times New Roman" w:hAnsi="Times New Roman" w:eastAsia="宋体"/>
                <w:color w:val="auto"/>
              </w:rPr>
            </w:pPr>
            <w:r>
              <w:rPr>
                <w:rFonts w:hint="default" w:ascii="Times New Roman" w:hAnsi="Times New Roman" w:eastAsia="宋体" w:cs="Times New Roman"/>
                <w:color w:val="auto"/>
                <w:kern w:val="0"/>
                <w:sz w:val="24"/>
                <w:szCs w:val="24"/>
                <w:highlight w:val="none"/>
              </w:rPr>
              <w:t>准</w:t>
            </w:r>
          </w:p>
        </w:tc>
        <w:tc>
          <w:tcPr>
            <w:tcW w:w="7835" w:type="dxa"/>
            <w:noWrap w:val="0"/>
            <w:vAlign w:val="top"/>
          </w:tcPr>
          <w:p w14:paraId="6CCB6DDE">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1、大气污染物</w:t>
            </w:r>
          </w:p>
          <w:p w14:paraId="4CD62FCA">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color w:val="auto"/>
                <w:sz w:val="24"/>
                <w:szCs w:val="24"/>
                <w:highlight w:val="none"/>
              </w:rPr>
              <w:t>施工期拆除、土方及地基处理工程</w:t>
            </w: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rPr>
              <w:t>扬尘</w:t>
            </w:r>
            <w:r>
              <w:rPr>
                <w:rFonts w:hint="default" w:ascii="Times New Roman" w:hAnsi="Times New Roman" w:eastAsia="宋体"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执行《施工场界扬尘排放限值》（DB61/1078-2017）表1中的浓度限值（</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基础、主体结构及装饰工程施工扬尘</w:t>
            </w:r>
            <w:r>
              <w:rPr>
                <w:rFonts w:hint="default" w:ascii="Times New Roman" w:hAnsi="Times New Roman" w:eastAsia="宋体"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执行《施工场界扬尘排放限值》（DB61/1078-2017）表1中的浓度限值（</w:t>
            </w:r>
            <w:r>
              <w:rPr>
                <w:rFonts w:hint="default"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）；运营期有组织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eastAsia="zh-CN"/>
              </w:rPr>
              <w:t>粉尘</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执行《煤炭工业污染物排放标准》（GB20426-2006）</w:t>
            </w: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中相关限值要求（</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lang w:val="en-US" w:eastAsia="zh-CN"/>
              </w:rPr>
              <w:t>非道路移动机械</w:t>
            </w:r>
            <w:r>
              <w:rPr>
                <w:rFonts w:hint="eastAsia" w:ascii="Times New Roman" w:hAnsi="Times New Roman" w:eastAsia="宋体" w:cs="Times New Roman"/>
                <w:color w:val="auto"/>
                <w:sz w:val="24"/>
                <w:lang w:val="en-US" w:eastAsia="zh-CN"/>
              </w:rPr>
              <w:t>尾气执行</w:t>
            </w:r>
            <w:r>
              <w:rPr>
                <w:rFonts w:ascii="宋体" w:hAnsi="宋体"/>
                <w:color w:val="auto"/>
                <w:sz w:val="24"/>
                <w:szCs w:val="24"/>
                <w:highlight w:val="none"/>
              </w:rPr>
              <w:t>《非道路移动机械用柴油机排气污染物排放限值及测量方法（中国第三、四阶段）》（GB20891-2014）</w:t>
            </w:r>
            <w:r>
              <w:rPr>
                <w:rFonts w:hint="eastAsia" w:ascii="宋体" w:hAnsi="宋体"/>
                <w:color w:val="auto"/>
                <w:sz w:val="24"/>
                <w:szCs w:val="24"/>
                <w:highlight w:val="none"/>
                <w:lang w:val="en-US" w:eastAsia="zh-CN"/>
              </w:rPr>
              <w:t>及</w:t>
            </w:r>
            <w:r>
              <w:rPr>
                <w:rFonts w:ascii="宋体" w:hAnsi="宋体" w:cs="宋体"/>
                <w:color w:val="auto"/>
                <w:sz w:val="24"/>
                <w:szCs w:val="24"/>
                <w:highlight w:val="none"/>
              </w:rPr>
              <w:t>修改单</w:t>
            </w:r>
            <w:r>
              <w:rPr>
                <w:rFonts w:hint="eastAsia"/>
                <w:color w:val="auto"/>
                <w:highlight w:val="none"/>
                <w:lang w:eastAsia="zh-CN"/>
              </w:rPr>
              <w:t>、</w:t>
            </w:r>
            <w:r>
              <w:rPr>
                <w:rFonts w:hint="eastAsia"/>
                <w:color w:val="auto"/>
                <w:sz w:val="24"/>
                <w:szCs w:val="24"/>
                <w:highlight w:val="none"/>
              </w:rPr>
              <w:t>《非道路柴油移动机械排气烟度限值及测量方法》(DB1/1266-2018)</w:t>
            </w:r>
            <w:r>
              <w:rPr>
                <w:rFonts w:hint="eastAsia"/>
                <w:color w:val="auto"/>
                <w:sz w:val="24"/>
                <w:szCs w:val="24"/>
                <w:highlight w:val="none"/>
                <w:lang w:eastAsia="zh-CN"/>
              </w:rPr>
              <w:t>、</w:t>
            </w:r>
            <w:r>
              <w:rPr>
                <w:rFonts w:hint="eastAsia"/>
                <w:color w:val="auto"/>
                <w:sz w:val="24"/>
                <w:szCs w:val="24"/>
                <w:highlight w:val="none"/>
                <w:lang w:val="en-US" w:eastAsia="zh-CN"/>
              </w:rPr>
              <w:t>《非道路移动机械污染防治技术政策》</w:t>
            </w:r>
            <w:r>
              <w:rPr>
                <w:rFonts w:hint="eastAsia" w:ascii="宋体" w:hAnsi="宋体" w:cs="宋体"/>
                <w:color w:val="auto"/>
                <w:sz w:val="24"/>
                <w:szCs w:val="24"/>
                <w:highlight w:val="none"/>
                <w:lang w:eastAsia="zh-CN"/>
              </w:rPr>
              <w:t>以及</w:t>
            </w:r>
            <w:r>
              <w:rPr>
                <w:rFonts w:ascii="宋体" w:hAnsi="宋体" w:cs="宋体"/>
                <w:color w:val="auto"/>
                <w:sz w:val="24"/>
                <w:szCs w:val="24"/>
                <w:highlight w:val="none"/>
              </w:rPr>
              <w:t>其配套技术规范《</w:t>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"http://www.mee.gov.cn/ywgz/fgbz/bz/bzwb/dqhjbh/dqydywrwpfbz/202012/t20201231_815684.shtml" </w:instrText>
            </w:r>
            <w:r>
              <w:rPr>
                <w:rFonts w:ascii="宋体" w:hAnsi="宋体" w:cs="宋体"/>
                <w:color w:val="auto"/>
                <w:sz w:val="24"/>
                <w:szCs w:val="24"/>
                <w:highlight w:val="none"/>
              </w:rPr>
              <w:fldChar w:fldCharType="separate"/>
            </w:r>
            <w:r>
              <w:rPr>
                <w:rStyle w:val="31"/>
                <w:rFonts w:ascii="宋体" w:hAnsi="宋体" w:cs="宋体"/>
                <w:color w:val="auto"/>
                <w:sz w:val="24"/>
                <w:szCs w:val="24"/>
                <w:highlight w:val="none"/>
              </w:rPr>
              <w:t>非道路柴油移动机械污染物排放控制技术要求》（HJ1014-2020</w:t>
            </w:r>
            <w:r>
              <w:rPr>
                <w:rFonts w:ascii="宋体" w:hAnsi="宋体" w:cs="宋体"/>
                <w:color w:val="auto"/>
                <w:sz w:val="24"/>
                <w:szCs w:val="24"/>
                <w:highlight w:val="none"/>
              </w:rPr>
              <w:fldChar w:fldCharType="end"/>
            </w:r>
            <w:r>
              <w:rPr>
                <w:rFonts w:ascii="宋体" w:hAnsi="宋体" w:cs="宋体"/>
                <w:color w:val="auto"/>
                <w:sz w:val="24"/>
                <w:szCs w:val="24"/>
                <w:highlight w:val="none"/>
              </w:rPr>
              <w:t>）</w:t>
            </w:r>
            <w:r>
              <w:rPr>
                <w:color w:val="auto"/>
                <w:sz w:val="24"/>
                <w:szCs w:val="24"/>
                <w:highlight w:val="none"/>
              </w:rPr>
              <w:t>中相关标准限值</w:t>
            </w:r>
            <w:r>
              <w:rPr>
                <w:rFonts w:hint="eastAsia"/>
                <w:color w:val="auto"/>
                <w:sz w:val="24"/>
                <w:szCs w:val="24"/>
                <w:highlight w:val="none"/>
              </w:rPr>
              <w:t>要求</w:t>
            </w:r>
            <w:r>
              <w:rPr>
                <w:rFonts w:hint="default" w:ascii="Times New Roman" w:hAnsi="Times New Roman" w:eastAsia="宋体" w:cs="Times New Roman"/>
                <w:b w:val="0"/>
                <w:bCs/>
                <w:color w:val="auto"/>
                <w:sz w:val="24"/>
                <w:highlight w:val="none"/>
                <w:lang w:val="en-US" w:eastAsia="zh-CN"/>
              </w:rPr>
              <w:t>。</w:t>
            </w:r>
          </w:p>
          <w:p w14:paraId="4697F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 xml:space="preserve">12 </w:t>
            </w:r>
            <w:r>
              <w:rPr>
                <w:rFonts w:hint="default" w:ascii="Times New Roman" w:hAnsi="Times New Roman" w:eastAsia="宋体" w:cs="Times New Roman"/>
                <w:b/>
                <w:bCs/>
                <w:color w:val="auto"/>
                <w:sz w:val="24"/>
                <w:szCs w:val="24"/>
                <w:highlight w:val="none"/>
                <w:lang w:val="en-US" w:eastAsia="zh-CN"/>
              </w:rPr>
              <w:t>《施工场界扬尘排放限值》（DB61/1078-2017）单位：mg/m</w:t>
            </w:r>
            <w:r>
              <w:rPr>
                <w:rFonts w:hint="default" w:ascii="Times New Roman" w:hAnsi="Times New Roman" w:eastAsia="宋体" w:cs="Times New Roman"/>
                <w:b/>
                <w:bCs/>
                <w:color w:val="auto"/>
                <w:sz w:val="32"/>
                <w:szCs w:val="32"/>
                <w:highlight w:val="none"/>
                <w:vertAlign w:val="superscript"/>
              </w:rPr>
              <w:t>3</w:t>
            </w:r>
          </w:p>
          <w:tbl>
            <w:tblPr>
              <w:tblStyle w:val="27"/>
              <w:tblW w:w="7958" w:type="dxa"/>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autofit"/>
              <w:tblCellMar>
                <w:top w:w="0" w:type="dxa"/>
                <w:left w:w="107" w:type="dxa"/>
                <w:bottom w:w="0" w:type="dxa"/>
                <w:right w:w="107" w:type="dxa"/>
              </w:tblCellMar>
            </w:tblPr>
            <w:tblGrid>
              <w:gridCol w:w="1209"/>
              <w:gridCol w:w="1301"/>
              <w:gridCol w:w="3329"/>
              <w:gridCol w:w="2119"/>
            </w:tblGrid>
            <w:tr w14:paraId="5C53A8DE">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7" w:type="dxa"/>
                  <w:bottom w:w="0" w:type="dxa"/>
                  <w:right w:w="107" w:type="dxa"/>
                </w:tblCellMar>
              </w:tblPrEx>
              <w:trPr>
                <w:cantSplit/>
                <w:trHeight w:val="251" w:hRule="atLeast"/>
                <w:jc w:val="center"/>
              </w:trPr>
              <w:tc>
                <w:tcPr>
                  <w:tcW w:w="1209" w:type="dxa"/>
                  <w:tcBorders>
                    <w:bottom w:val="single" w:color="auto" w:sz="4" w:space="0"/>
                  </w:tcBorders>
                  <w:noWrap w:val="0"/>
                  <w:vAlign w:val="center"/>
                </w:tcPr>
                <w:p w14:paraId="66B79DA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301" w:type="dxa"/>
                  <w:tcBorders>
                    <w:bottom w:val="single" w:color="auto" w:sz="4" w:space="0"/>
                  </w:tcBorders>
                  <w:noWrap w:val="0"/>
                  <w:vAlign w:val="center"/>
                </w:tcPr>
                <w:p w14:paraId="0B8B99C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w:t>
                  </w:r>
                </w:p>
              </w:tc>
              <w:tc>
                <w:tcPr>
                  <w:tcW w:w="3329" w:type="dxa"/>
                  <w:tcBorders>
                    <w:bottom w:val="single" w:color="auto" w:sz="4" w:space="0"/>
                  </w:tcBorders>
                  <w:noWrap w:val="0"/>
                  <w:vAlign w:val="center"/>
                </w:tcPr>
                <w:p w14:paraId="63C04CD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施工阶段</w:t>
                  </w:r>
                </w:p>
              </w:tc>
              <w:tc>
                <w:tcPr>
                  <w:tcW w:w="2119" w:type="dxa"/>
                  <w:tcBorders>
                    <w:bottom w:val="single" w:color="auto" w:sz="4" w:space="0"/>
                  </w:tcBorders>
                  <w:noWrap w:val="0"/>
                  <w:vAlign w:val="center"/>
                </w:tcPr>
                <w:p w14:paraId="2A7A8CA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小时平均浓度</w:t>
                  </w:r>
                </w:p>
              </w:tc>
            </w:tr>
            <w:tr w14:paraId="7A85900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7" w:type="dxa"/>
                  <w:bottom w:w="0" w:type="dxa"/>
                  <w:right w:w="107" w:type="dxa"/>
                </w:tblCellMar>
              </w:tblPrEx>
              <w:trPr>
                <w:cantSplit/>
                <w:trHeight w:val="222" w:hRule="atLeast"/>
                <w:jc w:val="center"/>
              </w:trPr>
              <w:tc>
                <w:tcPr>
                  <w:tcW w:w="1209" w:type="dxa"/>
                  <w:vMerge w:val="restart"/>
                  <w:tcBorders>
                    <w:top w:val="single" w:color="auto" w:sz="4" w:space="0"/>
                    <w:bottom w:val="single" w:color="auto" w:sz="4" w:space="0"/>
                  </w:tcBorders>
                  <w:noWrap w:val="0"/>
                  <w:vAlign w:val="center"/>
                </w:tcPr>
                <w:p w14:paraId="669AFAA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1301" w:type="dxa"/>
                  <w:vMerge w:val="restart"/>
                  <w:tcBorders>
                    <w:top w:val="single" w:color="auto" w:sz="4" w:space="0"/>
                    <w:bottom w:val="single" w:color="auto" w:sz="4" w:space="0"/>
                  </w:tcBorders>
                  <w:noWrap w:val="0"/>
                  <w:vAlign w:val="center"/>
                </w:tcPr>
                <w:p w14:paraId="45BEF312">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厂界外浓度最高点</w:t>
                  </w:r>
                </w:p>
              </w:tc>
              <w:tc>
                <w:tcPr>
                  <w:tcW w:w="3329" w:type="dxa"/>
                  <w:tcBorders>
                    <w:top w:val="single" w:color="auto" w:sz="4" w:space="0"/>
                    <w:bottom w:val="single" w:color="auto" w:sz="4" w:space="0"/>
                  </w:tcBorders>
                  <w:noWrap w:val="0"/>
                  <w:vAlign w:val="center"/>
                </w:tcPr>
                <w:p w14:paraId="03001B5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土方及地基处理工程</w:t>
                  </w:r>
                </w:p>
              </w:tc>
              <w:tc>
                <w:tcPr>
                  <w:tcW w:w="2119" w:type="dxa"/>
                  <w:tcBorders>
                    <w:top w:val="single" w:color="auto" w:sz="4" w:space="0"/>
                    <w:bottom w:val="single" w:color="auto" w:sz="4" w:space="0"/>
                  </w:tcBorders>
                  <w:noWrap w:val="0"/>
                  <w:vAlign w:val="center"/>
                </w:tcPr>
                <w:p w14:paraId="11804AC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8</w:t>
                  </w:r>
                </w:p>
              </w:tc>
            </w:tr>
            <w:tr w14:paraId="1B92E06B">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7" w:type="dxa"/>
                  <w:bottom w:w="0" w:type="dxa"/>
                  <w:right w:w="107" w:type="dxa"/>
                </w:tblCellMar>
              </w:tblPrEx>
              <w:trPr>
                <w:cantSplit/>
                <w:trHeight w:val="265" w:hRule="atLeast"/>
                <w:jc w:val="center"/>
              </w:trPr>
              <w:tc>
                <w:tcPr>
                  <w:tcW w:w="1209" w:type="dxa"/>
                  <w:vMerge w:val="continue"/>
                  <w:tcBorders>
                    <w:top w:val="single" w:color="auto" w:sz="4" w:space="0"/>
                  </w:tcBorders>
                  <w:noWrap w:val="0"/>
                  <w:vAlign w:val="center"/>
                </w:tcPr>
                <w:p w14:paraId="32F206F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outlineLvl w:val="9"/>
                    <w:rPr>
                      <w:rFonts w:hint="default" w:ascii="Times New Roman" w:hAnsi="Times New Roman" w:eastAsia="宋体" w:cs="Times New Roman"/>
                      <w:color w:val="auto"/>
                      <w:sz w:val="21"/>
                      <w:szCs w:val="21"/>
                      <w:highlight w:val="none"/>
                    </w:rPr>
                  </w:pPr>
                </w:p>
              </w:tc>
              <w:tc>
                <w:tcPr>
                  <w:tcW w:w="1301" w:type="dxa"/>
                  <w:vMerge w:val="continue"/>
                  <w:tcBorders>
                    <w:top w:val="single" w:color="auto" w:sz="4" w:space="0"/>
                  </w:tcBorders>
                  <w:noWrap w:val="0"/>
                  <w:vAlign w:val="center"/>
                </w:tcPr>
                <w:p w14:paraId="49F4F85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outlineLvl w:val="9"/>
                    <w:rPr>
                      <w:rFonts w:hint="default" w:ascii="Times New Roman" w:hAnsi="Times New Roman" w:eastAsia="宋体" w:cs="Times New Roman"/>
                      <w:color w:val="auto"/>
                      <w:sz w:val="21"/>
                      <w:szCs w:val="21"/>
                      <w:highlight w:val="none"/>
                    </w:rPr>
                  </w:pPr>
                </w:p>
              </w:tc>
              <w:tc>
                <w:tcPr>
                  <w:tcW w:w="3329" w:type="dxa"/>
                  <w:tcBorders>
                    <w:top w:val="single" w:color="auto" w:sz="4" w:space="0"/>
                  </w:tcBorders>
                  <w:noWrap w:val="0"/>
                  <w:vAlign w:val="center"/>
                </w:tcPr>
                <w:p w14:paraId="00F2B1E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基础、主体结构及装饰工程</w:t>
                  </w:r>
                </w:p>
              </w:tc>
              <w:tc>
                <w:tcPr>
                  <w:tcW w:w="2119" w:type="dxa"/>
                  <w:tcBorders>
                    <w:top w:val="single" w:color="auto" w:sz="4" w:space="0"/>
                  </w:tcBorders>
                  <w:noWrap w:val="0"/>
                  <w:vAlign w:val="center"/>
                </w:tcPr>
                <w:p w14:paraId="34C748A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w:t>
                  </w:r>
                </w:p>
              </w:tc>
            </w:tr>
          </w:tbl>
          <w:p w14:paraId="470D7CB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 xml:space="preserve">13 </w:t>
            </w:r>
            <w:r>
              <w:rPr>
                <w:rFonts w:hint="default" w:ascii="Times New Roman" w:hAnsi="Times New Roman" w:eastAsia="宋体" w:cs="Times New Roman"/>
                <w:b/>
                <w:bCs/>
                <w:color w:val="auto"/>
                <w:sz w:val="24"/>
                <w:szCs w:val="24"/>
                <w:highlight w:val="none"/>
                <w:lang w:val="en-US" w:eastAsia="zh-CN"/>
              </w:rPr>
              <w:t>《煤炭工业污染物排放标准》</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GB20426-2006</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单位：mg/m</w:t>
            </w:r>
            <w:r>
              <w:rPr>
                <w:rFonts w:hint="default" w:ascii="Times New Roman" w:hAnsi="Times New Roman" w:eastAsia="宋体" w:cs="Times New Roman"/>
                <w:b/>
                <w:bCs/>
                <w:color w:val="auto"/>
                <w:sz w:val="24"/>
                <w:szCs w:val="24"/>
                <w:highlight w:val="none"/>
                <w:vertAlign w:val="superscript"/>
                <w:lang w:val="en-US" w:eastAsia="zh-CN"/>
              </w:rPr>
              <w:t>3</w:t>
            </w:r>
          </w:p>
          <w:tbl>
            <w:tblPr>
              <w:tblStyle w:val="27"/>
              <w:tblW w:w="79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064"/>
              <w:gridCol w:w="1124"/>
              <w:gridCol w:w="1079"/>
              <w:gridCol w:w="3842"/>
            </w:tblGrid>
            <w:tr w14:paraId="26FDF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888" w:type="dxa"/>
                  <w:tcBorders>
                    <w:tl2br w:val="nil"/>
                    <w:tr2bl w:val="nil"/>
                  </w:tcBorders>
                  <w:noWrap w:val="0"/>
                  <w:vAlign w:val="center"/>
                </w:tcPr>
                <w:p w14:paraId="31548ABD">
                  <w:pPr>
                    <w:keepNext w:val="0"/>
                    <w:keepLines w:val="0"/>
                    <w:pageBreakBefore w:val="0"/>
                    <w:kinsoku/>
                    <w:wordWrap/>
                    <w:overflowPunct/>
                    <w:topLinePunct w:val="0"/>
                    <w:autoSpaceDE/>
                    <w:autoSpaceDN/>
                    <w:bidi w:val="0"/>
                    <w:adjustRightInd w:val="0"/>
                    <w:snapToGrid w:val="0"/>
                    <w:spacing w:line="0" w:lineRule="atLeast"/>
                    <w:ind w:right="0" w:rightChars="0"/>
                    <w:jc w:val="center"/>
                    <w:textAlignment w:val="auto"/>
                    <w:rPr>
                      <w:rFonts w:hint="default" w:ascii="Times New Roman" w:hAnsi="Times New Roman" w:eastAsia="宋体" w:cs="Times New Roman"/>
                      <w:color w:val="auto"/>
                      <w:highlight w:val="none"/>
                    </w:rPr>
                  </w:pPr>
                  <w:r>
                    <w:rPr>
                      <w:rFonts w:hint="eastAsia"/>
                      <w:color w:val="auto"/>
                      <w:kern w:val="0"/>
                      <w:sz w:val="21"/>
                      <w:szCs w:val="21"/>
                      <w:highlight w:val="none"/>
                      <w:lang w:val="en-US" w:eastAsia="zh-CN" w:bidi="ar-SA"/>
                    </w:rPr>
                    <w:t>污染物</w:t>
                  </w:r>
                </w:p>
              </w:tc>
              <w:tc>
                <w:tcPr>
                  <w:tcW w:w="1064" w:type="dxa"/>
                  <w:tcBorders>
                    <w:tl2br w:val="nil"/>
                    <w:tr2bl w:val="nil"/>
                  </w:tcBorders>
                  <w:noWrap w:val="0"/>
                  <w:vAlign w:val="center"/>
                </w:tcPr>
                <w:p w14:paraId="76EDF62F">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监控时间</w:t>
                  </w:r>
                </w:p>
              </w:tc>
              <w:tc>
                <w:tcPr>
                  <w:tcW w:w="1124" w:type="dxa"/>
                  <w:tcBorders>
                    <w:tl2br w:val="nil"/>
                    <w:tr2bl w:val="nil"/>
                  </w:tcBorders>
                  <w:noWrap w:val="0"/>
                  <w:vAlign w:val="center"/>
                </w:tcPr>
                <w:p w14:paraId="0A4EBF53">
                  <w:pPr>
                    <w:keepNext w:val="0"/>
                    <w:keepLines w:val="0"/>
                    <w:pageBreakBefore w:val="0"/>
                    <w:kinsoku/>
                    <w:wordWrap/>
                    <w:overflowPunct/>
                    <w:topLinePunct w:val="0"/>
                    <w:autoSpaceDE/>
                    <w:autoSpaceDN/>
                    <w:bidi w:val="0"/>
                    <w:adjustRightInd w:val="0"/>
                    <w:snapToGrid w:val="0"/>
                    <w:spacing w:line="0" w:lineRule="atLeast"/>
                    <w:ind w:right="0"/>
                    <w:jc w:val="center"/>
                    <w:textAlignment w:val="auto"/>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排放形式</w:t>
                  </w:r>
                </w:p>
              </w:tc>
              <w:tc>
                <w:tcPr>
                  <w:tcW w:w="1079" w:type="dxa"/>
                  <w:tcBorders>
                    <w:tl2br w:val="nil"/>
                    <w:tr2bl w:val="nil"/>
                  </w:tcBorders>
                  <w:noWrap w:val="0"/>
                  <w:vAlign w:val="center"/>
                </w:tcPr>
                <w:p w14:paraId="4DB3B5EC">
                  <w:pPr>
                    <w:keepNext w:val="0"/>
                    <w:keepLines w:val="0"/>
                    <w:pageBreakBefore w:val="0"/>
                    <w:kinsoku/>
                    <w:wordWrap/>
                    <w:overflowPunct/>
                    <w:topLinePunct w:val="0"/>
                    <w:autoSpaceDE/>
                    <w:autoSpaceDN/>
                    <w:bidi w:val="0"/>
                    <w:adjustRightInd w:val="0"/>
                    <w:snapToGrid w:val="0"/>
                    <w:spacing w:line="0" w:lineRule="atLeast"/>
                    <w:ind w:right="0"/>
                    <w:jc w:val="center"/>
                    <w:textAlignment w:val="auto"/>
                    <w:rPr>
                      <w:rFonts w:hint="default"/>
                      <w:color w:val="auto"/>
                      <w:kern w:val="0"/>
                      <w:sz w:val="21"/>
                      <w:szCs w:val="21"/>
                      <w:highlight w:val="none"/>
                      <w:lang w:val="en-US" w:eastAsia="zh-CN" w:bidi="ar-SA"/>
                    </w:rPr>
                  </w:pPr>
                  <w:r>
                    <w:rPr>
                      <w:color w:val="auto"/>
                      <w:kern w:val="0"/>
                      <w:szCs w:val="21"/>
                      <w:highlight w:val="none"/>
                    </w:rPr>
                    <w:t>标准限值</w:t>
                  </w:r>
                </w:p>
              </w:tc>
              <w:tc>
                <w:tcPr>
                  <w:tcW w:w="3842" w:type="dxa"/>
                  <w:tcBorders>
                    <w:tl2br w:val="nil"/>
                    <w:tr2bl w:val="nil"/>
                  </w:tcBorders>
                  <w:noWrap w:val="0"/>
                  <w:vAlign w:val="center"/>
                </w:tcPr>
                <w:p w14:paraId="51BCBCE3">
                  <w:pPr>
                    <w:keepNext w:val="0"/>
                    <w:keepLines w:val="0"/>
                    <w:pageBreakBefore w:val="0"/>
                    <w:kinsoku/>
                    <w:wordWrap/>
                    <w:overflowPunct/>
                    <w:topLinePunct w:val="0"/>
                    <w:autoSpaceDE/>
                    <w:autoSpaceDN/>
                    <w:bidi w:val="0"/>
                    <w:adjustRightInd w:val="0"/>
                    <w:snapToGrid w:val="0"/>
                    <w:spacing w:line="0" w:lineRule="atLeast"/>
                    <w:ind w:right="0"/>
                    <w:jc w:val="center"/>
                    <w:textAlignment w:val="auto"/>
                    <w:rPr>
                      <w:rFonts w:hint="default"/>
                      <w:color w:val="auto"/>
                      <w:kern w:val="0"/>
                      <w:sz w:val="21"/>
                      <w:szCs w:val="21"/>
                      <w:highlight w:val="none"/>
                      <w:lang w:val="en-US" w:eastAsia="zh-CN" w:bidi="ar-SA"/>
                    </w:rPr>
                  </w:pPr>
                  <w:r>
                    <w:rPr>
                      <w:color w:val="auto"/>
                      <w:kern w:val="0"/>
                      <w:szCs w:val="21"/>
                      <w:highlight w:val="none"/>
                    </w:rPr>
                    <w:t>执行标准</w:t>
                  </w:r>
                </w:p>
              </w:tc>
            </w:tr>
            <w:tr w14:paraId="00C41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888" w:type="dxa"/>
                  <w:tcBorders>
                    <w:tl2br w:val="nil"/>
                    <w:tr2bl w:val="nil"/>
                  </w:tcBorders>
                  <w:noWrap w:val="0"/>
                  <w:vAlign w:val="center"/>
                </w:tcPr>
                <w:p w14:paraId="1A8FD16F">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right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064" w:type="dxa"/>
                  <w:tcBorders>
                    <w:tl2br w:val="nil"/>
                    <w:tr2bl w:val="nil"/>
                  </w:tcBorders>
                  <w:noWrap w:val="0"/>
                  <w:vAlign w:val="center"/>
                </w:tcPr>
                <w:p w14:paraId="1F62A4C3">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生产过程</w:t>
                  </w:r>
                </w:p>
              </w:tc>
              <w:tc>
                <w:tcPr>
                  <w:tcW w:w="1124" w:type="dxa"/>
                  <w:tcBorders>
                    <w:tl2br w:val="nil"/>
                    <w:tr2bl w:val="nil"/>
                  </w:tcBorders>
                  <w:noWrap w:val="0"/>
                  <w:vAlign w:val="center"/>
                </w:tcPr>
                <w:p w14:paraId="61D2F2D1">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w:t>
                  </w:r>
                </w:p>
              </w:tc>
              <w:tc>
                <w:tcPr>
                  <w:tcW w:w="1079" w:type="dxa"/>
                  <w:tcBorders>
                    <w:tl2br w:val="nil"/>
                    <w:tr2bl w:val="nil"/>
                  </w:tcBorders>
                  <w:noWrap w:val="0"/>
                  <w:vAlign w:val="center"/>
                </w:tcPr>
                <w:p w14:paraId="72469E68">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0</w:t>
                  </w:r>
                </w:p>
              </w:tc>
              <w:tc>
                <w:tcPr>
                  <w:tcW w:w="3842" w:type="dxa"/>
                  <w:tcBorders>
                    <w:tl2br w:val="nil"/>
                    <w:tr2bl w:val="nil"/>
                  </w:tcBorders>
                  <w:noWrap w:val="0"/>
                  <w:vAlign w:val="center"/>
                </w:tcPr>
                <w:p w14:paraId="32F92F66">
                  <w:pPr>
                    <w:pStyle w:val="55"/>
                    <w:keepNext w:val="0"/>
                    <w:keepLines w:val="0"/>
                    <w:pageBreakBefore w:val="0"/>
                    <w:kinsoku/>
                    <w:wordWrap/>
                    <w:overflowPunct/>
                    <w:topLinePunct w:val="0"/>
                    <w:autoSpaceDE/>
                    <w:autoSpaceDN/>
                    <w:bidi w:val="0"/>
                    <w:adjustRightInd w:val="0"/>
                    <w:snapToGrid w:val="0"/>
                    <w:spacing w:before="0" w:beforeLines="0" w:after="0" w:afterLines="0" w:line="0" w:lineRule="atLeast"/>
                    <w:ind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《煤炭工业污染物排放标准》</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GB20426-2006</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中表4、5中排放限值</w:t>
                  </w:r>
                </w:p>
              </w:tc>
            </w:tr>
          </w:tbl>
          <w:p w14:paraId="4D3748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水污染物</w:t>
            </w:r>
          </w:p>
          <w:p w14:paraId="4BE074D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污废水全部综合利用，不外排。</w:t>
            </w:r>
          </w:p>
          <w:p w14:paraId="36246D8F">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3、噪声</w:t>
            </w:r>
          </w:p>
          <w:p w14:paraId="1A3A36D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施工期噪声执行《建筑施工</w:t>
            </w:r>
            <w:r>
              <w:rPr>
                <w:rFonts w:hint="default" w:ascii="Times New Roman" w:hAnsi="Times New Roman" w:eastAsia="宋体" w:cs="Times New Roman"/>
                <w:color w:val="auto"/>
                <w:sz w:val="24"/>
                <w:szCs w:val="24"/>
                <w:highlight w:val="none"/>
                <w:lang w:eastAsia="zh-CN"/>
              </w:rPr>
              <w:t>场</w:t>
            </w:r>
            <w:r>
              <w:rPr>
                <w:rFonts w:hint="default" w:ascii="Times New Roman" w:hAnsi="Times New Roman" w:eastAsia="宋体" w:cs="Times New Roman"/>
                <w:color w:val="auto"/>
                <w:sz w:val="24"/>
                <w:szCs w:val="24"/>
                <w:highlight w:val="none"/>
              </w:rPr>
              <w:t>界环境噪声排放标准》（GB12523-2011）；营运期噪声排放执行《工业企业厂界环境噪声排放标准》（GB12348-2008）中2类标准，</w:t>
            </w:r>
            <w:r>
              <w:rPr>
                <w:rFonts w:hint="default" w:ascii="Times New Roman" w:hAnsi="Times New Roman" w:eastAsia="宋体" w:cs="Times New Roman"/>
                <w:color w:val="auto"/>
                <w:sz w:val="24"/>
                <w:szCs w:val="24"/>
                <w:highlight w:val="none"/>
                <w:lang w:eastAsia="zh-CN"/>
              </w:rPr>
              <w:t>具体见下表</w:t>
            </w:r>
            <w:r>
              <w:rPr>
                <w:rFonts w:hint="default" w:ascii="Times New Roman" w:hAnsi="Times New Roman" w:eastAsia="宋体" w:cs="Times New Roman"/>
                <w:color w:val="auto"/>
                <w:sz w:val="24"/>
                <w:szCs w:val="24"/>
                <w:highlight w:val="none"/>
              </w:rPr>
              <w:t>。</w:t>
            </w:r>
          </w:p>
          <w:p w14:paraId="2645B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 xml:space="preserve">14 </w:t>
            </w:r>
            <w:r>
              <w:rPr>
                <w:rFonts w:hint="default" w:ascii="Times New Roman" w:hAnsi="Times New Roman" w:eastAsia="宋体" w:cs="Times New Roman"/>
                <w:b/>
                <w:bCs/>
                <w:color w:val="auto"/>
                <w:sz w:val="24"/>
                <w:szCs w:val="24"/>
                <w:highlight w:val="none"/>
                <w:lang w:val="en-US" w:eastAsia="zh-CN"/>
              </w:rPr>
              <w:t>《建筑施工</w:t>
            </w:r>
            <w:r>
              <w:rPr>
                <w:rFonts w:hint="eastAsia" w:ascii="Times New Roman" w:hAnsi="Times New Roman" w:eastAsia="宋体" w:cs="Times New Roman"/>
                <w:b/>
                <w:bCs/>
                <w:color w:val="auto"/>
                <w:sz w:val="24"/>
                <w:szCs w:val="24"/>
                <w:highlight w:val="none"/>
                <w:lang w:val="en-US" w:eastAsia="zh-CN"/>
              </w:rPr>
              <w:t>场</w:t>
            </w:r>
            <w:r>
              <w:rPr>
                <w:rFonts w:hint="default" w:ascii="Times New Roman" w:hAnsi="Times New Roman" w:eastAsia="宋体" w:cs="Times New Roman"/>
                <w:b/>
                <w:bCs/>
                <w:color w:val="auto"/>
                <w:sz w:val="24"/>
                <w:szCs w:val="24"/>
                <w:highlight w:val="none"/>
                <w:lang w:val="en-US" w:eastAsia="zh-CN"/>
              </w:rPr>
              <w:t>界环境噪声排放标准》（GB12523-2011）</w:t>
            </w:r>
          </w:p>
          <w:tbl>
            <w:tblPr>
              <w:tblStyle w:val="27"/>
              <w:tblW w:w="79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2842"/>
              <w:gridCol w:w="2896"/>
            </w:tblGrid>
            <w:tr w14:paraId="5D9DC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13" w:type="pct"/>
                  <w:vMerge w:val="restart"/>
                  <w:noWrap w:val="0"/>
                  <w:vAlign w:val="center"/>
                </w:tcPr>
                <w:p w14:paraId="5432C59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施工阶段</w:t>
                  </w:r>
                </w:p>
              </w:tc>
              <w:tc>
                <w:tcPr>
                  <w:tcW w:w="3586" w:type="pct"/>
                  <w:gridSpan w:val="2"/>
                  <w:noWrap w:val="0"/>
                  <w:vAlign w:val="center"/>
                </w:tcPr>
                <w:p w14:paraId="1C0A6D4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b w:val="0"/>
                      <w:bCs w:val="0"/>
                      <w:color w:val="auto"/>
                      <w:sz w:val="21"/>
                      <w:szCs w:val="21"/>
                      <w:highlight w:val="none"/>
                    </w:rPr>
                    <w:t>噪声限值</w:t>
                  </w:r>
                  <w:r>
                    <w:rPr>
                      <w:rFonts w:hint="default" w:ascii="Times New Roman" w:hAnsi="Times New Roman" w:eastAsia="宋体" w:cs="Times New Roman"/>
                      <w:b w:val="0"/>
                      <w:bCs w:val="0"/>
                      <w:color w:val="auto"/>
                      <w:sz w:val="21"/>
                      <w:szCs w:val="21"/>
                      <w:highlight w:val="none"/>
                      <w:lang w:val="en-US" w:eastAsia="zh-CN"/>
                    </w:rPr>
                    <w:t>dB（A）</w:t>
                  </w:r>
                </w:p>
              </w:tc>
            </w:tr>
            <w:tr w14:paraId="4B592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3" w:type="pct"/>
                  <w:vMerge w:val="continue"/>
                  <w:noWrap w:val="0"/>
                  <w:vAlign w:val="center"/>
                </w:tcPr>
                <w:p w14:paraId="6501FAB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1"/>
                      <w:highlight w:val="none"/>
                    </w:rPr>
                  </w:pPr>
                </w:p>
              </w:tc>
              <w:tc>
                <w:tcPr>
                  <w:tcW w:w="1776" w:type="pct"/>
                  <w:noWrap w:val="0"/>
                  <w:vAlign w:val="center"/>
                </w:tcPr>
                <w:p w14:paraId="43C18F7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昼间70</w:t>
                  </w:r>
                </w:p>
              </w:tc>
              <w:tc>
                <w:tcPr>
                  <w:tcW w:w="1809" w:type="pct"/>
                  <w:noWrap w:val="0"/>
                  <w:vAlign w:val="center"/>
                </w:tcPr>
                <w:p w14:paraId="2AE540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夜间55</w:t>
                  </w:r>
                </w:p>
              </w:tc>
            </w:tr>
          </w:tbl>
          <w:p w14:paraId="7D78C12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-15</w:t>
            </w:r>
            <w:r>
              <w:rPr>
                <w:rFonts w:hint="default" w:ascii="Times New Roman" w:hAnsi="Times New Roman" w:eastAsia="宋体" w:cs="Times New Roman"/>
                <w:b/>
                <w:bCs/>
                <w:color w:val="auto"/>
                <w:sz w:val="24"/>
                <w:szCs w:val="24"/>
                <w:highlight w:val="none"/>
                <w:lang w:val="en-US" w:eastAsia="zh-CN"/>
              </w:rPr>
              <w:t>《工业企业厂界环境噪声排放标准》（GB12348-2008）单位：dB（A）</w:t>
            </w:r>
          </w:p>
          <w:tbl>
            <w:tblPr>
              <w:tblStyle w:val="27"/>
              <w:tblW w:w="80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94"/>
              <w:gridCol w:w="1987"/>
              <w:gridCol w:w="2176"/>
              <w:gridCol w:w="2261"/>
            </w:tblGrid>
            <w:tr w14:paraId="50DF1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594" w:type="dxa"/>
                  <w:noWrap w:val="0"/>
                  <w:vAlign w:val="center"/>
                </w:tcPr>
                <w:p w14:paraId="51A4F2D7">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类别</w:t>
                  </w:r>
                </w:p>
              </w:tc>
              <w:tc>
                <w:tcPr>
                  <w:tcW w:w="1987" w:type="dxa"/>
                  <w:noWrap w:val="0"/>
                  <w:vAlign w:val="center"/>
                </w:tcPr>
                <w:p w14:paraId="31535AE9">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时间</w:t>
                  </w:r>
                </w:p>
              </w:tc>
              <w:tc>
                <w:tcPr>
                  <w:tcW w:w="2176" w:type="dxa"/>
                  <w:noWrap w:val="0"/>
                  <w:vAlign w:val="center"/>
                </w:tcPr>
                <w:p w14:paraId="04484DF4">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昼间</w:t>
                  </w:r>
                </w:p>
              </w:tc>
              <w:tc>
                <w:tcPr>
                  <w:tcW w:w="2261" w:type="dxa"/>
                  <w:noWrap w:val="0"/>
                  <w:vAlign w:val="center"/>
                </w:tcPr>
                <w:p w14:paraId="5823918C">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夜间</w:t>
                  </w:r>
                </w:p>
              </w:tc>
            </w:tr>
            <w:tr w14:paraId="0A972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1594" w:type="dxa"/>
                  <w:noWrap w:val="0"/>
                  <w:vAlign w:val="center"/>
                </w:tcPr>
                <w:p w14:paraId="2639047D">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2</w:t>
                  </w:r>
                </w:p>
              </w:tc>
              <w:tc>
                <w:tcPr>
                  <w:tcW w:w="1987" w:type="dxa"/>
                  <w:noWrap w:val="0"/>
                  <w:vAlign w:val="center"/>
                </w:tcPr>
                <w:p w14:paraId="1C03A035">
                  <w:pPr>
                    <w:pStyle w:val="10"/>
                    <w:tabs>
                      <w:tab w:val="left" w:pos="0"/>
                      <w:tab w:val="left" w:pos="1365"/>
                    </w:tabs>
                    <w:jc w:val="center"/>
                    <w:rPr>
                      <w:rFonts w:hint="eastAsia" w:ascii="Times New Roman" w:hAnsi="Times New Roman" w:eastAsia="宋体" w:cs="Times New Roman"/>
                      <w:color w:val="auto"/>
                      <w:spacing w:val="6"/>
                      <w:highlight w:val="none"/>
                      <w:lang w:eastAsia="zh-CN"/>
                    </w:rPr>
                  </w:pPr>
                  <w:r>
                    <w:rPr>
                      <w:rFonts w:hint="default" w:ascii="Times New Roman" w:hAnsi="Times New Roman" w:eastAsia="宋体" w:cs="Times New Roman"/>
                      <w:color w:val="auto"/>
                      <w:spacing w:val="6"/>
                      <w:highlight w:val="none"/>
                    </w:rPr>
                    <w:t>标准值</w:t>
                  </w:r>
                  <w:r>
                    <w:rPr>
                      <w:rFonts w:hint="eastAsia" w:ascii="Times New Roman" w:hAnsi="Times New Roman" w:eastAsia="宋体" w:cs="Times New Roman"/>
                      <w:color w:val="auto"/>
                      <w:spacing w:val="6"/>
                      <w:highlight w:val="none"/>
                      <w:lang w:eastAsia="zh-CN"/>
                    </w:rPr>
                    <w:t>[dB（A）]</w:t>
                  </w:r>
                </w:p>
              </w:tc>
              <w:tc>
                <w:tcPr>
                  <w:tcW w:w="2176" w:type="dxa"/>
                  <w:noWrap w:val="0"/>
                  <w:vAlign w:val="center"/>
                </w:tcPr>
                <w:p w14:paraId="7D079E8E">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60</w:t>
                  </w:r>
                </w:p>
              </w:tc>
              <w:tc>
                <w:tcPr>
                  <w:tcW w:w="2261" w:type="dxa"/>
                  <w:noWrap w:val="0"/>
                  <w:vAlign w:val="center"/>
                </w:tcPr>
                <w:p w14:paraId="5FDECC5F">
                  <w:pPr>
                    <w:pStyle w:val="10"/>
                    <w:tabs>
                      <w:tab w:val="left" w:pos="0"/>
                      <w:tab w:val="left" w:pos="1365"/>
                    </w:tabs>
                    <w:jc w:val="center"/>
                    <w:rPr>
                      <w:rFonts w:hint="default" w:ascii="Times New Roman" w:hAnsi="Times New Roman" w:eastAsia="宋体" w:cs="Times New Roman"/>
                      <w:color w:val="auto"/>
                      <w:spacing w:val="6"/>
                      <w:highlight w:val="none"/>
                    </w:rPr>
                  </w:pPr>
                  <w:r>
                    <w:rPr>
                      <w:rFonts w:hint="default" w:ascii="Times New Roman" w:hAnsi="Times New Roman" w:eastAsia="宋体" w:cs="Times New Roman"/>
                      <w:color w:val="auto"/>
                      <w:spacing w:val="6"/>
                      <w:highlight w:val="none"/>
                    </w:rPr>
                    <w:t>50</w:t>
                  </w:r>
                </w:p>
              </w:tc>
            </w:tr>
          </w:tbl>
          <w:p w14:paraId="2D79DF2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4、固体废弃物</w:t>
            </w:r>
          </w:p>
          <w:p w14:paraId="7668A43D">
            <w:pPr>
              <w:pStyle w:val="58"/>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olor w:val="auto"/>
                <w:szCs w:val="21"/>
                <w:lang w:val="en-US" w:eastAsia="zh-CN"/>
              </w:rPr>
            </w:pPr>
            <w:r>
              <w:rPr>
                <w:rFonts w:hint="default" w:ascii="Times New Roman" w:hAnsi="Times New Roman" w:eastAsia="宋体" w:cs="Times New Roman"/>
                <w:color w:val="auto"/>
                <w:sz w:val="24"/>
                <w:szCs w:val="24"/>
                <w:highlight w:val="none"/>
              </w:rPr>
              <w:t>一般工业固体废物执行《一般工业固体废物贮存和填埋污染控制标准》（GB18599-2020）有关要求；危险废物贮存执行《危险废物贮存污染控制标准》（GB18597-2023）有关要求</w:t>
            </w:r>
            <w:r>
              <w:rPr>
                <w:rFonts w:hint="eastAsia" w:cs="Times New Roman"/>
                <w:color w:val="auto"/>
                <w:sz w:val="24"/>
                <w:szCs w:val="24"/>
                <w:highlight w:val="none"/>
                <w:lang w:eastAsia="zh-CN"/>
              </w:rPr>
              <w:t>。</w:t>
            </w:r>
          </w:p>
        </w:tc>
      </w:tr>
      <w:tr w14:paraId="0ADDB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4" w:hRule="atLeast"/>
          <w:jc w:val="center"/>
        </w:trPr>
        <w:tc>
          <w:tcPr>
            <w:tcW w:w="687" w:type="dxa"/>
            <w:noWrap w:val="0"/>
            <w:vAlign w:val="center"/>
          </w:tcPr>
          <w:p w14:paraId="739DDA95">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其他</w:t>
            </w:r>
          </w:p>
        </w:tc>
        <w:tc>
          <w:tcPr>
            <w:tcW w:w="7835" w:type="dxa"/>
            <w:noWrap w:val="0"/>
            <w:vAlign w:val="center"/>
          </w:tcPr>
          <w:p w14:paraId="3CDD9FAB">
            <w:pPr>
              <w:widowControl/>
              <w:adjustRightInd w:val="0"/>
              <w:snapToGrid w:val="0"/>
              <w:spacing w:line="360" w:lineRule="auto"/>
              <w:ind w:firstLine="480" w:firstLineChars="200"/>
              <w:jc w:val="left"/>
              <w:rPr>
                <w:color w:val="auto"/>
                <w:sz w:val="24"/>
              </w:rPr>
            </w:pPr>
            <w:r>
              <w:rPr>
                <w:color w:val="auto"/>
                <w:sz w:val="24"/>
              </w:rPr>
              <w:t>根据国家和陕西省</w:t>
            </w:r>
            <w:r>
              <w:rPr>
                <w:rFonts w:hint="eastAsia"/>
                <w:color w:val="auto"/>
                <w:sz w:val="24"/>
              </w:rPr>
              <w:t>“</w:t>
            </w:r>
            <w:r>
              <w:rPr>
                <w:color w:val="auto"/>
                <w:sz w:val="24"/>
              </w:rPr>
              <w:t>十</w:t>
            </w:r>
            <w:r>
              <w:rPr>
                <w:rFonts w:hint="eastAsia"/>
                <w:color w:val="auto"/>
                <w:sz w:val="24"/>
              </w:rPr>
              <w:t>四</w:t>
            </w:r>
            <w:r>
              <w:rPr>
                <w:color w:val="auto"/>
                <w:sz w:val="24"/>
              </w:rPr>
              <w:t>五</w:t>
            </w:r>
            <w:r>
              <w:rPr>
                <w:rFonts w:hint="eastAsia"/>
                <w:color w:val="auto"/>
                <w:sz w:val="24"/>
              </w:rPr>
              <w:t>”</w:t>
            </w:r>
            <w:r>
              <w:rPr>
                <w:color w:val="auto"/>
                <w:sz w:val="24"/>
              </w:rPr>
              <w:t>期间对NO</w:t>
            </w:r>
            <w:r>
              <w:rPr>
                <w:color w:val="auto"/>
                <w:sz w:val="24"/>
                <w:vertAlign w:val="subscript"/>
              </w:rPr>
              <w:t>X</w:t>
            </w:r>
            <w:r>
              <w:rPr>
                <w:color w:val="auto"/>
                <w:sz w:val="24"/>
              </w:rPr>
              <w:t>、</w:t>
            </w:r>
            <w:r>
              <w:rPr>
                <w:rFonts w:hint="eastAsia"/>
                <w:color w:val="auto"/>
                <w:sz w:val="24"/>
              </w:rPr>
              <w:t>V</w:t>
            </w:r>
            <w:r>
              <w:rPr>
                <w:color w:val="auto"/>
                <w:sz w:val="24"/>
              </w:rPr>
              <w:t>OCs</w:t>
            </w:r>
            <w:r>
              <w:rPr>
                <w:rFonts w:hint="eastAsia"/>
                <w:color w:val="auto"/>
                <w:sz w:val="24"/>
              </w:rPr>
              <w:t>、</w:t>
            </w:r>
            <w:r>
              <w:rPr>
                <w:color w:val="auto"/>
                <w:sz w:val="24"/>
              </w:rPr>
              <w:t>COD和NH</w:t>
            </w:r>
            <w:r>
              <w:rPr>
                <w:color w:val="auto"/>
                <w:sz w:val="24"/>
                <w:vertAlign w:val="subscript"/>
              </w:rPr>
              <w:t>3</w:t>
            </w:r>
            <w:r>
              <w:rPr>
                <w:color w:val="auto"/>
                <w:sz w:val="24"/>
              </w:rPr>
              <w:t>-N污染物排放实行总量控制和计划管理的规定。</w:t>
            </w:r>
          </w:p>
          <w:p w14:paraId="2B5DAAF4">
            <w:pPr>
              <w:ind w:firstLine="480" w:firstLineChars="200"/>
              <w:rPr>
                <w:rFonts w:ascii="Times New Roman" w:hAnsi="Times New Roman" w:eastAsia="宋体"/>
                <w:color w:val="auto"/>
                <w:sz w:val="24"/>
              </w:rPr>
            </w:pPr>
            <w:r>
              <w:rPr>
                <w:color w:val="auto"/>
                <w:sz w:val="24"/>
              </w:rPr>
              <w:t>本项目</w:t>
            </w:r>
            <w:r>
              <w:rPr>
                <w:rFonts w:hint="eastAsia"/>
                <w:color w:val="auto"/>
                <w:sz w:val="24"/>
              </w:rPr>
              <w:t>不</w:t>
            </w:r>
            <w:r>
              <w:rPr>
                <w:color w:val="auto"/>
                <w:sz w:val="24"/>
              </w:rPr>
              <w:t>涉及总量控制指标</w:t>
            </w:r>
            <w:r>
              <w:rPr>
                <w:color w:val="auto"/>
                <w:sz w:val="24"/>
                <w:szCs w:val="24"/>
              </w:rPr>
              <w:t>。</w:t>
            </w:r>
          </w:p>
        </w:tc>
      </w:tr>
    </w:tbl>
    <w:p w14:paraId="52373D90">
      <w:pPr>
        <w:pStyle w:val="9"/>
        <w:ind w:left="400"/>
        <w:rPr>
          <w:rFonts w:ascii="Times New Roman" w:hAnsi="Times New Roman" w:eastAsia="宋体"/>
          <w:color w:val="auto"/>
        </w:rPr>
      </w:pPr>
    </w:p>
    <w:p w14:paraId="2B8E87E7">
      <w:pPr>
        <w:pStyle w:val="24"/>
        <w:jc w:val="center"/>
        <w:outlineLvl w:val="9"/>
        <w:rPr>
          <w:rFonts w:ascii="Times New Roman" w:hAnsi="Times New Roman" w:eastAsia="宋体"/>
          <w:snapToGrid w:val="0"/>
          <w:color w:val="auto"/>
          <w:sz w:val="30"/>
          <w:szCs w:val="30"/>
        </w:rPr>
        <w:sectPr>
          <w:pgSz w:w="11906" w:h="16838"/>
          <w:pgMar w:top="1440" w:right="1800" w:bottom="1440" w:left="1800" w:header="851" w:footer="1077" w:gutter="0"/>
          <w:pgNumType w:fmt="decimal"/>
          <w:cols w:space="720" w:num="1"/>
          <w:docGrid w:linePitch="312" w:charSpace="0"/>
        </w:sectPr>
      </w:pPr>
    </w:p>
    <w:p w14:paraId="54B841A6">
      <w:pPr>
        <w:pStyle w:val="24"/>
        <w:jc w:val="center"/>
        <w:outlineLvl w:val="0"/>
        <w:rPr>
          <w:rFonts w:hint="eastAsia" w:ascii="黑体" w:hAnsi="黑体" w:eastAsia="黑体" w:cs="黑体"/>
          <w:snapToGrid w:val="0"/>
          <w:color w:val="auto"/>
          <w:sz w:val="30"/>
          <w:szCs w:val="30"/>
          <w:lang w:val="en-US" w:eastAsia="zh-CN"/>
        </w:rPr>
      </w:pPr>
      <w:bookmarkStart w:id="8" w:name="_Toc23679"/>
      <w:r>
        <w:rPr>
          <w:rFonts w:hint="eastAsia" w:ascii="黑体" w:hAnsi="黑体" w:eastAsia="黑体" w:cs="黑体"/>
          <w:snapToGrid w:val="0"/>
          <w:color w:val="auto"/>
          <w:sz w:val="30"/>
          <w:szCs w:val="30"/>
        </w:rPr>
        <w:t>四、</w:t>
      </w:r>
      <w:r>
        <w:rPr>
          <w:rFonts w:hint="eastAsia" w:ascii="黑体" w:hAnsi="黑体" w:eastAsia="黑体" w:cs="黑体"/>
          <w:snapToGrid w:val="0"/>
          <w:color w:val="auto"/>
          <w:sz w:val="30"/>
          <w:szCs w:val="30"/>
          <w:lang w:val="en-US" w:eastAsia="zh-CN"/>
        </w:rPr>
        <w:t>主要环境影响和保护措施</w:t>
      </w:r>
      <w:bookmarkEnd w:id="8"/>
    </w:p>
    <w:tbl>
      <w:tblPr>
        <w:tblStyle w:val="27"/>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8116"/>
      </w:tblGrid>
      <w:tr w14:paraId="1CBEE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425" w:type="dxa"/>
            <w:noWrap w:val="0"/>
            <w:tcMar>
              <w:left w:w="28" w:type="dxa"/>
              <w:right w:w="28" w:type="dxa"/>
            </w:tcMar>
            <w:vAlign w:val="center"/>
          </w:tcPr>
          <w:p w14:paraId="07A74979">
            <w:pPr>
              <w:pStyle w:val="24"/>
              <w:adjustRightInd w:val="0"/>
              <w:snapToGrid w:val="0"/>
              <w:spacing w:before="0" w:beforeAutospacing="0" w:after="0" w:afterAutospacing="0"/>
              <w:jc w:val="center"/>
              <w:rPr>
                <w:rFonts w:ascii="Times New Roman" w:hAnsi="Times New Roman" w:eastAsia="宋体"/>
                <w:bCs/>
                <w:color w:val="auto"/>
                <w:kern w:val="2"/>
                <w:sz w:val="21"/>
                <w:szCs w:val="21"/>
                <w:lang w:val="en-US" w:eastAsia="zh-CN"/>
              </w:rPr>
            </w:pPr>
            <w:bookmarkStart w:id="9" w:name="_Hlk49796138"/>
            <w:r>
              <w:rPr>
                <w:rFonts w:ascii="Times New Roman" w:hAnsi="Times New Roman" w:eastAsia="宋体"/>
                <w:bCs/>
                <w:color w:val="auto"/>
                <w:spacing w:val="10"/>
                <w:kern w:val="2"/>
                <w:sz w:val="24"/>
                <w:szCs w:val="24"/>
                <w:lang w:val="en-US" w:eastAsia="zh-CN"/>
              </w:rPr>
              <w:t>施工期生态环境影响分析</w:t>
            </w:r>
            <w:bookmarkEnd w:id="9"/>
          </w:p>
        </w:tc>
        <w:tc>
          <w:tcPr>
            <w:tcW w:w="8017" w:type="dxa"/>
            <w:noWrap w:val="0"/>
            <w:vAlign w:val="top"/>
          </w:tcPr>
          <w:p w14:paraId="2E7BBAFB">
            <w:pPr>
              <w:adjustRightIn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1、大气环境影响分析</w:t>
            </w:r>
          </w:p>
          <w:p w14:paraId="542892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本技改项目位于府谷县鸿凯经贸开发有限公司新建洗煤厂项目西北侧，项目施工期主要为基础施工、土方开挖、部分生产设备以及构筑物、设备等</w:t>
            </w:r>
            <w:r>
              <w:rPr>
                <w:rFonts w:hint="eastAsia"/>
                <w:color w:val="auto"/>
                <w:sz w:val="24"/>
              </w:rPr>
              <w:t>拆除工程</w:t>
            </w:r>
            <w:r>
              <w:rPr>
                <w:rFonts w:ascii="Times New Roman" w:hAnsi="Times New Roman" w:eastAsia="宋体"/>
                <w:bCs/>
                <w:color w:val="auto"/>
                <w:sz w:val="24"/>
              </w:rPr>
              <w:t>。</w:t>
            </w:r>
            <w:r>
              <w:rPr>
                <w:rFonts w:hint="eastAsia" w:cs="Times New Roman"/>
                <w:b w:val="0"/>
                <w:bCs w:val="0"/>
                <w:color w:val="auto"/>
                <w:sz w:val="24"/>
                <w:szCs w:val="24"/>
                <w:highlight w:val="none"/>
                <w:lang w:val="en-US" w:eastAsia="zh-CN"/>
              </w:rPr>
              <w:t>污染影响主要体现为现在废水（施工废水、生活污水），废气（施工扬尘、汽车尾气），噪声（施工机械噪声）以及固体废物（建筑垃圾、生活垃圾和拆除固废）。</w:t>
            </w:r>
          </w:p>
          <w:p w14:paraId="280F455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eastAsia" w:cs="Times New Roman"/>
                <w:b/>
                <w:bCs/>
                <w:color w:val="auto"/>
                <w:sz w:val="24"/>
                <w:szCs w:val="24"/>
                <w:highlight w:val="none"/>
                <w:lang w:val="en-US" w:eastAsia="zh-CN"/>
              </w:rPr>
              <w:t>施工期废气</w:t>
            </w:r>
            <w:r>
              <w:rPr>
                <w:rFonts w:hint="default" w:ascii="Times New Roman" w:hAnsi="Times New Roman" w:eastAsia="宋体" w:cs="Times New Roman"/>
                <w:b/>
                <w:bCs/>
                <w:color w:val="auto"/>
                <w:sz w:val="24"/>
                <w:szCs w:val="24"/>
                <w:highlight w:val="none"/>
                <w:lang w:eastAsia="zh-CN"/>
              </w:rPr>
              <w:t>防治措施</w:t>
            </w:r>
          </w:p>
          <w:p w14:paraId="1448184A">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本项目施工期的</w:t>
            </w:r>
            <w:r>
              <w:rPr>
                <w:rFonts w:hint="eastAsia"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主要为</w:t>
            </w:r>
            <w:r>
              <w:rPr>
                <w:rFonts w:hint="eastAsia" w:cs="Times New Roman"/>
                <w:color w:val="auto"/>
                <w:sz w:val="24"/>
                <w:szCs w:val="24"/>
                <w:highlight w:val="none"/>
                <w:lang w:val="en-US" w:eastAsia="zh-CN"/>
              </w:rPr>
              <w:t>拆除工程、</w:t>
            </w:r>
            <w:r>
              <w:rPr>
                <w:rFonts w:hint="default" w:ascii="Times New Roman" w:hAnsi="Times New Roman" w:eastAsia="宋体" w:cs="Times New Roman"/>
                <w:color w:val="auto"/>
                <w:sz w:val="24"/>
                <w:szCs w:val="24"/>
                <w:highlight w:val="none"/>
              </w:rPr>
              <w:t>主体工程和附属设施等建设过程中，建筑材料如水泥、石灰、砂子等装卸过程中会有部分</w:t>
            </w:r>
            <w:r>
              <w:rPr>
                <w:rFonts w:hint="eastAsia" w:ascii="Times New Roman" w:hAnsi="Times New Roman" w:eastAsia="宋体" w:cs="Times New Roman"/>
                <w:color w:val="auto"/>
                <w:sz w:val="24"/>
                <w:szCs w:val="24"/>
                <w:highlight w:val="none"/>
                <w:lang w:eastAsia="zh-CN"/>
              </w:rPr>
              <w:t>抛撒</w:t>
            </w:r>
            <w:r>
              <w:rPr>
                <w:rFonts w:hint="default" w:ascii="Times New Roman" w:hAnsi="Times New Roman" w:eastAsia="宋体" w:cs="Times New Roman"/>
                <w:color w:val="auto"/>
                <w:sz w:val="24"/>
                <w:szCs w:val="24"/>
                <w:highlight w:val="none"/>
              </w:rPr>
              <w:t>，经施工机械、运输车辆碾压卷带、形成部分细小颗粒进入大气中形成扬尘，污染环境空气。同时，道路施工及运送物料时产生的道路扬尘及汽车尾气也会污染周围环境。扬尘的数量与物料颗粒粒度、物料的含水量以及环境风速的大小有关，颗粒越细，含水量越小，风速越大，则进入空气的粉尘越多。施工中所用的石灰、水泥等材料颗粒很细，因而在运输和使用的过程中就很容易引起扬尘。</w:t>
            </w:r>
          </w:p>
          <w:p w14:paraId="52A08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为降低扬尘对场地附近的环境空气质量造成的影响，项目拟通过划定施工作业区、设置围墙、棚式贮存物料、场地洒水、硬化道路、车辆减速慢行等措施。具体</w:t>
            </w:r>
            <w:r>
              <w:rPr>
                <w:rFonts w:hint="default" w:ascii="Times New Roman" w:hAnsi="Times New Roman" w:eastAsia="宋体" w:cs="Times New Roman"/>
                <w:color w:val="auto"/>
                <w:sz w:val="24"/>
                <w:szCs w:val="24"/>
                <w:highlight w:val="none"/>
                <w:lang w:eastAsia="zh-CN"/>
              </w:rPr>
              <w:t>措施</w:t>
            </w:r>
            <w:r>
              <w:rPr>
                <w:rFonts w:hint="default" w:ascii="Times New Roman" w:hAnsi="Times New Roman" w:eastAsia="宋体" w:cs="Times New Roman"/>
                <w:color w:val="auto"/>
                <w:sz w:val="24"/>
                <w:szCs w:val="24"/>
                <w:highlight w:val="none"/>
              </w:rPr>
              <w:t>如下：</w:t>
            </w:r>
          </w:p>
          <w:p w14:paraId="58D0E93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 xml:space="preserve">⑴ </w:t>
            </w:r>
            <w:r>
              <w:rPr>
                <w:rFonts w:hint="default" w:ascii="Times New Roman" w:hAnsi="Times New Roman" w:eastAsia="宋体" w:cs="Times New Roman"/>
                <w:b/>
                <w:bCs/>
                <w:color w:val="auto"/>
                <w:sz w:val="24"/>
                <w:szCs w:val="24"/>
                <w:highlight w:val="none"/>
              </w:rPr>
              <w:t>施工扬尘控制措施</w:t>
            </w:r>
          </w:p>
          <w:p w14:paraId="1E4085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施工产生的扬尘主要来自</w:t>
            </w:r>
            <w:r>
              <w:rPr>
                <w:rFonts w:hint="eastAsia" w:cs="Times New Roman"/>
                <w:color w:val="auto"/>
                <w:sz w:val="24"/>
                <w:szCs w:val="24"/>
                <w:highlight w:val="none"/>
                <w:lang w:val="en-US" w:eastAsia="zh-CN"/>
              </w:rPr>
              <w:t>拆除工程以及</w:t>
            </w:r>
            <w:r>
              <w:rPr>
                <w:rFonts w:hint="default" w:ascii="Times New Roman" w:hAnsi="Times New Roman" w:eastAsia="宋体" w:cs="Times New Roman"/>
                <w:color w:val="auto"/>
                <w:sz w:val="24"/>
                <w:szCs w:val="24"/>
                <w:highlight w:val="none"/>
              </w:rPr>
              <w:t>土建工程施工、建材的装卸等过程中，以及裸露地面车辆行驶而卷起的粉尘。按起尘的原因可分为风力起尘和动力起尘。</w:t>
            </w:r>
          </w:p>
          <w:p w14:paraId="734BF7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为了将扬尘产生的影响减少到最小，针对本项目车辆运输</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拆除工程</w:t>
            </w:r>
            <w:r>
              <w:rPr>
                <w:rFonts w:hint="default" w:ascii="Times New Roman" w:hAnsi="Times New Roman" w:eastAsia="宋体" w:cs="Times New Roman"/>
                <w:color w:val="auto"/>
                <w:sz w:val="24"/>
                <w:szCs w:val="24"/>
                <w:highlight w:val="none"/>
              </w:rPr>
              <w:t>及土建工程施工过程中的粉尘污染，施工中应严格按照《陕西省大气污染防治条例》（20</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修正版）、陕西省建筑施工扬尘治理措施16条及工地扬尘治理的“六个100%”相关要求及</w:t>
            </w:r>
            <w:r>
              <w:rPr>
                <w:rFonts w:hint="default" w:ascii="Times New Roman" w:hAnsi="Times New Roman" w:eastAsia="宋体" w:cs="Times New Roman"/>
                <w:color w:val="FF0000"/>
                <w:sz w:val="24"/>
                <w:szCs w:val="24"/>
                <w:highlight w:val="none"/>
              </w:rPr>
              <w:t>《</w:t>
            </w:r>
            <w:r>
              <w:rPr>
                <w:rFonts w:hint="eastAsia" w:ascii="Times New Roman" w:hAnsi="Times New Roman" w:eastAsia="宋体" w:cs="Times New Roman"/>
                <w:color w:val="FF0000"/>
                <w:sz w:val="24"/>
                <w:szCs w:val="24"/>
                <w:highlight w:val="none"/>
                <w:lang w:val="en-US" w:eastAsia="zh-CN"/>
              </w:rPr>
              <w:t>府谷县</w:t>
            </w:r>
            <w:r>
              <w:rPr>
                <w:rFonts w:hint="eastAsia" w:cs="Times New Roman"/>
                <w:color w:val="FF0000"/>
                <w:sz w:val="24"/>
                <w:szCs w:val="24"/>
                <w:highlight w:val="none"/>
                <w:lang w:val="en-US" w:eastAsia="zh-CN"/>
              </w:rPr>
              <w:t>2025</w:t>
            </w:r>
            <w:r>
              <w:rPr>
                <w:rFonts w:hint="default" w:ascii="Times New Roman" w:hAnsi="Times New Roman" w:eastAsia="宋体" w:cs="Times New Roman"/>
                <w:color w:val="FF0000"/>
                <w:sz w:val="24"/>
                <w:szCs w:val="24"/>
                <w:highlight w:val="none"/>
              </w:rPr>
              <w:t>年生态环境保护</w:t>
            </w:r>
            <w:r>
              <w:rPr>
                <w:rFonts w:hint="eastAsia" w:cs="Times New Roman"/>
                <w:color w:val="FF0000"/>
                <w:sz w:val="24"/>
                <w:szCs w:val="24"/>
                <w:highlight w:val="none"/>
                <w:lang w:val="en-US" w:eastAsia="zh-CN"/>
              </w:rPr>
              <w:t>铁腕治污</w:t>
            </w:r>
            <w:r>
              <w:rPr>
                <w:rFonts w:hint="default" w:ascii="Times New Roman" w:hAnsi="Times New Roman" w:eastAsia="宋体" w:cs="Times New Roman"/>
                <w:color w:val="FF0000"/>
                <w:sz w:val="24"/>
                <w:szCs w:val="24"/>
                <w:highlight w:val="none"/>
              </w:rPr>
              <w:t>攻坚行动方案》的通知（</w:t>
            </w:r>
            <w:r>
              <w:rPr>
                <w:rFonts w:hint="eastAsia" w:ascii="Times New Roman" w:hAnsi="Times New Roman" w:eastAsia="宋体" w:cs="Times New Roman"/>
                <w:color w:val="FF0000"/>
                <w:sz w:val="24"/>
                <w:szCs w:val="24"/>
                <w:highlight w:val="none"/>
                <w:lang w:val="en-US" w:eastAsia="zh-CN"/>
              </w:rPr>
              <w:t>府</w:t>
            </w:r>
            <w:r>
              <w:rPr>
                <w:rFonts w:hint="default" w:ascii="Times New Roman" w:hAnsi="Times New Roman" w:eastAsia="宋体" w:cs="Times New Roman"/>
                <w:color w:val="FF0000"/>
                <w:sz w:val="24"/>
                <w:szCs w:val="24"/>
                <w:highlight w:val="none"/>
              </w:rPr>
              <w:t>办</w:t>
            </w:r>
            <w:r>
              <w:rPr>
                <w:rFonts w:hint="eastAsia" w:ascii="Times New Roman" w:hAnsi="Times New Roman" w:eastAsia="宋体" w:cs="Times New Roman"/>
                <w:color w:val="FF0000"/>
                <w:sz w:val="24"/>
                <w:szCs w:val="24"/>
                <w:highlight w:val="none"/>
                <w:lang w:val="en-US" w:eastAsia="zh-CN"/>
              </w:rPr>
              <w:t>发</w:t>
            </w:r>
            <w:r>
              <w:rPr>
                <w:rFonts w:hint="default" w:ascii="Times New Roman" w:hAnsi="Times New Roman" w:eastAsia="宋体" w:cs="Times New Roman"/>
                <w:color w:val="FF0000"/>
                <w:sz w:val="24"/>
                <w:szCs w:val="24"/>
                <w:highlight w:val="none"/>
              </w:rPr>
              <w:t>〔202</w:t>
            </w:r>
            <w:r>
              <w:rPr>
                <w:rFonts w:hint="eastAsia" w:cs="Times New Roman"/>
                <w:color w:val="FF0000"/>
                <w:sz w:val="24"/>
                <w:szCs w:val="24"/>
                <w:highlight w:val="none"/>
                <w:lang w:val="en-US" w:eastAsia="zh-CN"/>
              </w:rPr>
              <w:t>5</w:t>
            </w:r>
            <w:r>
              <w:rPr>
                <w:rFonts w:hint="default" w:ascii="Times New Roman" w:hAnsi="Times New Roman" w:eastAsia="宋体" w:cs="Times New Roman"/>
                <w:color w:val="FF0000"/>
                <w:sz w:val="24"/>
                <w:szCs w:val="24"/>
                <w:highlight w:val="none"/>
              </w:rPr>
              <w:t>〕</w:t>
            </w:r>
            <w:r>
              <w:rPr>
                <w:rFonts w:hint="eastAsia" w:cs="Times New Roman"/>
                <w:color w:val="FF0000"/>
                <w:sz w:val="24"/>
                <w:szCs w:val="24"/>
                <w:highlight w:val="none"/>
                <w:lang w:val="en-US" w:eastAsia="zh-CN"/>
              </w:rPr>
              <w:t>5</w:t>
            </w:r>
            <w:r>
              <w:rPr>
                <w:rFonts w:hint="default" w:ascii="Times New Roman" w:hAnsi="Times New Roman" w:eastAsia="宋体" w:cs="Times New Roman"/>
                <w:color w:val="FF0000"/>
                <w:sz w:val="24"/>
                <w:szCs w:val="24"/>
                <w:highlight w:val="none"/>
              </w:rPr>
              <w:t>号）</w:t>
            </w:r>
            <w:r>
              <w:rPr>
                <w:rFonts w:hint="default" w:ascii="Times New Roman" w:hAnsi="Times New Roman" w:eastAsia="宋体" w:cs="Times New Roman"/>
                <w:color w:val="auto"/>
                <w:sz w:val="24"/>
                <w:szCs w:val="24"/>
                <w:highlight w:val="none"/>
              </w:rPr>
              <w:t>要求进行施工，为减轻项目施工对周围环境的影响，采取如下有效的防治措施：</w:t>
            </w:r>
          </w:p>
          <w:p w14:paraId="524F8D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加强施工期的环境管理，实行清洁生产，杜绝粗放式施工。</w:t>
            </w:r>
          </w:p>
          <w:p w14:paraId="7B53C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拆除构筑物、</w:t>
            </w:r>
            <w:r>
              <w:rPr>
                <w:rFonts w:hint="default" w:ascii="Times New Roman" w:hAnsi="Times New Roman" w:eastAsia="宋体" w:cs="Times New Roman"/>
                <w:color w:val="auto"/>
                <w:sz w:val="24"/>
                <w:szCs w:val="24"/>
                <w:highlight w:val="none"/>
              </w:rPr>
              <w:t>开挖、施工过程中，应洒水使作业面保持一定的湿度；对施工场地内松散、干涸的表土，采取洒水防尘；回填土方时，在表层土质干燥时应适当洒水，防止扬尘飞扬。</w:t>
            </w:r>
          </w:p>
          <w:p w14:paraId="2B007B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散装水泥、沙子和石灰等易生扬尘的建筑材料不得随意堆放，应设置专门的堆场，且堆场四周应有围挡结构。</w:t>
            </w:r>
          </w:p>
          <w:p w14:paraId="0D19AD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对施工现场和建筑体分别采取围栏、设置工棚、覆盖遮蔽等措施，阻隔施工扬尘污染；遇4级以上风力应停止土方等扬尘类施工。</w:t>
            </w:r>
          </w:p>
          <w:p w14:paraId="0A1916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运输建筑材料和设备的车辆不得超载，运输沙土、水泥、土方的车辆必须采取加盖篷布等防尘措施，防止物料沿途抛洒导致二次扬尘。</w:t>
            </w:r>
          </w:p>
          <w:p w14:paraId="6792C4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施工场地出入口配备专门的清洗设备和人员，负责对出入工地的运输车辆及时冲洗，不得携带泥土驶出施工工地；同时，对施工点周围应采取绿化及地面临时硬化等防尘措施。</w:t>
            </w:r>
          </w:p>
          <w:p w14:paraId="49D1B0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评价认为在采取以上措施后，可将施工扬尘限制在较小范围内，工程施工扬尘影响对环境影响可以得到有效减缓，并且随着施工活动的结束，这些污染也将消失。</w:t>
            </w:r>
          </w:p>
          <w:p w14:paraId="2AEA90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 xml:space="preserve">⑵ </w:t>
            </w:r>
            <w:r>
              <w:rPr>
                <w:rFonts w:hint="default" w:ascii="Times New Roman" w:hAnsi="Times New Roman" w:eastAsia="宋体" w:cs="Times New Roman"/>
                <w:b/>
                <w:bCs/>
                <w:color w:val="auto"/>
                <w:sz w:val="24"/>
                <w:szCs w:val="24"/>
                <w:highlight w:val="none"/>
              </w:rPr>
              <w:t>施工机械废气</w:t>
            </w:r>
          </w:p>
          <w:p w14:paraId="55017C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施工机械和运输车辆产生的汽车尾气，主要污染物为NOX、CO、HC等，由于本项目施工和运输量相对较小，且施工机械和运输车辆处在一个开放的环境，尾气扩散较快</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本次评价要求，施工过程中应确保施工机械用柴油机尾气达到</w:t>
            </w:r>
            <w:r>
              <w:rPr>
                <w:rFonts w:ascii="宋体" w:hAnsi="宋体"/>
                <w:color w:val="auto"/>
                <w:sz w:val="24"/>
                <w:szCs w:val="24"/>
                <w:highlight w:val="none"/>
              </w:rPr>
              <w:t>《非道路移动机械用柴油机排气污染物排放限值及测量方法（中国第三、四阶段）》（GB20891-2014）</w:t>
            </w:r>
            <w:r>
              <w:rPr>
                <w:rFonts w:hint="eastAsia" w:ascii="宋体" w:hAnsi="宋体"/>
                <w:color w:val="auto"/>
                <w:sz w:val="24"/>
                <w:szCs w:val="24"/>
                <w:highlight w:val="none"/>
                <w:lang w:val="en-US" w:eastAsia="zh-CN"/>
              </w:rPr>
              <w:t>及</w:t>
            </w:r>
            <w:r>
              <w:rPr>
                <w:rFonts w:ascii="宋体" w:hAnsi="宋体" w:cs="宋体"/>
                <w:color w:val="auto"/>
                <w:sz w:val="24"/>
                <w:szCs w:val="24"/>
                <w:highlight w:val="none"/>
              </w:rPr>
              <w:t>修改单</w:t>
            </w:r>
            <w:r>
              <w:rPr>
                <w:rFonts w:hint="eastAsia"/>
                <w:color w:val="auto"/>
                <w:highlight w:val="none"/>
                <w:lang w:eastAsia="zh-CN"/>
              </w:rPr>
              <w:t>、</w:t>
            </w:r>
            <w:r>
              <w:rPr>
                <w:rFonts w:hint="eastAsia"/>
                <w:color w:val="auto"/>
                <w:sz w:val="24"/>
                <w:szCs w:val="24"/>
                <w:highlight w:val="none"/>
              </w:rPr>
              <w:t>《非道路柴油移动机械排气烟度限值及测量方法》(DB1/1266-2018)</w:t>
            </w:r>
            <w:r>
              <w:rPr>
                <w:rFonts w:hint="eastAsia"/>
                <w:color w:val="auto"/>
                <w:sz w:val="24"/>
                <w:szCs w:val="24"/>
                <w:highlight w:val="none"/>
                <w:lang w:eastAsia="zh-CN"/>
              </w:rPr>
              <w:t>、</w:t>
            </w:r>
            <w:r>
              <w:rPr>
                <w:rFonts w:hint="eastAsia"/>
                <w:color w:val="auto"/>
                <w:sz w:val="24"/>
                <w:szCs w:val="24"/>
                <w:highlight w:val="none"/>
                <w:lang w:val="en-US" w:eastAsia="zh-CN"/>
              </w:rPr>
              <w:t>《非道路移动机械污染防治技术政策》</w:t>
            </w:r>
            <w:r>
              <w:rPr>
                <w:rFonts w:hint="eastAsia" w:ascii="宋体" w:hAnsi="宋体" w:cs="宋体"/>
                <w:color w:val="auto"/>
                <w:sz w:val="24"/>
                <w:szCs w:val="24"/>
                <w:highlight w:val="none"/>
                <w:lang w:eastAsia="zh-CN"/>
              </w:rPr>
              <w:t>以及</w:t>
            </w:r>
            <w:r>
              <w:rPr>
                <w:rFonts w:ascii="宋体" w:hAnsi="宋体" w:cs="宋体"/>
                <w:color w:val="auto"/>
                <w:sz w:val="24"/>
                <w:szCs w:val="24"/>
                <w:highlight w:val="none"/>
              </w:rPr>
              <w:t>其配套技术规范《</w:t>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"http://www.mee.gov.cn/ywgz/fgbz/bz/bzwb/dqhjbh/dqydywrwpfbz/202012/t20201231_815684.shtml" </w:instrText>
            </w:r>
            <w:r>
              <w:rPr>
                <w:rFonts w:ascii="宋体" w:hAnsi="宋体" w:cs="宋体"/>
                <w:color w:val="auto"/>
                <w:sz w:val="24"/>
                <w:szCs w:val="24"/>
                <w:highlight w:val="none"/>
              </w:rPr>
              <w:fldChar w:fldCharType="separate"/>
            </w:r>
            <w:r>
              <w:rPr>
                <w:rStyle w:val="31"/>
                <w:rFonts w:ascii="宋体" w:hAnsi="宋体" w:cs="宋体"/>
                <w:color w:val="auto"/>
                <w:sz w:val="24"/>
                <w:szCs w:val="24"/>
                <w:highlight w:val="none"/>
              </w:rPr>
              <w:t>非道路柴油移动机械污染物排放控制技术要求》（HJ1014-2020</w:t>
            </w:r>
            <w:r>
              <w:rPr>
                <w:rFonts w:ascii="宋体" w:hAnsi="宋体" w:cs="宋体"/>
                <w:color w:val="auto"/>
                <w:sz w:val="24"/>
                <w:szCs w:val="24"/>
                <w:highlight w:val="none"/>
              </w:rPr>
              <w:fldChar w:fldCharType="end"/>
            </w:r>
            <w:r>
              <w:rPr>
                <w:rFonts w:ascii="宋体" w:hAnsi="宋体" w:cs="宋体"/>
                <w:color w:val="auto"/>
                <w:sz w:val="24"/>
                <w:szCs w:val="24"/>
                <w:highlight w:val="none"/>
              </w:rPr>
              <w:t>）</w:t>
            </w:r>
            <w:r>
              <w:rPr>
                <w:color w:val="auto"/>
                <w:sz w:val="24"/>
                <w:szCs w:val="24"/>
                <w:highlight w:val="none"/>
              </w:rPr>
              <w:t>中相关标准限值</w:t>
            </w:r>
            <w:r>
              <w:rPr>
                <w:rFonts w:hint="eastAsia"/>
                <w:color w:val="auto"/>
                <w:sz w:val="24"/>
                <w:szCs w:val="24"/>
                <w:highlight w:val="none"/>
              </w:rPr>
              <w:t>要求</w:t>
            </w:r>
            <w:r>
              <w:rPr>
                <w:color w:val="auto"/>
                <w:sz w:val="24"/>
                <w:szCs w:val="24"/>
                <w:highlight w:val="none"/>
              </w:rPr>
              <w:t>，</w:t>
            </w:r>
            <w:r>
              <w:rPr>
                <w:rFonts w:ascii="宋体" w:hAnsi="宋体"/>
                <w:color w:val="auto"/>
                <w:sz w:val="24"/>
                <w:szCs w:val="24"/>
                <w:highlight w:val="none"/>
              </w:rPr>
              <w:t>可减少尾气排放对环境的污染，同时</w:t>
            </w:r>
            <w:r>
              <w:rPr>
                <w:rFonts w:hint="eastAsia" w:ascii="宋体" w:hAnsi="宋体"/>
                <w:color w:val="auto"/>
                <w:sz w:val="24"/>
                <w:szCs w:val="24"/>
                <w:highlight w:val="none"/>
                <w:lang w:eastAsia="zh-CN"/>
              </w:rPr>
              <w:t>本扩建项目</w:t>
            </w:r>
            <w:r>
              <w:rPr>
                <w:rFonts w:ascii="宋体" w:hAnsi="宋体"/>
                <w:color w:val="auto"/>
                <w:sz w:val="24"/>
                <w:szCs w:val="24"/>
                <w:highlight w:val="none"/>
              </w:rPr>
              <w:t>施工场地开阔，扩散条件良好，因此施工机械废气环境影响小。</w:t>
            </w:r>
            <w:r>
              <w:rPr>
                <w:rFonts w:hint="eastAsia" w:ascii="宋体" w:hAnsi="宋体"/>
                <w:color w:val="auto"/>
                <w:sz w:val="24"/>
                <w:szCs w:val="24"/>
                <w:highlight w:val="none"/>
                <w:lang w:val="en-US" w:eastAsia="zh-CN"/>
              </w:rPr>
              <w:t>同时</w:t>
            </w:r>
            <w:r>
              <w:rPr>
                <w:rFonts w:hint="eastAsia" w:ascii="宋体" w:hAnsi="宋体"/>
                <w:color w:val="auto"/>
                <w:sz w:val="24"/>
                <w:szCs w:val="24"/>
                <w:highlight w:val="none"/>
              </w:rPr>
              <w:t>榆林市从2019年开始对全市范围内的非道路移动机械用柴油机实施编码登记管理，牌照登记信息</w:t>
            </w:r>
            <w:r>
              <w:rPr>
                <w:rFonts w:hint="eastAsia" w:ascii="宋体" w:hAnsi="宋体" w:cs="宋体"/>
                <w:color w:val="auto"/>
                <w:sz w:val="24"/>
                <w:szCs w:val="24"/>
                <w:highlight w:val="none"/>
              </w:rPr>
              <w:t>主要包括生产厂家名称、出厂日期等基本信息，所有人或使用人名称（可为单位或个人）、联系方式等</w:t>
            </w:r>
            <w:r>
              <w:rPr>
                <w:rFonts w:hint="eastAsia" w:ascii="宋体" w:hAnsi="宋体" w:cs="宋体"/>
                <w:color w:val="auto"/>
                <w:sz w:val="24"/>
                <w:szCs w:val="24"/>
              </w:rPr>
              <w:t>登记人信息，排放阶段、机械类型（按用途分）、燃料类型、污染控制装置等技术信息，以及机械铭牌、发动机铭牌、非道路移动机械环保信息公开标签等，项目施工期使用非道路移动机械需严格核对其相应的登记信息。</w:t>
            </w:r>
          </w:p>
          <w:p w14:paraId="7609AF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）道路运输扬尘控制措施</w:t>
            </w:r>
          </w:p>
          <w:p w14:paraId="6A3FA3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多尘物料应使用帆布覆盖，采用封闭的运输车或经过改造的可以封闭的运输车进行运输，防止运输过程中的</w:t>
            </w:r>
            <w:r>
              <w:rPr>
                <w:rFonts w:hint="default" w:ascii="Times New Roman" w:hAnsi="Times New Roman" w:eastAsia="宋体" w:cs="Times New Roman"/>
                <w:color w:val="auto"/>
                <w:sz w:val="24"/>
                <w:szCs w:val="24"/>
                <w:highlight w:val="none"/>
                <w:lang w:eastAsia="zh-CN"/>
              </w:rPr>
              <w:t>扬尘</w:t>
            </w:r>
            <w:r>
              <w:rPr>
                <w:rFonts w:hint="default" w:ascii="Times New Roman" w:hAnsi="Times New Roman" w:eastAsia="宋体" w:cs="Times New Roman"/>
                <w:color w:val="auto"/>
                <w:sz w:val="24"/>
                <w:szCs w:val="24"/>
                <w:highlight w:val="none"/>
              </w:rPr>
              <w:t>飞扬和洒落；</w:t>
            </w:r>
          </w:p>
          <w:p w14:paraId="12DDB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运输车辆不得超载，被运物料不得含水太多，造成沿途泥浆滴漏，从而影响道路整洁，建筑固废必须及时清运并按照指定的运输线路行驶，送往指定的倾倒地点；</w:t>
            </w:r>
          </w:p>
          <w:p w14:paraId="2F03A0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驶离工地的车辆轮胎必须经过清洗，避免工地泥浆带入城镇道路环境；</w:t>
            </w:r>
          </w:p>
          <w:p w14:paraId="6CCCB1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妥善合理地安排工地建筑材料及其</w:t>
            </w:r>
            <w:r>
              <w:rPr>
                <w:rFonts w:hint="eastAsia" w:ascii="Times New Roman" w:hAnsi="Times New Roman" w:eastAsia="宋体" w:cs="Times New Roman"/>
                <w:color w:val="auto"/>
                <w:sz w:val="24"/>
                <w:szCs w:val="24"/>
                <w:highlight w:val="none"/>
                <w:lang w:eastAsia="zh-CN"/>
              </w:rPr>
              <w:t>他</w:t>
            </w:r>
            <w:r>
              <w:rPr>
                <w:rFonts w:hint="default" w:ascii="Times New Roman" w:hAnsi="Times New Roman" w:eastAsia="宋体" w:cs="Times New Roman"/>
                <w:color w:val="auto"/>
                <w:sz w:val="24"/>
                <w:szCs w:val="24"/>
                <w:highlight w:val="none"/>
              </w:rPr>
              <w:t>物料的运输时间，控制车辆行驶速度；</w:t>
            </w:r>
          </w:p>
          <w:p w14:paraId="22F7BE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施工现场道路要做到坚实路面，经常清扫路面，定时适当洒水，保持路面湿润。</w:t>
            </w:r>
          </w:p>
          <w:p w14:paraId="31780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总之，只要加强管理、切实落实好这些措施，施工场地扬尘对环境的影响将会大大降低。同时，施工期对周围环境空气的影响是局部的、暂时的，施工期较短，随着施工结束对环境影响将消失。</w:t>
            </w:r>
          </w:p>
          <w:p w14:paraId="427F991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2、水</w:t>
            </w:r>
            <w:r>
              <w:rPr>
                <w:rFonts w:hint="default" w:ascii="Times New Roman" w:hAnsi="Times New Roman" w:eastAsia="宋体" w:cs="Times New Roman"/>
                <w:b/>
                <w:bCs/>
                <w:color w:val="auto"/>
                <w:sz w:val="24"/>
                <w:szCs w:val="24"/>
                <w:highlight w:val="none"/>
                <w:lang w:eastAsia="zh-CN"/>
              </w:rPr>
              <w:t>环境影响分析与污染防治措施</w:t>
            </w:r>
          </w:p>
          <w:p w14:paraId="107F2A8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eastAsia="zh-CN" w:bidi="ar"/>
              </w:rPr>
              <w:t xml:space="preserve">⑴ </w:t>
            </w:r>
            <w:r>
              <w:rPr>
                <w:rFonts w:hint="default" w:ascii="Times New Roman" w:hAnsi="Times New Roman" w:eastAsia="宋体" w:cs="Times New Roman"/>
                <w:b/>
                <w:bCs/>
                <w:color w:val="auto"/>
                <w:sz w:val="24"/>
                <w:szCs w:val="24"/>
                <w:highlight w:val="none"/>
              </w:rPr>
              <w:t>施工人员生活污水</w:t>
            </w:r>
          </w:p>
          <w:p w14:paraId="15F4728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施工期间，施工人员</w:t>
            </w:r>
            <w:r>
              <w:rPr>
                <w:rFonts w:hint="default" w:ascii="Times New Roman" w:hAnsi="Times New Roman" w:eastAsia="宋体" w:cs="Times New Roman"/>
                <w:color w:val="auto"/>
                <w:sz w:val="24"/>
                <w:szCs w:val="24"/>
                <w:highlight w:val="none"/>
                <w:lang w:eastAsia="zh-CN"/>
              </w:rPr>
              <w:t>施工期</w:t>
            </w:r>
            <w:r>
              <w:rPr>
                <w:rFonts w:hint="default" w:ascii="Times New Roman" w:hAnsi="Times New Roman" w:eastAsia="宋体" w:cs="Times New Roman"/>
                <w:color w:val="auto"/>
                <w:sz w:val="24"/>
                <w:szCs w:val="24"/>
                <w:highlight w:val="none"/>
              </w:rPr>
              <w:t>产生生活污水，产生量较少，</w:t>
            </w:r>
            <w:r>
              <w:rPr>
                <w:rFonts w:hint="eastAsia" w:cs="Times New Roman"/>
                <w:color w:val="auto"/>
                <w:sz w:val="24"/>
                <w:szCs w:val="24"/>
                <w:highlight w:val="none"/>
                <w:lang w:val="en-US" w:eastAsia="zh-CN"/>
              </w:rPr>
              <w:t>依托洗煤厂现有旱厕</w:t>
            </w:r>
            <w:r>
              <w:rPr>
                <w:rFonts w:hint="default" w:ascii="Times New Roman" w:hAnsi="Times New Roman" w:eastAsia="宋体" w:cs="Times New Roman"/>
                <w:color w:val="auto"/>
                <w:sz w:val="24"/>
                <w:szCs w:val="24"/>
                <w:highlight w:val="none"/>
              </w:rPr>
              <w:t>。</w:t>
            </w:r>
          </w:p>
          <w:p w14:paraId="1BE07FD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eastAsia="zh-CN" w:bidi="ar"/>
              </w:rPr>
              <w:t xml:space="preserve">⑵ </w:t>
            </w:r>
            <w:r>
              <w:rPr>
                <w:rFonts w:hint="default" w:ascii="Times New Roman" w:hAnsi="Times New Roman" w:eastAsia="宋体" w:cs="Times New Roman"/>
                <w:b/>
                <w:bCs/>
                <w:color w:val="auto"/>
                <w:sz w:val="24"/>
                <w:szCs w:val="24"/>
                <w:highlight w:val="none"/>
              </w:rPr>
              <w:t>施工废水</w:t>
            </w:r>
          </w:p>
          <w:p w14:paraId="3DA7C4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施工废水主要为砂石料洗涤用水、混凝土养护排水和设备冲洗排水等，悬浮物含量较高，悬浮物的主要成分为泥沙，施工单位</w:t>
            </w:r>
            <w:r>
              <w:rPr>
                <w:rFonts w:hint="eastAsia" w:cs="Times New Roman"/>
                <w:color w:val="auto"/>
                <w:sz w:val="24"/>
                <w:szCs w:val="24"/>
                <w:highlight w:val="none"/>
                <w:lang w:val="en-US" w:eastAsia="zh-CN"/>
              </w:rPr>
              <w:t>可利用现有工程事故水池作为简易沉淀池</w:t>
            </w:r>
            <w:r>
              <w:rPr>
                <w:rFonts w:hint="default" w:ascii="Times New Roman" w:hAnsi="Times New Roman" w:eastAsia="宋体" w:cs="Times New Roman"/>
                <w:color w:val="auto"/>
                <w:sz w:val="24"/>
                <w:szCs w:val="24"/>
                <w:highlight w:val="none"/>
              </w:rPr>
              <w:t>，经过沉淀后大部分回用于施工过程相应用水工序，剩余用于施工场地洒水抑尘，通过类比其他施工工地，该措施简单可行。因此，项目施工过程中产生的废水基本不会</w:t>
            </w:r>
            <w:r>
              <w:rPr>
                <w:rFonts w:hint="default"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水环境产生影响。</w:t>
            </w:r>
          </w:p>
          <w:p w14:paraId="701F376A">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r>
              <w:rPr>
                <w:rFonts w:hint="default" w:ascii="Times New Roman" w:hAnsi="Times New Roman" w:eastAsia="宋体" w:cs="Times New Roman"/>
                <w:b/>
                <w:bCs/>
                <w:color w:val="auto"/>
                <w:sz w:val="24"/>
                <w:szCs w:val="24"/>
                <w:highlight w:val="none"/>
                <w:lang w:eastAsia="zh-CN"/>
              </w:rPr>
              <w:t>环境影响分析与污染防治措施</w:t>
            </w:r>
          </w:p>
          <w:p w14:paraId="3D9256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施工期噪声源主要包括施工期使用的挖掘机、装载机、钢筋切断机等，产生的等效噪声级约8</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zh-CN" w:eastAsia="zh-CN"/>
              </w:rPr>
              <w:t>～11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zh-CN" w:eastAsia="zh-CN"/>
              </w:rPr>
              <w:t>dB（A），</w:t>
            </w:r>
            <w:r>
              <w:rPr>
                <w:rFonts w:hint="default" w:ascii="Times New Roman" w:hAnsi="Times New Roman" w:eastAsia="宋体" w:cs="Times New Roman"/>
                <w:color w:val="auto"/>
                <w:sz w:val="24"/>
                <w:szCs w:val="24"/>
                <w:highlight w:val="none"/>
              </w:rPr>
              <w:t>噪声具有临时性、阶段性和不固定性等特点，随着施工的结束，施工噪声对周围声环境的影响也将停止。</w:t>
            </w:r>
            <w:r>
              <w:rPr>
                <w:rFonts w:hint="default" w:ascii="Times New Roman" w:hAnsi="Times New Roman" w:eastAsia="宋体" w:cs="Times New Roman"/>
                <w:color w:val="auto"/>
                <w:sz w:val="24"/>
                <w:szCs w:val="24"/>
                <w:highlight w:val="none"/>
                <w:lang w:val="zh-CN" w:eastAsia="zh-CN"/>
              </w:rPr>
              <w:t>环评要求施工期采取以下防治措施：</w:t>
            </w:r>
          </w:p>
          <w:p w14:paraId="0E316A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①</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zh-CN" w:eastAsia="zh-CN"/>
              </w:rPr>
              <w:t>施工场界内合</w:t>
            </w:r>
            <w:r>
              <w:rPr>
                <w:rFonts w:hint="default" w:ascii="Times New Roman" w:hAnsi="Times New Roman" w:eastAsia="宋体" w:cs="Times New Roman"/>
                <w:color w:val="auto"/>
                <w:sz w:val="24"/>
                <w:szCs w:val="24"/>
                <w:highlight w:val="none"/>
              </w:rPr>
              <w:t>理安排施工机械，噪声大的施工机械布置在远离居民区等敏感点的一侧</w:t>
            </w:r>
            <w:r>
              <w:rPr>
                <w:rFonts w:hint="default" w:ascii="Times New Roman" w:hAnsi="Times New Roman" w:eastAsia="宋体" w:cs="Times New Roman"/>
                <w:color w:val="auto"/>
                <w:sz w:val="24"/>
                <w:szCs w:val="24"/>
                <w:highlight w:val="none"/>
                <w:lang w:eastAsia="zh-CN"/>
              </w:rPr>
              <w:t>；</w:t>
            </w:r>
          </w:p>
          <w:p w14:paraId="5BCAEB2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合理安排作业时间，将噪声大的作业安排在白天；进行夜间施工作业的，采取措施，最大限度减少施工噪声</w:t>
            </w:r>
            <w:r>
              <w:rPr>
                <w:rFonts w:hint="default" w:ascii="Times New Roman" w:hAnsi="Times New Roman" w:eastAsia="宋体" w:cs="Times New Roman"/>
                <w:color w:val="auto"/>
                <w:sz w:val="24"/>
                <w:szCs w:val="24"/>
                <w:highlight w:val="none"/>
                <w:lang w:eastAsia="zh-CN"/>
              </w:rPr>
              <w:t>；</w:t>
            </w:r>
          </w:p>
          <w:p w14:paraId="28AFA97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建设单位、施工单位做好与周边居民的沟通工作，公告附近居民和单位</w:t>
            </w:r>
            <w:r>
              <w:rPr>
                <w:rFonts w:hint="default" w:ascii="Times New Roman" w:hAnsi="Times New Roman" w:eastAsia="宋体" w:cs="Times New Roman"/>
                <w:color w:val="auto"/>
                <w:sz w:val="24"/>
                <w:szCs w:val="24"/>
                <w:highlight w:val="none"/>
                <w:lang w:eastAsia="zh-CN"/>
              </w:rPr>
              <w:t>；</w:t>
            </w:r>
          </w:p>
          <w:p w14:paraId="1CD11A0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④</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承担夜间材料运输的车辆，进入施工现场严禁鸣笛，装卸材料应做到轻拿轻放，最大限度地减少噪声扰民</w:t>
            </w:r>
            <w:r>
              <w:rPr>
                <w:rFonts w:hint="default" w:ascii="Times New Roman" w:hAnsi="Times New Roman" w:eastAsia="宋体" w:cs="Times New Roman"/>
                <w:color w:val="auto"/>
                <w:sz w:val="24"/>
                <w:szCs w:val="24"/>
                <w:highlight w:val="none"/>
                <w:lang w:eastAsia="zh-CN"/>
              </w:rPr>
              <w:t>；</w:t>
            </w:r>
          </w:p>
          <w:p w14:paraId="0B91A3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施工时</w:t>
            </w:r>
            <w:r>
              <w:rPr>
                <w:rFonts w:hint="default" w:ascii="Times New Roman" w:hAnsi="Times New Roman" w:eastAsia="宋体" w:cs="Times New Roman"/>
                <w:color w:val="auto"/>
                <w:sz w:val="24"/>
                <w:szCs w:val="24"/>
                <w:highlight w:val="none"/>
                <w:lang w:eastAsia="zh-CN"/>
              </w:rPr>
              <w:t>加强对</w:t>
            </w:r>
            <w:r>
              <w:rPr>
                <w:rFonts w:hint="default" w:ascii="Times New Roman" w:hAnsi="Times New Roman" w:eastAsia="宋体" w:cs="Times New Roman"/>
                <w:color w:val="auto"/>
                <w:sz w:val="24"/>
                <w:szCs w:val="24"/>
                <w:highlight w:val="none"/>
              </w:rPr>
              <w:t>施工人员的环保意识教育，降低人为因素造成的噪声污染。</w:t>
            </w:r>
          </w:p>
          <w:p w14:paraId="2F8FF9C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val="en-US" w:eastAsia="zh-CN"/>
              </w:rPr>
              <w:t>通过以上防治措施，</w:t>
            </w:r>
            <w:r>
              <w:rPr>
                <w:rFonts w:hint="default" w:ascii="Times New Roman" w:hAnsi="Times New Roman" w:eastAsia="宋体" w:cs="Times New Roman"/>
                <w:color w:val="auto"/>
                <w:sz w:val="24"/>
                <w:szCs w:val="24"/>
                <w:highlight w:val="none"/>
              </w:rPr>
              <w:t>施工</w:t>
            </w:r>
            <w:r>
              <w:rPr>
                <w:rFonts w:hint="default" w:ascii="Times New Roman" w:hAnsi="Times New Roman" w:eastAsia="宋体" w:cs="Times New Roman"/>
                <w:color w:val="auto"/>
                <w:sz w:val="24"/>
                <w:szCs w:val="24"/>
                <w:highlight w:val="none"/>
                <w:lang w:val="en-US" w:eastAsia="zh-CN"/>
              </w:rPr>
              <w:t>作业产生的噪声</w:t>
            </w:r>
            <w:r>
              <w:rPr>
                <w:rFonts w:hint="default" w:ascii="Times New Roman" w:hAnsi="Times New Roman" w:eastAsia="宋体" w:cs="Times New Roman"/>
                <w:color w:val="auto"/>
                <w:sz w:val="24"/>
                <w:szCs w:val="24"/>
                <w:highlight w:val="none"/>
              </w:rPr>
              <w:t>和车辆噪声对周围声环境影响较小。</w:t>
            </w:r>
          </w:p>
          <w:p w14:paraId="07D54A01">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固体废弃物</w:t>
            </w:r>
            <w:r>
              <w:rPr>
                <w:rFonts w:hint="default" w:ascii="Times New Roman" w:hAnsi="Times New Roman" w:eastAsia="宋体" w:cs="Times New Roman"/>
                <w:b/>
                <w:bCs/>
                <w:color w:val="auto"/>
                <w:sz w:val="24"/>
                <w:szCs w:val="24"/>
                <w:highlight w:val="none"/>
                <w:lang w:eastAsia="zh-CN"/>
              </w:rPr>
              <w:t>环境影响分析与污染防治措施</w:t>
            </w:r>
          </w:p>
          <w:p w14:paraId="390FB1E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施工期固体废物主要包括建筑垃圾、施工人员的生活垃圾。</w:t>
            </w:r>
          </w:p>
          <w:p w14:paraId="2107F7F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⑴</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建筑垃圾</w:t>
            </w:r>
          </w:p>
          <w:p w14:paraId="61F72BC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施工建筑垃圾主要为</w:t>
            </w:r>
            <w:r>
              <w:rPr>
                <w:rFonts w:hint="eastAsia" w:cs="Times New Roman"/>
                <w:color w:val="auto"/>
                <w:sz w:val="24"/>
                <w:szCs w:val="24"/>
                <w:highlight w:val="none"/>
                <w:lang w:val="en-US" w:eastAsia="zh-CN"/>
              </w:rPr>
              <w:t>拆除部分建构筑物、设备、</w:t>
            </w:r>
            <w:r>
              <w:rPr>
                <w:rFonts w:hint="default" w:ascii="Times New Roman" w:hAnsi="Times New Roman" w:eastAsia="宋体" w:cs="Times New Roman"/>
                <w:color w:val="auto"/>
                <w:sz w:val="24"/>
                <w:szCs w:val="24"/>
                <w:highlight w:val="none"/>
              </w:rPr>
              <w:t>基础开挖及土建工程产生的施工砖瓦石块、渣土、泥土、废弃的混凝土、水泥和砂浆等。施工期产生的建筑垃圾约为</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对于建筑垃圾应采取有计划的堆放，分类处置，应综合利用或就近运往指定的建筑垃圾填埋场处置。</w:t>
            </w:r>
          </w:p>
          <w:p w14:paraId="40BD100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⑵</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生活垃圾</w:t>
            </w:r>
          </w:p>
          <w:p w14:paraId="38E0E50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生活垃圾来源于施工人员生活过程中遗弃的废弃物，以有机物为主。施工人员平均每人排放生活垃圾约0.5kg/d，施工期最大施工人数按20人计算，生活垃圾产生量约10kg/d，收集后环卫部门指定地点统一处置。</w:t>
            </w:r>
          </w:p>
          <w:p w14:paraId="0843D1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仿宋" w:hAnsi="仿宋" w:eastAsia="仿宋" w:cs="仿宋"/>
                <w:color w:val="auto"/>
                <w:sz w:val="24"/>
                <w:szCs w:val="24"/>
                <w:highlight w:val="none"/>
              </w:rPr>
              <w:t>⑶</w:t>
            </w:r>
            <w:r>
              <w:rPr>
                <w:rFonts w:hint="eastAsia" w:cs="Times New Roman"/>
                <w:color w:val="auto"/>
                <w:sz w:val="24"/>
                <w:szCs w:val="24"/>
                <w:highlight w:val="none"/>
                <w:lang w:val="en-US" w:eastAsia="zh-CN"/>
              </w:rPr>
              <w:t xml:space="preserve"> 拆除固废</w:t>
            </w:r>
          </w:p>
          <w:p w14:paraId="5A7A20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少量拆除活动会产生遗留的固体废物，主要包含建筑垃圾以及第I类一般工业固体废物。环评要求，企业在拆除活动中尽量减少固体废物的产生，对产生的拆除固废需要现场贮存的，应当分类贮存，贮存区域应当使用水泥硬化，并分别制定后续处理或利用处置方案。</w:t>
            </w:r>
          </w:p>
          <w:p w14:paraId="56CA2E3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项目建设期固废均得到妥善处置，不会对周围环境产生明显影响。</w:t>
            </w:r>
          </w:p>
          <w:p w14:paraId="7BC5207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w:t>
            </w:r>
          </w:p>
          <w:p w14:paraId="57D254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本工程的生态环境影响主要集中在施工期间，项目</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eastAsia="宋体" w:cs="Times New Roman"/>
                <w:color w:val="auto"/>
                <w:sz w:val="24"/>
                <w:szCs w:val="24"/>
                <w:highlight w:val="none"/>
                <w:lang w:val="en-US" w:eastAsia="zh-CN"/>
              </w:rPr>
              <w:t>现有洗煤厂东侧建设，且大部分土地已完成平整，仅洗煤厂北侧部分土地未平整，故施工期仅涉及小范围</w:t>
            </w:r>
            <w:r>
              <w:rPr>
                <w:rFonts w:hint="default" w:ascii="Times New Roman" w:hAnsi="Times New Roman" w:eastAsia="宋体" w:cs="Times New Roman"/>
                <w:color w:val="auto"/>
                <w:sz w:val="24"/>
                <w:szCs w:val="24"/>
                <w:highlight w:val="none"/>
              </w:rPr>
              <w:t>土石方</w:t>
            </w:r>
            <w:r>
              <w:rPr>
                <w:rFonts w:hint="eastAsia" w:ascii="Times New Roman" w:hAnsi="Times New Roman" w:eastAsia="宋体"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rPr>
              <w:t>的填挖</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根据建设单位提供资料，项目土石方总量约9200m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，其中挖方约4600m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，填方4600m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lang w:eastAsia="zh-CN"/>
              </w:rPr>
              <w:t>挖方经综合利用调配后全部回填，无弃方。</w:t>
            </w:r>
            <w:r>
              <w:rPr>
                <w:rFonts w:ascii="宋体" w:hAnsi="宋体"/>
                <w:bCs/>
                <w:color w:val="auto"/>
                <w:sz w:val="24"/>
                <w:szCs w:val="24"/>
                <w:highlight w:val="none"/>
              </w:rPr>
              <w:t>本项目占地为工业用地，</w:t>
            </w:r>
            <w:r>
              <w:rPr>
                <w:rFonts w:hint="default" w:ascii="Times New Roman" w:hAnsi="Times New Roman" w:cs="Times New Roman"/>
                <w:color w:val="auto"/>
                <w:sz w:val="24"/>
                <w:szCs w:val="24"/>
                <w:highlight w:val="none"/>
              </w:rPr>
              <w:t>施工范围相对较小，且施工期比较短暂，在对厂区裸露地面及时进行防护，堆放物料用篷布遮盖以防雨水等冲刷，同时对厂区及周边能进行绿化的应及时进行绿化。因此，工程在认真采取以上措施后，施工期水土流失可以得到有效控制，对生态环境影响是可以接受的。为防止生态影响，建议采取以下措施：</w:t>
            </w:r>
          </w:p>
          <w:p w14:paraId="24A14E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⑴ 施工中应加强施工管理，尽量缩小施工范围，各种施工活动应严格控制在施工区域内。项目在划定的施工区建设，施工过程中对于临时堆土全部采取挡护、苫盖等措施，并对施工区扰动地表采取碾压、洒水等临时防护措施。</w:t>
            </w:r>
          </w:p>
          <w:p w14:paraId="234158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⑵ 施工期应尽量避开雨季，以减少因地表破坏造成的水土流失。</w:t>
            </w:r>
          </w:p>
          <w:p w14:paraId="29B303AD">
            <w:pPr>
              <w:adjustRightInd w:val="0"/>
              <w:snapToGrid w:val="0"/>
              <w:spacing w:line="360" w:lineRule="auto"/>
              <w:ind w:firstLine="480" w:firstLineChars="200"/>
              <w:rPr>
                <w:rFonts w:ascii="宋体" w:hAnsi="宋体"/>
                <w:bCs/>
                <w:color w:val="auto"/>
                <w:sz w:val="24"/>
                <w:szCs w:val="24"/>
              </w:rPr>
            </w:pPr>
            <w:r>
              <w:rPr>
                <w:rFonts w:hint="default" w:ascii="Times New Roman" w:hAnsi="Times New Roman" w:cs="Times New Roman"/>
                <w:color w:val="auto"/>
                <w:sz w:val="24"/>
                <w:szCs w:val="24"/>
                <w:highlight w:val="none"/>
              </w:rPr>
              <w:t>⑶ 妥善处理建设期产生的各类污染物、生活垃圾等，要进行统一集中处理，不得随意弃置。施工结束后，要进行现场清理，采取恢复措施。</w:t>
            </w:r>
          </w:p>
          <w:p w14:paraId="7E33FE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sz w:val="24"/>
                <w:szCs w:val="24"/>
              </w:rPr>
            </w:pPr>
            <w:r>
              <w:rPr>
                <w:rFonts w:ascii="宋体" w:hAnsi="宋体"/>
                <w:bCs/>
                <w:color w:val="auto"/>
                <w:sz w:val="24"/>
                <w:szCs w:val="24"/>
              </w:rPr>
              <w:t>综上，施工期对环境造成的影响大部分是暂时的，这些影响会随着施工的结束而消失</w:t>
            </w:r>
            <w:r>
              <w:rPr>
                <w:rFonts w:ascii="宋体" w:hAnsi="宋体"/>
                <w:color w:val="auto"/>
                <w:sz w:val="24"/>
                <w:szCs w:val="24"/>
              </w:rPr>
              <w:t>。</w:t>
            </w:r>
          </w:p>
          <w:p w14:paraId="7F64766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b/>
                <w:bCs/>
                <w:color w:val="auto"/>
                <w:sz w:val="24"/>
                <w:szCs w:val="24"/>
                <w:lang w:val="en-US" w:eastAsia="zh-CN"/>
              </w:rPr>
            </w:pPr>
            <w:r>
              <w:rPr>
                <w:rFonts w:hint="eastAsia" w:ascii="宋体" w:hAnsi="宋体"/>
                <w:b/>
                <w:bCs/>
                <w:color w:val="auto"/>
                <w:sz w:val="24"/>
                <w:szCs w:val="24"/>
                <w:lang w:val="en-US" w:eastAsia="zh-CN"/>
              </w:rPr>
              <w:t>6、防沙治沙措施</w:t>
            </w:r>
          </w:p>
          <w:p w14:paraId="0380C4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bCs/>
                <w:color w:val="auto"/>
                <w:sz w:val="24"/>
                <w:szCs w:val="24"/>
                <w:lang w:val="en-US" w:eastAsia="zh-CN"/>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施工过程中将进行</w:t>
            </w:r>
            <w:r>
              <w:rPr>
                <w:rFonts w:hint="eastAsia" w:ascii="Times New Roman" w:hAnsi="Times New Roman" w:cs="Times New Roman"/>
                <w:color w:val="auto"/>
                <w:sz w:val="24"/>
                <w:szCs w:val="24"/>
                <w:highlight w:val="none"/>
                <w:lang w:val="en-US" w:eastAsia="zh-CN"/>
              </w:rPr>
              <w:t>少量</w:t>
            </w:r>
            <w:r>
              <w:rPr>
                <w:rFonts w:hint="default" w:ascii="Times New Roman" w:hAnsi="Times New Roman" w:cs="Times New Roman"/>
                <w:color w:val="auto"/>
                <w:sz w:val="24"/>
                <w:szCs w:val="24"/>
                <w:highlight w:val="none"/>
              </w:rPr>
              <w:t>土石方的填挖，</w:t>
            </w:r>
            <w:r>
              <w:rPr>
                <w:rFonts w:hint="eastAsia" w:ascii="Times New Roman" w:hAnsi="Times New Roman" w:cs="Times New Roman"/>
                <w:color w:val="auto"/>
                <w:sz w:val="24"/>
                <w:szCs w:val="24"/>
                <w:highlight w:val="none"/>
                <w:lang w:val="en-US" w:eastAsia="zh-CN"/>
              </w:rPr>
              <w:t>本次评价要求</w:t>
            </w:r>
            <w:r>
              <w:rPr>
                <w:rFonts w:hint="default" w:ascii="Times New Roman" w:hAnsi="Times New Roman" w:cs="Times New Roman"/>
                <w:color w:val="auto"/>
                <w:sz w:val="24"/>
                <w:szCs w:val="24"/>
                <w:highlight w:val="none"/>
              </w:rPr>
              <w:t>针对项目区制定有关防沙治沙和修复措施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在施工区域制定有关防沙治沙和修复措施</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施工前对未平整的土地进行表土剥离，集中堆放于施工场地内，对表土及开挖土石方临时堆土采取装土袋拦挡、密目网苫盖等临时防护措施，防止起风沙；大风天气和干燥天气进行必要的洒水抑尘、遮蔽和围挡，降低水土流失影响。施工结束后，及时将表土回覆于厂区需要绿化区域进行土地整治、恢复植被。</w:t>
            </w:r>
          </w:p>
        </w:tc>
      </w:tr>
      <w:tr w14:paraId="4F58F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9" w:hRule="atLeast"/>
          <w:jc w:val="center"/>
        </w:trPr>
        <w:tc>
          <w:tcPr>
            <w:tcW w:w="425" w:type="dxa"/>
            <w:noWrap w:val="0"/>
            <w:tcMar>
              <w:left w:w="28" w:type="dxa"/>
              <w:right w:w="28" w:type="dxa"/>
            </w:tcMar>
            <w:vAlign w:val="center"/>
          </w:tcPr>
          <w:p w14:paraId="763B945E">
            <w:pPr>
              <w:pStyle w:val="24"/>
              <w:adjustRightInd w:val="0"/>
              <w:snapToGrid w:val="0"/>
              <w:spacing w:before="0" w:beforeAutospacing="0" w:after="0" w:afterAutospacing="0"/>
              <w:jc w:val="center"/>
              <w:rPr>
                <w:rFonts w:ascii="Times New Roman" w:hAnsi="Times New Roman" w:eastAsia="宋体"/>
                <w:bCs/>
                <w:color w:val="auto"/>
                <w:kern w:val="2"/>
                <w:szCs w:val="24"/>
                <w:lang w:val="en-US" w:eastAsia="zh-CN"/>
              </w:rPr>
            </w:pPr>
            <w:r>
              <w:rPr>
                <w:rFonts w:ascii="Times New Roman" w:hAnsi="Times New Roman" w:eastAsia="宋体"/>
                <w:bCs/>
                <w:color w:val="auto"/>
                <w:spacing w:val="10"/>
                <w:kern w:val="2"/>
                <w:szCs w:val="24"/>
                <w:lang w:val="en-US" w:eastAsia="zh-CN"/>
              </w:rPr>
              <w:t>运营期生态环境影响分析</w:t>
            </w:r>
          </w:p>
        </w:tc>
        <w:tc>
          <w:tcPr>
            <w:tcW w:w="8017" w:type="dxa"/>
            <w:noWrap w:val="0"/>
            <w:vAlign w:val="top"/>
          </w:tcPr>
          <w:p w14:paraId="20F08C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bCs/>
                <w:color w:val="auto"/>
                <w:sz w:val="24"/>
                <w:szCs w:val="24"/>
              </w:rPr>
            </w:pPr>
            <w:r>
              <w:rPr>
                <w:b/>
                <w:bCs/>
                <w:color w:val="auto"/>
                <w:sz w:val="24"/>
                <w:szCs w:val="24"/>
              </w:rPr>
              <w:t>1、大气环境影响分析</w:t>
            </w:r>
          </w:p>
          <w:p w14:paraId="70B71B2B">
            <w:pPr>
              <w:pStyle w:val="13"/>
              <w:spacing w:after="0" w:line="360" w:lineRule="auto"/>
              <w:ind w:left="0" w:leftChars="0" w:firstLine="480"/>
              <w:rPr>
                <w:rFonts w:hint="default" w:eastAsia="宋体"/>
                <w:color w:val="auto"/>
                <w:sz w:val="24"/>
                <w:lang w:val="en-US" w:eastAsia="zh-CN"/>
              </w:rPr>
            </w:pPr>
            <w:bookmarkStart w:id="10" w:name="_Hlk140780745"/>
            <w:r>
              <w:rPr>
                <w:rFonts w:hint="eastAsia" w:ascii="宋体" w:hAnsi="宋体" w:eastAsia="宋体" w:cs="宋体"/>
                <w:color w:val="auto"/>
                <w:sz w:val="24"/>
                <w:lang w:val="en-US" w:eastAsia="zh-CN"/>
              </w:rPr>
              <w:t>⑴</w:t>
            </w:r>
            <w:r>
              <w:rPr>
                <w:rFonts w:hint="eastAsia" w:eastAsia="宋体"/>
                <w:color w:val="auto"/>
                <w:sz w:val="24"/>
                <w:lang w:val="en-US" w:eastAsia="zh-CN"/>
              </w:rPr>
              <w:t xml:space="preserve"> 无组织粉尘</w:t>
            </w:r>
          </w:p>
          <w:p w14:paraId="5F63685F">
            <w:pPr>
              <w:pStyle w:val="13"/>
              <w:spacing w:after="0" w:line="360" w:lineRule="auto"/>
              <w:ind w:left="0" w:leftChars="0" w:firstLine="480"/>
              <w:rPr>
                <w:rFonts w:hint="eastAsia" w:ascii="宋体" w:hAnsi="宋体" w:eastAsia="宋体" w:cs="宋体"/>
                <w:color w:val="auto"/>
                <w:sz w:val="24"/>
                <w:lang w:eastAsia="zh-CN"/>
              </w:rPr>
            </w:pPr>
            <w:r>
              <w:rPr>
                <w:color w:val="auto"/>
                <w:sz w:val="24"/>
                <w:szCs w:val="24"/>
              </w:rPr>
              <w:t>项目运营期</w:t>
            </w:r>
            <w:r>
              <w:rPr>
                <w:rFonts w:hint="eastAsia"/>
                <w:color w:val="auto"/>
                <w:sz w:val="24"/>
                <w:szCs w:val="24"/>
                <w:lang w:val="en-US" w:eastAsia="zh-CN"/>
              </w:rPr>
              <w:t>新增</w:t>
            </w:r>
            <w:r>
              <w:rPr>
                <w:color w:val="auto"/>
                <w:sz w:val="24"/>
                <w:szCs w:val="24"/>
              </w:rPr>
              <w:t>废气主要为煤炭储运等过程产生的无组织粉尘</w:t>
            </w:r>
            <w:r>
              <w:rPr>
                <w:rFonts w:hint="eastAsia"/>
                <w:color w:val="auto"/>
                <w:sz w:val="24"/>
                <w:szCs w:val="24"/>
                <w:lang w:eastAsia="zh-CN"/>
              </w:rPr>
              <w:t>。</w:t>
            </w:r>
          </w:p>
          <w:p w14:paraId="3E49167B">
            <w:pPr>
              <w:pStyle w:val="13"/>
              <w:spacing w:after="0" w:line="360" w:lineRule="auto"/>
              <w:ind w:left="0" w:leftChars="0" w:firstLine="480"/>
              <w:rPr>
                <w:rFonts w:hint="eastAsia"/>
                <w:bCs/>
                <w:color w:val="auto"/>
              </w:rPr>
            </w:pPr>
            <w:r>
              <w:rPr>
                <w:rFonts w:hint="eastAsia"/>
                <w:color w:val="auto"/>
                <w:sz w:val="24"/>
              </w:rPr>
              <w:t>本项目运营期废气</w:t>
            </w:r>
            <w:r>
              <w:rPr>
                <w:rFonts w:hint="eastAsia" w:hAnsi="宋体"/>
                <w:color w:val="auto"/>
                <w:sz w:val="24"/>
              </w:rPr>
              <w:t>主要包括</w:t>
            </w:r>
            <w:r>
              <w:rPr>
                <w:rFonts w:hint="eastAsia" w:hAnsi="宋体"/>
                <w:color w:val="auto"/>
                <w:sz w:val="24"/>
                <w:lang w:val="en-US" w:eastAsia="zh-CN"/>
              </w:rPr>
              <w:t>储存粉尘</w:t>
            </w:r>
            <w:bookmarkEnd w:id="10"/>
            <w:r>
              <w:rPr>
                <w:rFonts w:hint="eastAsia" w:hAnsi="宋体"/>
                <w:color w:val="auto"/>
                <w:sz w:val="24"/>
              </w:rPr>
              <w:t>。</w:t>
            </w:r>
            <w:r>
              <w:rPr>
                <w:rFonts w:hint="eastAsia"/>
                <w:color w:val="auto"/>
                <w:sz w:val="24"/>
                <w:lang w:val="en-US" w:eastAsia="zh-CN"/>
              </w:rPr>
              <w:t>本</w:t>
            </w:r>
            <w:r>
              <w:rPr>
                <w:rFonts w:hint="eastAsia"/>
                <w:color w:val="auto"/>
                <w:sz w:val="24"/>
              </w:rPr>
              <w:t>项目涉及的主要物料有</w:t>
            </w:r>
            <w:r>
              <w:rPr>
                <w:rFonts w:hint="eastAsia"/>
                <w:color w:val="auto"/>
                <w:sz w:val="24"/>
                <w:lang w:val="en-US" w:eastAsia="zh-CN"/>
              </w:rPr>
              <w:t>原煤和产品</w:t>
            </w:r>
            <w:r>
              <w:rPr>
                <w:rFonts w:hint="eastAsia"/>
                <w:color w:val="auto"/>
                <w:sz w:val="24"/>
              </w:rPr>
              <w:t>，均采用</w:t>
            </w:r>
            <w:r>
              <w:rPr>
                <w:rFonts w:hint="eastAsia"/>
                <w:color w:val="auto"/>
                <w:sz w:val="24"/>
                <w:lang w:val="en-US" w:eastAsia="zh-CN"/>
              </w:rPr>
              <w:t>封闭</w:t>
            </w:r>
            <w:r>
              <w:rPr>
                <w:rFonts w:hint="eastAsia"/>
                <w:color w:val="auto"/>
                <w:sz w:val="24"/>
              </w:rPr>
              <w:t>储棚储存，输送过程采用密闭输送机输送。</w:t>
            </w:r>
            <w:r>
              <w:rPr>
                <w:rFonts w:hint="eastAsia"/>
                <w:color w:val="auto"/>
                <w:sz w:val="24"/>
                <w:lang w:val="en-US" w:eastAsia="zh-CN"/>
              </w:rPr>
              <w:t>物料</w:t>
            </w:r>
            <w:r>
              <w:rPr>
                <w:rFonts w:hint="eastAsia"/>
                <w:color w:val="auto"/>
                <w:sz w:val="24"/>
              </w:rPr>
              <w:t>主要为</w:t>
            </w:r>
            <w:r>
              <w:rPr>
                <w:rFonts w:hint="eastAsia"/>
                <w:color w:val="auto"/>
                <w:sz w:val="24"/>
                <w:lang w:val="en-US" w:eastAsia="zh-CN"/>
              </w:rPr>
              <w:t>原煤、精煤、中煤、末煤</w:t>
            </w:r>
            <w:r>
              <w:rPr>
                <w:rFonts w:hint="eastAsia"/>
                <w:color w:val="auto"/>
                <w:sz w:val="24"/>
              </w:rPr>
              <w:t>，</w:t>
            </w:r>
            <w:r>
              <w:rPr>
                <w:rFonts w:hint="eastAsia"/>
                <w:color w:val="auto"/>
                <w:sz w:val="24"/>
                <w:lang w:val="en-US" w:eastAsia="zh-CN"/>
              </w:rPr>
              <w:t>其中精煤、末煤以及中煤</w:t>
            </w:r>
            <w:r>
              <w:rPr>
                <w:rFonts w:hint="eastAsia"/>
                <w:color w:val="auto"/>
                <w:sz w:val="24"/>
              </w:rPr>
              <w:t>，</w:t>
            </w:r>
            <w:r>
              <w:rPr>
                <w:rFonts w:hint="eastAsia"/>
                <w:color w:val="auto"/>
                <w:sz w:val="24"/>
                <w:lang w:val="en-US" w:eastAsia="zh-CN"/>
              </w:rPr>
              <w:t>洗选后</w:t>
            </w:r>
            <w:r>
              <w:rPr>
                <w:rFonts w:hint="eastAsia"/>
                <w:color w:val="auto"/>
                <w:sz w:val="24"/>
              </w:rPr>
              <w:t>含水率较高，不易产尘</w:t>
            </w:r>
            <w:r>
              <w:rPr>
                <w:rFonts w:hint="eastAsia"/>
                <w:color w:val="auto"/>
                <w:sz w:val="24"/>
                <w:lang w:eastAsia="zh-CN"/>
              </w:rPr>
              <w:t>；</w:t>
            </w:r>
            <w:r>
              <w:rPr>
                <w:rFonts w:hint="eastAsia"/>
                <w:bCs/>
                <w:color w:val="auto"/>
                <w:sz w:val="24"/>
                <w:szCs w:val="28"/>
                <w:lang w:val="en-US" w:eastAsia="zh-CN"/>
              </w:rPr>
              <w:t>经全封闭式的精煤储棚后</w:t>
            </w:r>
            <w:r>
              <w:rPr>
                <w:rFonts w:hint="eastAsia"/>
                <w:color w:val="auto"/>
                <w:sz w:val="24"/>
                <w:szCs w:val="28"/>
                <w:lang w:bidi="zh-CN"/>
              </w:rPr>
              <w:t>，无组织排放</w:t>
            </w:r>
            <w:r>
              <w:rPr>
                <w:rFonts w:hint="eastAsia"/>
                <w:color w:val="auto"/>
                <w:sz w:val="24"/>
                <w:szCs w:val="28"/>
                <w:lang w:val="en-US" w:bidi="zh-CN"/>
              </w:rPr>
              <w:t>粉尘周界外浓度可控制在</w:t>
            </w:r>
            <w:r>
              <w:rPr>
                <w:color w:val="auto"/>
                <w:sz w:val="24"/>
                <w:szCs w:val="28"/>
                <w:lang w:bidi="zh-CN"/>
              </w:rPr>
              <w:t>《煤炭工业污染物排放标准》（GB20426-2006）表5中煤炭工业无组织排放限值（1.0mg/m</w:t>
            </w:r>
            <w:r>
              <w:rPr>
                <w:color w:val="auto"/>
                <w:sz w:val="24"/>
                <w:szCs w:val="28"/>
                <w:vertAlign w:val="superscript"/>
                <w:lang w:bidi="zh-CN"/>
              </w:rPr>
              <w:t>3</w:t>
            </w:r>
            <w:r>
              <w:rPr>
                <w:color w:val="auto"/>
                <w:sz w:val="24"/>
                <w:szCs w:val="28"/>
                <w:lang w:bidi="zh-CN"/>
              </w:rPr>
              <w:t>）</w:t>
            </w:r>
            <w:r>
              <w:rPr>
                <w:rFonts w:hint="eastAsia"/>
                <w:color w:val="auto"/>
                <w:sz w:val="24"/>
                <w:szCs w:val="28"/>
                <w:lang w:val="en-US" w:bidi="zh-CN"/>
              </w:rPr>
              <w:t>以下</w:t>
            </w:r>
            <w:r>
              <w:rPr>
                <w:color w:val="auto"/>
                <w:sz w:val="24"/>
                <w:szCs w:val="28"/>
                <w:lang w:bidi="zh-CN"/>
              </w:rPr>
              <w:t>，对环境空气影响较小</w:t>
            </w:r>
            <w:r>
              <w:rPr>
                <w:rFonts w:hint="eastAsia"/>
                <w:color w:val="auto"/>
                <w:sz w:val="24"/>
                <w:szCs w:val="28"/>
                <w:lang w:bidi="zh-CN"/>
              </w:rPr>
              <w:t>。</w:t>
            </w:r>
          </w:p>
          <w:p w14:paraId="76EF9934">
            <w:pPr>
              <w:spacing w:line="360" w:lineRule="auto"/>
              <w:ind w:firstLine="480" w:firstLineChars="200"/>
              <w:jc w:val="both"/>
              <w:rPr>
                <w:rFonts w:hint="default" w:eastAsia="宋体"/>
                <w:color w:val="auto"/>
                <w:sz w:val="24"/>
                <w:szCs w:val="24"/>
                <w:lang w:val="en-US" w:eastAsia="zh-CN"/>
              </w:rPr>
            </w:pPr>
            <w:r>
              <w:rPr>
                <w:rFonts w:hint="eastAsia"/>
                <w:color w:val="auto"/>
                <w:sz w:val="24"/>
                <w:lang w:val="en-US" w:eastAsia="zh-CN"/>
              </w:rPr>
              <w:t>现有煤棚全部用来储存原煤，根据建设单位提供资料，技改后原煤</w:t>
            </w:r>
            <w:r>
              <w:rPr>
                <w:rFonts w:hint="eastAsia"/>
                <w:color w:val="auto"/>
                <w:sz w:val="24"/>
                <w:szCs w:val="24"/>
                <w:lang w:val="en-US" w:eastAsia="zh-CN"/>
              </w:rPr>
              <w:t>储煤棚静态</w:t>
            </w:r>
            <w:r>
              <w:rPr>
                <w:color w:val="auto"/>
                <w:sz w:val="24"/>
                <w:szCs w:val="24"/>
              </w:rPr>
              <w:t>储存量</w:t>
            </w:r>
            <w:r>
              <w:rPr>
                <w:rFonts w:hint="eastAsia"/>
                <w:color w:val="auto"/>
                <w:sz w:val="24"/>
                <w:szCs w:val="24"/>
                <w:lang w:val="en-US" w:eastAsia="zh-CN"/>
              </w:rPr>
              <w:t>约</w:t>
            </w:r>
            <w:r>
              <w:rPr>
                <w:color w:val="auto"/>
                <w:sz w:val="24"/>
                <w:szCs w:val="24"/>
              </w:rPr>
              <w:t>为</w:t>
            </w:r>
            <w:r>
              <w:rPr>
                <w:rFonts w:hint="eastAsia"/>
                <w:color w:val="auto"/>
                <w:sz w:val="24"/>
                <w:szCs w:val="24"/>
                <w:lang w:val="en-US" w:eastAsia="zh-CN"/>
              </w:rPr>
              <w:t>3.6</w:t>
            </w:r>
            <w:r>
              <w:rPr>
                <w:color w:val="auto"/>
                <w:sz w:val="24"/>
                <w:szCs w:val="24"/>
              </w:rPr>
              <w:t>万吨</w:t>
            </w:r>
            <w:r>
              <w:rPr>
                <w:rFonts w:hint="eastAsia"/>
                <w:color w:val="auto"/>
                <w:sz w:val="24"/>
                <w:szCs w:val="24"/>
              </w:rPr>
              <w:t>，</w:t>
            </w:r>
            <w:r>
              <w:rPr>
                <w:rFonts w:hint="eastAsia"/>
                <w:color w:val="auto"/>
                <w:sz w:val="24"/>
                <w:szCs w:val="24"/>
                <w:lang w:val="en-US" w:eastAsia="zh-CN"/>
              </w:rPr>
              <w:t>年储煤</w:t>
            </w:r>
            <w:r>
              <w:rPr>
                <w:rFonts w:hint="eastAsia"/>
                <w:color w:val="auto"/>
                <w:sz w:val="24"/>
                <w:szCs w:val="24"/>
              </w:rPr>
              <w:t>共计</w:t>
            </w:r>
            <w:r>
              <w:rPr>
                <w:rFonts w:hint="eastAsia"/>
                <w:color w:val="auto"/>
                <w:sz w:val="24"/>
                <w:szCs w:val="24"/>
                <w:lang w:val="en-US" w:eastAsia="zh-CN"/>
              </w:rPr>
              <w:t>120</w:t>
            </w:r>
            <w:r>
              <w:rPr>
                <w:rFonts w:hint="eastAsia"/>
                <w:color w:val="auto"/>
                <w:sz w:val="24"/>
                <w:szCs w:val="24"/>
              </w:rPr>
              <w:t>万吨</w:t>
            </w:r>
            <w:r>
              <w:rPr>
                <w:color w:val="auto"/>
                <w:sz w:val="24"/>
                <w:szCs w:val="24"/>
              </w:rPr>
              <w:t>。</w:t>
            </w:r>
            <w:r>
              <w:rPr>
                <w:rFonts w:hint="eastAsia"/>
                <w:color w:val="auto"/>
                <w:sz w:val="24"/>
                <w:szCs w:val="24"/>
                <w:lang w:val="en-US" w:eastAsia="zh-CN"/>
              </w:rPr>
              <w:t>根据查阅相关资料可知，煤炭储存堆放面积、暴露时间、风速、煤炭特性等</w:t>
            </w:r>
            <w:r>
              <w:rPr>
                <w:color w:val="auto"/>
                <w:sz w:val="24"/>
                <w:szCs w:val="24"/>
              </w:rPr>
              <w:t>煤炭存储会产生一定粉尘</w:t>
            </w:r>
            <w:r>
              <w:rPr>
                <w:rFonts w:hint="eastAsia"/>
                <w:color w:val="auto"/>
                <w:sz w:val="24"/>
                <w:szCs w:val="24"/>
                <w:lang w:eastAsia="zh-CN"/>
              </w:rPr>
              <w:t>，</w:t>
            </w:r>
            <w:r>
              <w:rPr>
                <w:rFonts w:hint="eastAsia"/>
                <w:color w:val="auto"/>
                <w:sz w:val="24"/>
                <w:szCs w:val="24"/>
                <w:lang w:val="en-US" w:eastAsia="zh-CN"/>
              </w:rPr>
              <w:t>技改后原煤棚原煤堆放面积和暴露时间均增大，粉尘产生量亦会有所增加。由于目前没有国家标准中对煤炭堆放粉尘量的计算公式，故本次仅针对原煤棚年储存产生粉尘量</w:t>
            </w:r>
            <w:r>
              <w:rPr>
                <w:color w:val="auto"/>
                <w:sz w:val="24"/>
                <w:szCs w:val="24"/>
              </w:rPr>
              <w:t>根据《露天煤（矿）场粉尘产生量核定暂行办法》中</w:t>
            </w:r>
            <w:r>
              <w:rPr>
                <w:rFonts w:hint="eastAsia"/>
                <w:color w:val="auto"/>
                <w:sz w:val="24"/>
                <w:szCs w:val="24"/>
                <w:lang w:val="en-US" w:eastAsia="zh-CN"/>
              </w:rPr>
              <w:t>规定的</w:t>
            </w:r>
            <w:r>
              <w:rPr>
                <w:color w:val="auto"/>
                <w:sz w:val="24"/>
                <w:szCs w:val="24"/>
              </w:rPr>
              <w:t>煤炭装卸、堆存的产污、排放系数</w:t>
            </w:r>
            <w:r>
              <w:rPr>
                <w:rFonts w:hint="eastAsia"/>
                <w:color w:val="auto"/>
                <w:sz w:val="24"/>
                <w:szCs w:val="24"/>
                <w:lang w:val="en-US" w:eastAsia="zh-CN"/>
              </w:rPr>
              <w:t>等进行核算</w:t>
            </w:r>
            <w:r>
              <w:rPr>
                <w:color w:val="auto"/>
                <w:sz w:val="24"/>
                <w:szCs w:val="24"/>
              </w:rPr>
              <w:t>。</w:t>
            </w:r>
          </w:p>
          <w:p w14:paraId="21F285B7">
            <w:pPr>
              <w:snapToGrid w:val="0"/>
              <w:spacing w:line="240" w:lineRule="auto"/>
              <w:jc w:val="center"/>
              <w:rPr>
                <w:b/>
                <w:bCs/>
                <w:color w:val="auto"/>
                <w:sz w:val="24"/>
                <w:szCs w:val="24"/>
              </w:rPr>
            </w:pPr>
            <w:r>
              <w:rPr>
                <w:b/>
                <w:bCs/>
                <w:color w:val="auto"/>
                <w:sz w:val="24"/>
                <w:szCs w:val="24"/>
              </w:rPr>
              <w:t>表4-</w:t>
            </w:r>
            <w:r>
              <w:rPr>
                <w:rFonts w:hint="eastAsia"/>
                <w:b/>
                <w:bCs/>
                <w:color w:val="auto"/>
                <w:sz w:val="24"/>
                <w:szCs w:val="24"/>
                <w:lang w:val="en-US" w:eastAsia="zh-CN"/>
              </w:rPr>
              <w:t>1</w:t>
            </w:r>
            <w:r>
              <w:rPr>
                <w:b/>
                <w:bCs/>
                <w:color w:val="auto"/>
                <w:sz w:val="24"/>
                <w:szCs w:val="24"/>
              </w:rPr>
              <w:t xml:space="preserve"> 煤炭堆存核定系数表     kg/t煤</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82"/>
              <w:gridCol w:w="1127"/>
              <w:gridCol w:w="1053"/>
              <w:gridCol w:w="1179"/>
              <w:gridCol w:w="986"/>
              <w:gridCol w:w="988"/>
              <w:gridCol w:w="986"/>
            </w:tblGrid>
            <w:tr w14:paraId="1DF8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7" w:type="pct"/>
                  <w:vMerge w:val="restart"/>
                  <w:noWrap w:val="0"/>
                  <w:vAlign w:val="center"/>
                </w:tcPr>
                <w:p w14:paraId="55823ABC">
                  <w:pPr>
                    <w:snapToGrid w:val="0"/>
                    <w:jc w:val="center"/>
                    <w:rPr>
                      <w:color w:val="auto"/>
                      <w:sz w:val="21"/>
                      <w:szCs w:val="22"/>
                    </w:rPr>
                  </w:pPr>
                  <w:r>
                    <w:rPr>
                      <w:color w:val="auto"/>
                      <w:sz w:val="21"/>
                      <w:szCs w:val="22"/>
                    </w:rPr>
                    <w:t>产污系数</w:t>
                  </w:r>
                </w:p>
              </w:tc>
              <w:tc>
                <w:tcPr>
                  <w:tcW w:w="4563" w:type="pct"/>
                  <w:gridSpan w:val="7"/>
                  <w:noWrap w:val="0"/>
                  <w:vAlign w:val="center"/>
                </w:tcPr>
                <w:p w14:paraId="5CE231E4">
                  <w:pPr>
                    <w:snapToGrid w:val="0"/>
                    <w:jc w:val="center"/>
                    <w:rPr>
                      <w:color w:val="auto"/>
                      <w:sz w:val="21"/>
                      <w:szCs w:val="22"/>
                    </w:rPr>
                  </w:pPr>
                  <w:r>
                    <w:rPr>
                      <w:color w:val="auto"/>
                      <w:sz w:val="21"/>
                      <w:szCs w:val="22"/>
                    </w:rPr>
                    <w:t>排放系数</w:t>
                  </w:r>
                </w:p>
              </w:tc>
            </w:tr>
            <w:tr w14:paraId="69CE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7" w:type="pct"/>
                  <w:vMerge w:val="continue"/>
                  <w:noWrap w:val="0"/>
                  <w:vAlign w:val="center"/>
                </w:tcPr>
                <w:p w14:paraId="6FABF14E">
                  <w:pPr>
                    <w:snapToGrid w:val="0"/>
                    <w:jc w:val="center"/>
                    <w:rPr>
                      <w:color w:val="auto"/>
                      <w:sz w:val="21"/>
                      <w:szCs w:val="22"/>
                    </w:rPr>
                  </w:pPr>
                </w:p>
              </w:tc>
              <w:tc>
                <w:tcPr>
                  <w:tcW w:w="559" w:type="pct"/>
                  <w:vMerge w:val="restart"/>
                  <w:noWrap w:val="0"/>
                  <w:vAlign w:val="center"/>
                </w:tcPr>
                <w:p w14:paraId="0B755948">
                  <w:pPr>
                    <w:snapToGrid w:val="0"/>
                    <w:jc w:val="center"/>
                    <w:rPr>
                      <w:color w:val="auto"/>
                      <w:sz w:val="21"/>
                      <w:szCs w:val="22"/>
                    </w:rPr>
                  </w:pPr>
                  <w:r>
                    <w:rPr>
                      <w:color w:val="auto"/>
                      <w:sz w:val="21"/>
                      <w:szCs w:val="22"/>
                    </w:rPr>
                    <w:t>仅有挡风墙</w:t>
                  </w:r>
                </w:p>
              </w:tc>
              <w:tc>
                <w:tcPr>
                  <w:tcW w:w="714" w:type="pct"/>
                  <w:vMerge w:val="restart"/>
                  <w:noWrap w:val="0"/>
                  <w:vAlign w:val="center"/>
                </w:tcPr>
                <w:p w14:paraId="4ACB7003">
                  <w:pPr>
                    <w:snapToGrid w:val="0"/>
                    <w:jc w:val="center"/>
                    <w:rPr>
                      <w:color w:val="auto"/>
                      <w:sz w:val="21"/>
                      <w:szCs w:val="22"/>
                    </w:rPr>
                  </w:pPr>
                  <w:r>
                    <w:rPr>
                      <w:color w:val="auto"/>
                      <w:sz w:val="21"/>
                      <w:szCs w:val="22"/>
                    </w:rPr>
                    <w:t>仅有喷淋设施</w:t>
                  </w:r>
                </w:p>
              </w:tc>
              <w:tc>
                <w:tcPr>
                  <w:tcW w:w="667" w:type="pct"/>
                  <w:vMerge w:val="restart"/>
                  <w:noWrap w:val="0"/>
                  <w:vAlign w:val="center"/>
                </w:tcPr>
                <w:p w14:paraId="1BDC0469">
                  <w:pPr>
                    <w:snapToGrid w:val="0"/>
                    <w:jc w:val="center"/>
                    <w:rPr>
                      <w:color w:val="auto"/>
                      <w:sz w:val="21"/>
                      <w:szCs w:val="22"/>
                    </w:rPr>
                  </w:pPr>
                  <w:r>
                    <w:rPr>
                      <w:color w:val="auto"/>
                      <w:sz w:val="21"/>
                      <w:szCs w:val="22"/>
                    </w:rPr>
                    <w:t>建有挡风墙及喷淋设施</w:t>
                  </w:r>
                </w:p>
              </w:tc>
              <w:tc>
                <w:tcPr>
                  <w:tcW w:w="747" w:type="pct"/>
                  <w:vMerge w:val="restart"/>
                  <w:noWrap w:val="0"/>
                  <w:vAlign w:val="center"/>
                </w:tcPr>
                <w:p w14:paraId="2939C5EB">
                  <w:pPr>
                    <w:snapToGrid w:val="0"/>
                    <w:jc w:val="center"/>
                    <w:rPr>
                      <w:color w:val="auto"/>
                      <w:sz w:val="21"/>
                      <w:szCs w:val="22"/>
                    </w:rPr>
                  </w:pPr>
                  <w:r>
                    <w:rPr>
                      <w:color w:val="auto"/>
                      <w:sz w:val="21"/>
                      <w:szCs w:val="22"/>
                    </w:rPr>
                    <w:t>加盖绿网并使用防风抑尘剂</w:t>
                  </w:r>
                </w:p>
              </w:tc>
              <w:tc>
                <w:tcPr>
                  <w:tcW w:w="1251" w:type="pct"/>
                  <w:gridSpan w:val="2"/>
                  <w:noWrap w:val="0"/>
                  <w:vAlign w:val="center"/>
                </w:tcPr>
                <w:p w14:paraId="157A38DF">
                  <w:pPr>
                    <w:snapToGrid w:val="0"/>
                    <w:jc w:val="center"/>
                    <w:rPr>
                      <w:color w:val="auto"/>
                      <w:sz w:val="21"/>
                      <w:szCs w:val="22"/>
                    </w:rPr>
                  </w:pPr>
                  <w:r>
                    <w:rPr>
                      <w:color w:val="auto"/>
                      <w:sz w:val="21"/>
                      <w:szCs w:val="22"/>
                    </w:rPr>
                    <w:t>建有防风抑尘网</w:t>
                  </w:r>
                </w:p>
              </w:tc>
              <w:tc>
                <w:tcPr>
                  <w:tcW w:w="625" w:type="pct"/>
                  <w:vMerge w:val="restart"/>
                  <w:noWrap w:val="0"/>
                  <w:vAlign w:val="center"/>
                </w:tcPr>
                <w:p w14:paraId="233C0554">
                  <w:pPr>
                    <w:snapToGrid w:val="0"/>
                    <w:jc w:val="center"/>
                    <w:rPr>
                      <w:rFonts w:hint="eastAsia" w:eastAsia="宋体"/>
                      <w:color w:val="auto"/>
                      <w:sz w:val="21"/>
                      <w:szCs w:val="22"/>
                      <w:lang w:eastAsia="zh-CN"/>
                    </w:rPr>
                  </w:pPr>
                  <w:r>
                    <w:rPr>
                      <w:color w:val="auto"/>
                      <w:sz w:val="21"/>
                      <w:szCs w:val="22"/>
                    </w:rPr>
                    <w:t>建有封闭储煤</w:t>
                  </w:r>
                  <w:r>
                    <w:rPr>
                      <w:rFonts w:hint="eastAsia"/>
                      <w:color w:val="auto"/>
                      <w:sz w:val="21"/>
                      <w:szCs w:val="22"/>
                      <w:lang w:val="en-US" w:eastAsia="zh-CN"/>
                    </w:rPr>
                    <w:t>棚</w:t>
                  </w:r>
                </w:p>
              </w:tc>
            </w:tr>
            <w:tr w14:paraId="0EA6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7" w:type="pct"/>
                  <w:vMerge w:val="continue"/>
                  <w:noWrap w:val="0"/>
                  <w:vAlign w:val="center"/>
                </w:tcPr>
                <w:p w14:paraId="2F471034">
                  <w:pPr>
                    <w:snapToGrid w:val="0"/>
                    <w:jc w:val="center"/>
                    <w:rPr>
                      <w:color w:val="auto"/>
                      <w:sz w:val="21"/>
                      <w:szCs w:val="22"/>
                    </w:rPr>
                  </w:pPr>
                </w:p>
              </w:tc>
              <w:tc>
                <w:tcPr>
                  <w:tcW w:w="559" w:type="pct"/>
                  <w:vMerge w:val="continue"/>
                  <w:noWrap w:val="0"/>
                  <w:vAlign w:val="center"/>
                </w:tcPr>
                <w:p w14:paraId="7322B16A">
                  <w:pPr>
                    <w:snapToGrid w:val="0"/>
                    <w:jc w:val="center"/>
                    <w:rPr>
                      <w:color w:val="auto"/>
                      <w:sz w:val="21"/>
                      <w:szCs w:val="22"/>
                    </w:rPr>
                  </w:pPr>
                </w:p>
              </w:tc>
              <w:tc>
                <w:tcPr>
                  <w:tcW w:w="714" w:type="pct"/>
                  <w:vMerge w:val="continue"/>
                  <w:noWrap w:val="0"/>
                  <w:vAlign w:val="center"/>
                </w:tcPr>
                <w:p w14:paraId="4ECAA882">
                  <w:pPr>
                    <w:snapToGrid w:val="0"/>
                    <w:jc w:val="center"/>
                    <w:rPr>
                      <w:color w:val="auto"/>
                      <w:sz w:val="21"/>
                      <w:szCs w:val="22"/>
                    </w:rPr>
                  </w:pPr>
                </w:p>
              </w:tc>
              <w:tc>
                <w:tcPr>
                  <w:tcW w:w="667" w:type="pct"/>
                  <w:vMerge w:val="continue"/>
                  <w:noWrap w:val="0"/>
                  <w:vAlign w:val="center"/>
                </w:tcPr>
                <w:p w14:paraId="255394F7">
                  <w:pPr>
                    <w:snapToGrid w:val="0"/>
                    <w:jc w:val="center"/>
                    <w:rPr>
                      <w:color w:val="auto"/>
                      <w:sz w:val="21"/>
                      <w:szCs w:val="22"/>
                    </w:rPr>
                  </w:pPr>
                </w:p>
              </w:tc>
              <w:tc>
                <w:tcPr>
                  <w:tcW w:w="747" w:type="pct"/>
                  <w:vMerge w:val="continue"/>
                  <w:noWrap w:val="0"/>
                  <w:vAlign w:val="center"/>
                </w:tcPr>
                <w:p w14:paraId="3BC1C29D">
                  <w:pPr>
                    <w:snapToGrid w:val="0"/>
                    <w:jc w:val="center"/>
                    <w:rPr>
                      <w:color w:val="auto"/>
                      <w:sz w:val="21"/>
                      <w:szCs w:val="22"/>
                    </w:rPr>
                  </w:pPr>
                </w:p>
              </w:tc>
              <w:tc>
                <w:tcPr>
                  <w:tcW w:w="625" w:type="pct"/>
                  <w:noWrap w:val="0"/>
                  <w:vAlign w:val="center"/>
                </w:tcPr>
                <w:p w14:paraId="3952E2BD">
                  <w:pPr>
                    <w:snapToGrid w:val="0"/>
                    <w:jc w:val="center"/>
                    <w:rPr>
                      <w:color w:val="auto"/>
                      <w:sz w:val="21"/>
                      <w:szCs w:val="22"/>
                    </w:rPr>
                  </w:pPr>
                  <w:r>
                    <w:rPr>
                      <w:color w:val="auto"/>
                      <w:sz w:val="21"/>
                      <w:szCs w:val="22"/>
                    </w:rPr>
                    <w:t>有喷淋设施</w:t>
                  </w:r>
                </w:p>
              </w:tc>
              <w:tc>
                <w:tcPr>
                  <w:tcW w:w="626" w:type="pct"/>
                  <w:noWrap w:val="0"/>
                  <w:vAlign w:val="center"/>
                </w:tcPr>
                <w:p w14:paraId="7C61BADC">
                  <w:pPr>
                    <w:snapToGrid w:val="0"/>
                    <w:jc w:val="center"/>
                    <w:rPr>
                      <w:color w:val="auto"/>
                      <w:sz w:val="21"/>
                      <w:szCs w:val="22"/>
                    </w:rPr>
                  </w:pPr>
                  <w:r>
                    <w:rPr>
                      <w:color w:val="auto"/>
                      <w:sz w:val="21"/>
                      <w:szCs w:val="22"/>
                    </w:rPr>
                    <w:t>无喷淋设施</w:t>
                  </w:r>
                </w:p>
              </w:tc>
              <w:tc>
                <w:tcPr>
                  <w:tcW w:w="625" w:type="pct"/>
                  <w:vMerge w:val="continue"/>
                  <w:noWrap w:val="0"/>
                  <w:vAlign w:val="center"/>
                </w:tcPr>
                <w:p w14:paraId="22F598BC">
                  <w:pPr>
                    <w:snapToGrid w:val="0"/>
                    <w:jc w:val="center"/>
                    <w:rPr>
                      <w:color w:val="auto"/>
                      <w:sz w:val="21"/>
                      <w:szCs w:val="22"/>
                    </w:rPr>
                  </w:pPr>
                </w:p>
              </w:tc>
            </w:tr>
            <w:tr w14:paraId="2D90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7" w:type="pct"/>
                  <w:noWrap w:val="0"/>
                  <w:vAlign w:val="center"/>
                </w:tcPr>
                <w:p w14:paraId="23C837AD">
                  <w:pPr>
                    <w:snapToGrid w:val="0"/>
                    <w:jc w:val="center"/>
                    <w:rPr>
                      <w:color w:val="auto"/>
                      <w:sz w:val="21"/>
                      <w:szCs w:val="22"/>
                    </w:rPr>
                  </w:pPr>
                  <w:r>
                    <w:rPr>
                      <w:color w:val="auto"/>
                      <w:sz w:val="21"/>
                      <w:szCs w:val="22"/>
                    </w:rPr>
                    <w:t>1.75</w:t>
                  </w:r>
                </w:p>
              </w:tc>
              <w:tc>
                <w:tcPr>
                  <w:tcW w:w="559" w:type="pct"/>
                  <w:noWrap w:val="0"/>
                  <w:vAlign w:val="center"/>
                </w:tcPr>
                <w:p w14:paraId="34CFB129">
                  <w:pPr>
                    <w:snapToGrid w:val="0"/>
                    <w:jc w:val="center"/>
                    <w:rPr>
                      <w:color w:val="auto"/>
                      <w:sz w:val="21"/>
                      <w:szCs w:val="22"/>
                    </w:rPr>
                  </w:pPr>
                  <w:r>
                    <w:rPr>
                      <w:color w:val="auto"/>
                      <w:sz w:val="21"/>
                      <w:szCs w:val="22"/>
                    </w:rPr>
                    <w:t>1.4</w:t>
                  </w:r>
                </w:p>
              </w:tc>
              <w:tc>
                <w:tcPr>
                  <w:tcW w:w="714" w:type="pct"/>
                  <w:noWrap w:val="0"/>
                  <w:vAlign w:val="center"/>
                </w:tcPr>
                <w:p w14:paraId="3910EC94">
                  <w:pPr>
                    <w:snapToGrid w:val="0"/>
                    <w:jc w:val="center"/>
                    <w:rPr>
                      <w:color w:val="auto"/>
                      <w:sz w:val="21"/>
                      <w:szCs w:val="22"/>
                    </w:rPr>
                  </w:pPr>
                  <w:r>
                    <w:rPr>
                      <w:color w:val="auto"/>
                      <w:sz w:val="21"/>
                      <w:szCs w:val="22"/>
                    </w:rPr>
                    <w:t>1.23</w:t>
                  </w:r>
                </w:p>
              </w:tc>
              <w:tc>
                <w:tcPr>
                  <w:tcW w:w="667" w:type="pct"/>
                  <w:noWrap w:val="0"/>
                  <w:vAlign w:val="center"/>
                </w:tcPr>
                <w:p w14:paraId="48FEE6A8">
                  <w:pPr>
                    <w:snapToGrid w:val="0"/>
                    <w:jc w:val="center"/>
                    <w:rPr>
                      <w:rFonts w:hint="eastAsia" w:eastAsia="宋体"/>
                      <w:color w:val="auto"/>
                      <w:sz w:val="21"/>
                      <w:szCs w:val="22"/>
                      <w:lang w:eastAsia="zh-CN"/>
                    </w:rPr>
                  </w:pPr>
                  <w:r>
                    <w:rPr>
                      <w:color w:val="auto"/>
                      <w:sz w:val="21"/>
                      <w:szCs w:val="22"/>
                    </w:rPr>
                    <w:t>0.</w:t>
                  </w:r>
                  <w:r>
                    <w:rPr>
                      <w:rFonts w:hint="eastAsia"/>
                      <w:color w:val="auto"/>
                      <w:sz w:val="21"/>
                      <w:szCs w:val="22"/>
                      <w:lang w:eastAsia="zh-CN"/>
                    </w:rPr>
                    <w:t>145</w:t>
                  </w:r>
                </w:p>
              </w:tc>
              <w:tc>
                <w:tcPr>
                  <w:tcW w:w="747" w:type="pct"/>
                  <w:noWrap w:val="0"/>
                  <w:vAlign w:val="center"/>
                </w:tcPr>
                <w:p w14:paraId="08C3460C">
                  <w:pPr>
                    <w:snapToGrid w:val="0"/>
                    <w:jc w:val="center"/>
                    <w:rPr>
                      <w:color w:val="auto"/>
                      <w:sz w:val="21"/>
                      <w:szCs w:val="22"/>
                    </w:rPr>
                  </w:pPr>
                  <w:r>
                    <w:rPr>
                      <w:color w:val="auto"/>
                      <w:sz w:val="21"/>
                      <w:szCs w:val="22"/>
                    </w:rPr>
                    <w:t>0.175</w:t>
                  </w:r>
                </w:p>
              </w:tc>
              <w:tc>
                <w:tcPr>
                  <w:tcW w:w="625" w:type="pct"/>
                  <w:noWrap w:val="0"/>
                  <w:vAlign w:val="center"/>
                </w:tcPr>
                <w:p w14:paraId="319EC3D2">
                  <w:pPr>
                    <w:snapToGrid w:val="0"/>
                    <w:jc w:val="center"/>
                    <w:rPr>
                      <w:color w:val="auto"/>
                      <w:sz w:val="21"/>
                      <w:szCs w:val="22"/>
                    </w:rPr>
                  </w:pPr>
                  <w:r>
                    <w:rPr>
                      <w:color w:val="auto"/>
                      <w:sz w:val="21"/>
                      <w:szCs w:val="22"/>
                    </w:rPr>
                    <w:t>0.175</w:t>
                  </w:r>
                </w:p>
              </w:tc>
              <w:tc>
                <w:tcPr>
                  <w:tcW w:w="626" w:type="pct"/>
                  <w:noWrap w:val="0"/>
                  <w:vAlign w:val="center"/>
                </w:tcPr>
                <w:p w14:paraId="0838C299">
                  <w:pPr>
                    <w:snapToGrid w:val="0"/>
                    <w:jc w:val="center"/>
                    <w:rPr>
                      <w:color w:val="auto"/>
                      <w:sz w:val="21"/>
                      <w:szCs w:val="22"/>
                    </w:rPr>
                  </w:pPr>
                  <w:r>
                    <w:rPr>
                      <w:color w:val="auto"/>
                      <w:sz w:val="21"/>
                      <w:szCs w:val="22"/>
                    </w:rPr>
                    <w:t>0.35</w:t>
                  </w:r>
                </w:p>
              </w:tc>
              <w:tc>
                <w:tcPr>
                  <w:tcW w:w="625" w:type="pct"/>
                  <w:noWrap w:val="0"/>
                  <w:vAlign w:val="center"/>
                </w:tcPr>
                <w:p w14:paraId="1DF63D47">
                  <w:pPr>
                    <w:snapToGrid w:val="0"/>
                    <w:jc w:val="center"/>
                    <w:rPr>
                      <w:color w:val="auto"/>
                      <w:sz w:val="21"/>
                      <w:szCs w:val="22"/>
                    </w:rPr>
                  </w:pPr>
                  <w:r>
                    <w:rPr>
                      <w:color w:val="auto"/>
                      <w:sz w:val="21"/>
                      <w:szCs w:val="22"/>
                    </w:rPr>
                    <w:t>0.005</w:t>
                  </w:r>
                </w:p>
              </w:tc>
            </w:tr>
          </w:tbl>
          <w:p w14:paraId="1E93950E">
            <w:pPr>
              <w:spacing w:line="360" w:lineRule="auto"/>
              <w:ind w:firstLine="480" w:firstLineChars="200"/>
              <w:jc w:val="both"/>
              <w:rPr>
                <w:rFonts w:hint="eastAsia" w:ascii="宋体" w:hAnsi="宋体" w:eastAsia="宋体" w:cs="宋体"/>
                <w:color w:val="auto"/>
                <w:sz w:val="24"/>
                <w:szCs w:val="24"/>
              </w:rPr>
            </w:pPr>
            <w:r>
              <w:rPr>
                <w:color w:val="auto"/>
                <w:sz w:val="24"/>
                <w:szCs w:val="28"/>
              </w:rPr>
              <w:t>本项目采用</w:t>
            </w:r>
            <w:r>
              <w:rPr>
                <w:rFonts w:hint="eastAsia"/>
                <w:color w:val="auto"/>
                <w:sz w:val="24"/>
                <w:szCs w:val="28"/>
                <w:lang w:val="en-US" w:eastAsia="zh-CN"/>
              </w:rPr>
              <w:t>全</w:t>
            </w:r>
            <w:r>
              <w:rPr>
                <w:rFonts w:hint="eastAsia"/>
                <w:color w:val="auto"/>
                <w:sz w:val="24"/>
                <w:szCs w:val="28"/>
              </w:rPr>
              <w:t>封闭</w:t>
            </w:r>
            <w:r>
              <w:rPr>
                <w:color w:val="auto"/>
                <w:sz w:val="24"/>
                <w:szCs w:val="28"/>
              </w:rPr>
              <w:t>储煤</w:t>
            </w:r>
            <w:r>
              <w:rPr>
                <w:rFonts w:hint="eastAsia"/>
                <w:color w:val="auto"/>
                <w:sz w:val="24"/>
                <w:szCs w:val="28"/>
                <w:lang w:val="en-US" w:eastAsia="zh-CN"/>
              </w:rPr>
              <w:t>棚</w:t>
            </w:r>
            <w:r>
              <w:rPr>
                <w:color w:val="auto"/>
                <w:sz w:val="24"/>
                <w:szCs w:val="28"/>
              </w:rPr>
              <w:t>进行存储</w:t>
            </w:r>
            <w:r>
              <w:rPr>
                <w:rFonts w:hint="eastAsia"/>
                <w:color w:val="auto"/>
                <w:sz w:val="24"/>
                <w:szCs w:val="28"/>
                <w:lang w:val="en-US" w:eastAsia="zh-CN"/>
              </w:rPr>
              <w:t>，</w:t>
            </w:r>
            <w:r>
              <w:rPr>
                <w:color w:val="auto"/>
                <w:sz w:val="24"/>
                <w:szCs w:val="28"/>
              </w:rPr>
              <w:t>产尘系数为0.005kg/t，则</w:t>
            </w:r>
            <w:r>
              <w:rPr>
                <w:rFonts w:hint="eastAsia"/>
                <w:color w:val="auto"/>
                <w:sz w:val="24"/>
                <w:szCs w:val="28"/>
                <w:lang w:eastAsia="zh-CN"/>
              </w:rPr>
              <w:t>储煤棚</w:t>
            </w:r>
            <w:r>
              <w:rPr>
                <w:color w:val="auto"/>
                <w:sz w:val="24"/>
                <w:szCs w:val="28"/>
              </w:rPr>
              <w:t>内粉尘产生量为</w:t>
            </w:r>
            <w:r>
              <w:rPr>
                <w:rFonts w:hint="eastAsia"/>
                <w:color w:val="auto"/>
                <w:sz w:val="24"/>
                <w:szCs w:val="28"/>
                <w:lang w:val="en-US" w:eastAsia="zh-CN"/>
              </w:rPr>
              <w:t>6</w:t>
            </w:r>
            <w:r>
              <w:rPr>
                <w:color w:val="auto"/>
                <w:sz w:val="24"/>
                <w:szCs w:val="28"/>
              </w:rPr>
              <w:t>t/a，储煤</w:t>
            </w:r>
            <w:r>
              <w:rPr>
                <w:rFonts w:hint="eastAsia"/>
                <w:color w:val="auto"/>
                <w:sz w:val="24"/>
                <w:szCs w:val="28"/>
                <w:lang w:val="en-US" w:eastAsia="zh-CN"/>
              </w:rPr>
              <w:t>棚内设4台喷雾抑尘装置</w:t>
            </w:r>
            <w:r>
              <w:rPr>
                <w:color w:val="auto"/>
                <w:sz w:val="24"/>
                <w:szCs w:val="28"/>
              </w:rPr>
              <w:t>进行抑尘</w:t>
            </w:r>
            <w:r>
              <w:rPr>
                <w:rFonts w:hint="eastAsia"/>
                <w:color w:val="auto"/>
                <w:sz w:val="24"/>
                <w:szCs w:val="28"/>
                <w:lang w:val="en-US" w:eastAsia="zh-CN"/>
              </w:rPr>
              <w:t>，</w:t>
            </w:r>
            <w:r>
              <w:rPr>
                <w:color w:val="auto"/>
                <w:sz w:val="24"/>
                <w:szCs w:val="28"/>
                <w:lang w:val="zh-CN"/>
              </w:rPr>
              <w:t>散逸的粉尘经喷</w:t>
            </w:r>
            <w:r>
              <w:rPr>
                <w:rFonts w:hint="eastAsia"/>
                <w:color w:val="auto"/>
                <w:sz w:val="24"/>
                <w:szCs w:val="28"/>
                <w:lang w:val="en-US" w:eastAsia="zh-CN"/>
              </w:rPr>
              <w:t>雾</w:t>
            </w:r>
            <w:r>
              <w:rPr>
                <w:color w:val="auto"/>
                <w:sz w:val="24"/>
                <w:szCs w:val="28"/>
                <w:lang w:val="zh-CN"/>
              </w:rPr>
              <w:t>洒水后在</w:t>
            </w:r>
            <w:r>
              <w:rPr>
                <w:rFonts w:hint="eastAsia"/>
                <w:color w:val="auto"/>
                <w:sz w:val="24"/>
                <w:szCs w:val="28"/>
                <w:lang w:val="zh-CN"/>
              </w:rPr>
              <w:t>储煤棚</w:t>
            </w:r>
            <w:r>
              <w:rPr>
                <w:color w:val="auto"/>
                <w:sz w:val="24"/>
                <w:szCs w:val="28"/>
                <w:lang w:val="zh-CN"/>
              </w:rPr>
              <w:t>内自然沉降，少部分通过</w:t>
            </w:r>
            <w:r>
              <w:rPr>
                <w:rFonts w:hint="eastAsia"/>
                <w:color w:val="auto"/>
                <w:sz w:val="24"/>
                <w:szCs w:val="28"/>
                <w:lang w:val="zh-CN"/>
              </w:rPr>
              <w:t>储煤棚</w:t>
            </w:r>
            <w:r>
              <w:rPr>
                <w:color w:val="auto"/>
                <w:sz w:val="24"/>
                <w:szCs w:val="28"/>
                <w:lang w:val="zh-CN"/>
              </w:rPr>
              <w:t>顶部通风设施逸出，</w:t>
            </w:r>
            <w:r>
              <w:rPr>
                <w:color w:val="auto"/>
                <w:sz w:val="24"/>
                <w:szCs w:val="28"/>
              </w:rPr>
              <w:t>综合除尘效率以</w:t>
            </w:r>
            <w:r>
              <w:rPr>
                <w:rFonts w:hint="eastAsia"/>
                <w:color w:val="auto"/>
                <w:sz w:val="24"/>
                <w:szCs w:val="28"/>
                <w:lang w:val="en-US" w:eastAsia="zh-CN"/>
              </w:rPr>
              <w:t>90</w:t>
            </w:r>
            <w:r>
              <w:rPr>
                <w:color w:val="auto"/>
                <w:sz w:val="24"/>
                <w:szCs w:val="28"/>
              </w:rPr>
              <w:t>%计，除尘后储煤</w:t>
            </w:r>
            <w:r>
              <w:rPr>
                <w:rFonts w:hint="eastAsia"/>
                <w:color w:val="auto"/>
                <w:sz w:val="24"/>
                <w:szCs w:val="28"/>
                <w:lang w:val="en-US" w:eastAsia="zh-CN"/>
              </w:rPr>
              <w:t>棚</w:t>
            </w:r>
            <w:r>
              <w:rPr>
                <w:color w:val="auto"/>
                <w:sz w:val="24"/>
                <w:szCs w:val="28"/>
              </w:rPr>
              <w:t>粉尘排放量为</w:t>
            </w:r>
            <w:r>
              <w:rPr>
                <w:rFonts w:hint="eastAsia"/>
                <w:color w:val="auto"/>
                <w:sz w:val="24"/>
                <w:szCs w:val="28"/>
                <w:lang w:val="en-US" w:eastAsia="zh-CN"/>
              </w:rPr>
              <w:t>0.6</w:t>
            </w:r>
            <w:r>
              <w:rPr>
                <w:color w:val="auto"/>
                <w:sz w:val="24"/>
                <w:szCs w:val="28"/>
              </w:rPr>
              <w:t>t/a（即</w:t>
            </w:r>
            <w:r>
              <w:rPr>
                <w:rFonts w:hint="eastAsia"/>
                <w:color w:val="auto"/>
                <w:sz w:val="24"/>
                <w:szCs w:val="28"/>
                <w:lang w:val="en-US" w:eastAsia="zh-CN"/>
              </w:rPr>
              <w:t>0.758</w:t>
            </w:r>
            <w:r>
              <w:rPr>
                <w:color w:val="auto"/>
                <w:sz w:val="24"/>
                <w:szCs w:val="28"/>
              </w:rPr>
              <w:t>kg/h）</w:t>
            </w:r>
            <w:r>
              <w:rPr>
                <w:color w:val="auto"/>
                <w:sz w:val="24"/>
                <w:szCs w:val="28"/>
                <w:lang w:val="zh-CN"/>
              </w:rPr>
              <w:t>，经类比采取以上措施，无组织排放的粉尘周界外浓度可控制在《煤炭工业污染物排放标准》（GB20426-2006）无组织排放限值即1.0mg/m</w:t>
            </w:r>
            <w:r>
              <w:rPr>
                <w:color w:val="auto"/>
                <w:sz w:val="24"/>
                <w:szCs w:val="28"/>
                <w:vertAlign w:val="superscript"/>
                <w:lang w:val="zh-CN"/>
              </w:rPr>
              <w:t>3</w:t>
            </w:r>
            <w:r>
              <w:rPr>
                <w:color w:val="auto"/>
                <w:sz w:val="24"/>
                <w:szCs w:val="28"/>
                <w:lang w:val="zh-CN"/>
              </w:rPr>
              <w:t>以下。</w:t>
            </w:r>
          </w:p>
          <w:p w14:paraId="469D2518">
            <w:pPr>
              <w:spacing w:line="360" w:lineRule="auto"/>
              <w:ind w:firstLine="480" w:firstLineChars="200"/>
              <w:rPr>
                <w:rFonts w:hint="eastAsia"/>
                <w:b/>
                <w:bCs/>
                <w:color w:val="auto"/>
                <w:sz w:val="24"/>
              </w:rPr>
            </w:pPr>
            <w:r>
              <w:rPr>
                <w:color w:val="auto"/>
                <w:sz w:val="24"/>
                <w:szCs w:val="24"/>
              </w:rPr>
              <w:t>综上所述，项目建成运营时，在采取</w:t>
            </w:r>
            <w:r>
              <w:rPr>
                <w:rFonts w:hint="eastAsia"/>
                <w:color w:val="auto"/>
                <w:sz w:val="24"/>
                <w:szCs w:val="24"/>
                <w:lang w:val="en-US" w:eastAsia="zh-CN"/>
              </w:rPr>
              <w:t>封闭</w:t>
            </w:r>
            <w:r>
              <w:rPr>
                <w:color w:val="auto"/>
                <w:sz w:val="24"/>
                <w:szCs w:val="24"/>
              </w:rPr>
              <w:t>存储、喷雾</w:t>
            </w:r>
            <w:r>
              <w:rPr>
                <w:rFonts w:hint="eastAsia"/>
                <w:color w:val="auto"/>
                <w:sz w:val="24"/>
                <w:szCs w:val="24"/>
                <w:lang w:val="en-US" w:eastAsia="zh-CN"/>
              </w:rPr>
              <w:t>降尘</w:t>
            </w:r>
            <w:r>
              <w:rPr>
                <w:color w:val="auto"/>
                <w:sz w:val="24"/>
                <w:szCs w:val="24"/>
              </w:rPr>
              <w:t>措施后，排放的大气污染物不会对环境空气质量产生明显影响。</w:t>
            </w:r>
          </w:p>
          <w:p w14:paraId="0AB057C7">
            <w:pPr>
              <w:spacing w:line="360" w:lineRule="auto"/>
              <w:ind w:firstLine="482" w:firstLineChars="200"/>
              <w:rPr>
                <w:b/>
                <w:bCs/>
                <w:color w:val="auto"/>
                <w:sz w:val="24"/>
              </w:rPr>
            </w:pPr>
            <w:r>
              <w:rPr>
                <w:rFonts w:hint="eastAsia"/>
                <w:b/>
                <w:bCs/>
                <w:color w:val="auto"/>
                <w:sz w:val="24"/>
              </w:rPr>
              <w:t>（2）废气治理设施及措施可行性分析</w:t>
            </w:r>
          </w:p>
          <w:p w14:paraId="0E312A91">
            <w:pPr>
              <w:spacing w:line="360" w:lineRule="auto"/>
              <w:ind w:firstLine="480" w:firstLineChars="200"/>
              <w:rPr>
                <w:rFonts w:hint="eastAsia"/>
                <w:color w:val="auto"/>
                <w:sz w:val="24"/>
              </w:rPr>
            </w:pPr>
            <w:r>
              <w:rPr>
                <w:rFonts w:hint="eastAsia"/>
                <w:color w:val="auto"/>
                <w:sz w:val="24"/>
              </w:rPr>
              <w:t>本项目主要采取的废气防治措施有：</w:t>
            </w:r>
          </w:p>
          <w:p w14:paraId="3E34D3E9">
            <w:pPr>
              <w:spacing w:line="360" w:lineRule="auto"/>
              <w:ind w:firstLine="480" w:firstLineChars="200"/>
              <w:rPr>
                <w:rFonts w:hint="eastAsia"/>
                <w:color w:val="auto"/>
                <w:sz w:val="24"/>
              </w:rPr>
            </w:pPr>
            <w:r>
              <w:rPr>
                <w:rFonts w:hint="eastAsia"/>
                <w:color w:val="auto"/>
                <w:sz w:val="24"/>
              </w:rPr>
              <w:t>①</w:t>
            </w:r>
            <w:r>
              <w:rPr>
                <w:rFonts w:hint="eastAsia"/>
                <w:color w:val="auto"/>
                <w:sz w:val="24"/>
                <w:lang w:val="en-US" w:eastAsia="zh-CN"/>
              </w:rPr>
              <w:t xml:space="preserve"> </w:t>
            </w:r>
            <w:r>
              <w:rPr>
                <w:rFonts w:hint="eastAsia"/>
                <w:color w:val="auto"/>
                <w:sz w:val="24"/>
              </w:rPr>
              <w:t>项目</w:t>
            </w:r>
            <w:r>
              <w:rPr>
                <w:rFonts w:hint="eastAsia"/>
                <w:color w:val="auto"/>
                <w:sz w:val="24"/>
                <w:lang w:val="en-US" w:eastAsia="zh-CN"/>
              </w:rPr>
              <w:t>产品、原煤</w:t>
            </w:r>
            <w:r>
              <w:rPr>
                <w:rFonts w:hint="eastAsia"/>
                <w:color w:val="auto"/>
                <w:sz w:val="24"/>
              </w:rPr>
              <w:t>储存</w:t>
            </w:r>
            <w:r>
              <w:rPr>
                <w:rFonts w:hint="eastAsia"/>
                <w:color w:val="auto"/>
                <w:sz w:val="24"/>
                <w:lang w:val="en-US" w:eastAsia="zh-CN"/>
              </w:rPr>
              <w:t>均</w:t>
            </w:r>
            <w:r>
              <w:rPr>
                <w:rFonts w:hint="eastAsia"/>
                <w:color w:val="auto"/>
                <w:sz w:val="24"/>
              </w:rPr>
              <w:t>采用</w:t>
            </w:r>
            <w:r>
              <w:rPr>
                <w:rFonts w:hint="eastAsia"/>
                <w:color w:val="auto"/>
                <w:sz w:val="24"/>
                <w:lang w:val="en-US" w:eastAsia="zh-CN"/>
              </w:rPr>
              <w:t>全</w:t>
            </w:r>
            <w:r>
              <w:rPr>
                <w:rFonts w:hint="eastAsia"/>
                <w:color w:val="auto"/>
                <w:sz w:val="24"/>
              </w:rPr>
              <w:t>封闭式储棚。</w:t>
            </w:r>
          </w:p>
          <w:p w14:paraId="1B4EA1D2">
            <w:pPr>
              <w:spacing w:line="360" w:lineRule="auto"/>
              <w:ind w:firstLine="480" w:firstLineChars="200"/>
              <w:rPr>
                <w:rFonts w:hint="eastAsia"/>
                <w:color w:val="auto"/>
                <w:sz w:val="24"/>
              </w:rPr>
            </w:pPr>
            <w:r>
              <w:rPr>
                <w:rFonts w:hint="eastAsia"/>
                <w:color w:val="auto"/>
                <w:sz w:val="24"/>
              </w:rPr>
              <w:t>②</w:t>
            </w:r>
            <w:r>
              <w:rPr>
                <w:rFonts w:hint="eastAsia"/>
                <w:color w:val="auto"/>
                <w:sz w:val="24"/>
                <w:lang w:val="en-US" w:eastAsia="zh-CN"/>
              </w:rPr>
              <w:t xml:space="preserve"> 原煤</w:t>
            </w:r>
            <w:r>
              <w:rPr>
                <w:rFonts w:hint="eastAsia"/>
                <w:color w:val="auto"/>
                <w:sz w:val="24"/>
              </w:rPr>
              <w:t>储煤棚设有</w:t>
            </w:r>
            <w:r>
              <w:rPr>
                <w:rFonts w:hint="eastAsia"/>
                <w:color w:val="auto"/>
                <w:sz w:val="24"/>
                <w:lang w:val="en-US" w:eastAsia="zh-CN"/>
              </w:rPr>
              <w:t>4台喷雾抑尘装置</w:t>
            </w:r>
            <w:r>
              <w:rPr>
                <w:rFonts w:hint="eastAsia"/>
                <w:color w:val="auto"/>
                <w:sz w:val="24"/>
              </w:rPr>
              <w:t>。</w:t>
            </w:r>
          </w:p>
          <w:p w14:paraId="0F77C91F">
            <w:pPr>
              <w:spacing w:line="360" w:lineRule="auto"/>
              <w:ind w:firstLine="480" w:firstLineChars="200"/>
              <w:rPr>
                <w:rFonts w:hint="default"/>
                <w:color w:val="auto"/>
                <w:sz w:val="24"/>
                <w:lang w:val="en-US" w:eastAsia="zh-CN"/>
              </w:rPr>
            </w:pPr>
            <w:r>
              <w:rPr>
                <w:rFonts w:hint="eastAsia"/>
                <w:color w:val="auto"/>
                <w:sz w:val="24"/>
              </w:rPr>
              <w:t>③</w:t>
            </w:r>
            <w:r>
              <w:rPr>
                <w:rFonts w:hint="eastAsia"/>
                <w:color w:val="auto"/>
                <w:sz w:val="24"/>
                <w:lang w:val="en-US" w:eastAsia="zh-CN"/>
              </w:rPr>
              <w:t xml:space="preserve"> 各转载运输过程中，设喷雾洒水抑尘装置。</w:t>
            </w:r>
          </w:p>
          <w:p w14:paraId="46413E99">
            <w:pPr>
              <w:spacing w:line="360" w:lineRule="auto"/>
              <w:ind w:firstLine="480" w:firstLineChars="200"/>
              <w:rPr>
                <w:rFonts w:hint="eastAsia"/>
                <w:color w:val="auto"/>
                <w:sz w:val="24"/>
              </w:rPr>
            </w:pPr>
            <w:r>
              <w:rPr>
                <w:rFonts w:hint="eastAsia"/>
                <w:color w:val="auto"/>
                <w:sz w:val="24"/>
              </w:rPr>
              <w:t>④</w:t>
            </w:r>
            <w:r>
              <w:rPr>
                <w:rFonts w:hint="eastAsia"/>
                <w:color w:val="auto"/>
                <w:sz w:val="24"/>
                <w:lang w:val="en-US" w:eastAsia="zh-CN"/>
              </w:rPr>
              <w:t xml:space="preserve"> </w:t>
            </w:r>
            <w:r>
              <w:rPr>
                <w:rFonts w:hint="eastAsia"/>
                <w:color w:val="auto"/>
                <w:sz w:val="24"/>
              </w:rPr>
              <w:t>物料运输过程中车辆行驶产生的扬尘，采取加强车辆管理措施，限定运输车辆在厂内的行驶速度，车辆运输过程必须加盖蓬布，不应超载；厂区道路全部进行硬化，对路面实施洒水抑尘、并配专人清扫；在厂区入口处设车辆冲洗装置减少运输过程道路扬尘污染。</w:t>
            </w:r>
          </w:p>
          <w:p w14:paraId="6873E425">
            <w:pPr>
              <w:spacing w:line="360" w:lineRule="auto"/>
              <w:ind w:firstLine="480" w:firstLineChars="200"/>
              <w:rPr>
                <w:rFonts w:hint="eastAsia"/>
                <w:color w:val="auto"/>
                <w:sz w:val="24"/>
              </w:rPr>
            </w:pPr>
            <w:r>
              <w:rPr>
                <w:rFonts w:hint="eastAsia" w:ascii="宋体" w:hAnsi="宋体" w:eastAsia="宋体" w:cs="宋体"/>
                <w:color w:val="auto"/>
                <w:sz w:val="24"/>
                <w:lang w:val="en-US" w:eastAsia="zh-CN"/>
              </w:rPr>
              <w:t>⑤</w:t>
            </w:r>
            <w:r>
              <w:rPr>
                <w:rFonts w:hint="eastAsia"/>
                <w:color w:val="auto"/>
                <w:sz w:val="24"/>
                <w:lang w:val="en-US" w:eastAsia="zh-CN"/>
              </w:rPr>
              <w:t xml:space="preserve"> </w:t>
            </w:r>
            <w:r>
              <w:rPr>
                <w:rFonts w:hint="eastAsia"/>
                <w:color w:val="auto"/>
                <w:sz w:val="24"/>
              </w:rPr>
              <w:t>依托现有联网扬尘在线监控系统，实时监测厂区无组织扬尘浓度。</w:t>
            </w:r>
          </w:p>
          <w:p w14:paraId="78434D85">
            <w:pPr>
              <w:spacing w:line="360" w:lineRule="auto"/>
              <w:ind w:firstLine="480" w:firstLineChars="200"/>
              <w:rPr>
                <w:rFonts w:hint="default" w:eastAsia="仿宋"/>
                <w:color w:val="auto"/>
                <w:sz w:val="24"/>
                <w:szCs w:val="24"/>
                <w:lang w:val="en-US" w:eastAsia="zh-CN"/>
              </w:rPr>
            </w:pPr>
            <w:r>
              <w:rPr>
                <w:rFonts w:hint="eastAsia" w:ascii="仿宋" w:hAnsi="仿宋" w:eastAsia="仿宋" w:cs="仿宋"/>
                <w:color w:val="auto"/>
                <w:sz w:val="24"/>
                <w:szCs w:val="24"/>
              </w:rPr>
              <w:t>⑥</w:t>
            </w:r>
            <w:r>
              <w:rPr>
                <w:rFonts w:hint="eastAsia" w:eastAsia="仿宋"/>
                <w:color w:val="auto"/>
                <w:sz w:val="24"/>
                <w:szCs w:val="24"/>
                <w:lang w:val="en-US" w:eastAsia="zh-CN"/>
              </w:rPr>
              <w:t xml:space="preserve"> </w:t>
            </w:r>
            <w:r>
              <w:rPr>
                <w:rFonts w:hint="eastAsia" w:ascii="宋体" w:hAnsi="宋体" w:eastAsia="宋体" w:cs="宋体"/>
                <w:color w:val="FF0000"/>
                <w:sz w:val="24"/>
                <w:szCs w:val="24"/>
                <w:lang w:val="en-US" w:eastAsia="zh-CN"/>
              </w:rPr>
              <w:t>安装安装环保门禁及视频监控系统，加强车辆运输过程中的监管。</w:t>
            </w:r>
          </w:p>
          <w:p w14:paraId="6CC77E29">
            <w:pPr>
              <w:spacing w:line="360" w:lineRule="auto"/>
              <w:ind w:firstLine="480" w:firstLineChars="200"/>
              <w:rPr>
                <w:color w:val="auto"/>
                <w:sz w:val="24"/>
              </w:rPr>
            </w:pPr>
            <w:r>
              <w:rPr>
                <w:color w:val="auto"/>
                <w:sz w:val="24"/>
                <w:szCs w:val="24"/>
              </w:rPr>
              <w:t>综上，本项目各污染物均可达标排放，对大气环境影响较小，</w:t>
            </w:r>
            <w:r>
              <w:rPr>
                <w:rFonts w:hint="eastAsia"/>
                <w:color w:val="auto"/>
                <w:sz w:val="24"/>
              </w:rPr>
              <w:t>在采取上述措施后，本项目储存、运输工序颗粒物排放浓度均可满足《煤炭工业污染物排放标准》（GB20426-2006）表5中的相关标准要求</w:t>
            </w:r>
            <w:r>
              <w:rPr>
                <w:rFonts w:hint="eastAsia"/>
                <w:color w:val="auto"/>
                <w:sz w:val="24"/>
                <w:lang w:eastAsia="zh-CN"/>
              </w:rPr>
              <w:t>。</w:t>
            </w:r>
            <w:r>
              <w:rPr>
                <w:rFonts w:hint="eastAsia"/>
                <w:color w:val="auto"/>
                <w:sz w:val="24"/>
              </w:rPr>
              <w:t>采取的废气治理措施可行。</w:t>
            </w:r>
          </w:p>
          <w:p w14:paraId="2724AAE1">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eastAsia"/>
                <w:b/>
                <w:bCs/>
                <w:color w:val="auto"/>
                <w:sz w:val="24"/>
                <w:szCs w:val="32"/>
                <w:lang w:val="en-US" w:eastAsia="zh-CN"/>
              </w:rPr>
            </w:pPr>
            <w:r>
              <w:rPr>
                <w:rFonts w:hint="eastAsia"/>
                <w:b/>
                <w:bCs/>
                <w:color w:val="auto"/>
                <w:sz w:val="24"/>
              </w:rPr>
              <w:t>（3）</w:t>
            </w:r>
            <w:r>
              <w:rPr>
                <w:b/>
                <w:bCs/>
                <w:color w:val="auto"/>
                <w:sz w:val="24"/>
              </w:rPr>
              <w:t>废气监测要求</w:t>
            </w:r>
          </w:p>
          <w:p w14:paraId="4D7EF8D2">
            <w:pPr>
              <w:pStyle w:val="14"/>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both"/>
              <w:textAlignment w:val="auto"/>
              <w:rPr>
                <w:rFonts w:hint="eastAsia"/>
                <w:b/>
                <w:bCs/>
                <w:color w:val="auto"/>
                <w:sz w:val="24"/>
                <w:szCs w:val="24"/>
                <w:lang w:val="en-US" w:eastAsia="zh-CN"/>
              </w:rPr>
            </w:pPr>
            <w:r>
              <w:rPr>
                <w:rFonts w:ascii="Times New Roman" w:hAnsi="Times New Roman" w:eastAsia="宋体"/>
                <w:bCs/>
                <w:color w:val="auto"/>
                <w:sz w:val="24"/>
                <w:szCs w:val="24"/>
              </w:rPr>
              <w:t>根据《排污单位自行监测技术指南总则》（HJ 819-2017）等相关要求开展自行监测。本项目运营期废气监测计划纳入全厂监测计划，见表4-</w:t>
            </w:r>
            <w:r>
              <w:rPr>
                <w:rFonts w:hint="eastAsia" w:ascii="Times New Roman" w:hAnsi="Times New Roman" w:eastAsia="宋体"/>
                <w:bCs/>
                <w:color w:val="auto"/>
                <w:sz w:val="24"/>
                <w:szCs w:val="24"/>
                <w:lang w:val="en-US" w:eastAsia="zh-CN"/>
              </w:rPr>
              <w:t>2</w:t>
            </w:r>
            <w:r>
              <w:rPr>
                <w:rFonts w:ascii="Times New Roman" w:hAnsi="Times New Roman" w:eastAsia="宋体"/>
                <w:bCs/>
                <w:color w:val="auto"/>
                <w:sz w:val="24"/>
                <w:szCs w:val="24"/>
              </w:rPr>
              <w:t>。</w:t>
            </w:r>
          </w:p>
          <w:p w14:paraId="2547448F">
            <w:pPr>
              <w:pStyle w:val="14"/>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b/>
                <w:bCs/>
                <w:color w:val="auto"/>
                <w:sz w:val="24"/>
                <w:szCs w:val="32"/>
                <w:lang w:val="en-US" w:eastAsia="zh-CN"/>
              </w:rPr>
            </w:pPr>
            <w:r>
              <w:rPr>
                <w:rFonts w:hint="eastAsia"/>
                <w:b/>
                <w:bCs/>
                <w:color w:val="auto"/>
                <w:sz w:val="24"/>
                <w:szCs w:val="32"/>
                <w:lang w:val="en-US" w:eastAsia="zh-CN"/>
              </w:rPr>
              <w:t>表4-2  监测计划一览表</w:t>
            </w:r>
          </w:p>
          <w:tbl>
            <w:tblPr>
              <w:tblStyle w:val="28"/>
              <w:tblW w:w="7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172"/>
              <w:gridCol w:w="969"/>
              <w:gridCol w:w="1581"/>
              <w:gridCol w:w="955"/>
              <w:gridCol w:w="2510"/>
            </w:tblGrid>
            <w:tr w14:paraId="58D0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14:paraId="2F7A49F2">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类别</w:t>
                  </w:r>
                </w:p>
              </w:tc>
              <w:tc>
                <w:tcPr>
                  <w:tcW w:w="1172" w:type="dxa"/>
                  <w:noWrap w:val="0"/>
                  <w:vAlign w:val="center"/>
                </w:tcPr>
                <w:p w14:paraId="4CEA2A92">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监测项目</w:t>
                  </w:r>
                </w:p>
              </w:tc>
              <w:tc>
                <w:tcPr>
                  <w:tcW w:w="969" w:type="dxa"/>
                  <w:noWrap w:val="0"/>
                  <w:vAlign w:val="center"/>
                </w:tcPr>
                <w:p w14:paraId="4DCF7E23">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监测因子</w:t>
                  </w:r>
                </w:p>
              </w:tc>
              <w:tc>
                <w:tcPr>
                  <w:tcW w:w="1581" w:type="dxa"/>
                  <w:noWrap w:val="0"/>
                  <w:vAlign w:val="center"/>
                </w:tcPr>
                <w:p w14:paraId="57CA475F">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监测点位</w:t>
                  </w:r>
                </w:p>
              </w:tc>
              <w:tc>
                <w:tcPr>
                  <w:tcW w:w="955" w:type="dxa"/>
                  <w:noWrap w:val="0"/>
                  <w:vAlign w:val="center"/>
                </w:tcPr>
                <w:p w14:paraId="293591D8">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最低监测频率</w:t>
                  </w:r>
                </w:p>
              </w:tc>
              <w:tc>
                <w:tcPr>
                  <w:tcW w:w="2510" w:type="dxa"/>
                  <w:noWrap w:val="0"/>
                  <w:vAlign w:val="center"/>
                </w:tcPr>
                <w:p w14:paraId="3292DB52">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执行标准</w:t>
                  </w:r>
                </w:p>
              </w:tc>
            </w:tr>
            <w:tr w14:paraId="6933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14:paraId="2ABA6392">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废气</w:t>
                  </w:r>
                </w:p>
              </w:tc>
              <w:tc>
                <w:tcPr>
                  <w:tcW w:w="1172" w:type="dxa"/>
                  <w:noWrap w:val="0"/>
                  <w:vAlign w:val="center"/>
                </w:tcPr>
                <w:p w14:paraId="40BC4947">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无组织废气</w:t>
                  </w:r>
                </w:p>
              </w:tc>
              <w:tc>
                <w:tcPr>
                  <w:tcW w:w="969" w:type="dxa"/>
                  <w:noWrap w:val="0"/>
                  <w:vAlign w:val="center"/>
                </w:tcPr>
                <w:p w14:paraId="47D14300">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颗粒物</w:t>
                  </w:r>
                </w:p>
              </w:tc>
              <w:tc>
                <w:tcPr>
                  <w:tcW w:w="1581" w:type="dxa"/>
                  <w:noWrap w:val="0"/>
                  <w:vAlign w:val="center"/>
                </w:tcPr>
                <w:p w14:paraId="440012A4">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color w:val="auto"/>
                      <w:sz w:val="21"/>
                      <w:szCs w:val="21"/>
                      <w:vertAlign w:val="baseline"/>
                      <w:lang w:val="en-US" w:eastAsia="zh-CN" w:bidi="ar-SA"/>
                    </w:rPr>
                  </w:pPr>
                  <w:r>
                    <w:rPr>
                      <w:rFonts w:ascii="Times New Roman" w:hAnsi="Times New Roman" w:eastAsia="宋体"/>
                      <w:color w:val="auto"/>
                      <w:lang w:val="en-US" w:eastAsia="zh-CN" w:bidi="ar-SA"/>
                    </w:rPr>
                    <w:t>场界四周外设4个监测点位</w:t>
                  </w:r>
                </w:p>
              </w:tc>
              <w:tc>
                <w:tcPr>
                  <w:tcW w:w="955" w:type="dxa"/>
                  <w:noWrap w:val="0"/>
                  <w:vAlign w:val="center"/>
                </w:tcPr>
                <w:p w14:paraId="4446908C">
                  <w:pPr>
                    <w:spacing w:beforeLines="0" w:afterLines="0"/>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纳入现有监测计划</w:t>
                  </w:r>
                </w:p>
              </w:tc>
              <w:tc>
                <w:tcPr>
                  <w:tcW w:w="2510" w:type="dxa"/>
                  <w:noWrap w:val="0"/>
                  <w:vAlign w:val="center"/>
                </w:tcPr>
                <w:p w14:paraId="558D7FFF">
                  <w:pPr>
                    <w:spacing w:beforeLines="0" w:afterLines="0"/>
                    <w:jc w:val="center"/>
                    <w:rPr>
                      <w:rFonts w:hint="default"/>
                      <w:color w:val="auto"/>
                      <w:sz w:val="21"/>
                      <w:szCs w:val="21"/>
                      <w:vertAlign w:val="baseline"/>
                      <w:lang w:val="en-US" w:eastAsia="zh-CN" w:bidi="ar-SA"/>
                    </w:rPr>
                  </w:pPr>
                  <w:r>
                    <w:rPr>
                      <w:rFonts w:hint="eastAsia" w:ascii="宋体" w:hAnsi="宋体" w:eastAsia="宋体"/>
                      <w:color w:val="auto"/>
                      <w:sz w:val="21"/>
                      <w:szCs w:val="24"/>
                      <w:lang w:val="en-US" w:eastAsia="zh-CN" w:bidi="ar-SA"/>
                    </w:rPr>
                    <w:t>《煤炭工业污染物排放标准》</w:t>
                  </w:r>
                  <w:r>
                    <w:rPr>
                      <w:rFonts w:hint="eastAsia" w:ascii="TimesNewRomanPSMT" w:hAnsi="TimesNewRomanPSMT" w:eastAsia="TimesNewRomanPSMT"/>
                      <w:color w:val="auto"/>
                      <w:sz w:val="21"/>
                      <w:szCs w:val="24"/>
                      <w:lang w:val="en-US" w:eastAsia="zh-CN" w:bidi="ar-SA"/>
                    </w:rPr>
                    <w:t>(GB20426-2006</w:t>
                  </w:r>
                  <w:r>
                    <w:rPr>
                      <w:rFonts w:hint="eastAsia" w:ascii="TimesNewRomanPSMT" w:hAnsi="TimesNewRomanPSMT" w:eastAsia="宋体"/>
                      <w:color w:val="auto"/>
                      <w:sz w:val="21"/>
                      <w:szCs w:val="24"/>
                      <w:lang w:val="en-US" w:eastAsia="zh-CN" w:bidi="ar-SA"/>
                    </w:rPr>
                    <w:t>）</w:t>
                  </w:r>
                  <w:r>
                    <w:rPr>
                      <w:rFonts w:hint="eastAsia" w:ascii="宋体" w:hAnsi="宋体" w:eastAsia="宋体"/>
                      <w:color w:val="auto"/>
                      <w:sz w:val="21"/>
                      <w:szCs w:val="24"/>
                      <w:lang w:val="en-US" w:eastAsia="zh-CN" w:bidi="ar-SA"/>
                    </w:rPr>
                    <w:t>表</w:t>
                  </w:r>
                  <w:r>
                    <w:rPr>
                      <w:rFonts w:hint="eastAsia" w:ascii="TimesNewRomanPSMT" w:hAnsi="TimesNewRomanPSMT" w:eastAsia="TimesNewRomanPSMT"/>
                      <w:color w:val="auto"/>
                      <w:sz w:val="21"/>
                      <w:szCs w:val="24"/>
                      <w:lang w:val="en-US" w:eastAsia="zh-CN" w:bidi="ar-SA"/>
                    </w:rPr>
                    <w:t>5</w:t>
                  </w:r>
                  <w:r>
                    <w:rPr>
                      <w:rFonts w:hint="eastAsia" w:ascii="宋体" w:hAnsi="宋体" w:eastAsia="宋体"/>
                      <w:color w:val="auto"/>
                      <w:sz w:val="21"/>
                      <w:szCs w:val="24"/>
                      <w:lang w:val="en-US" w:eastAsia="zh-CN" w:bidi="ar-SA"/>
                    </w:rPr>
                    <w:t>无组织排放限值</w:t>
                  </w:r>
                </w:p>
              </w:tc>
            </w:tr>
          </w:tbl>
          <w:p w14:paraId="38C366E4">
            <w:pPr>
              <w:adjustRightInd w:val="0"/>
              <w:snapToGrid w:val="0"/>
              <w:spacing w:line="336" w:lineRule="auto"/>
              <w:ind w:firstLine="465"/>
              <w:rPr>
                <w:b/>
                <w:bCs/>
                <w:color w:val="auto"/>
                <w:sz w:val="24"/>
                <w:szCs w:val="24"/>
              </w:rPr>
            </w:pPr>
            <w:r>
              <w:rPr>
                <w:b/>
                <w:bCs/>
                <w:color w:val="auto"/>
                <w:sz w:val="24"/>
                <w:szCs w:val="24"/>
              </w:rPr>
              <w:t>2、地表水环境影响分析</w:t>
            </w:r>
          </w:p>
          <w:p w14:paraId="48867D80">
            <w:pPr>
              <w:spacing w:line="360" w:lineRule="auto"/>
              <w:ind w:firstLine="480" w:firstLineChars="200"/>
              <w:rPr>
                <w:color w:val="auto"/>
                <w:sz w:val="24"/>
                <w:szCs w:val="24"/>
              </w:rPr>
            </w:pPr>
            <w:r>
              <w:rPr>
                <w:rFonts w:ascii="宋体" w:hAnsi="宋体" w:cs="宋体"/>
                <w:color w:val="auto"/>
                <w:sz w:val="24"/>
              </w:rPr>
              <w:t>① 生产废水</w:t>
            </w:r>
          </w:p>
          <w:p w14:paraId="21C47A04">
            <w:pPr>
              <w:spacing w:line="360" w:lineRule="auto"/>
              <w:ind w:firstLine="480" w:firstLineChars="200"/>
              <w:rPr>
                <w:color w:val="auto"/>
                <w:sz w:val="24"/>
                <w:szCs w:val="24"/>
              </w:rPr>
            </w:pPr>
            <w:r>
              <w:rPr>
                <w:rFonts w:hint="eastAsia" w:hAnsi="宋体"/>
                <w:bCs/>
                <w:color w:val="auto"/>
                <w:sz w:val="24"/>
                <w:lang w:val="en-US" w:eastAsia="zh-CN"/>
              </w:rPr>
              <w:t>本项目无新增生产废水产生</w:t>
            </w:r>
            <w:r>
              <w:rPr>
                <w:rFonts w:hint="eastAsia" w:hAnsi="宋体"/>
                <w:bCs/>
                <w:color w:val="auto"/>
                <w:sz w:val="24"/>
                <w:lang w:eastAsia="zh-CN"/>
              </w:rPr>
              <w:t>。</w:t>
            </w:r>
          </w:p>
          <w:p w14:paraId="1A7A122D">
            <w:pPr>
              <w:spacing w:line="360" w:lineRule="auto"/>
              <w:ind w:firstLine="480" w:firstLineChars="200"/>
              <w:jc w:val="both"/>
              <w:rPr>
                <w:rFonts w:ascii="宋体" w:hAnsi="宋体" w:cs="宋体"/>
                <w:color w:val="auto"/>
                <w:sz w:val="24"/>
              </w:rPr>
            </w:pPr>
            <w:r>
              <w:rPr>
                <w:rFonts w:ascii="宋体" w:hAnsi="宋体" w:cs="宋体"/>
                <w:color w:val="auto"/>
                <w:sz w:val="24"/>
              </w:rPr>
              <w:t>② 生活污水</w:t>
            </w:r>
          </w:p>
          <w:p w14:paraId="2328D05A">
            <w:pPr>
              <w:spacing w:line="360" w:lineRule="auto"/>
              <w:ind w:firstLine="480" w:firstLineChars="200"/>
              <w:jc w:val="both"/>
              <w:rPr>
                <w:rFonts w:hint="eastAsia"/>
                <w:bCs/>
                <w:color w:val="auto"/>
                <w:sz w:val="24"/>
              </w:rPr>
            </w:pPr>
            <w:r>
              <w:rPr>
                <w:rFonts w:hint="eastAsia"/>
                <w:bCs/>
                <w:color w:val="auto"/>
                <w:sz w:val="24"/>
              </w:rPr>
              <w:t>本项目不新增员工，</w:t>
            </w:r>
            <w:r>
              <w:rPr>
                <w:rFonts w:hint="eastAsia"/>
                <w:bCs/>
                <w:color w:val="auto"/>
                <w:sz w:val="24"/>
                <w:lang w:val="en-US" w:eastAsia="zh-CN"/>
              </w:rPr>
              <w:t>故无</w:t>
            </w:r>
            <w:r>
              <w:rPr>
                <w:rFonts w:hint="eastAsia"/>
                <w:bCs/>
                <w:color w:val="auto"/>
                <w:sz w:val="24"/>
              </w:rPr>
              <w:t>新增生活污水。</w:t>
            </w:r>
          </w:p>
          <w:p w14:paraId="4282A323">
            <w:pPr>
              <w:adjustRightInd w:val="0"/>
              <w:spacing w:line="360" w:lineRule="auto"/>
              <w:ind w:firstLine="480" w:firstLineChars="200"/>
              <w:rPr>
                <w:color w:val="auto"/>
                <w:sz w:val="24"/>
              </w:rPr>
            </w:pPr>
            <w:r>
              <w:rPr>
                <w:rFonts w:hint="eastAsia" w:ascii="宋体" w:hAnsi="宋体" w:cs="宋体"/>
                <w:color w:val="auto"/>
                <w:sz w:val="24"/>
              </w:rPr>
              <w:t xml:space="preserve">③ </w:t>
            </w:r>
            <w:r>
              <w:rPr>
                <w:rFonts w:hAnsi="宋体"/>
                <w:color w:val="auto"/>
                <w:sz w:val="24"/>
              </w:rPr>
              <w:t>初期雨水</w:t>
            </w:r>
          </w:p>
          <w:p w14:paraId="7825FD65">
            <w:pPr>
              <w:adjustRightInd w:val="0"/>
              <w:snapToGrid w:val="0"/>
              <w:spacing w:line="360" w:lineRule="auto"/>
              <w:ind w:firstLine="482"/>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府谷县</w:t>
            </w:r>
            <w:r>
              <w:rPr>
                <w:rFonts w:hint="default" w:ascii="Times New Roman" w:hAnsi="Times New Roman" w:cs="Times New Roman"/>
                <w:color w:val="auto"/>
                <w:sz w:val="24"/>
                <w:szCs w:val="24"/>
              </w:rPr>
              <w:t>水资源相对短缺，因此建设单位必须树立节水意识，</w:t>
            </w:r>
            <w:r>
              <w:rPr>
                <w:rFonts w:hint="eastAsia" w:ascii="Times New Roman" w:hAnsi="Times New Roman" w:cs="Times New Roman"/>
                <w:color w:val="auto"/>
                <w:sz w:val="24"/>
                <w:szCs w:val="24"/>
                <w:lang w:val="en-US" w:eastAsia="zh-CN"/>
              </w:rPr>
              <w:t>考虑生产性质，本项目依托厂区现有的初期雨水收集池，雨水收集后经沉淀后全部回用于厂区抑尘、洗车以及绿化用水，一方面可最大程度的节约水资源，另一方面可降低雨水直接外排对水环境的影响。</w:t>
            </w:r>
          </w:p>
          <w:p w14:paraId="029CA1FA">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一般降水地表不会产生径流，只有在强降水条件下可形成径流。本项目</w:t>
            </w:r>
            <w:r>
              <w:rPr>
                <w:rFonts w:hint="eastAsia" w:ascii="Times New Roman" w:hAnsi="Times New Roman" w:cs="Times New Roman"/>
                <w:color w:val="auto"/>
                <w:sz w:val="24"/>
                <w:szCs w:val="24"/>
                <w:lang w:val="en-US" w:eastAsia="zh-CN"/>
              </w:rPr>
              <w:t>初期雨水池</w:t>
            </w:r>
            <w:r>
              <w:rPr>
                <w:rFonts w:hint="default" w:ascii="Times New Roman" w:hAnsi="Times New Roman" w:cs="Times New Roman"/>
                <w:color w:val="auto"/>
                <w:sz w:val="24"/>
                <w:szCs w:val="24"/>
              </w:rPr>
              <w:t>容量确定如下：</w:t>
            </w:r>
          </w:p>
          <w:p w14:paraId="72E5BB13">
            <w:pPr>
              <w:adjustRightInd w:val="0"/>
              <w:snapToGrid w:val="0"/>
              <w:spacing w:line="360" w:lineRule="auto"/>
              <w:ind w:firstLine="482"/>
              <w:rPr>
                <w:rFonts w:hint="default" w:ascii="Times New Roman" w:hAnsi="Times New Roman" w:cs="Times New Roman"/>
                <w:color w:val="auto"/>
                <w:sz w:val="24"/>
                <w:szCs w:val="24"/>
                <w:highlight w:val="none"/>
              </w:rPr>
            </w:pPr>
            <w:r>
              <w:rPr>
                <w:rFonts w:hint="default" w:ascii="Times New Roman" w:hAnsi="Times New Roman" w:cs="Times New Roman"/>
                <w:color w:val="7030A0"/>
                <w:sz w:val="24"/>
                <w:szCs w:val="24"/>
                <w:highlight w:val="none"/>
              </w:rPr>
              <w:t>本次</w:t>
            </w:r>
            <w:r>
              <w:rPr>
                <w:rFonts w:hint="eastAsia" w:cs="Times New Roman"/>
                <w:color w:val="7030A0"/>
                <w:sz w:val="24"/>
                <w:szCs w:val="24"/>
                <w:highlight w:val="none"/>
                <w:lang w:val="en-US" w:eastAsia="zh-CN"/>
              </w:rPr>
              <w:t>初期雨水池容积</w:t>
            </w:r>
            <w:r>
              <w:rPr>
                <w:rFonts w:hint="default" w:ascii="Times New Roman" w:hAnsi="Times New Roman" w:cs="Times New Roman"/>
                <w:color w:val="7030A0"/>
                <w:sz w:val="24"/>
                <w:szCs w:val="24"/>
                <w:highlight w:val="none"/>
              </w:rPr>
              <w:t>采用</w:t>
            </w:r>
            <w:r>
              <w:rPr>
                <w:rFonts w:hint="eastAsia" w:cs="Times New Roman"/>
                <w:color w:val="7030A0"/>
                <w:sz w:val="24"/>
                <w:szCs w:val="24"/>
                <w:highlight w:val="none"/>
                <w:lang w:val="en-US" w:eastAsia="zh-CN"/>
              </w:rPr>
              <w:t>厂区面积</w:t>
            </w:r>
            <w:r>
              <w:rPr>
                <w:rFonts w:hint="eastAsia" w:ascii="Times New Roman" w:hAnsi="Times New Roman" w:cs="Times New Roman"/>
                <w:color w:val="7030A0"/>
                <w:sz w:val="24"/>
                <w:szCs w:val="24"/>
                <w:highlight w:val="none"/>
                <w:lang w:val="en-US" w:eastAsia="zh-CN"/>
              </w:rPr>
              <w:t>与降水30毫米深度的乘积</w:t>
            </w:r>
            <w:r>
              <w:rPr>
                <w:rFonts w:hint="default" w:ascii="Times New Roman" w:hAnsi="Times New Roman" w:cs="Times New Roman"/>
                <w:color w:val="7030A0"/>
                <w:sz w:val="24"/>
                <w:szCs w:val="24"/>
                <w:highlight w:val="none"/>
              </w:rPr>
              <w:t>进行校核计算</w:t>
            </w:r>
            <w:r>
              <w:rPr>
                <w:rFonts w:hint="default" w:ascii="Times New Roman" w:hAnsi="Times New Roman" w:cs="Times New Roman"/>
                <w:color w:val="auto"/>
                <w:sz w:val="24"/>
                <w:szCs w:val="24"/>
                <w:highlight w:val="none"/>
              </w:rPr>
              <w:t>，即：</w:t>
            </w:r>
          </w:p>
          <w:p w14:paraId="25BDDB18">
            <w:pPr>
              <w:adjustRightInd w:val="0"/>
              <w:snapToGrid w:val="0"/>
              <w:spacing w:line="360" w:lineRule="auto"/>
              <w:ind w:firstLine="482"/>
              <w:jc w:val="center"/>
              <w:rPr>
                <w:rFonts w:hint="default" w:ascii="Times New Roman" w:hAnsi="Times New Roman" w:cs="Times New Roman"/>
                <w:bCs/>
                <w:color w:val="7030A0"/>
                <w:spacing w:val="6"/>
                <w:sz w:val="24"/>
                <w:highlight w:val="none"/>
              </w:rPr>
            </w:pPr>
            <w:r>
              <w:rPr>
                <w:rFonts w:hint="default" w:ascii="Times New Roman" w:hAnsi="Times New Roman" w:cs="Times New Roman"/>
                <w:color w:val="7030A0"/>
                <w:sz w:val="24"/>
                <w:szCs w:val="24"/>
                <w:highlight w:val="none"/>
              </w:rPr>
              <w:t>雨水设计流量：</w:t>
            </w:r>
            <w:r>
              <w:rPr>
                <w:rFonts w:hint="default" w:ascii="Times New Roman" w:hAnsi="Times New Roman" w:cs="Times New Roman"/>
                <w:bCs/>
                <w:color w:val="7030A0"/>
                <w:spacing w:val="6"/>
                <w:sz w:val="24"/>
                <w:highlight w:val="none"/>
              </w:rPr>
              <w:t>Q=qF*</w:t>
            </w:r>
            <w:r>
              <w:rPr>
                <w:rFonts w:hint="eastAsia" w:cs="Times New Roman"/>
                <w:bCs/>
                <w:color w:val="7030A0"/>
                <w:spacing w:val="6"/>
                <w:sz w:val="24"/>
                <w:highlight w:val="none"/>
                <w:lang w:val="en-US" w:eastAsia="zh-CN"/>
              </w:rPr>
              <w:t>10000</w:t>
            </w:r>
            <w:r>
              <w:rPr>
                <w:rFonts w:hint="default" w:ascii="Times New Roman" w:hAnsi="Times New Roman" w:cs="Times New Roman"/>
                <w:bCs/>
                <w:color w:val="7030A0"/>
                <w:spacing w:val="6"/>
                <w:sz w:val="24"/>
                <w:highlight w:val="none"/>
              </w:rPr>
              <w:t>/1000</w:t>
            </w:r>
          </w:p>
          <w:p w14:paraId="52849A25">
            <w:pPr>
              <w:adjustRightInd w:val="0"/>
              <w:snapToGrid w:val="0"/>
              <w:spacing w:line="360" w:lineRule="auto"/>
              <w:ind w:firstLine="482"/>
              <w:jc w:val="both"/>
              <w:rPr>
                <w:rFonts w:hint="default" w:ascii="Times New Roman" w:hAnsi="Times New Roman" w:cs="Times New Roman"/>
                <w:color w:val="7030A0"/>
                <w:sz w:val="24"/>
                <w:szCs w:val="24"/>
                <w:highlight w:val="none"/>
              </w:rPr>
            </w:pPr>
            <w:r>
              <w:rPr>
                <w:rFonts w:hint="default" w:ascii="Times New Roman" w:hAnsi="Times New Roman" w:cs="Times New Roman"/>
                <w:color w:val="7030A0"/>
                <w:sz w:val="24"/>
                <w:szCs w:val="24"/>
                <w:highlight w:val="none"/>
              </w:rPr>
              <w:t>式中：q——</w:t>
            </w:r>
            <w:r>
              <w:rPr>
                <w:rFonts w:hint="eastAsia" w:cs="Times New Roman"/>
                <w:color w:val="7030A0"/>
                <w:sz w:val="24"/>
                <w:szCs w:val="24"/>
                <w:highlight w:val="none"/>
                <w:lang w:val="en-US" w:eastAsia="zh-CN"/>
              </w:rPr>
              <w:t>降雨强度</w:t>
            </w:r>
            <w:r>
              <w:rPr>
                <w:rFonts w:hint="default" w:ascii="Times New Roman" w:hAnsi="Times New Roman" w:cs="Times New Roman"/>
                <w:color w:val="7030A0"/>
                <w:sz w:val="24"/>
                <w:szCs w:val="24"/>
                <w:highlight w:val="none"/>
              </w:rPr>
              <w:t>，</w:t>
            </w:r>
            <w:r>
              <w:rPr>
                <w:rFonts w:hint="eastAsia" w:cs="Times New Roman"/>
                <w:color w:val="7030A0"/>
                <w:sz w:val="24"/>
                <w:szCs w:val="24"/>
                <w:highlight w:val="none"/>
                <w:lang w:val="en-US" w:eastAsia="zh-CN"/>
              </w:rPr>
              <w:t>mm</w:t>
            </w:r>
            <w:r>
              <w:rPr>
                <w:rFonts w:hint="default" w:ascii="Times New Roman" w:hAnsi="Times New Roman" w:cs="Times New Roman"/>
                <w:color w:val="7030A0"/>
                <w:sz w:val="24"/>
                <w:szCs w:val="24"/>
                <w:highlight w:val="none"/>
              </w:rPr>
              <w:t>；</w:t>
            </w:r>
          </w:p>
          <w:p w14:paraId="1034B6B5">
            <w:pPr>
              <w:adjustRightInd w:val="0"/>
              <w:snapToGrid w:val="0"/>
              <w:spacing w:line="360" w:lineRule="auto"/>
              <w:ind w:firstLine="482"/>
              <w:rPr>
                <w:rFonts w:hint="default" w:ascii="Times New Roman" w:hAnsi="Times New Roman" w:eastAsia="宋体" w:cs="Times New Roman"/>
                <w:color w:val="7030A0"/>
                <w:sz w:val="24"/>
                <w:szCs w:val="24"/>
                <w:highlight w:val="none"/>
                <w:lang w:val="en-US" w:eastAsia="zh-CN"/>
              </w:rPr>
            </w:pPr>
            <w:r>
              <w:rPr>
                <w:rFonts w:hint="default" w:ascii="Times New Roman" w:hAnsi="Times New Roman" w:cs="Times New Roman"/>
                <w:color w:val="7030A0"/>
                <w:sz w:val="24"/>
                <w:szCs w:val="24"/>
                <w:highlight w:val="none"/>
              </w:rPr>
              <w:t>F——汇水面积，hm</w:t>
            </w:r>
            <w:r>
              <w:rPr>
                <w:rFonts w:hint="default" w:ascii="Times New Roman" w:hAnsi="Times New Roman" w:cs="Times New Roman"/>
                <w:color w:val="7030A0"/>
                <w:sz w:val="24"/>
                <w:szCs w:val="24"/>
                <w:highlight w:val="none"/>
                <w:vertAlign w:val="superscript"/>
              </w:rPr>
              <w:t>2</w:t>
            </w:r>
            <w:r>
              <w:rPr>
                <w:rFonts w:hint="eastAsia" w:cs="Times New Roman"/>
                <w:color w:val="7030A0"/>
                <w:sz w:val="24"/>
                <w:szCs w:val="24"/>
                <w:highlight w:val="none"/>
                <w:vertAlign w:val="baseline"/>
                <w:lang w:eastAsia="zh-CN"/>
              </w:rPr>
              <w:t>；</w:t>
            </w:r>
          </w:p>
          <w:p w14:paraId="520AEDCF">
            <w:pPr>
              <w:adjustRightInd w:val="0"/>
              <w:snapToGrid w:val="0"/>
              <w:spacing w:line="360" w:lineRule="auto"/>
              <w:ind w:firstLine="482"/>
              <w:rPr>
                <w:rFonts w:hint="default" w:ascii="Times New Roman" w:hAnsi="Times New Roman" w:eastAsia="宋体" w:cs="Times New Roman"/>
                <w:color w:val="7030A0"/>
                <w:sz w:val="24"/>
                <w:szCs w:val="24"/>
                <w:highlight w:val="none"/>
                <w:lang w:eastAsia="zh-CN"/>
              </w:rPr>
            </w:pPr>
            <w:r>
              <w:rPr>
                <w:rFonts w:hint="eastAsia" w:cs="Times New Roman"/>
                <w:color w:val="7030A0"/>
                <w:sz w:val="24"/>
                <w:szCs w:val="24"/>
                <w:highlight w:val="none"/>
                <w:lang w:val="en-US" w:eastAsia="zh-CN"/>
              </w:rPr>
              <w:t>q</w:t>
            </w:r>
            <w:r>
              <w:rPr>
                <w:rFonts w:hint="default" w:ascii="Times New Roman" w:hAnsi="Times New Roman" w:cs="Times New Roman"/>
                <w:color w:val="7030A0"/>
                <w:sz w:val="24"/>
                <w:szCs w:val="24"/>
                <w:highlight w:val="none"/>
              </w:rPr>
              <w:t>取值30</w:t>
            </w:r>
            <w:r>
              <w:rPr>
                <w:rFonts w:hint="eastAsia" w:cs="Times New Roman"/>
                <w:color w:val="7030A0"/>
                <w:sz w:val="24"/>
                <w:szCs w:val="24"/>
                <w:highlight w:val="none"/>
                <w:lang w:val="en-US" w:eastAsia="zh-CN"/>
              </w:rPr>
              <w:t>mm</w:t>
            </w:r>
            <w:r>
              <w:rPr>
                <w:rFonts w:hint="default" w:ascii="Times New Roman" w:hAnsi="Times New Roman" w:cs="Times New Roman"/>
                <w:color w:val="7030A0"/>
                <w:sz w:val="24"/>
                <w:szCs w:val="24"/>
                <w:highlight w:val="none"/>
              </w:rPr>
              <w:t>，F</w:t>
            </w:r>
            <w:r>
              <w:rPr>
                <w:rFonts w:hint="default" w:ascii="Times New Roman" w:hAnsi="Times New Roman" w:cs="Times New Roman"/>
                <w:color w:val="7030A0"/>
                <w:sz w:val="24"/>
                <w:szCs w:val="24"/>
                <w:highlight w:val="none"/>
                <w:lang w:val="en-US" w:eastAsia="zh-CN"/>
              </w:rPr>
              <w:t>取值</w:t>
            </w:r>
            <w:r>
              <w:rPr>
                <w:rFonts w:hint="eastAsia" w:ascii="Times New Roman" w:hAnsi="Times New Roman" w:cs="Times New Roman"/>
                <w:color w:val="7030A0"/>
                <w:sz w:val="24"/>
                <w:szCs w:val="24"/>
                <w:highlight w:val="none"/>
                <w:lang w:val="en-US" w:eastAsia="zh-CN"/>
              </w:rPr>
              <w:t>3.460</w:t>
            </w:r>
            <w:r>
              <w:rPr>
                <w:rFonts w:hint="eastAsia" w:cs="Times New Roman"/>
                <w:color w:val="7030A0"/>
                <w:sz w:val="24"/>
                <w:szCs w:val="24"/>
                <w:highlight w:val="none"/>
                <w:lang w:val="en-US" w:eastAsia="zh-CN"/>
              </w:rPr>
              <w:t>7</w:t>
            </w:r>
            <w:r>
              <w:rPr>
                <w:rFonts w:hint="default" w:ascii="Times New Roman" w:hAnsi="Times New Roman" w:cs="Times New Roman"/>
                <w:color w:val="7030A0"/>
                <w:sz w:val="24"/>
                <w:szCs w:val="24"/>
                <w:highlight w:val="none"/>
              </w:rPr>
              <w:t>hm</w:t>
            </w:r>
            <w:r>
              <w:rPr>
                <w:rFonts w:hint="default" w:ascii="Times New Roman" w:hAnsi="Times New Roman" w:cs="Times New Roman"/>
                <w:color w:val="7030A0"/>
                <w:sz w:val="24"/>
                <w:szCs w:val="24"/>
                <w:highlight w:val="none"/>
                <w:vertAlign w:val="superscript"/>
              </w:rPr>
              <w:t>2</w:t>
            </w:r>
            <w:r>
              <w:rPr>
                <w:rFonts w:hint="default" w:ascii="Times New Roman" w:hAnsi="Times New Roman" w:cs="Times New Roman"/>
                <w:color w:val="7030A0"/>
                <w:sz w:val="24"/>
                <w:szCs w:val="24"/>
                <w:highlight w:val="none"/>
              </w:rPr>
              <w:t>。</w:t>
            </w:r>
          </w:p>
          <w:p w14:paraId="7C8AE718">
            <w:pPr>
              <w:spacing w:line="360" w:lineRule="auto"/>
              <w:ind w:firstLine="480"/>
              <w:rPr>
                <w:color w:val="7030A0"/>
                <w:sz w:val="24"/>
              </w:rPr>
            </w:pPr>
            <w:r>
              <w:rPr>
                <w:rFonts w:hint="default" w:ascii="Times New Roman" w:hAnsi="Times New Roman" w:cs="Times New Roman"/>
                <w:color w:val="7030A0"/>
                <w:sz w:val="24"/>
                <w:szCs w:val="24"/>
                <w:highlight w:val="none"/>
              </w:rPr>
              <w:t>经计算，强降水厂区收集</w:t>
            </w:r>
            <w:r>
              <w:rPr>
                <w:rFonts w:hint="default" w:ascii="Times New Roman" w:hAnsi="Times New Roman" w:cs="Times New Roman"/>
                <w:color w:val="7030A0"/>
                <w:sz w:val="24"/>
                <w:szCs w:val="24"/>
                <w:highlight w:val="none"/>
                <w:lang w:val="en-US" w:eastAsia="zh-CN"/>
              </w:rPr>
              <w:t>雨</w:t>
            </w:r>
            <w:r>
              <w:rPr>
                <w:rFonts w:hint="default" w:ascii="Times New Roman" w:hAnsi="Times New Roman" w:cs="Times New Roman"/>
                <w:color w:val="7030A0"/>
                <w:sz w:val="24"/>
                <w:szCs w:val="24"/>
                <w:highlight w:val="none"/>
              </w:rPr>
              <w:t>水</w:t>
            </w:r>
            <w:r>
              <w:rPr>
                <w:rFonts w:hint="eastAsia" w:cs="Times New Roman"/>
                <w:color w:val="7030A0"/>
                <w:sz w:val="24"/>
                <w:szCs w:val="24"/>
                <w:highlight w:val="none"/>
                <w:lang w:val="en-US" w:eastAsia="zh-CN"/>
              </w:rPr>
              <w:t>流量</w:t>
            </w:r>
            <w:r>
              <w:rPr>
                <w:rFonts w:hint="default" w:ascii="Times New Roman" w:hAnsi="Times New Roman" w:cs="Times New Roman"/>
                <w:color w:val="7030A0"/>
                <w:sz w:val="24"/>
                <w:szCs w:val="24"/>
                <w:highlight w:val="none"/>
              </w:rPr>
              <w:t>为</w:t>
            </w:r>
            <w:r>
              <w:rPr>
                <w:rFonts w:hint="eastAsia" w:cs="Times New Roman"/>
                <w:color w:val="7030A0"/>
                <w:sz w:val="24"/>
                <w:szCs w:val="24"/>
                <w:highlight w:val="none"/>
                <w:lang w:val="en-US" w:eastAsia="zh-CN"/>
              </w:rPr>
              <w:t>1038.21m</w:t>
            </w:r>
            <w:r>
              <w:rPr>
                <w:rFonts w:hint="eastAsia" w:cs="Times New Roman"/>
                <w:color w:val="7030A0"/>
                <w:sz w:val="24"/>
                <w:szCs w:val="24"/>
                <w:highlight w:val="none"/>
                <w:vertAlign w:val="superscript"/>
                <w:lang w:val="en-US" w:eastAsia="zh-CN"/>
              </w:rPr>
              <w:t>3</w:t>
            </w:r>
            <w:r>
              <w:rPr>
                <w:rFonts w:hint="default" w:ascii="Times New Roman" w:hAnsi="Times New Roman" w:cs="Times New Roman"/>
                <w:color w:val="7030A0"/>
                <w:sz w:val="24"/>
                <w:szCs w:val="24"/>
                <w:highlight w:val="none"/>
              </w:rPr>
              <w:t>，</w:t>
            </w:r>
            <w:r>
              <w:rPr>
                <w:rFonts w:hint="eastAsia" w:ascii="Times New Roman" w:hAnsi="Times New Roman" w:cs="Times New Roman"/>
                <w:color w:val="7030A0"/>
                <w:sz w:val="24"/>
                <w:szCs w:val="24"/>
                <w:highlight w:val="none"/>
                <w:lang w:val="en-US" w:eastAsia="zh-CN"/>
              </w:rPr>
              <w:t>现有厂区已在低洼处</w:t>
            </w:r>
            <w:r>
              <w:rPr>
                <w:rFonts w:hint="default" w:ascii="Times New Roman" w:hAnsi="Times New Roman" w:cs="Times New Roman"/>
                <w:color w:val="7030A0"/>
                <w:sz w:val="24"/>
                <w:szCs w:val="24"/>
                <w:highlight w:val="none"/>
              </w:rPr>
              <w:t>设置</w:t>
            </w:r>
            <w:r>
              <w:rPr>
                <w:rFonts w:hint="eastAsia" w:ascii="Times New Roman" w:hAnsi="Times New Roman" w:cs="Times New Roman"/>
                <w:color w:val="7030A0"/>
                <w:sz w:val="24"/>
                <w:szCs w:val="24"/>
                <w:highlight w:val="none"/>
                <w:lang w:val="en-US" w:eastAsia="zh-CN"/>
              </w:rPr>
              <w:t>3座雨水收集池，容积分别为15m</w:t>
            </w:r>
            <w:r>
              <w:rPr>
                <w:rFonts w:hint="eastAsia" w:ascii="Times New Roman" w:hAnsi="Times New Roman" w:cs="Times New Roman"/>
                <w:color w:val="7030A0"/>
                <w:sz w:val="24"/>
                <w:szCs w:val="24"/>
                <w:highlight w:val="none"/>
                <w:vertAlign w:val="superscript"/>
                <w:lang w:val="en-US" w:eastAsia="zh-CN"/>
              </w:rPr>
              <w:t>3</w:t>
            </w:r>
            <w:r>
              <w:rPr>
                <w:rFonts w:hint="eastAsia" w:ascii="Times New Roman" w:hAnsi="Times New Roman" w:cs="Times New Roman"/>
                <w:color w:val="7030A0"/>
                <w:sz w:val="24"/>
                <w:szCs w:val="24"/>
                <w:highlight w:val="none"/>
                <w:lang w:val="en-US" w:eastAsia="zh-CN"/>
              </w:rPr>
              <w:t>、20m</w:t>
            </w:r>
            <w:r>
              <w:rPr>
                <w:rFonts w:hint="eastAsia" w:ascii="Times New Roman" w:hAnsi="Times New Roman" w:cs="Times New Roman"/>
                <w:color w:val="7030A0"/>
                <w:sz w:val="24"/>
                <w:szCs w:val="24"/>
                <w:highlight w:val="none"/>
                <w:vertAlign w:val="superscript"/>
                <w:lang w:val="en-US" w:eastAsia="zh-CN"/>
              </w:rPr>
              <w:t>3</w:t>
            </w:r>
            <w:r>
              <w:rPr>
                <w:rFonts w:hint="eastAsia" w:ascii="Times New Roman" w:hAnsi="Times New Roman" w:cs="Times New Roman"/>
                <w:color w:val="7030A0"/>
                <w:sz w:val="24"/>
                <w:szCs w:val="24"/>
                <w:highlight w:val="none"/>
                <w:lang w:val="en-US" w:eastAsia="zh-CN"/>
              </w:rPr>
              <w:t>、350m</w:t>
            </w:r>
            <w:r>
              <w:rPr>
                <w:rFonts w:hint="eastAsia" w:ascii="Times New Roman" w:hAnsi="Times New Roman" w:cs="Times New Roman"/>
                <w:color w:val="7030A0"/>
                <w:sz w:val="24"/>
                <w:szCs w:val="24"/>
                <w:highlight w:val="none"/>
                <w:vertAlign w:val="superscript"/>
                <w:lang w:val="en-US" w:eastAsia="zh-CN"/>
              </w:rPr>
              <w:t>3</w:t>
            </w:r>
            <w:r>
              <w:rPr>
                <w:rFonts w:hint="eastAsia" w:ascii="Times New Roman" w:hAnsi="Times New Roman" w:cs="Times New Roman"/>
                <w:color w:val="7030A0"/>
                <w:sz w:val="24"/>
                <w:szCs w:val="24"/>
                <w:highlight w:val="none"/>
                <w:vertAlign w:val="baseline"/>
                <w:lang w:val="en-US" w:eastAsia="zh-CN"/>
              </w:rPr>
              <w:t>，</w:t>
            </w:r>
            <w:r>
              <w:rPr>
                <w:rFonts w:hint="eastAsia" w:cs="Times New Roman"/>
                <w:color w:val="7030A0"/>
                <w:sz w:val="24"/>
                <w:szCs w:val="24"/>
                <w:highlight w:val="none"/>
                <w:vertAlign w:val="baseline"/>
                <w:lang w:val="en-US" w:eastAsia="zh-CN"/>
              </w:rPr>
              <w:t>不</w:t>
            </w:r>
            <w:r>
              <w:rPr>
                <w:rFonts w:hint="eastAsia" w:ascii="Times New Roman" w:hAnsi="Times New Roman" w:cs="Times New Roman"/>
                <w:color w:val="7030A0"/>
                <w:sz w:val="24"/>
                <w:szCs w:val="24"/>
                <w:highlight w:val="none"/>
                <w:lang w:val="en-US" w:eastAsia="zh-CN"/>
              </w:rPr>
              <w:t>满足全厂的初期雨水的收</w:t>
            </w:r>
            <w:r>
              <w:rPr>
                <w:rFonts w:hint="eastAsia" w:cs="Times New Roman"/>
                <w:color w:val="7030A0"/>
                <w:sz w:val="24"/>
                <w:szCs w:val="24"/>
                <w:highlight w:val="none"/>
                <w:lang w:val="en-US" w:eastAsia="zh-CN"/>
              </w:rPr>
              <w:t>集，故本次评价要求企业新建不小于654m</w:t>
            </w:r>
            <w:r>
              <w:rPr>
                <w:rFonts w:hint="eastAsia" w:cs="Times New Roman"/>
                <w:color w:val="7030A0"/>
                <w:sz w:val="24"/>
                <w:szCs w:val="24"/>
                <w:highlight w:val="none"/>
                <w:vertAlign w:val="superscript"/>
                <w:lang w:val="en-US" w:eastAsia="zh-CN"/>
              </w:rPr>
              <w:t>3</w:t>
            </w:r>
            <w:r>
              <w:rPr>
                <w:rFonts w:hint="eastAsia" w:cs="Times New Roman"/>
                <w:color w:val="7030A0"/>
                <w:sz w:val="24"/>
                <w:szCs w:val="24"/>
                <w:highlight w:val="none"/>
                <w:lang w:val="en-US" w:eastAsia="zh-CN"/>
              </w:rPr>
              <w:t>的初期雨水池</w:t>
            </w:r>
            <w:r>
              <w:rPr>
                <w:rFonts w:hint="eastAsia" w:ascii="Times New Roman" w:hAnsi="Times New Roman" w:cs="Times New Roman"/>
                <w:color w:val="7030A0"/>
                <w:sz w:val="24"/>
                <w:szCs w:val="24"/>
                <w:highlight w:val="none"/>
                <w:lang w:val="en-US" w:eastAsia="zh-CN"/>
              </w:rPr>
              <w:t>。厂区</w:t>
            </w:r>
            <w:r>
              <w:rPr>
                <w:rFonts w:hint="default" w:ascii="Times New Roman" w:hAnsi="Times New Roman" w:cs="Times New Roman"/>
                <w:color w:val="7030A0"/>
                <w:sz w:val="24"/>
                <w:szCs w:val="24"/>
                <w:highlight w:val="none"/>
                <w:lang w:val="en-US" w:eastAsia="zh-CN"/>
              </w:rPr>
              <w:t>雨水收集后全部回用于场地的</w:t>
            </w:r>
            <w:r>
              <w:rPr>
                <w:rFonts w:hint="eastAsia" w:ascii="Times New Roman" w:hAnsi="Times New Roman" w:cs="Times New Roman"/>
                <w:color w:val="7030A0"/>
                <w:sz w:val="24"/>
                <w:szCs w:val="24"/>
                <w:highlight w:val="none"/>
                <w:lang w:val="en-US" w:eastAsia="zh-CN"/>
              </w:rPr>
              <w:t>洒水抑尘、洗车以及绿化用水</w:t>
            </w:r>
            <w:r>
              <w:rPr>
                <w:rFonts w:hint="default" w:ascii="Times New Roman" w:hAnsi="Times New Roman" w:cs="Times New Roman"/>
                <w:color w:val="7030A0"/>
                <w:sz w:val="24"/>
                <w:szCs w:val="24"/>
                <w:highlight w:val="none"/>
                <w:lang w:val="en-US" w:eastAsia="zh-CN"/>
              </w:rPr>
              <w:t>等</w:t>
            </w:r>
            <w:r>
              <w:rPr>
                <w:rFonts w:hint="eastAsia" w:ascii="Times New Roman" w:hAnsi="Times New Roman" w:cs="Times New Roman"/>
                <w:color w:val="7030A0"/>
                <w:sz w:val="24"/>
                <w:szCs w:val="24"/>
                <w:highlight w:val="none"/>
                <w:lang w:val="en-US" w:eastAsia="zh-CN"/>
              </w:rPr>
              <w:t>，不外排。</w:t>
            </w:r>
          </w:p>
          <w:p w14:paraId="5378CAF6">
            <w:pPr>
              <w:pStyle w:val="50"/>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宋体" w:eastAsia="宋体" w:cs="宋体"/>
                <w:b/>
                <w:bCs/>
                <w:color w:val="auto"/>
                <w:sz w:val="24"/>
                <w:szCs w:val="24"/>
                <w:lang w:val="en-US" w:eastAsia="zh-CN"/>
              </w:rPr>
            </w:pPr>
            <w:r>
              <w:rPr>
                <w:rFonts w:hint="eastAsia" w:ascii="新宋体" w:hAnsi="新宋体" w:eastAsia="新宋体" w:cs="新宋体"/>
                <w:color w:val="auto"/>
                <w:sz w:val="24"/>
              </w:rPr>
              <w:t>综上所述，项目废水不外排，对周围环境影响较小。</w:t>
            </w:r>
          </w:p>
          <w:p w14:paraId="402B04EF">
            <w:pPr>
              <w:pStyle w:val="50"/>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jc w:val="left"/>
              <w:textAlignment w:val="auto"/>
              <w:rPr>
                <w:rFonts w:hint="eastAsia" w:ascii="宋体" w:hAnsi="宋体" w:eastAsia="宋体" w:cs="宋体"/>
                <w:b/>
                <w:bCs/>
                <w:color w:val="auto"/>
                <w:sz w:val="24"/>
                <w:szCs w:val="24"/>
              </w:rPr>
            </w:pPr>
            <w:r>
              <w:rPr>
                <w:rFonts w:hint="eastAsia" w:ascii="宋体" w:eastAsia="宋体" w:cs="宋体"/>
                <w:b/>
                <w:bCs/>
                <w:color w:val="auto"/>
                <w:sz w:val="24"/>
                <w:szCs w:val="24"/>
                <w:lang w:val="en-US" w:eastAsia="zh-CN"/>
              </w:rPr>
              <w:t>3</w:t>
            </w:r>
            <w:r>
              <w:rPr>
                <w:rFonts w:hint="eastAsia" w:ascii="宋体" w:hAnsi="宋体" w:eastAsia="宋体" w:cs="宋体"/>
                <w:b/>
                <w:bCs/>
                <w:color w:val="auto"/>
                <w:sz w:val="24"/>
                <w:szCs w:val="24"/>
              </w:rPr>
              <w:t>、声环境影响分析</w:t>
            </w:r>
          </w:p>
          <w:p w14:paraId="543BD108">
            <w:pPr>
              <w:spacing w:line="360" w:lineRule="auto"/>
              <w:ind w:firstLine="480" w:firstLineChars="200"/>
              <w:rPr>
                <w:rFonts w:hint="default" w:ascii="宋体" w:hAnsi="宋体" w:eastAsia="宋体" w:cs="宋体"/>
                <w:color w:val="auto"/>
                <w:sz w:val="24"/>
                <w:szCs w:val="24"/>
                <w:lang w:val="en-US" w:eastAsia="zh-CN"/>
              </w:rPr>
            </w:pPr>
            <w:r>
              <w:rPr>
                <w:rFonts w:hint="eastAsia" w:ascii="仿宋" w:hAnsi="仿宋" w:eastAsia="仿宋" w:cs="仿宋"/>
                <w:color w:val="auto"/>
                <w:sz w:val="24"/>
                <w:szCs w:val="24"/>
              </w:rPr>
              <w:t>⑴</w:t>
            </w:r>
            <w:r>
              <w:rPr>
                <w:rFonts w:hint="eastAsia" w:eastAsia="仿宋"/>
                <w:color w:val="auto"/>
                <w:sz w:val="24"/>
                <w:szCs w:val="24"/>
                <w:lang w:val="en-US" w:eastAsia="zh-CN"/>
              </w:rPr>
              <w:t xml:space="preserve"> </w:t>
            </w:r>
            <w:r>
              <w:rPr>
                <w:rFonts w:hint="eastAsia" w:ascii="宋体" w:hAnsi="宋体" w:eastAsia="宋体" w:cs="宋体"/>
                <w:color w:val="auto"/>
                <w:sz w:val="24"/>
                <w:szCs w:val="24"/>
                <w:lang w:val="en-US" w:eastAsia="zh-CN"/>
              </w:rPr>
              <w:t>噪声影响分析</w:t>
            </w:r>
          </w:p>
          <w:p w14:paraId="5F42A96C">
            <w:pPr>
              <w:spacing w:line="360" w:lineRule="auto"/>
              <w:ind w:firstLine="480" w:firstLineChars="200"/>
              <w:rPr>
                <w:color w:val="auto"/>
                <w:sz w:val="24"/>
                <w:szCs w:val="24"/>
              </w:rPr>
            </w:pPr>
            <w:r>
              <w:rPr>
                <w:color w:val="auto"/>
                <w:sz w:val="24"/>
                <w:szCs w:val="24"/>
              </w:rPr>
              <w:t>本项目</w:t>
            </w:r>
            <w:r>
              <w:rPr>
                <w:rFonts w:hint="eastAsia"/>
                <w:color w:val="auto"/>
                <w:sz w:val="24"/>
                <w:szCs w:val="24"/>
                <w:lang w:val="en-US" w:eastAsia="zh-CN"/>
              </w:rPr>
              <w:t>为储煤棚项目，未新增噪声源，且通过厂房隔声等措施后，对厂界噪声影响可以忽略不计</w:t>
            </w:r>
            <w:r>
              <w:rPr>
                <w:color w:val="auto"/>
                <w:sz w:val="24"/>
                <w:szCs w:val="24"/>
              </w:rPr>
              <w:t>。</w:t>
            </w:r>
          </w:p>
          <w:p w14:paraId="1271DA8B">
            <w:pPr>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宋体" w:hAnsi="宋体" w:eastAsia="宋体" w:cs="宋体"/>
                <w:color w:val="auto"/>
                <w:sz w:val="24"/>
                <w:lang w:val="en-US" w:eastAsia="zh-CN"/>
              </w:rPr>
              <w:t>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噪声监测计划</w:t>
            </w:r>
          </w:p>
          <w:p w14:paraId="1407254C">
            <w:pPr>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本项目</w:t>
            </w:r>
            <w:r>
              <w:rPr>
                <w:rFonts w:hint="default" w:ascii="Times New Roman" w:hAnsi="Times New Roman" w:cs="Times New Roman"/>
                <w:color w:val="auto"/>
                <w:sz w:val="24"/>
                <w:lang w:val="en-US" w:eastAsia="zh-CN"/>
              </w:rPr>
              <w:t>噪声监测</w:t>
            </w:r>
            <w:r>
              <w:rPr>
                <w:rFonts w:hint="eastAsia" w:ascii="Times New Roman" w:hAnsi="Times New Roman" w:cs="Times New Roman"/>
                <w:color w:val="auto"/>
                <w:sz w:val="24"/>
                <w:lang w:val="en-US" w:eastAsia="zh-CN"/>
              </w:rPr>
              <w:t>纳入全厂的监测计划，</w:t>
            </w:r>
            <w:r>
              <w:rPr>
                <w:rFonts w:hint="default" w:ascii="Times New Roman" w:hAnsi="Times New Roman" w:cs="Times New Roman"/>
                <w:color w:val="auto"/>
                <w:sz w:val="24"/>
                <w:lang w:val="en-US" w:eastAsia="zh-CN"/>
              </w:rPr>
              <w:t>见表4-</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val="en-US" w:eastAsia="zh-CN"/>
              </w:rPr>
              <w:t>。</w:t>
            </w:r>
          </w:p>
          <w:p w14:paraId="3B3A961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表</w:t>
            </w:r>
            <w:r>
              <w:rPr>
                <w:rFonts w:hint="eastAsia" w:ascii="宋体" w:hAnsi="宋体" w:eastAsia="宋体" w:cs="宋体"/>
                <w:b/>
                <w:bCs/>
                <w:color w:val="auto"/>
                <w:sz w:val="24"/>
                <w:lang w:val="en-US" w:eastAsia="zh-CN"/>
              </w:rPr>
              <w:t xml:space="preserve">4-3   </w:t>
            </w:r>
            <w:r>
              <w:rPr>
                <w:rFonts w:hint="eastAsia" w:ascii="宋体" w:hAnsi="宋体" w:eastAsia="宋体" w:cs="宋体"/>
                <w:b/>
                <w:bCs/>
                <w:color w:val="auto"/>
                <w:sz w:val="24"/>
              </w:rPr>
              <w:t xml:space="preserve"> </w:t>
            </w:r>
            <w:r>
              <w:rPr>
                <w:rFonts w:hint="eastAsia" w:ascii="宋体" w:hAnsi="宋体" w:eastAsia="宋体" w:cs="宋体"/>
                <w:b/>
                <w:bCs/>
                <w:color w:val="auto"/>
                <w:sz w:val="24"/>
                <w:lang w:val="en-US" w:eastAsia="zh-CN"/>
              </w:rPr>
              <w:t>噪声</w:t>
            </w:r>
            <w:r>
              <w:rPr>
                <w:rFonts w:hint="eastAsia" w:ascii="宋体" w:hAnsi="宋体" w:eastAsia="宋体" w:cs="宋体"/>
                <w:b/>
                <w:bCs/>
                <w:color w:val="auto"/>
                <w:sz w:val="24"/>
              </w:rPr>
              <w:t>监测计划一览表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11"/>
              <w:gridCol w:w="1180"/>
              <w:gridCol w:w="2068"/>
              <w:gridCol w:w="2854"/>
            </w:tblGrid>
            <w:tr w14:paraId="61F4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noWrap w:val="0"/>
                  <w:vAlign w:val="center"/>
                </w:tcPr>
                <w:p w14:paraId="0472635C">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类别</w:t>
                  </w:r>
                </w:p>
              </w:tc>
              <w:tc>
                <w:tcPr>
                  <w:tcW w:w="704" w:type="pct"/>
                  <w:noWrap w:val="0"/>
                  <w:vAlign w:val="center"/>
                </w:tcPr>
                <w:p w14:paraId="47E7E25E">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监测项目</w:t>
                  </w:r>
                </w:p>
              </w:tc>
              <w:tc>
                <w:tcPr>
                  <w:tcW w:w="748" w:type="pct"/>
                  <w:noWrap w:val="0"/>
                  <w:vAlign w:val="center"/>
                </w:tcPr>
                <w:p w14:paraId="75D374D7">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监测因子</w:t>
                  </w:r>
                </w:p>
              </w:tc>
              <w:tc>
                <w:tcPr>
                  <w:tcW w:w="1311" w:type="pct"/>
                  <w:noWrap w:val="0"/>
                  <w:vAlign w:val="center"/>
                </w:tcPr>
                <w:p w14:paraId="478342AC">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监测点位</w:t>
                  </w:r>
                </w:p>
              </w:tc>
              <w:tc>
                <w:tcPr>
                  <w:tcW w:w="1809" w:type="pct"/>
                  <w:noWrap w:val="0"/>
                  <w:vAlign w:val="center"/>
                </w:tcPr>
                <w:p w14:paraId="1B569C2A">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执行标准</w:t>
                  </w:r>
                </w:p>
              </w:tc>
            </w:tr>
            <w:tr w14:paraId="5A1F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noWrap w:val="0"/>
                  <w:vAlign w:val="center"/>
                </w:tcPr>
                <w:p w14:paraId="018760E7">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噪声</w:t>
                  </w:r>
                </w:p>
              </w:tc>
              <w:tc>
                <w:tcPr>
                  <w:tcW w:w="704" w:type="pct"/>
                  <w:noWrap w:val="0"/>
                  <w:vAlign w:val="center"/>
                </w:tcPr>
                <w:p w14:paraId="0544C6A3">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厂界</w:t>
                  </w:r>
                </w:p>
              </w:tc>
              <w:tc>
                <w:tcPr>
                  <w:tcW w:w="748" w:type="pct"/>
                  <w:noWrap w:val="0"/>
                  <w:vAlign w:val="center"/>
                </w:tcPr>
                <w:p w14:paraId="47D4B763">
                  <w:pPr>
                    <w:spacing w:beforeLines="0" w:afterLines="0"/>
                    <w:jc w:val="center"/>
                    <w:rPr>
                      <w:rFonts w:hint="default"/>
                      <w:color w:val="auto"/>
                      <w:sz w:val="21"/>
                      <w:szCs w:val="21"/>
                      <w:vertAlign w:val="baseline"/>
                      <w:lang w:val="en-US" w:eastAsia="zh-CN" w:bidi="ar-SA"/>
                    </w:rPr>
                  </w:pPr>
                  <w:r>
                    <w:rPr>
                      <w:rFonts w:hint="eastAsia" w:ascii="TimesNewRomanPSMT" w:hAnsi="TimesNewRomanPSMT" w:eastAsia="TimesNewRomanPSMT"/>
                      <w:color w:val="auto"/>
                      <w:sz w:val="21"/>
                      <w:szCs w:val="21"/>
                      <w:lang w:val="en-US" w:eastAsia="zh-CN" w:bidi="ar-SA"/>
                    </w:rPr>
                    <w:t>LAeq</w:t>
                  </w:r>
                </w:p>
              </w:tc>
              <w:tc>
                <w:tcPr>
                  <w:tcW w:w="1311" w:type="pct"/>
                  <w:noWrap w:val="0"/>
                  <w:vAlign w:val="center"/>
                </w:tcPr>
                <w:p w14:paraId="0D279B67">
                  <w:pPr>
                    <w:spacing w:beforeLines="0" w:afterLines="0"/>
                    <w:jc w:val="center"/>
                    <w:rPr>
                      <w:rFonts w:hint="default"/>
                      <w:color w:val="auto"/>
                      <w:sz w:val="21"/>
                      <w:szCs w:val="21"/>
                      <w:vertAlign w:val="baseline"/>
                      <w:lang w:val="en-US" w:eastAsia="zh-CN" w:bidi="ar-SA"/>
                    </w:rPr>
                  </w:pPr>
                  <w:r>
                    <w:rPr>
                      <w:rFonts w:hint="eastAsia" w:ascii="Times New Roman" w:hAnsi="Times New Roman" w:eastAsia="宋体"/>
                      <w:color w:val="auto"/>
                      <w:sz w:val="21"/>
                      <w:szCs w:val="21"/>
                      <w:lang w:val="en-US" w:eastAsia="zh-CN" w:bidi="ar-SA"/>
                    </w:rPr>
                    <w:t>厂界</w:t>
                  </w:r>
                  <w:r>
                    <w:rPr>
                      <w:rFonts w:ascii="Times New Roman" w:hAnsi="Times New Roman" w:eastAsia="宋体"/>
                      <w:color w:val="auto"/>
                      <w:sz w:val="21"/>
                      <w:szCs w:val="21"/>
                      <w:lang w:val="en-US" w:eastAsia="zh-CN" w:bidi="ar-SA"/>
                    </w:rPr>
                    <w:t>四周外</w:t>
                  </w:r>
                  <w:r>
                    <w:rPr>
                      <w:rFonts w:hint="eastAsia" w:ascii="Times New Roman" w:hAnsi="Times New Roman" w:eastAsia="宋体"/>
                      <w:color w:val="auto"/>
                      <w:sz w:val="21"/>
                      <w:szCs w:val="21"/>
                      <w:lang w:val="en-US" w:eastAsia="zh-CN" w:bidi="ar-SA"/>
                    </w:rPr>
                    <w:t>各</w:t>
                  </w:r>
                  <w:r>
                    <w:rPr>
                      <w:rFonts w:ascii="Times New Roman" w:hAnsi="Times New Roman" w:eastAsia="宋体"/>
                      <w:color w:val="auto"/>
                      <w:sz w:val="21"/>
                      <w:szCs w:val="21"/>
                      <w:lang w:val="en-US" w:eastAsia="zh-CN" w:bidi="ar-SA"/>
                    </w:rPr>
                    <w:t>设</w:t>
                  </w:r>
                  <w:r>
                    <w:rPr>
                      <w:rFonts w:hint="eastAsia" w:ascii="Times New Roman" w:hAnsi="Times New Roman" w:eastAsia="宋体"/>
                      <w:color w:val="auto"/>
                      <w:sz w:val="21"/>
                      <w:szCs w:val="21"/>
                      <w:lang w:val="en-US" w:eastAsia="zh-CN" w:bidi="ar-SA"/>
                    </w:rPr>
                    <w:t>1个</w:t>
                  </w:r>
                  <w:r>
                    <w:rPr>
                      <w:rFonts w:ascii="Times New Roman" w:hAnsi="Times New Roman" w:eastAsia="宋体"/>
                      <w:color w:val="auto"/>
                      <w:sz w:val="21"/>
                      <w:szCs w:val="21"/>
                      <w:lang w:val="en-US" w:eastAsia="zh-CN" w:bidi="ar-SA"/>
                    </w:rPr>
                    <w:t>监测点位</w:t>
                  </w:r>
                  <w:r>
                    <w:rPr>
                      <w:rFonts w:hint="eastAsia" w:ascii="Times New Roman" w:hAnsi="Times New Roman" w:eastAsia="宋体"/>
                      <w:color w:val="auto"/>
                      <w:sz w:val="21"/>
                      <w:szCs w:val="21"/>
                      <w:lang w:val="en-US" w:eastAsia="zh-CN" w:bidi="ar-SA"/>
                    </w:rPr>
                    <w:t>，共</w:t>
                  </w:r>
                  <w:r>
                    <w:rPr>
                      <w:rFonts w:ascii="Times New Roman" w:hAnsi="Times New Roman" w:eastAsia="宋体"/>
                      <w:color w:val="auto"/>
                      <w:sz w:val="21"/>
                      <w:szCs w:val="21"/>
                      <w:lang w:val="en-US" w:eastAsia="zh-CN" w:bidi="ar-SA"/>
                    </w:rPr>
                    <w:t>4个</w:t>
                  </w:r>
                </w:p>
              </w:tc>
              <w:tc>
                <w:tcPr>
                  <w:tcW w:w="1809" w:type="pct"/>
                  <w:noWrap w:val="0"/>
                  <w:vAlign w:val="center"/>
                </w:tcPr>
                <w:p w14:paraId="1752AAF7">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bidi="ar-SA"/>
                    </w:rPr>
                  </w:pPr>
                  <w:r>
                    <w:rPr>
                      <w:rFonts w:hint="default"/>
                      <w:color w:val="auto"/>
                      <w:sz w:val="21"/>
                      <w:szCs w:val="21"/>
                      <w:vertAlign w:val="baseline"/>
                      <w:lang w:val="en-US" w:eastAsia="zh-CN" w:bidi="ar-SA"/>
                    </w:rPr>
                    <w:t>《工业企业厂界环境噪声排放标准》（GB12348-2008）</w:t>
                  </w:r>
                  <w:r>
                    <w:rPr>
                      <w:rFonts w:hint="eastAsia"/>
                      <w:color w:val="auto"/>
                      <w:sz w:val="21"/>
                      <w:szCs w:val="21"/>
                      <w:vertAlign w:val="baseline"/>
                      <w:lang w:val="en-US" w:eastAsia="zh-CN" w:bidi="ar-SA"/>
                    </w:rPr>
                    <w:t>2</w:t>
                  </w:r>
                  <w:r>
                    <w:rPr>
                      <w:rFonts w:hint="default"/>
                      <w:color w:val="auto"/>
                      <w:sz w:val="21"/>
                      <w:szCs w:val="21"/>
                      <w:vertAlign w:val="baseline"/>
                      <w:lang w:val="en-US" w:eastAsia="zh-CN" w:bidi="ar-SA"/>
                    </w:rPr>
                    <w:t>类标准</w:t>
                  </w:r>
                </w:p>
              </w:tc>
            </w:tr>
          </w:tbl>
          <w:p w14:paraId="39AD18E9">
            <w:pPr>
              <w:pStyle w:val="50"/>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、地下水</w:t>
            </w:r>
            <w:r>
              <w:rPr>
                <w:rFonts w:hint="eastAsia" w:ascii="宋体" w:eastAsia="宋体" w:cs="宋体"/>
                <w:b/>
                <w:bCs/>
                <w:color w:val="auto"/>
                <w:sz w:val="24"/>
                <w:szCs w:val="24"/>
                <w:lang w:eastAsia="zh-CN"/>
              </w:rPr>
              <w:t>、</w:t>
            </w:r>
            <w:r>
              <w:rPr>
                <w:rFonts w:hint="eastAsia" w:ascii="宋体" w:eastAsia="宋体" w:cs="宋体"/>
                <w:b/>
                <w:bCs/>
                <w:color w:val="auto"/>
                <w:sz w:val="24"/>
                <w:szCs w:val="24"/>
                <w:lang w:val="en-US" w:eastAsia="zh-CN"/>
              </w:rPr>
              <w:t>土壤</w:t>
            </w:r>
            <w:r>
              <w:rPr>
                <w:rFonts w:hint="eastAsia" w:ascii="宋体" w:hAnsi="宋体" w:eastAsia="宋体" w:cs="宋体"/>
                <w:b/>
                <w:bCs/>
                <w:color w:val="auto"/>
                <w:sz w:val="24"/>
                <w:szCs w:val="24"/>
              </w:rPr>
              <w:t>环境影响分析</w:t>
            </w:r>
          </w:p>
          <w:p w14:paraId="7B0973B8">
            <w:pPr>
              <w:spacing w:line="360" w:lineRule="auto"/>
              <w:ind w:firstLine="480" w:firstLineChars="200"/>
              <w:rPr>
                <w:rFonts w:hint="default"/>
                <w:color w:val="auto"/>
                <w:sz w:val="24"/>
                <w:szCs w:val="24"/>
                <w:lang w:val="en-US"/>
              </w:rPr>
            </w:pPr>
            <w:r>
              <w:rPr>
                <w:rFonts w:hint="eastAsia"/>
                <w:color w:val="auto"/>
                <w:sz w:val="24"/>
                <w:szCs w:val="24"/>
                <w:lang w:val="en-US" w:eastAsia="zh-CN"/>
              </w:rPr>
              <w:t>项目污废水仅为运输车辆冲洗废水、生活污水，不存在地下水污染途径。本项目产生的污染物为颗粒物，不存在重金属等土壤影响因子，不存在土壤污染途径，不会对土壤环境产生影响。为防止项目运营期废水出现跑、冒、滴、漏现象对地下水、土壤环境的影响，厂区采取分区防渗措施。</w:t>
            </w:r>
            <w:r>
              <w:rPr>
                <w:rFonts w:hint="eastAsia"/>
                <w:color w:val="auto"/>
                <w:sz w:val="24"/>
              </w:rPr>
              <w:t>根据厂区各生产功能单位可能泄漏至地面区域的污染物性质和生产单元的构筑方式，</w:t>
            </w:r>
            <w:r>
              <w:rPr>
                <w:rFonts w:hint="eastAsia"/>
                <w:color w:val="auto"/>
                <w:sz w:val="24"/>
                <w:lang w:val="en-US" w:eastAsia="zh-CN"/>
              </w:rPr>
              <w:t>将</w:t>
            </w:r>
            <w:r>
              <w:rPr>
                <w:rFonts w:hint="eastAsia"/>
                <w:color w:val="auto"/>
                <w:sz w:val="24"/>
              </w:rPr>
              <w:t>危废暂存</w:t>
            </w:r>
            <w:r>
              <w:rPr>
                <w:rFonts w:hint="eastAsia"/>
                <w:color w:val="auto"/>
                <w:sz w:val="24"/>
                <w:lang w:val="en-US" w:eastAsia="zh-CN"/>
              </w:rPr>
              <w:t>库</w:t>
            </w:r>
            <w:r>
              <w:rPr>
                <w:rFonts w:hint="eastAsia"/>
                <w:color w:val="auto"/>
                <w:sz w:val="24"/>
              </w:rPr>
              <w:t>划分为重点防渗区</w:t>
            </w:r>
            <w:r>
              <w:rPr>
                <w:rFonts w:hint="eastAsia"/>
                <w:color w:val="auto"/>
                <w:sz w:val="24"/>
                <w:lang w:eastAsia="zh-CN"/>
              </w:rPr>
              <w:t>，</w:t>
            </w:r>
            <w:r>
              <w:rPr>
                <w:rFonts w:hint="eastAsia"/>
                <w:color w:val="auto"/>
                <w:sz w:val="24"/>
                <w:lang w:val="en-US" w:eastAsia="zh-CN"/>
              </w:rPr>
              <w:t>地面按照《危险废物贮存污染控制标准》（GB18597-2023）进行基础防渗，防渗层为至少1m厚黏土层（渗透系数不大于10</w:t>
            </w:r>
            <w:r>
              <w:rPr>
                <w:rFonts w:hint="eastAsia"/>
                <w:color w:val="auto"/>
                <w:sz w:val="24"/>
                <w:vertAlign w:val="superscript"/>
                <w:lang w:val="en-US" w:eastAsia="zh-CN"/>
              </w:rPr>
              <w:t>-7</w:t>
            </w:r>
            <w:r>
              <w:rPr>
                <w:rFonts w:hint="eastAsia"/>
                <w:color w:val="auto"/>
                <w:sz w:val="24"/>
                <w:lang w:val="en-US" w:eastAsia="zh-CN"/>
              </w:rPr>
              <w:t>cm/s），或至少2mm厚高密度聚乙烯膜等人工防渗材料（渗透系数不大于10</w:t>
            </w:r>
            <w:r>
              <w:rPr>
                <w:rFonts w:hint="eastAsia"/>
                <w:color w:val="auto"/>
                <w:sz w:val="24"/>
                <w:vertAlign w:val="superscript"/>
                <w:lang w:val="en-US" w:eastAsia="zh-CN"/>
              </w:rPr>
              <w:t>-10</w:t>
            </w:r>
            <w:r>
              <w:rPr>
                <w:rFonts w:hint="eastAsia"/>
                <w:color w:val="auto"/>
                <w:sz w:val="24"/>
                <w:lang w:val="en-US" w:eastAsia="zh-CN"/>
              </w:rPr>
              <w:t>cm/s），或其他防渗性能等效的材料</w:t>
            </w:r>
            <w:r>
              <w:rPr>
                <w:rFonts w:hint="eastAsia"/>
                <w:color w:val="auto"/>
                <w:sz w:val="24"/>
              </w:rPr>
              <w:t>；</w:t>
            </w:r>
            <w:r>
              <w:rPr>
                <w:rFonts w:hint="eastAsia"/>
                <w:color w:val="auto"/>
                <w:sz w:val="24"/>
                <w:szCs w:val="24"/>
                <w:lang w:val="en-US" w:eastAsia="zh-CN"/>
              </w:rPr>
              <w:t>一般防渗区：储煤棚</w:t>
            </w:r>
            <w:r>
              <w:rPr>
                <w:rFonts w:hint="eastAsia"/>
                <w:color w:val="FF0000"/>
                <w:sz w:val="24"/>
                <w:szCs w:val="24"/>
                <w:lang w:val="en-US" w:eastAsia="zh-CN"/>
              </w:rPr>
              <w:t>、初期雨水池、事故水池</w:t>
            </w:r>
            <w:r>
              <w:rPr>
                <w:rFonts w:hint="eastAsia"/>
                <w:color w:val="auto"/>
                <w:sz w:val="24"/>
                <w:szCs w:val="24"/>
                <w:lang w:val="en-US" w:eastAsia="zh-CN"/>
              </w:rPr>
              <w:t>采取一般防渗措施，防渗层的厚度应相当于渗透系数为</w:t>
            </w:r>
            <w:r>
              <w:rPr>
                <w:rFonts w:hint="default"/>
                <w:color w:val="auto"/>
                <w:sz w:val="24"/>
                <w:szCs w:val="24"/>
                <w:lang w:val="en-US" w:eastAsia="zh-CN"/>
              </w:rPr>
              <w:t>1.0×10</w:t>
            </w:r>
            <w:r>
              <w:rPr>
                <w:rFonts w:hint="default"/>
                <w:color w:val="auto"/>
                <w:sz w:val="24"/>
                <w:szCs w:val="24"/>
                <w:vertAlign w:val="superscript"/>
                <w:lang w:val="en-US" w:eastAsia="zh-CN"/>
              </w:rPr>
              <w:t>-7</w:t>
            </w:r>
            <w:r>
              <w:rPr>
                <w:rFonts w:hint="default"/>
                <w:color w:val="auto"/>
                <w:sz w:val="24"/>
                <w:szCs w:val="24"/>
                <w:lang w:val="en-US" w:eastAsia="zh-CN"/>
              </w:rPr>
              <w:t>cm/s</w:t>
            </w:r>
            <w:r>
              <w:rPr>
                <w:rFonts w:hint="eastAsia"/>
                <w:color w:val="auto"/>
                <w:sz w:val="24"/>
                <w:szCs w:val="24"/>
                <w:lang w:val="en-US" w:eastAsia="zh-CN"/>
              </w:rPr>
              <w:t>、厚度</w:t>
            </w:r>
            <w:r>
              <w:rPr>
                <w:rFonts w:hint="default"/>
                <w:color w:val="auto"/>
                <w:sz w:val="24"/>
                <w:szCs w:val="24"/>
                <w:lang w:val="en-US" w:eastAsia="zh-CN"/>
              </w:rPr>
              <w:t>1.5m</w:t>
            </w:r>
            <w:r>
              <w:rPr>
                <w:rFonts w:hint="eastAsia"/>
                <w:color w:val="auto"/>
                <w:sz w:val="24"/>
                <w:szCs w:val="24"/>
                <w:lang w:val="en-US" w:eastAsia="zh-CN"/>
              </w:rPr>
              <w:t xml:space="preserve">的粘土层的防渗性能或参照 </w:t>
            </w:r>
            <w:r>
              <w:rPr>
                <w:rFonts w:hint="default"/>
                <w:color w:val="auto"/>
                <w:sz w:val="24"/>
                <w:szCs w:val="24"/>
                <w:lang w:val="en-US" w:eastAsia="zh-CN"/>
              </w:rPr>
              <w:t xml:space="preserve">GB18598 </w:t>
            </w:r>
            <w:r>
              <w:rPr>
                <w:rFonts w:hint="eastAsia"/>
                <w:color w:val="auto"/>
                <w:sz w:val="24"/>
                <w:szCs w:val="24"/>
                <w:lang w:val="en-US" w:eastAsia="zh-CN"/>
              </w:rPr>
              <w:t>执行；简单防渗区：厂区地面及运输道路区域，该区域做一般地面硬化即可。防渗分区表见表4-4，防渗图参见附图6。</w:t>
            </w:r>
          </w:p>
          <w:p w14:paraId="383C37F7">
            <w:pPr>
              <w:spacing w:line="240" w:lineRule="auto"/>
              <w:jc w:val="center"/>
              <w:rPr>
                <w:rFonts w:hint="default"/>
                <w:b/>
                <w:bCs/>
                <w:color w:val="auto"/>
                <w:sz w:val="24"/>
                <w:szCs w:val="24"/>
                <w:lang w:val="en-US" w:eastAsia="zh-CN"/>
              </w:rPr>
            </w:pPr>
            <w:r>
              <w:rPr>
                <w:rFonts w:hint="eastAsia"/>
                <w:b/>
                <w:bCs/>
                <w:color w:val="auto"/>
                <w:sz w:val="24"/>
                <w:szCs w:val="24"/>
                <w:lang w:val="en-US" w:eastAsia="zh-CN"/>
              </w:rPr>
              <w:t>表4-4 分区防渗一览表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909"/>
              <w:gridCol w:w="4018"/>
            </w:tblGrid>
            <w:tr w14:paraId="52D7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63" w:type="dxa"/>
                  <w:noWrap w:val="0"/>
                  <w:vAlign w:val="center"/>
                </w:tcPr>
                <w:p w14:paraId="7E63E578">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防渗分区</w:t>
                  </w:r>
                </w:p>
              </w:tc>
              <w:tc>
                <w:tcPr>
                  <w:tcW w:w="1909" w:type="dxa"/>
                  <w:noWrap w:val="0"/>
                  <w:vAlign w:val="center"/>
                </w:tcPr>
                <w:p w14:paraId="73B6493F">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构筑物名称</w:t>
                  </w:r>
                </w:p>
              </w:tc>
              <w:tc>
                <w:tcPr>
                  <w:tcW w:w="4018" w:type="dxa"/>
                  <w:noWrap w:val="0"/>
                  <w:vAlign w:val="center"/>
                </w:tcPr>
                <w:p w14:paraId="02FC897B">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防渗技术要求</w:t>
                  </w:r>
                </w:p>
              </w:tc>
            </w:tr>
            <w:tr w14:paraId="5383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63" w:type="dxa"/>
                  <w:noWrap w:val="0"/>
                  <w:vAlign w:val="center"/>
                </w:tcPr>
                <w:p w14:paraId="40D058C2">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重点防渗区</w:t>
                  </w:r>
                </w:p>
              </w:tc>
              <w:tc>
                <w:tcPr>
                  <w:tcW w:w="1909" w:type="dxa"/>
                  <w:noWrap w:val="0"/>
                  <w:vAlign w:val="center"/>
                </w:tcPr>
                <w:p w14:paraId="534D44CA">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危废暂存库</w:t>
                  </w:r>
                </w:p>
              </w:tc>
              <w:tc>
                <w:tcPr>
                  <w:tcW w:w="4018" w:type="dxa"/>
                  <w:noWrap w:val="0"/>
                  <w:vAlign w:val="center"/>
                </w:tcPr>
                <w:p w14:paraId="32176FE1">
                  <w:pPr>
                    <w:jc w:val="center"/>
                    <w:rPr>
                      <w:rFonts w:hint="eastAsia"/>
                      <w:bCs/>
                      <w:color w:val="auto"/>
                      <w:sz w:val="21"/>
                      <w:szCs w:val="21"/>
                      <w:lang w:val="en-US" w:eastAsia="zh-CN" w:bidi="ar-SA"/>
                    </w:rPr>
                  </w:pPr>
                  <w:r>
                    <w:rPr>
                      <w:rFonts w:hint="eastAsia"/>
                      <w:bCs/>
                      <w:color w:val="auto"/>
                      <w:sz w:val="21"/>
                      <w:szCs w:val="21"/>
                      <w:lang w:val="en-US" w:eastAsia="zh-CN" w:bidi="ar-SA"/>
                    </w:rPr>
                    <w:t>《危险废物贮存污染控制标准》（GB18597-2023）</w:t>
                  </w:r>
                </w:p>
                <w:p w14:paraId="2D746652">
                  <w:pPr>
                    <w:spacing w:line="240" w:lineRule="auto"/>
                    <w:jc w:val="center"/>
                    <w:rPr>
                      <w:rFonts w:hint="eastAsia"/>
                      <w:color w:val="auto"/>
                      <w:sz w:val="21"/>
                      <w:szCs w:val="21"/>
                      <w:vertAlign w:val="baseline"/>
                      <w:lang w:val="en-US" w:eastAsia="zh-CN" w:bidi="ar-SA"/>
                    </w:rPr>
                  </w:pPr>
                  <w:r>
                    <w:rPr>
                      <w:rFonts w:hint="eastAsia"/>
                      <w:bCs/>
                      <w:color w:val="auto"/>
                      <w:sz w:val="21"/>
                      <w:szCs w:val="21"/>
                      <w:lang w:val="en-US" w:eastAsia="zh-CN" w:bidi="ar-SA"/>
                    </w:rPr>
                    <w:t>防渗层为至少1m厚黏土层（渗透系数不大于10</w:t>
                  </w:r>
                  <w:r>
                    <w:rPr>
                      <w:rFonts w:hint="eastAsia"/>
                      <w:bCs/>
                      <w:color w:val="auto"/>
                      <w:sz w:val="21"/>
                      <w:szCs w:val="21"/>
                      <w:vertAlign w:val="superscript"/>
                      <w:lang w:val="en-US" w:eastAsia="zh-CN" w:bidi="ar-SA"/>
                    </w:rPr>
                    <w:t>-7</w:t>
                  </w:r>
                  <w:r>
                    <w:rPr>
                      <w:rFonts w:hint="eastAsia"/>
                      <w:bCs/>
                      <w:color w:val="auto"/>
                      <w:sz w:val="21"/>
                      <w:szCs w:val="21"/>
                      <w:lang w:val="en-US" w:eastAsia="zh-CN" w:bidi="ar-SA"/>
                    </w:rPr>
                    <w:t>cm/s），或至少2mm厚高密度聚乙烯膜等人工防渗材料（渗透系数不大于10</w:t>
                  </w:r>
                  <w:r>
                    <w:rPr>
                      <w:rFonts w:hint="eastAsia"/>
                      <w:bCs/>
                      <w:color w:val="auto"/>
                      <w:sz w:val="21"/>
                      <w:szCs w:val="21"/>
                      <w:vertAlign w:val="superscript"/>
                      <w:lang w:val="en-US" w:eastAsia="zh-CN" w:bidi="ar-SA"/>
                    </w:rPr>
                    <w:t>-10</w:t>
                  </w:r>
                  <w:r>
                    <w:rPr>
                      <w:rFonts w:hint="eastAsia"/>
                      <w:bCs/>
                      <w:color w:val="auto"/>
                      <w:sz w:val="21"/>
                      <w:szCs w:val="21"/>
                      <w:lang w:val="en-US" w:eastAsia="zh-CN" w:bidi="ar-SA"/>
                    </w:rPr>
                    <w:t>cm/s），或其他防渗性能等效的材料</w:t>
                  </w:r>
                </w:p>
              </w:tc>
            </w:tr>
            <w:tr w14:paraId="32DC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963" w:type="dxa"/>
                  <w:noWrap w:val="0"/>
                  <w:vAlign w:val="center"/>
                </w:tcPr>
                <w:p w14:paraId="45336B9C">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一般防渗区</w:t>
                  </w:r>
                </w:p>
              </w:tc>
              <w:tc>
                <w:tcPr>
                  <w:tcW w:w="1909" w:type="dxa"/>
                  <w:noWrap w:val="0"/>
                  <w:vAlign w:val="center"/>
                </w:tcPr>
                <w:p w14:paraId="58BEA380">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储煤棚</w:t>
                  </w:r>
                  <w:r>
                    <w:rPr>
                      <w:rFonts w:hint="eastAsia"/>
                      <w:color w:val="FF0000"/>
                      <w:sz w:val="21"/>
                      <w:szCs w:val="21"/>
                      <w:vertAlign w:val="baseline"/>
                      <w:lang w:val="en-US" w:eastAsia="zh-CN" w:bidi="ar-SA"/>
                    </w:rPr>
                    <w:t>、初期雨水池、事故水池</w:t>
                  </w:r>
                </w:p>
              </w:tc>
              <w:tc>
                <w:tcPr>
                  <w:tcW w:w="4018" w:type="dxa"/>
                  <w:noWrap w:val="0"/>
                  <w:vAlign w:val="center"/>
                </w:tcPr>
                <w:p w14:paraId="296542A2">
                  <w:pPr>
                    <w:spacing w:line="240" w:lineRule="auto"/>
                    <w:jc w:val="center"/>
                    <w:rPr>
                      <w:rFonts w:hint="default"/>
                      <w:color w:val="auto"/>
                      <w:sz w:val="21"/>
                      <w:szCs w:val="21"/>
                      <w:vertAlign w:val="baseline"/>
                      <w:lang w:val="en-US" w:eastAsia="zh-CN" w:bidi="ar-SA"/>
                    </w:rPr>
                  </w:pPr>
                  <w:r>
                    <w:rPr>
                      <w:rFonts w:hint="default"/>
                      <w:color w:val="auto"/>
                      <w:sz w:val="21"/>
                      <w:szCs w:val="21"/>
                      <w:vertAlign w:val="baseline"/>
                      <w:lang w:val="en-US" w:eastAsia="zh-CN" w:bidi="ar-SA"/>
                    </w:rPr>
                    <w:t>防渗层的厚度应相当于渗透系数为1.0×10</w:t>
                  </w:r>
                  <w:r>
                    <w:rPr>
                      <w:rFonts w:hint="default"/>
                      <w:color w:val="auto"/>
                      <w:sz w:val="21"/>
                      <w:szCs w:val="21"/>
                      <w:vertAlign w:val="superscript"/>
                      <w:lang w:val="en-US" w:eastAsia="zh-CN" w:bidi="ar-SA"/>
                    </w:rPr>
                    <w:t>-7</w:t>
                  </w:r>
                  <w:r>
                    <w:rPr>
                      <w:rFonts w:hint="default"/>
                      <w:color w:val="auto"/>
                      <w:sz w:val="21"/>
                      <w:szCs w:val="21"/>
                      <w:vertAlign w:val="baseline"/>
                      <w:lang w:val="en-US" w:eastAsia="zh-CN" w:bidi="ar-SA"/>
                    </w:rPr>
                    <w:t>cm/s、厚度1.5m的粘土层的防渗性能或参照 GB18598 执行</w:t>
                  </w:r>
                </w:p>
              </w:tc>
            </w:tr>
            <w:tr w14:paraId="7EF7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63" w:type="dxa"/>
                  <w:noWrap w:val="0"/>
                  <w:vAlign w:val="center"/>
                </w:tcPr>
                <w:p w14:paraId="5BDC709C">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简单防渗区</w:t>
                  </w:r>
                </w:p>
              </w:tc>
              <w:tc>
                <w:tcPr>
                  <w:tcW w:w="1909" w:type="dxa"/>
                  <w:noWrap w:val="0"/>
                  <w:vAlign w:val="center"/>
                </w:tcPr>
                <w:p w14:paraId="13820218">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铺彻区、厂区地面</w:t>
                  </w:r>
                </w:p>
              </w:tc>
              <w:tc>
                <w:tcPr>
                  <w:tcW w:w="4018" w:type="dxa"/>
                  <w:noWrap w:val="0"/>
                  <w:vAlign w:val="center"/>
                </w:tcPr>
                <w:p w14:paraId="04F76423">
                  <w:pPr>
                    <w:spacing w:line="240" w:lineRule="auto"/>
                    <w:jc w:val="center"/>
                    <w:rPr>
                      <w:rFonts w:hint="default"/>
                      <w:color w:val="auto"/>
                      <w:sz w:val="21"/>
                      <w:szCs w:val="21"/>
                      <w:vertAlign w:val="baseline"/>
                      <w:lang w:val="en-US" w:eastAsia="zh-CN" w:bidi="ar-SA"/>
                    </w:rPr>
                  </w:pPr>
                  <w:r>
                    <w:rPr>
                      <w:rFonts w:hint="eastAsia"/>
                      <w:color w:val="auto"/>
                      <w:sz w:val="21"/>
                      <w:szCs w:val="21"/>
                      <w:vertAlign w:val="baseline"/>
                      <w:lang w:val="en-US" w:eastAsia="zh-CN" w:bidi="ar-SA"/>
                    </w:rPr>
                    <w:t>一般地面硬化</w:t>
                  </w:r>
                </w:p>
              </w:tc>
            </w:tr>
          </w:tbl>
          <w:p w14:paraId="782E2828">
            <w:pPr>
              <w:pStyle w:val="50"/>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color w:val="auto"/>
                <w:sz w:val="24"/>
                <w:szCs w:val="24"/>
                <w:lang w:val="en-US" w:eastAsia="zh-CN"/>
              </w:rPr>
              <w:t>综上所述，采取上述措施后，项目不会对厂区内地下水、土壤环境造成影响。</w:t>
            </w:r>
          </w:p>
          <w:p w14:paraId="3E9B1615">
            <w:pPr>
              <w:pStyle w:val="50"/>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jc w:val="left"/>
              <w:textAlignment w:val="auto"/>
              <w:rPr>
                <w:rFonts w:hint="eastAsia" w:ascii="宋体" w:hAnsi="宋体" w:eastAsia="宋体" w:cs="宋体"/>
                <w:b/>
                <w:bCs/>
                <w:color w:val="auto"/>
              </w:rPr>
            </w:pPr>
            <w:r>
              <w:rPr>
                <w:rFonts w:hint="eastAsia" w:ascii="宋体" w:eastAsia="宋体" w:cs="宋体"/>
                <w:b/>
                <w:bCs/>
                <w:color w:val="auto"/>
                <w:lang w:val="en-US" w:eastAsia="zh-CN"/>
              </w:rPr>
              <w:t>5</w:t>
            </w:r>
            <w:r>
              <w:rPr>
                <w:rFonts w:hint="eastAsia" w:ascii="宋体" w:hAnsi="宋体" w:eastAsia="宋体" w:cs="宋体"/>
                <w:b/>
                <w:bCs/>
                <w:color w:val="auto"/>
              </w:rPr>
              <w:t>、固体废物影响分析</w:t>
            </w:r>
          </w:p>
          <w:p w14:paraId="55FC927F">
            <w:pPr>
              <w:pStyle w:val="58"/>
              <w:spacing w:line="360" w:lineRule="auto"/>
              <w:ind w:firstLine="480"/>
              <w:rPr>
                <w:rFonts w:hint="default"/>
                <w:color w:val="auto"/>
                <w:lang w:val="en-US" w:eastAsia="zh-CN"/>
              </w:rPr>
            </w:pPr>
            <w:r>
              <w:rPr>
                <w:rFonts w:hint="eastAsia"/>
                <w:color w:val="auto"/>
                <w:kern w:val="44"/>
                <w:sz w:val="24"/>
                <w:szCs w:val="24"/>
              </w:rPr>
              <w:t>本项目产生的固废主要为废机油。项目设备检修过程中产生的废机油量约为</w:t>
            </w:r>
            <w:r>
              <w:rPr>
                <w:color w:val="auto"/>
                <w:kern w:val="44"/>
                <w:sz w:val="24"/>
                <w:szCs w:val="24"/>
              </w:rPr>
              <w:t>0.01t/a</w:t>
            </w:r>
            <w:r>
              <w:rPr>
                <w:rFonts w:hint="eastAsia"/>
                <w:color w:val="auto"/>
                <w:kern w:val="44"/>
                <w:sz w:val="24"/>
                <w:szCs w:val="24"/>
              </w:rPr>
              <w:t>，根据《国家危险废物名录》（</w:t>
            </w:r>
            <w:r>
              <w:rPr>
                <w:color w:val="auto"/>
                <w:kern w:val="44"/>
                <w:sz w:val="24"/>
                <w:szCs w:val="24"/>
              </w:rPr>
              <w:t>202</w:t>
            </w:r>
            <w:r>
              <w:rPr>
                <w:rFonts w:hint="eastAsia"/>
                <w:color w:val="auto"/>
                <w:kern w:val="44"/>
                <w:sz w:val="24"/>
                <w:szCs w:val="24"/>
                <w:lang w:val="en-US" w:eastAsia="zh-CN"/>
              </w:rPr>
              <w:t>5</w:t>
            </w:r>
            <w:r>
              <w:rPr>
                <w:rFonts w:hint="eastAsia"/>
                <w:color w:val="auto"/>
                <w:kern w:val="44"/>
                <w:sz w:val="24"/>
                <w:szCs w:val="24"/>
              </w:rPr>
              <w:t>年版），废机油属于</w:t>
            </w:r>
            <w:r>
              <w:rPr>
                <w:color w:val="auto"/>
                <w:kern w:val="44"/>
                <w:sz w:val="24"/>
                <w:szCs w:val="24"/>
              </w:rPr>
              <w:t>HW08</w:t>
            </w:r>
            <w:r>
              <w:rPr>
                <w:rFonts w:hint="eastAsia"/>
                <w:color w:val="auto"/>
                <w:kern w:val="44"/>
                <w:sz w:val="24"/>
                <w:szCs w:val="24"/>
              </w:rPr>
              <w:t>（</w:t>
            </w:r>
            <w:r>
              <w:rPr>
                <w:color w:val="auto"/>
                <w:kern w:val="44"/>
                <w:sz w:val="24"/>
                <w:szCs w:val="24"/>
              </w:rPr>
              <w:t>900-214-08</w:t>
            </w:r>
            <w:r>
              <w:rPr>
                <w:rFonts w:hint="eastAsia"/>
                <w:color w:val="auto"/>
                <w:kern w:val="44"/>
                <w:sz w:val="24"/>
                <w:szCs w:val="24"/>
              </w:rPr>
              <w:t>）危险废物，收集于专用容器中，暂存于</w:t>
            </w:r>
            <w:r>
              <w:rPr>
                <w:rFonts w:hint="eastAsia"/>
                <w:color w:val="auto"/>
                <w:kern w:val="44"/>
                <w:sz w:val="24"/>
                <w:szCs w:val="24"/>
                <w:lang w:val="en-US" w:eastAsia="zh-CN"/>
              </w:rPr>
              <w:t>洗煤厂</w:t>
            </w:r>
            <w:r>
              <w:rPr>
                <w:rFonts w:hint="eastAsia"/>
                <w:color w:val="auto"/>
                <w:kern w:val="44"/>
                <w:sz w:val="24"/>
                <w:szCs w:val="24"/>
                <w:lang w:eastAsia="zh-CN"/>
              </w:rPr>
              <w:t>危废暂存库</w:t>
            </w:r>
            <w:r>
              <w:rPr>
                <w:rFonts w:hint="eastAsia"/>
                <w:color w:val="auto"/>
                <w:kern w:val="44"/>
                <w:sz w:val="24"/>
                <w:szCs w:val="24"/>
              </w:rPr>
              <w:t>，定期交有资质单位处置。</w:t>
            </w:r>
          </w:p>
          <w:p w14:paraId="69C33450">
            <w:pPr>
              <w:pStyle w:val="58"/>
              <w:spacing w:line="360" w:lineRule="auto"/>
              <w:ind w:firstLine="480"/>
              <w:rPr>
                <w:rFonts w:ascii="Times New Roman" w:hAnsi="Times New Roman" w:eastAsia="宋体"/>
                <w:color w:val="auto"/>
                <w:kern w:val="24"/>
                <w:szCs w:val="21"/>
                <w:lang w:val="en-US" w:eastAsia="zh-CN"/>
              </w:rPr>
            </w:pPr>
            <w:r>
              <w:rPr>
                <w:rFonts w:hint="eastAsia" w:ascii="Times New Roman" w:hAnsi="Times New Roman" w:eastAsia="宋体" w:cs="宋体"/>
                <w:color w:val="auto"/>
                <w:kern w:val="24"/>
                <w:szCs w:val="21"/>
                <w:lang w:val="en-US" w:eastAsia="zh-CN"/>
              </w:rPr>
              <w:t>（1）</w:t>
            </w:r>
            <w:r>
              <w:rPr>
                <w:rFonts w:ascii="Times New Roman" w:hAnsi="Times New Roman" w:eastAsia="宋体"/>
                <w:color w:val="auto"/>
                <w:kern w:val="24"/>
                <w:szCs w:val="21"/>
                <w:lang w:val="en-US" w:eastAsia="zh-CN"/>
              </w:rPr>
              <w:t>废机油</w:t>
            </w:r>
          </w:p>
          <w:p w14:paraId="59BCAE04">
            <w:pPr>
              <w:pStyle w:val="58"/>
              <w:spacing w:line="360" w:lineRule="auto"/>
              <w:ind w:firstLine="480"/>
              <w:rPr>
                <w:color w:val="auto"/>
                <w:lang w:val="en-US" w:eastAsia="zh-CN"/>
              </w:rPr>
            </w:pPr>
            <w:r>
              <w:rPr>
                <w:rFonts w:ascii="Times New Roman" w:hAnsi="Times New Roman" w:eastAsia="宋体"/>
                <w:color w:val="auto"/>
                <w:kern w:val="24"/>
                <w:szCs w:val="21"/>
                <w:lang w:val="en-US" w:eastAsia="zh-CN"/>
              </w:rPr>
              <w:t>机车检修废机油产生量为</w:t>
            </w:r>
            <w:r>
              <w:rPr>
                <w:rFonts w:hint="eastAsia" w:ascii="Times New Roman" w:hAnsi="Times New Roman" w:eastAsia="宋体"/>
                <w:color w:val="auto"/>
                <w:kern w:val="24"/>
                <w:szCs w:val="21"/>
                <w:lang w:val="en-US" w:eastAsia="zh-CN"/>
              </w:rPr>
              <w:t>约0.01t</w:t>
            </w:r>
            <w:r>
              <w:rPr>
                <w:rFonts w:ascii="Times New Roman" w:hAnsi="Times New Roman" w:eastAsia="宋体"/>
                <w:color w:val="auto"/>
                <w:kern w:val="24"/>
                <w:szCs w:val="21"/>
                <w:lang w:val="en-US" w:eastAsia="zh-CN"/>
              </w:rPr>
              <w:t>/a，采用油桶收集，</w:t>
            </w:r>
            <w:r>
              <w:rPr>
                <w:rFonts w:hint="eastAsia" w:ascii="Times New Roman" w:hAnsi="Times New Roman" w:eastAsia="宋体"/>
                <w:color w:val="auto"/>
                <w:kern w:val="24"/>
                <w:szCs w:val="21"/>
                <w:lang w:val="en-US" w:eastAsia="zh-CN"/>
              </w:rPr>
              <w:t>储存于洗煤厂现有危废暂存库</w:t>
            </w:r>
            <w:r>
              <w:rPr>
                <w:rFonts w:ascii="Times New Roman" w:hAnsi="Times New Roman" w:eastAsia="宋体"/>
                <w:color w:val="auto"/>
                <w:kern w:val="24"/>
                <w:szCs w:val="21"/>
                <w:lang w:val="en-US" w:eastAsia="zh-CN"/>
              </w:rPr>
              <w:t>储存，定期送有危废处置资质的单位处置，不得外排。</w:t>
            </w:r>
          </w:p>
          <w:p w14:paraId="2948FEF4">
            <w:pPr>
              <w:pStyle w:val="58"/>
              <w:spacing w:line="360" w:lineRule="auto"/>
              <w:ind w:firstLine="480"/>
              <w:rPr>
                <w:color w:val="auto"/>
                <w:lang w:val="en-US" w:eastAsia="zh-CN"/>
              </w:rPr>
            </w:pPr>
            <w:r>
              <w:rPr>
                <w:color w:val="auto"/>
                <w:lang w:val="en-US" w:eastAsia="zh-CN"/>
              </w:rPr>
              <w:t>本项目固体废物污染源源强核算结果及相关参数一览表见表4-</w:t>
            </w:r>
            <w:r>
              <w:rPr>
                <w:rFonts w:hint="eastAsia"/>
                <w:color w:val="auto"/>
                <w:lang w:val="en-US" w:eastAsia="zh-CN"/>
              </w:rPr>
              <w:t>5</w:t>
            </w:r>
            <w:r>
              <w:rPr>
                <w:color w:val="auto"/>
                <w:lang w:val="en-US" w:eastAsia="zh-CN"/>
              </w:rPr>
              <w:t>。</w:t>
            </w:r>
          </w:p>
          <w:p w14:paraId="125E604F">
            <w:pPr>
              <w:jc w:val="center"/>
              <w:rPr>
                <w:b/>
                <w:bCs/>
                <w:color w:val="auto"/>
                <w:sz w:val="24"/>
                <w:szCs w:val="24"/>
              </w:rPr>
            </w:pPr>
            <w:r>
              <w:rPr>
                <w:b/>
                <w:bCs/>
                <w:color w:val="auto"/>
                <w:sz w:val="24"/>
                <w:szCs w:val="24"/>
              </w:rPr>
              <w:t>表4-</w:t>
            </w:r>
            <w:r>
              <w:rPr>
                <w:rFonts w:hint="eastAsia"/>
                <w:b/>
                <w:bCs/>
                <w:color w:val="auto"/>
                <w:sz w:val="24"/>
                <w:szCs w:val="24"/>
                <w:lang w:val="en-US" w:eastAsia="zh-CN"/>
              </w:rPr>
              <w:t>5</w:t>
            </w:r>
            <w:r>
              <w:rPr>
                <w:b/>
                <w:bCs/>
                <w:color w:val="auto"/>
                <w:sz w:val="24"/>
                <w:szCs w:val="24"/>
              </w:rPr>
              <w:t xml:space="preserve"> 项目固体废物污染源源强核算结果及相关参数一览表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989"/>
              <w:gridCol w:w="846"/>
              <w:gridCol w:w="1479"/>
              <w:gridCol w:w="915"/>
              <w:gridCol w:w="1586"/>
            </w:tblGrid>
            <w:tr w14:paraId="69BE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restart"/>
                  <w:noWrap w:val="0"/>
                  <w:vAlign w:val="center"/>
                </w:tcPr>
                <w:p w14:paraId="0A92540A">
                  <w:pPr>
                    <w:snapToGrid w:val="0"/>
                    <w:jc w:val="center"/>
                    <w:rPr>
                      <w:color w:val="auto"/>
                      <w:sz w:val="21"/>
                      <w:szCs w:val="21"/>
                    </w:rPr>
                  </w:pPr>
                  <w:r>
                    <w:rPr>
                      <w:color w:val="auto"/>
                      <w:sz w:val="21"/>
                      <w:szCs w:val="21"/>
                    </w:rPr>
                    <w:t>固体废物</w:t>
                  </w:r>
                </w:p>
                <w:p w14:paraId="49F18CBC">
                  <w:pPr>
                    <w:snapToGrid w:val="0"/>
                    <w:jc w:val="center"/>
                    <w:rPr>
                      <w:color w:val="auto"/>
                      <w:sz w:val="21"/>
                      <w:szCs w:val="21"/>
                    </w:rPr>
                  </w:pPr>
                  <w:r>
                    <w:rPr>
                      <w:color w:val="auto"/>
                      <w:sz w:val="21"/>
                      <w:szCs w:val="21"/>
                    </w:rPr>
                    <w:t>名称</w:t>
                  </w:r>
                </w:p>
              </w:tc>
              <w:tc>
                <w:tcPr>
                  <w:tcW w:w="1260" w:type="pct"/>
                  <w:vMerge w:val="restart"/>
                  <w:noWrap w:val="0"/>
                  <w:vAlign w:val="center"/>
                </w:tcPr>
                <w:p w14:paraId="2126D714">
                  <w:pPr>
                    <w:snapToGrid w:val="0"/>
                    <w:jc w:val="center"/>
                    <w:rPr>
                      <w:color w:val="auto"/>
                      <w:sz w:val="21"/>
                      <w:szCs w:val="21"/>
                    </w:rPr>
                  </w:pPr>
                  <w:r>
                    <w:rPr>
                      <w:color w:val="auto"/>
                      <w:sz w:val="21"/>
                      <w:szCs w:val="21"/>
                    </w:rPr>
                    <w:t>固体废物</w:t>
                  </w:r>
                </w:p>
                <w:p w14:paraId="2C550D2F">
                  <w:pPr>
                    <w:snapToGrid w:val="0"/>
                    <w:jc w:val="center"/>
                    <w:rPr>
                      <w:color w:val="auto"/>
                      <w:sz w:val="21"/>
                      <w:szCs w:val="21"/>
                    </w:rPr>
                  </w:pPr>
                  <w:r>
                    <w:rPr>
                      <w:color w:val="auto"/>
                      <w:sz w:val="21"/>
                      <w:szCs w:val="21"/>
                    </w:rPr>
                    <w:t>属性</w:t>
                  </w:r>
                </w:p>
              </w:tc>
              <w:tc>
                <w:tcPr>
                  <w:tcW w:w="536" w:type="pct"/>
                  <w:vMerge w:val="restart"/>
                  <w:noWrap w:val="0"/>
                  <w:vAlign w:val="center"/>
                </w:tcPr>
                <w:p w14:paraId="6EBB47D4">
                  <w:pPr>
                    <w:snapToGrid w:val="0"/>
                    <w:jc w:val="center"/>
                    <w:rPr>
                      <w:color w:val="auto"/>
                      <w:sz w:val="21"/>
                      <w:szCs w:val="21"/>
                    </w:rPr>
                  </w:pPr>
                  <w:r>
                    <w:rPr>
                      <w:color w:val="auto"/>
                      <w:sz w:val="21"/>
                      <w:szCs w:val="21"/>
                    </w:rPr>
                    <w:t>产生量/（t/a）</w:t>
                  </w:r>
                </w:p>
              </w:tc>
              <w:tc>
                <w:tcPr>
                  <w:tcW w:w="1517" w:type="pct"/>
                  <w:gridSpan w:val="2"/>
                  <w:noWrap w:val="0"/>
                  <w:vAlign w:val="center"/>
                </w:tcPr>
                <w:p w14:paraId="35C3EB8C">
                  <w:pPr>
                    <w:snapToGrid w:val="0"/>
                    <w:jc w:val="center"/>
                    <w:rPr>
                      <w:color w:val="auto"/>
                      <w:sz w:val="21"/>
                      <w:szCs w:val="21"/>
                    </w:rPr>
                  </w:pPr>
                  <w:r>
                    <w:rPr>
                      <w:color w:val="auto"/>
                      <w:sz w:val="21"/>
                      <w:szCs w:val="21"/>
                    </w:rPr>
                    <w:t>处置措施</w:t>
                  </w:r>
                </w:p>
              </w:tc>
              <w:tc>
                <w:tcPr>
                  <w:tcW w:w="1005" w:type="pct"/>
                  <w:vMerge w:val="restart"/>
                  <w:noWrap w:val="0"/>
                  <w:vAlign w:val="center"/>
                </w:tcPr>
                <w:p w14:paraId="190C0D53">
                  <w:pPr>
                    <w:snapToGrid w:val="0"/>
                    <w:jc w:val="center"/>
                    <w:rPr>
                      <w:color w:val="auto"/>
                      <w:sz w:val="21"/>
                      <w:szCs w:val="21"/>
                    </w:rPr>
                  </w:pPr>
                  <w:r>
                    <w:rPr>
                      <w:color w:val="auto"/>
                      <w:sz w:val="21"/>
                      <w:szCs w:val="21"/>
                    </w:rPr>
                    <w:t>最终</w:t>
                  </w:r>
                </w:p>
                <w:p w14:paraId="070F6AF5">
                  <w:pPr>
                    <w:snapToGrid w:val="0"/>
                    <w:jc w:val="center"/>
                    <w:rPr>
                      <w:color w:val="auto"/>
                      <w:sz w:val="21"/>
                      <w:szCs w:val="21"/>
                    </w:rPr>
                  </w:pPr>
                  <w:r>
                    <w:rPr>
                      <w:color w:val="auto"/>
                      <w:sz w:val="21"/>
                      <w:szCs w:val="21"/>
                    </w:rPr>
                    <w:t>去向</w:t>
                  </w:r>
                </w:p>
              </w:tc>
            </w:tr>
            <w:tr w14:paraId="1EBA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continue"/>
                  <w:noWrap w:val="0"/>
                  <w:vAlign w:val="center"/>
                </w:tcPr>
                <w:p w14:paraId="76182FC9">
                  <w:pPr>
                    <w:snapToGrid w:val="0"/>
                    <w:jc w:val="center"/>
                    <w:rPr>
                      <w:color w:val="auto"/>
                      <w:sz w:val="21"/>
                      <w:szCs w:val="21"/>
                    </w:rPr>
                  </w:pPr>
                </w:p>
              </w:tc>
              <w:tc>
                <w:tcPr>
                  <w:tcW w:w="1260" w:type="pct"/>
                  <w:vMerge w:val="continue"/>
                  <w:noWrap w:val="0"/>
                  <w:vAlign w:val="center"/>
                </w:tcPr>
                <w:p w14:paraId="2C3ABDEB">
                  <w:pPr>
                    <w:snapToGrid w:val="0"/>
                    <w:jc w:val="center"/>
                    <w:rPr>
                      <w:color w:val="auto"/>
                      <w:sz w:val="21"/>
                      <w:szCs w:val="21"/>
                    </w:rPr>
                  </w:pPr>
                </w:p>
              </w:tc>
              <w:tc>
                <w:tcPr>
                  <w:tcW w:w="536" w:type="pct"/>
                  <w:vMerge w:val="continue"/>
                  <w:noWrap w:val="0"/>
                  <w:vAlign w:val="center"/>
                </w:tcPr>
                <w:p w14:paraId="60F7B493">
                  <w:pPr>
                    <w:snapToGrid w:val="0"/>
                    <w:jc w:val="center"/>
                    <w:rPr>
                      <w:color w:val="auto"/>
                      <w:sz w:val="21"/>
                      <w:szCs w:val="21"/>
                    </w:rPr>
                  </w:pPr>
                </w:p>
              </w:tc>
              <w:tc>
                <w:tcPr>
                  <w:tcW w:w="937" w:type="pct"/>
                  <w:noWrap w:val="0"/>
                  <w:vAlign w:val="center"/>
                </w:tcPr>
                <w:p w14:paraId="580074B7">
                  <w:pPr>
                    <w:snapToGrid w:val="0"/>
                    <w:jc w:val="center"/>
                    <w:rPr>
                      <w:color w:val="auto"/>
                      <w:sz w:val="21"/>
                      <w:szCs w:val="21"/>
                    </w:rPr>
                  </w:pPr>
                  <w:r>
                    <w:rPr>
                      <w:color w:val="auto"/>
                      <w:sz w:val="21"/>
                      <w:szCs w:val="21"/>
                    </w:rPr>
                    <w:t>工艺</w:t>
                  </w:r>
                </w:p>
              </w:tc>
              <w:tc>
                <w:tcPr>
                  <w:tcW w:w="579" w:type="pct"/>
                  <w:noWrap w:val="0"/>
                  <w:vAlign w:val="center"/>
                </w:tcPr>
                <w:p w14:paraId="076D5BB4">
                  <w:pPr>
                    <w:snapToGrid w:val="0"/>
                    <w:jc w:val="center"/>
                    <w:rPr>
                      <w:color w:val="auto"/>
                      <w:sz w:val="21"/>
                      <w:szCs w:val="21"/>
                    </w:rPr>
                  </w:pPr>
                  <w:r>
                    <w:rPr>
                      <w:color w:val="auto"/>
                      <w:sz w:val="21"/>
                      <w:szCs w:val="21"/>
                    </w:rPr>
                    <w:t>处置量/（t/a）</w:t>
                  </w:r>
                </w:p>
              </w:tc>
              <w:tc>
                <w:tcPr>
                  <w:tcW w:w="1005" w:type="pct"/>
                  <w:vMerge w:val="continue"/>
                  <w:noWrap w:val="0"/>
                  <w:vAlign w:val="center"/>
                </w:tcPr>
                <w:p w14:paraId="56AB38F0">
                  <w:pPr>
                    <w:snapToGrid w:val="0"/>
                    <w:jc w:val="center"/>
                    <w:rPr>
                      <w:color w:val="auto"/>
                      <w:sz w:val="21"/>
                      <w:szCs w:val="21"/>
                    </w:rPr>
                  </w:pPr>
                </w:p>
              </w:tc>
            </w:tr>
            <w:tr w14:paraId="2EC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noWrap w:val="0"/>
                  <w:vAlign w:val="center"/>
                </w:tcPr>
                <w:p w14:paraId="6BB00318">
                  <w:pPr>
                    <w:spacing w:before="169" w:line="230" w:lineRule="auto"/>
                    <w:ind w:left="169"/>
                    <w:jc w:val="center"/>
                    <w:rPr>
                      <w:rFonts w:hint="eastAsia" w:eastAsia="宋体"/>
                      <w:color w:val="auto"/>
                      <w:sz w:val="21"/>
                      <w:szCs w:val="21"/>
                      <w:lang w:val="en-US" w:eastAsia="zh-CN"/>
                    </w:rPr>
                  </w:pPr>
                  <w:r>
                    <w:rPr>
                      <w:rFonts w:hint="eastAsia"/>
                      <w:color w:val="auto"/>
                      <w:sz w:val="21"/>
                      <w:szCs w:val="21"/>
                      <w:lang w:val="en-US" w:eastAsia="zh-CN"/>
                    </w:rPr>
                    <w:t>废机油</w:t>
                  </w:r>
                </w:p>
              </w:tc>
              <w:tc>
                <w:tcPr>
                  <w:tcW w:w="1260" w:type="pct"/>
                  <w:noWrap w:val="0"/>
                  <w:vAlign w:val="center"/>
                </w:tcPr>
                <w:p w14:paraId="5A73CA6E">
                  <w:pPr>
                    <w:snapToGrid w:val="0"/>
                    <w:jc w:val="center"/>
                    <w:rPr>
                      <w:rFonts w:hint="eastAsia" w:eastAsia="宋体"/>
                      <w:color w:val="auto"/>
                      <w:sz w:val="21"/>
                      <w:szCs w:val="21"/>
                      <w:lang w:val="en-US" w:eastAsia="zh-CN"/>
                    </w:rPr>
                  </w:pPr>
                  <w:r>
                    <w:rPr>
                      <w:rFonts w:hint="eastAsia"/>
                      <w:color w:val="auto"/>
                      <w:sz w:val="21"/>
                      <w:szCs w:val="21"/>
                      <w:lang w:val="en-US" w:eastAsia="zh-CN"/>
                    </w:rPr>
                    <w:t>危险废物</w:t>
                  </w:r>
                </w:p>
              </w:tc>
              <w:tc>
                <w:tcPr>
                  <w:tcW w:w="536" w:type="pct"/>
                  <w:noWrap w:val="0"/>
                  <w:vAlign w:val="center"/>
                </w:tcPr>
                <w:p w14:paraId="0DEF3A3F">
                  <w:pPr>
                    <w:snapToGrid w:val="0"/>
                    <w:jc w:val="center"/>
                    <w:rPr>
                      <w:rFonts w:hint="default"/>
                      <w:color w:val="auto"/>
                      <w:sz w:val="21"/>
                      <w:szCs w:val="21"/>
                      <w:lang w:val="en-US" w:eastAsia="zh-CN"/>
                    </w:rPr>
                  </w:pPr>
                  <w:r>
                    <w:rPr>
                      <w:rFonts w:hint="eastAsia"/>
                      <w:color w:val="auto"/>
                      <w:sz w:val="21"/>
                      <w:szCs w:val="21"/>
                      <w:lang w:val="en-US" w:eastAsia="zh-CN"/>
                    </w:rPr>
                    <w:t>0.01</w:t>
                  </w:r>
                </w:p>
              </w:tc>
              <w:tc>
                <w:tcPr>
                  <w:tcW w:w="937" w:type="pct"/>
                  <w:noWrap w:val="0"/>
                  <w:vAlign w:val="center"/>
                </w:tcPr>
                <w:p w14:paraId="67025A35">
                  <w:pPr>
                    <w:snapToGrid w:val="0"/>
                    <w:jc w:val="center"/>
                    <w:rPr>
                      <w:rFonts w:hint="default" w:eastAsia="宋体"/>
                      <w:color w:val="auto"/>
                      <w:sz w:val="21"/>
                      <w:szCs w:val="21"/>
                      <w:lang w:val="en-US" w:eastAsia="zh-CN"/>
                    </w:rPr>
                  </w:pPr>
                  <w:r>
                    <w:rPr>
                      <w:rFonts w:hint="eastAsia"/>
                      <w:color w:val="auto"/>
                      <w:sz w:val="21"/>
                      <w:szCs w:val="21"/>
                      <w:lang w:val="en-US" w:eastAsia="zh-CN"/>
                    </w:rPr>
                    <w:t>储存危废暂存库，定期交由有资质单位处置</w:t>
                  </w:r>
                </w:p>
              </w:tc>
              <w:tc>
                <w:tcPr>
                  <w:tcW w:w="579" w:type="pct"/>
                  <w:noWrap w:val="0"/>
                  <w:vAlign w:val="center"/>
                </w:tcPr>
                <w:p w14:paraId="54834EDB">
                  <w:pPr>
                    <w:snapToGrid w:val="0"/>
                    <w:jc w:val="center"/>
                    <w:rPr>
                      <w:rFonts w:hint="default"/>
                      <w:color w:val="auto"/>
                      <w:sz w:val="21"/>
                      <w:szCs w:val="21"/>
                      <w:lang w:val="en-US" w:eastAsia="zh-CN"/>
                    </w:rPr>
                  </w:pPr>
                  <w:r>
                    <w:rPr>
                      <w:rFonts w:hint="eastAsia"/>
                      <w:color w:val="auto"/>
                      <w:sz w:val="21"/>
                      <w:szCs w:val="21"/>
                      <w:lang w:val="en-US" w:eastAsia="zh-CN"/>
                    </w:rPr>
                    <w:t>0.01</w:t>
                  </w:r>
                </w:p>
              </w:tc>
              <w:tc>
                <w:tcPr>
                  <w:tcW w:w="1005" w:type="pct"/>
                  <w:noWrap w:val="0"/>
                  <w:vAlign w:val="center"/>
                </w:tcPr>
                <w:p w14:paraId="7FA8CBD9">
                  <w:pPr>
                    <w:snapToGrid w:val="0"/>
                    <w:jc w:val="center"/>
                    <w:rPr>
                      <w:rFonts w:hint="default" w:eastAsia="宋体"/>
                      <w:color w:val="auto"/>
                      <w:sz w:val="21"/>
                      <w:szCs w:val="21"/>
                      <w:lang w:val="en-US" w:eastAsia="zh-CN"/>
                    </w:rPr>
                  </w:pPr>
                  <w:r>
                    <w:rPr>
                      <w:rFonts w:hint="eastAsia"/>
                      <w:color w:val="auto"/>
                      <w:sz w:val="21"/>
                      <w:szCs w:val="21"/>
                      <w:lang w:val="en-US" w:eastAsia="zh-CN"/>
                    </w:rPr>
                    <w:t>全部交由有资质单位处置</w:t>
                  </w:r>
                </w:p>
              </w:tc>
            </w:tr>
          </w:tbl>
          <w:p w14:paraId="5C823F10">
            <w:pPr>
              <w:pStyle w:val="58"/>
              <w:keepNext w:val="0"/>
              <w:keepLines w:val="0"/>
              <w:pageBreakBefore w:val="0"/>
              <w:widowControl w:val="0"/>
              <w:kinsoku/>
              <w:wordWrap/>
              <w:overflowPunct/>
              <w:topLinePunct w:val="0"/>
              <w:bidi w:val="0"/>
              <w:snapToGrid/>
              <w:spacing w:line="360" w:lineRule="auto"/>
              <w:ind w:firstLine="480"/>
              <w:textAlignment w:val="auto"/>
              <w:rPr>
                <w:color w:val="auto"/>
                <w:lang w:val="en-US" w:eastAsia="zh-CN"/>
              </w:rPr>
            </w:pPr>
            <w:r>
              <w:rPr>
                <w:color w:val="auto"/>
                <w:lang w:val="en-US" w:eastAsia="zh-CN"/>
              </w:rPr>
              <w:t>综上，项目产生的固体废物均妥善处置，处置率100%，对环境影响较小。</w:t>
            </w:r>
          </w:p>
          <w:p w14:paraId="3CF80DB1">
            <w:pPr>
              <w:pStyle w:val="103"/>
              <w:ind w:firstLine="482"/>
              <w:jc w:val="left"/>
              <w:rPr>
                <w:b/>
                <w:bCs/>
                <w:color w:val="auto"/>
              </w:rPr>
            </w:pPr>
            <w:r>
              <w:rPr>
                <w:rFonts w:hint="eastAsia"/>
                <w:b/>
                <w:bCs/>
                <w:color w:val="auto"/>
              </w:rPr>
              <w:t>（2）环境管理要求</w:t>
            </w:r>
          </w:p>
          <w:p w14:paraId="3C3B4A33">
            <w:pPr>
              <w:spacing w:line="360" w:lineRule="auto"/>
              <w:ind w:firstLine="480" w:firstLineChars="200"/>
              <w:rPr>
                <w:rFonts w:hint="eastAsia" w:ascii="Times New Roman" w:hAnsi="Times New Roman" w:eastAsia="宋体" w:cs="Times New Roman"/>
                <w:color w:val="auto"/>
                <w:sz w:val="24"/>
                <w:szCs w:val="24"/>
              </w:rPr>
            </w:pPr>
            <w:r>
              <w:rPr>
                <w:rFonts w:hint="eastAsia"/>
                <w:color w:val="auto"/>
                <w:sz w:val="24"/>
              </w:rPr>
              <w:t>本项目废机油依托</w:t>
            </w:r>
            <w:r>
              <w:rPr>
                <w:rFonts w:hint="eastAsia"/>
                <w:color w:val="auto"/>
                <w:sz w:val="24"/>
                <w:lang w:val="en-US" w:eastAsia="zh-CN"/>
              </w:rPr>
              <w:t>洗煤厂现有的</w:t>
            </w:r>
            <w:r>
              <w:rPr>
                <w:rFonts w:hint="eastAsia"/>
                <w:color w:val="auto"/>
                <w:sz w:val="24"/>
                <w:lang w:eastAsia="zh-CN"/>
              </w:rPr>
              <w:t>危废暂存库</w:t>
            </w:r>
            <w:r>
              <w:rPr>
                <w:rFonts w:hint="eastAsia"/>
                <w:color w:val="auto"/>
                <w:sz w:val="24"/>
              </w:rPr>
              <w:t>暂存，</w:t>
            </w:r>
            <w:r>
              <w:rPr>
                <w:rFonts w:hint="eastAsia"/>
                <w:color w:val="auto"/>
                <w:sz w:val="24"/>
                <w:lang w:val="en-US" w:eastAsia="zh-CN"/>
              </w:rPr>
              <w:t>洗煤厂</w:t>
            </w:r>
            <w:r>
              <w:rPr>
                <w:rFonts w:hint="eastAsia"/>
                <w:color w:val="auto"/>
                <w:sz w:val="24"/>
              </w:rPr>
              <w:t>已建设一座</w:t>
            </w:r>
            <w:r>
              <w:rPr>
                <w:rFonts w:hint="eastAsia"/>
                <w:color w:val="auto"/>
                <w:sz w:val="24"/>
                <w:lang w:val="en-US" w:eastAsia="zh-CN"/>
              </w:rPr>
              <w:t>20</w:t>
            </w:r>
            <w:r>
              <w:rPr>
                <w:rFonts w:hint="eastAsia"/>
                <w:color w:val="auto"/>
                <w:sz w:val="24"/>
              </w:rPr>
              <w:t>m</w:t>
            </w:r>
            <w:r>
              <w:rPr>
                <w:rFonts w:hint="eastAsia"/>
                <w:color w:val="auto"/>
                <w:sz w:val="24"/>
                <w:vertAlign w:val="superscript"/>
              </w:rPr>
              <w:t>2</w:t>
            </w:r>
            <w:r>
              <w:rPr>
                <w:rFonts w:hint="eastAsia"/>
                <w:color w:val="auto"/>
                <w:sz w:val="24"/>
                <w:lang w:eastAsia="zh-CN"/>
              </w:rPr>
              <w:t>危废暂存库</w:t>
            </w:r>
            <w:r>
              <w:rPr>
                <w:rFonts w:hint="eastAsia"/>
                <w:color w:val="auto"/>
                <w:sz w:val="24"/>
              </w:rPr>
              <w:t>，</w:t>
            </w:r>
            <w:r>
              <w:rPr>
                <w:rFonts w:hint="eastAsia" w:ascii="Times New Roman" w:hAnsi="Times New Roman" w:eastAsia="宋体" w:cs="Times New Roman"/>
                <w:color w:val="auto"/>
                <w:sz w:val="24"/>
                <w:szCs w:val="24"/>
                <w:lang w:val="en-US" w:eastAsia="zh-CN"/>
              </w:rPr>
              <w:t>评价要求根据</w:t>
            </w:r>
            <w:r>
              <w:rPr>
                <w:rFonts w:hint="eastAsia"/>
                <w:color w:val="auto"/>
                <w:sz w:val="24"/>
                <w:szCs w:val="24"/>
              </w:rPr>
              <w:t>《危险废物贮存污染控制标准》（GB18597-20</w:t>
            </w:r>
            <w:r>
              <w:rPr>
                <w:rFonts w:hint="eastAsia"/>
                <w:color w:val="auto"/>
                <w:sz w:val="24"/>
                <w:szCs w:val="24"/>
                <w:lang w:val="en-US" w:eastAsia="zh-CN"/>
              </w:rPr>
              <w:t>23</w:t>
            </w:r>
            <w:r>
              <w:rPr>
                <w:rFonts w:hint="eastAsia"/>
                <w:color w:val="auto"/>
                <w:sz w:val="24"/>
                <w:szCs w:val="24"/>
              </w:rPr>
              <w:t>）</w:t>
            </w:r>
            <w:r>
              <w:rPr>
                <w:rFonts w:hint="eastAsia" w:ascii="Times New Roman" w:hAnsi="Times New Roman" w:eastAsia="宋体" w:cs="Times New Roman"/>
                <w:color w:val="auto"/>
                <w:sz w:val="24"/>
                <w:szCs w:val="24"/>
                <w:lang w:val="en-US" w:eastAsia="zh-CN"/>
              </w:rPr>
              <w:t>对现有危废贮存间要求对危废暂存库进行完善，要求危废储存间内地面、墙面裙脚、堵截泄漏的围堰、接触危险废物的隔板和墙体等应采用坚固的材料建造，表面无裂缝。同时按照《危险废物识别标志设置技术规范》（HJ1276-2022）的相关要求对其标识标牌等内容进行完善</w:t>
            </w:r>
            <w:r>
              <w:rPr>
                <w:rFonts w:hint="eastAsia" w:ascii="Times New Roman" w:hAnsi="Times New Roman" w:eastAsia="宋体" w:cs="Times New Roman"/>
                <w:color w:val="auto"/>
                <w:sz w:val="24"/>
                <w:szCs w:val="24"/>
              </w:rPr>
              <w:t>。</w:t>
            </w:r>
          </w:p>
          <w:p w14:paraId="074E17E2">
            <w:pPr>
              <w:spacing w:line="360" w:lineRule="auto"/>
              <w:ind w:firstLine="480" w:firstLineChars="200"/>
              <w:rPr>
                <w:color w:val="auto"/>
                <w:sz w:val="24"/>
                <w:szCs w:val="24"/>
              </w:rPr>
            </w:pPr>
            <w:r>
              <w:rPr>
                <w:color w:val="auto"/>
                <w:sz w:val="24"/>
                <w:szCs w:val="24"/>
              </w:rPr>
              <w:t>危险废物贮存应该满足以下要求：</w:t>
            </w:r>
          </w:p>
          <w:p w14:paraId="30428D4E">
            <w:pPr>
              <w:spacing w:line="360" w:lineRule="auto"/>
              <w:ind w:firstLine="480" w:firstLineChars="200"/>
              <w:rPr>
                <w:bCs/>
                <w:color w:val="auto"/>
                <w:sz w:val="24"/>
              </w:rPr>
            </w:pPr>
            <w:r>
              <w:rPr>
                <w:bCs/>
                <w:color w:val="auto"/>
                <w:sz w:val="24"/>
              </w:rPr>
              <w:t>① 危险废物的收集包装</w:t>
            </w:r>
          </w:p>
          <w:p w14:paraId="2C5D8026">
            <w:pPr>
              <w:spacing w:line="360" w:lineRule="auto"/>
              <w:ind w:firstLine="480" w:firstLineChars="200"/>
              <w:rPr>
                <w:bCs/>
                <w:color w:val="auto"/>
                <w:sz w:val="24"/>
              </w:rPr>
            </w:pPr>
            <w:r>
              <w:rPr>
                <w:bCs/>
                <w:color w:val="auto"/>
                <w:sz w:val="24"/>
              </w:rPr>
              <w:t>a．有符合要求的包装容器、收集人员的个人防护设备。</w:t>
            </w:r>
          </w:p>
          <w:p w14:paraId="51A901EB">
            <w:pPr>
              <w:spacing w:line="360" w:lineRule="auto"/>
              <w:ind w:firstLine="480" w:firstLineChars="200"/>
              <w:rPr>
                <w:bCs/>
                <w:color w:val="auto"/>
                <w:sz w:val="24"/>
              </w:rPr>
            </w:pPr>
            <w:r>
              <w:rPr>
                <w:bCs/>
                <w:color w:val="auto"/>
                <w:sz w:val="24"/>
              </w:rPr>
              <w:t>b．危险废物的收集容器应在醒目位置贴有危险废物标签，在收集场所醒目的地方设置危险废物警告标识。</w:t>
            </w:r>
          </w:p>
          <w:p w14:paraId="3C95CABE">
            <w:pPr>
              <w:spacing w:line="360" w:lineRule="auto"/>
              <w:ind w:firstLine="480" w:firstLineChars="200"/>
              <w:rPr>
                <w:bCs/>
                <w:color w:val="auto"/>
                <w:sz w:val="24"/>
              </w:rPr>
            </w:pPr>
            <w:r>
              <w:rPr>
                <w:bCs/>
                <w:color w:val="auto"/>
                <w:sz w:val="24"/>
              </w:rPr>
              <w:t>c．危险废物标签应标明以下信息：主要化学成分或危险废物名称、数量、物理形态、危险类别、安全措施以及危险废物产生单位名称、地址、联系人及电话。</w:t>
            </w:r>
          </w:p>
          <w:p w14:paraId="743C415C">
            <w:pPr>
              <w:spacing w:line="360" w:lineRule="auto"/>
              <w:ind w:firstLine="480" w:firstLineChars="200"/>
              <w:rPr>
                <w:bCs/>
                <w:color w:val="auto"/>
                <w:sz w:val="24"/>
              </w:rPr>
            </w:pPr>
            <w:r>
              <w:rPr>
                <w:bCs/>
                <w:color w:val="auto"/>
                <w:sz w:val="24"/>
              </w:rPr>
              <w:t>d. 不得与不相容的废物混合或合并存放，也不得将非危险废物混入危险废物中贮存。</w:t>
            </w:r>
          </w:p>
          <w:p w14:paraId="26F8E128">
            <w:pPr>
              <w:spacing w:line="360" w:lineRule="auto"/>
              <w:ind w:firstLine="480" w:firstLineChars="200"/>
              <w:rPr>
                <w:bCs/>
                <w:color w:val="auto"/>
                <w:sz w:val="24"/>
              </w:rPr>
            </w:pPr>
            <w:r>
              <w:rPr>
                <w:bCs/>
                <w:color w:val="auto"/>
                <w:sz w:val="24"/>
              </w:rPr>
              <w:t>② 危险废物的暂存要求</w:t>
            </w:r>
          </w:p>
          <w:p w14:paraId="72F827B4">
            <w:pPr>
              <w:spacing w:line="360" w:lineRule="auto"/>
              <w:ind w:firstLine="480" w:firstLineChars="200"/>
              <w:rPr>
                <w:bCs/>
                <w:color w:val="auto"/>
                <w:sz w:val="24"/>
              </w:rPr>
            </w:pPr>
            <w:r>
              <w:rPr>
                <w:bCs/>
                <w:color w:val="auto"/>
                <w:sz w:val="24"/>
              </w:rPr>
              <w:t>危险废物堆放场应满足《危险废物贮存污染控制标准》（GB18597-20</w:t>
            </w:r>
            <w:r>
              <w:rPr>
                <w:rFonts w:hint="eastAsia"/>
                <w:bCs/>
                <w:color w:val="auto"/>
                <w:sz w:val="24"/>
                <w:lang w:val="en-US" w:eastAsia="zh-CN"/>
              </w:rPr>
              <w:t>23</w:t>
            </w:r>
            <w:r>
              <w:rPr>
                <w:bCs/>
                <w:color w:val="auto"/>
                <w:sz w:val="24"/>
              </w:rPr>
              <w:t>）有关规定：</w:t>
            </w:r>
          </w:p>
          <w:p w14:paraId="136DC9B3">
            <w:pPr>
              <w:spacing w:line="360" w:lineRule="auto"/>
              <w:ind w:firstLine="480" w:firstLineChars="200"/>
              <w:rPr>
                <w:bCs/>
                <w:color w:val="auto"/>
                <w:sz w:val="24"/>
              </w:rPr>
            </w:pPr>
            <w:r>
              <w:rPr>
                <w:bCs/>
                <w:color w:val="auto"/>
                <w:sz w:val="24"/>
              </w:rPr>
              <w:t>a．按《</w:t>
            </w:r>
            <w:r>
              <w:rPr>
                <w:rFonts w:hint="eastAsia"/>
                <w:bCs/>
                <w:color w:val="auto"/>
                <w:sz w:val="24"/>
                <w:lang w:val="en-US" w:eastAsia="zh-CN"/>
              </w:rPr>
              <w:t>危险废物识别标志设置技术规范</w:t>
            </w:r>
            <w:r>
              <w:rPr>
                <w:bCs/>
                <w:color w:val="auto"/>
                <w:sz w:val="24"/>
              </w:rPr>
              <w:t>》（</w:t>
            </w:r>
            <w:r>
              <w:rPr>
                <w:rFonts w:hint="eastAsia"/>
                <w:bCs/>
                <w:color w:val="auto"/>
                <w:sz w:val="24"/>
                <w:lang w:val="en-US" w:eastAsia="zh-CN"/>
              </w:rPr>
              <w:t>HJ1276-2022</w:t>
            </w:r>
            <w:r>
              <w:rPr>
                <w:bCs/>
                <w:color w:val="auto"/>
                <w:sz w:val="24"/>
              </w:rPr>
              <w:t>）设置警示标志。</w:t>
            </w:r>
          </w:p>
          <w:p w14:paraId="29670081">
            <w:pPr>
              <w:spacing w:line="360" w:lineRule="auto"/>
              <w:ind w:firstLine="480" w:firstLineChars="200"/>
              <w:rPr>
                <w:bCs/>
                <w:color w:val="auto"/>
                <w:sz w:val="24"/>
              </w:rPr>
            </w:pPr>
            <w:r>
              <w:rPr>
                <w:bCs/>
                <w:color w:val="auto"/>
                <w:sz w:val="24"/>
              </w:rPr>
              <w:t>b．要求必要的防风、防雨、防晒</w:t>
            </w:r>
            <w:r>
              <w:rPr>
                <w:rFonts w:hint="eastAsia"/>
                <w:bCs/>
                <w:color w:val="auto"/>
                <w:sz w:val="24"/>
                <w:lang w:eastAsia="zh-CN"/>
              </w:rPr>
              <w:t>、</w:t>
            </w:r>
            <w:r>
              <w:rPr>
                <w:rFonts w:hint="eastAsia"/>
                <w:bCs/>
                <w:color w:val="auto"/>
                <w:sz w:val="24"/>
                <w:lang w:val="en-US" w:eastAsia="zh-CN"/>
              </w:rPr>
              <w:t>防腐、防渗</w:t>
            </w:r>
            <w:r>
              <w:rPr>
                <w:bCs/>
                <w:color w:val="auto"/>
                <w:sz w:val="24"/>
              </w:rPr>
              <w:t>措施，</w:t>
            </w:r>
            <w:r>
              <w:rPr>
                <w:rFonts w:hint="eastAsia"/>
                <w:bCs/>
                <w:color w:val="auto"/>
                <w:sz w:val="24"/>
                <w:lang w:val="en-US" w:eastAsia="zh-CN"/>
              </w:rPr>
              <w:t>且同一贮存设施采用相同的防渗、防腐工艺，</w:t>
            </w:r>
            <w:r>
              <w:rPr>
                <w:bCs/>
                <w:color w:val="auto"/>
                <w:sz w:val="24"/>
              </w:rPr>
              <w:t>避免高温、阳光直射、远离火源</w:t>
            </w:r>
            <w:r>
              <w:rPr>
                <w:rFonts w:hint="eastAsia"/>
                <w:bCs/>
                <w:color w:val="auto"/>
                <w:sz w:val="24"/>
                <w:lang w:eastAsia="zh-CN"/>
              </w:rPr>
              <w:t>，</w:t>
            </w:r>
            <w:r>
              <w:rPr>
                <w:rFonts w:hint="eastAsia"/>
                <w:bCs/>
                <w:color w:val="auto"/>
                <w:sz w:val="24"/>
                <w:lang w:val="en-US" w:eastAsia="zh-CN"/>
              </w:rPr>
              <w:t>不露天堆放危险废物</w:t>
            </w:r>
            <w:r>
              <w:rPr>
                <w:bCs/>
                <w:color w:val="auto"/>
                <w:sz w:val="24"/>
              </w:rPr>
              <w:t>。</w:t>
            </w:r>
          </w:p>
          <w:p w14:paraId="7C311DA3">
            <w:pPr>
              <w:spacing w:line="360" w:lineRule="auto"/>
              <w:ind w:firstLine="480" w:firstLineChars="200"/>
              <w:rPr>
                <w:bCs/>
                <w:color w:val="auto"/>
                <w:sz w:val="24"/>
              </w:rPr>
            </w:pPr>
            <w:r>
              <w:rPr>
                <w:bCs/>
                <w:color w:val="auto"/>
                <w:sz w:val="24"/>
              </w:rPr>
              <w:t>c．</w:t>
            </w:r>
            <w:r>
              <w:rPr>
                <w:rFonts w:hint="eastAsia"/>
                <w:bCs/>
                <w:color w:val="auto"/>
                <w:sz w:val="24"/>
                <w:lang w:val="en-US" w:eastAsia="zh-CN"/>
              </w:rPr>
              <w:t>要求</w:t>
            </w:r>
            <w:r>
              <w:rPr>
                <w:rFonts w:hint="eastAsia"/>
                <w:bCs/>
                <w:color w:val="auto"/>
                <w:sz w:val="24"/>
              </w:rPr>
              <w:t>贮存设施或贮存分区内地面、墙面裙脚、堵截泄漏的围堰、接触危险废物的隔板和墙体等应采用坚固的材料建造，表面无裂缝</w:t>
            </w:r>
            <w:r>
              <w:rPr>
                <w:bCs/>
                <w:color w:val="auto"/>
                <w:sz w:val="24"/>
              </w:rPr>
              <w:t>；设施底部必须高于地下水最高水位。</w:t>
            </w:r>
          </w:p>
          <w:p w14:paraId="47FDF0F0">
            <w:pPr>
              <w:spacing w:line="360" w:lineRule="auto"/>
              <w:ind w:firstLine="480" w:firstLineChars="200"/>
              <w:rPr>
                <w:bCs/>
                <w:color w:val="auto"/>
                <w:sz w:val="24"/>
              </w:rPr>
            </w:pPr>
            <w:r>
              <w:rPr>
                <w:bCs/>
                <w:color w:val="auto"/>
                <w:sz w:val="24"/>
              </w:rPr>
              <w:t>d．</w:t>
            </w:r>
            <w:r>
              <w:rPr>
                <w:rFonts w:hint="eastAsia"/>
                <w:bCs/>
                <w:color w:val="auto"/>
                <w:sz w:val="24"/>
              </w:rPr>
              <w:t>贮存设施地面与裙脚</w:t>
            </w:r>
            <w:r>
              <w:rPr>
                <w:rFonts w:hint="eastAsia"/>
                <w:bCs/>
                <w:color w:val="auto"/>
                <w:sz w:val="24"/>
                <w:lang w:val="en-US" w:eastAsia="zh-CN"/>
              </w:rPr>
              <w:t>要求</w:t>
            </w:r>
            <w:r>
              <w:rPr>
                <w:rFonts w:hint="eastAsia"/>
                <w:bCs/>
                <w:color w:val="auto"/>
                <w:sz w:val="24"/>
              </w:rPr>
              <w:t>采取表面防渗措施；表面防渗材料应与所接触的物料或污染物相容，采用抗渗混凝土、高密度聚乙烯膜、钠基膨润土防水毯或其他防渗性能等效的材料。贮存的危险废物直接接触地面的，</w:t>
            </w:r>
            <w:r>
              <w:rPr>
                <w:rFonts w:hint="eastAsia"/>
                <w:bCs/>
                <w:color w:val="auto"/>
                <w:sz w:val="24"/>
                <w:lang w:val="en-US" w:eastAsia="zh-CN"/>
              </w:rPr>
              <w:t>要求对地面</w:t>
            </w:r>
            <w:r>
              <w:rPr>
                <w:rFonts w:hint="eastAsia"/>
                <w:bCs/>
                <w:color w:val="auto"/>
                <w:sz w:val="24"/>
              </w:rPr>
              <w:t>进行基础防渗，防渗层为至少1m厚黏土层（渗透系数不大于10</w:t>
            </w:r>
            <w:r>
              <w:rPr>
                <w:rFonts w:hint="eastAsia"/>
                <w:bCs/>
                <w:color w:val="auto"/>
                <w:sz w:val="24"/>
                <w:lang w:eastAsia="zh-CN"/>
              </w:rPr>
              <w:t>—</w:t>
            </w:r>
            <w:r>
              <w:rPr>
                <w:rFonts w:hint="eastAsia"/>
                <w:bCs/>
                <w:color w:val="auto"/>
                <w:sz w:val="24"/>
                <w:vertAlign w:val="superscript"/>
              </w:rPr>
              <w:t>7</w:t>
            </w:r>
            <w:r>
              <w:rPr>
                <w:rFonts w:hint="eastAsia"/>
                <w:bCs/>
                <w:color w:val="auto"/>
                <w:sz w:val="24"/>
              </w:rPr>
              <w:t>cm/s），或至少2mm厚高密度聚乙烯膜等人工防渗材料（渗透系数不大于10</w:t>
            </w:r>
            <w:r>
              <w:rPr>
                <w:rFonts w:hint="eastAsia"/>
                <w:bCs/>
                <w:color w:val="auto"/>
                <w:sz w:val="24"/>
                <w:lang w:eastAsia="zh-CN"/>
              </w:rPr>
              <w:t>—</w:t>
            </w:r>
            <w:r>
              <w:rPr>
                <w:rFonts w:hint="eastAsia"/>
                <w:bCs/>
                <w:color w:val="auto"/>
                <w:sz w:val="24"/>
                <w:vertAlign w:val="superscript"/>
              </w:rPr>
              <w:t>10</w:t>
            </w:r>
            <w:r>
              <w:rPr>
                <w:rFonts w:hint="eastAsia"/>
                <w:bCs/>
                <w:color w:val="auto"/>
                <w:sz w:val="24"/>
              </w:rPr>
              <w:t>cm/s），或其他防渗性能等效的材料。</w:t>
            </w:r>
          </w:p>
          <w:p w14:paraId="2AFF15D8">
            <w:pPr>
              <w:spacing w:line="360" w:lineRule="auto"/>
              <w:ind w:firstLine="480" w:firstLineChars="200"/>
              <w:rPr>
                <w:bCs/>
                <w:color w:val="auto"/>
                <w:sz w:val="24"/>
              </w:rPr>
            </w:pPr>
            <w:r>
              <w:rPr>
                <w:bCs/>
                <w:color w:val="auto"/>
                <w:sz w:val="24"/>
              </w:rPr>
              <w:t>e．应配备通讯设备、照明设施、安全防护服装及</w:t>
            </w:r>
            <w:r>
              <w:rPr>
                <w:rFonts w:hint="eastAsia"/>
                <w:bCs/>
                <w:color w:val="auto"/>
                <w:sz w:val="24"/>
                <w:lang w:eastAsia="zh-CN"/>
              </w:rPr>
              <w:t>工具</w:t>
            </w:r>
            <w:r>
              <w:rPr>
                <w:bCs/>
                <w:color w:val="auto"/>
                <w:sz w:val="24"/>
              </w:rPr>
              <w:t>，并设有报警装置和应急防护设施。</w:t>
            </w:r>
          </w:p>
          <w:p w14:paraId="47ABC356">
            <w:pPr>
              <w:spacing w:line="360" w:lineRule="auto"/>
              <w:ind w:firstLine="480" w:firstLineChars="200"/>
              <w:rPr>
                <w:rFonts w:hint="eastAsia" w:ascii="宋体" w:hAnsi="宋体" w:eastAsia="宋体" w:cs="宋体"/>
                <w:bCs/>
                <w:color w:val="auto"/>
                <w:sz w:val="24"/>
                <w:lang w:val="en-US" w:eastAsia="zh-CN"/>
              </w:rPr>
            </w:pPr>
            <w:r>
              <w:rPr>
                <w:rFonts w:hint="eastAsia"/>
                <w:bCs/>
                <w:color w:val="auto"/>
                <w:sz w:val="24"/>
                <w:lang w:val="en-US" w:eastAsia="zh-CN"/>
              </w:rPr>
              <w:t>f</w:t>
            </w:r>
            <w:r>
              <w:rPr>
                <w:bCs/>
                <w:color w:val="auto"/>
                <w:sz w:val="24"/>
              </w:rPr>
              <w:t>．</w:t>
            </w:r>
            <w:r>
              <w:rPr>
                <w:rFonts w:hint="eastAsia"/>
                <w:bCs/>
                <w:color w:val="auto"/>
                <w:sz w:val="24"/>
                <w:lang w:val="en-US" w:eastAsia="zh-CN"/>
              </w:rPr>
              <w:t>要求</w:t>
            </w:r>
            <w:r>
              <w:rPr>
                <w:rFonts w:hint="eastAsia"/>
                <w:bCs/>
                <w:color w:val="auto"/>
                <w:sz w:val="24"/>
              </w:rPr>
              <w:t>贮存设施采取技术和管理措施防止无关人员进入。</w:t>
            </w:r>
          </w:p>
          <w:p w14:paraId="0E5CBD62">
            <w:pPr>
              <w:spacing w:line="360" w:lineRule="auto"/>
              <w:ind w:firstLine="480" w:firstLineChars="200"/>
              <w:rPr>
                <w:rFonts w:hint="eastAsia" w:eastAsia="宋体"/>
                <w:bCs/>
                <w:color w:val="auto"/>
                <w:sz w:val="24"/>
                <w:lang w:val="en-US" w:eastAsia="zh-CN"/>
              </w:rPr>
            </w:pPr>
            <w:r>
              <w:rPr>
                <w:rFonts w:hint="eastAsia" w:ascii="宋体" w:hAnsi="宋体" w:eastAsia="宋体" w:cs="宋体"/>
                <w:bCs/>
                <w:color w:val="auto"/>
                <w:sz w:val="24"/>
              </w:rPr>
              <w:t>③</w:t>
            </w:r>
            <w:r>
              <w:rPr>
                <w:rFonts w:hint="eastAsia" w:eastAsia="宋体"/>
                <w:bCs/>
                <w:color w:val="auto"/>
                <w:sz w:val="24"/>
                <w:lang w:val="en-US" w:eastAsia="zh-CN"/>
              </w:rPr>
              <w:t xml:space="preserve"> 危险废物的转移</w:t>
            </w:r>
          </w:p>
          <w:p w14:paraId="1A5C3705">
            <w:pPr>
              <w:spacing w:line="360" w:lineRule="auto"/>
              <w:ind w:firstLine="480" w:firstLineChars="200"/>
              <w:rPr>
                <w:rFonts w:hint="eastAsia" w:eastAsia="宋体"/>
                <w:bCs/>
                <w:color w:val="auto"/>
                <w:sz w:val="24"/>
                <w:lang w:val="en-US" w:eastAsia="zh-CN"/>
              </w:rPr>
            </w:pPr>
            <w:r>
              <w:rPr>
                <w:rFonts w:hint="eastAsia" w:eastAsia="宋体"/>
                <w:bCs/>
                <w:color w:val="auto"/>
                <w:sz w:val="24"/>
                <w:lang w:val="en-US" w:eastAsia="zh-CN"/>
              </w:rPr>
              <w:t>危险废物的转移严格按照《陕西省危险废物转移电子联单管理办法（试行）》、</w:t>
            </w:r>
            <w:r>
              <w:rPr>
                <w:rFonts w:hint="eastAsia"/>
                <w:color w:val="auto"/>
                <w:sz w:val="24"/>
                <w:szCs w:val="24"/>
              </w:rPr>
              <w:t>《危险废物收集贮存运输技术规范》（HJ2025-2012）等</w:t>
            </w:r>
            <w:r>
              <w:rPr>
                <w:rFonts w:hint="eastAsia" w:eastAsia="宋体"/>
                <w:bCs/>
                <w:color w:val="auto"/>
                <w:sz w:val="24"/>
                <w:lang w:val="en-US" w:eastAsia="zh-CN"/>
              </w:rPr>
              <w:t>中的规定执行“五联单”制度，保证运输安全，防止非法转移和非法处理，保证危险废物的安全监控，防止危险废物污染事故发生。</w:t>
            </w:r>
          </w:p>
          <w:p w14:paraId="3E8A12BA">
            <w:pPr>
              <w:spacing w:line="360" w:lineRule="auto"/>
              <w:ind w:firstLine="480" w:firstLineChars="200"/>
              <w:rPr>
                <w:rFonts w:hint="eastAsia" w:eastAsia="宋体"/>
                <w:bCs/>
                <w:color w:val="auto"/>
                <w:sz w:val="24"/>
                <w:lang w:val="en-US" w:eastAsia="zh-CN"/>
              </w:rPr>
            </w:pPr>
            <w:r>
              <w:rPr>
                <w:rFonts w:hint="eastAsia" w:ascii="宋体" w:hAnsi="宋体" w:eastAsia="宋体" w:cs="宋体"/>
                <w:bCs/>
                <w:color w:val="auto"/>
                <w:sz w:val="24"/>
                <w:lang w:val="en-US" w:eastAsia="zh-CN"/>
              </w:rPr>
              <w:t>④</w:t>
            </w:r>
            <w:r>
              <w:rPr>
                <w:rFonts w:hint="eastAsia" w:eastAsia="宋体"/>
                <w:bCs/>
                <w:color w:val="auto"/>
                <w:sz w:val="24"/>
                <w:lang w:val="en-US" w:eastAsia="zh-CN"/>
              </w:rPr>
              <w:t xml:space="preserve"> 厂内危险废物管理要求 </w:t>
            </w:r>
          </w:p>
          <w:p w14:paraId="7A29FAC1">
            <w:pPr>
              <w:spacing w:line="360" w:lineRule="auto"/>
              <w:ind w:firstLine="480" w:firstLineChars="200"/>
              <w:rPr>
                <w:rFonts w:hint="eastAsia" w:eastAsia="宋体"/>
                <w:bCs/>
                <w:color w:val="auto"/>
                <w:sz w:val="24"/>
                <w:lang w:val="en-US" w:eastAsia="zh-CN"/>
              </w:rPr>
            </w:pPr>
            <w:r>
              <w:rPr>
                <w:rFonts w:hint="eastAsia" w:eastAsia="宋体"/>
                <w:bCs/>
                <w:color w:val="auto"/>
                <w:sz w:val="24"/>
                <w:lang w:val="en-US" w:eastAsia="zh-CN"/>
              </w:rPr>
              <w:t>A.管理部门要有专人负责厂内危险废物的收集、存放、运输和对外相关部门联络等工作并对危险废物管理工作进行每日定期监督检查一次。</w:t>
            </w:r>
          </w:p>
          <w:p w14:paraId="7AD68BD0">
            <w:pPr>
              <w:spacing w:line="360" w:lineRule="auto"/>
              <w:ind w:firstLine="480" w:firstLineChars="200"/>
              <w:rPr>
                <w:rFonts w:hint="eastAsia" w:eastAsia="宋体"/>
                <w:bCs/>
                <w:color w:val="auto"/>
                <w:sz w:val="24"/>
                <w:lang w:val="en-US" w:eastAsia="zh-CN"/>
              </w:rPr>
            </w:pPr>
            <w:r>
              <w:rPr>
                <w:rFonts w:hint="eastAsia" w:eastAsia="宋体"/>
                <w:bCs/>
                <w:color w:val="auto"/>
                <w:sz w:val="24"/>
                <w:lang w:val="en-US" w:eastAsia="zh-CN"/>
              </w:rPr>
              <w:t>B.建立危险废物管理资料档案，包括台账、联单、管理制度、委托合同等，记录危险废物的名称、来源、数量、特性和包装容器的类别、入库日期、存放库位、废物出库日期及接收单位名称，保存5年。</w:t>
            </w:r>
          </w:p>
          <w:p w14:paraId="66D21FF4">
            <w:pPr>
              <w:spacing w:line="360" w:lineRule="auto"/>
              <w:ind w:firstLine="480" w:firstLineChars="200"/>
              <w:rPr>
                <w:color w:val="auto"/>
                <w:sz w:val="24"/>
                <w:szCs w:val="24"/>
              </w:rPr>
            </w:pPr>
            <w:r>
              <w:rPr>
                <w:rFonts w:hint="eastAsia" w:eastAsia="宋体"/>
                <w:bCs/>
                <w:color w:val="auto"/>
                <w:sz w:val="24"/>
                <w:lang w:val="en-US" w:eastAsia="zh-CN"/>
              </w:rPr>
              <w:t>C.收集危险废物的工作人员将危险废物按内部指定路线运送到危废暂存柜，并对运输工具污染物进行清理。</w:t>
            </w:r>
          </w:p>
          <w:p w14:paraId="70B94912">
            <w:pPr>
              <w:pStyle w:val="58"/>
              <w:keepNext w:val="0"/>
              <w:keepLines w:val="0"/>
              <w:pageBreakBefore w:val="0"/>
              <w:widowControl w:val="0"/>
              <w:kinsoku/>
              <w:wordWrap/>
              <w:overflowPunct/>
              <w:topLinePunct w:val="0"/>
              <w:bidi w:val="0"/>
              <w:snapToGrid/>
              <w:spacing w:line="360" w:lineRule="auto"/>
              <w:ind w:firstLine="482"/>
              <w:textAlignment w:val="auto"/>
              <w:rPr>
                <w:rFonts w:hint="eastAsia"/>
                <w:b/>
                <w:bCs/>
                <w:color w:val="auto"/>
                <w:sz w:val="24"/>
                <w:szCs w:val="24"/>
                <w:lang w:val="en-US" w:eastAsia="zh-CN"/>
              </w:rPr>
            </w:pPr>
            <w:r>
              <w:rPr>
                <w:color w:val="auto"/>
                <w:sz w:val="24"/>
                <w:szCs w:val="24"/>
              </w:rPr>
              <w:t>采取以上措施后，</w:t>
            </w:r>
            <w:r>
              <w:rPr>
                <w:rFonts w:hint="eastAsia"/>
                <w:color w:val="auto"/>
                <w:sz w:val="24"/>
                <w:szCs w:val="24"/>
                <w:lang w:eastAsia="zh-CN"/>
              </w:rPr>
              <w:t>本项目</w:t>
            </w:r>
            <w:r>
              <w:rPr>
                <w:color w:val="auto"/>
                <w:sz w:val="24"/>
                <w:szCs w:val="24"/>
              </w:rPr>
              <w:t>运营期产生的固体废物均能得到合理的处置，对周围环境影响较小。</w:t>
            </w:r>
          </w:p>
          <w:p w14:paraId="0641C026">
            <w:pPr>
              <w:pStyle w:val="58"/>
              <w:keepNext w:val="0"/>
              <w:keepLines w:val="0"/>
              <w:pageBreakBefore w:val="0"/>
              <w:widowControl w:val="0"/>
              <w:kinsoku/>
              <w:wordWrap/>
              <w:overflowPunct/>
              <w:topLinePunct w:val="0"/>
              <w:bidi w:val="0"/>
              <w:snapToGrid/>
              <w:spacing w:line="360" w:lineRule="auto"/>
              <w:ind w:firstLine="482"/>
              <w:textAlignment w:val="auto"/>
              <w:rPr>
                <w:b/>
                <w:bCs/>
                <w:color w:val="auto"/>
                <w:sz w:val="24"/>
                <w:szCs w:val="24"/>
                <w:lang w:val="en-US" w:eastAsia="zh-CN"/>
              </w:rPr>
            </w:pPr>
            <w:r>
              <w:rPr>
                <w:rFonts w:hint="eastAsia"/>
                <w:b/>
                <w:bCs/>
                <w:color w:val="auto"/>
                <w:sz w:val="24"/>
                <w:szCs w:val="24"/>
                <w:lang w:val="en-US" w:eastAsia="zh-CN"/>
              </w:rPr>
              <w:t>6</w:t>
            </w:r>
            <w:r>
              <w:rPr>
                <w:b/>
                <w:bCs/>
                <w:color w:val="auto"/>
                <w:sz w:val="24"/>
                <w:szCs w:val="24"/>
                <w:lang w:val="en-US" w:eastAsia="zh-CN"/>
              </w:rPr>
              <w:t>、生态环境影响分析</w:t>
            </w:r>
          </w:p>
          <w:p w14:paraId="1F006D5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szCs w:val="24"/>
              </w:rPr>
            </w:pPr>
            <w:r>
              <w:rPr>
                <w:rFonts w:hint="eastAsia" w:ascii="Times New Roman" w:hAnsi="Times New Roman" w:eastAsia="宋体" w:cs="Times New Roman"/>
                <w:bCs/>
                <w:color w:val="auto"/>
                <w:sz w:val="24"/>
                <w:lang w:val="en-US" w:eastAsia="zh-CN"/>
              </w:rPr>
              <w:t>本项目新增用地约1.7009公顷</w:t>
            </w:r>
            <w:r>
              <w:rPr>
                <w:rFonts w:hint="eastAsia" w:cs="Times New Roman"/>
                <w:bCs/>
                <w:color w:val="auto"/>
                <w:sz w:val="24"/>
                <w:lang w:val="en-US" w:eastAsia="zh-CN"/>
              </w:rPr>
              <w:t>（折合25.5亩）</w:t>
            </w:r>
            <w:r>
              <w:rPr>
                <w:rFonts w:hint="eastAsia" w:ascii="Times New Roman" w:hAnsi="Times New Roman" w:eastAsia="宋体" w:cs="Times New Roman"/>
                <w:bCs/>
                <w:color w:val="auto"/>
                <w:sz w:val="24"/>
                <w:lang w:val="en-US" w:eastAsia="zh-CN"/>
              </w:rPr>
              <w:t>，</w:t>
            </w:r>
            <w:r>
              <w:rPr>
                <w:rFonts w:hint="eastAsia"/>
                <w:bCs/>
                <w:color w:val="auto"/>
                <w:sz w:val="24"/>
                <w:szCs w:val="24"/>
              </w:rPr>
              <w:t>占地范围内无特殊重要生态功能区，</w:t>
            </w:r>
            <w:r>
              <w:rPr>
                <w:rFonts w:hint="eastAsia" w:ascii="宋体" w:hAnsi="宋体" w:cs="宋体"/>
                <w:bCs/>
                <w:color w:val="auto"/>
                <w:sz w:val="24"/>
                <w:szCs w:val="24"/>
              </w:rPr>
              <w:t>不涉及生态保护红线，</w:t>
            </w:r>
            <w:r>
              <w:rPr>
                <w:color w:val="auto"/>
                <w:sz w:val="24"/>
                <w:szCs w:val="24"/>
              </w:rPr>
              <w:t>土地利用方式可行。</w:t>
            </w:r>
          </w:p>
          <w:p w14:paraId="5B1DC1D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本项目运营后，产生少量的粉尘可能会</w:t>
            </w:r>
            <w:r>
              <w:rPr>
                <w:color w:val="auto"/>
                <w:sz w:val="24"/>
                <w:szCs w:val="24"/>
              </w:rPr>
              <w:t>对生态环境和人群健康会产生一定的不利影响；</w:t>
            </w:r>
            <w:r>
              <w:rPr>
                <w:rFonts w:hint="eastAsia"/>
                <w:color w:val="auto"/>
                <w:sz w:val="24"/>
                <w:szCs w:val="24"/>
                <w:lang w:val="en-US" w:eastAsia="zh-CN"/>
              </w:rPr>
              <w:t>项目对储煤棚产生的无组织粉尘采取了全封闭的煤棚+喷雾洒水抑尘措施；对运输车辆采取</w:t>
            </w:r>
            <w:r>
              <w:rPr>
                <w:rFonts w:hint="eastAsia"/>
                <w:color w:val="auto"/>
                <w:sz w:val="24"/>
              </w:rPr>
              <w:t>加强车辆管理措施，加盖蓬布，厂区道路全部进行硬化，对路面实施洒水抑尘</w:t>
            </w:r>
            <w:r>
              <w:rPr>
                <w:rFonts w:hint="eastAsia"/>
                <w:color w:val="auto"/>
                <w:sz w:val="24"/>
                <w:lang w:val="en-US" w:eastAsia="zh-CN"/>
              </w:rPr>
              <w:t>，</w:t>
            </w:r>
            <w:r>
              <w:rPr>
                <w:rFonts w:hint="eastAsia"/>
                <w:color w:val="auto"/>
                <w:sz w:val="24"/>
              </w:rPr>
              <w:t>在厂区入口处设车辆冲洗装置减少运输过程道路扬尘污染</w:t>
            </w:r>
            <w:r>
              <w:rPr>
                <w:rFonts w:hint="eastAsia"/>
                <w:color w:val="auto"/>
                <w:sz w:val="24"/>
                <w:lang w:val="en-US" w:eastAsia="zh-CN"/>
              </w:rPr>
              <w:t>等措施。采取以上措施后可有效减轻造成的污染，对环境影响较小，</w:t>
            </w:r>
            <w:r>
              <w:rPr>
                <w:color w:val="auto"/>
                <w:sz w:val="24"/>
                <w:szCs w:val="24"/>
                <w:highlight w:val="none"/>
              </w:rPr>
              <w:t>项目所在地周边无国家及地方重点保护的动植物。</w:t>
            </w:r>
          </w:p>
          <w:p w14:paraId="2DAC599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szCs w:val="24"/>
              </w:rPr>
            </w:pPr>
            <w:r>
              <w:rPr>
                <w:color w:val="auto"/>
                <w:sz w:val="24"/>
                <w:szCs w:val="24"/>
              </w:rPr>
              <w:t>因此总体来看，项目正常运行时对生态环境产生的不利影响是可以接受的。</w:t>
            </w:r>
          </w:p>
          <w:p w14:paraId="5197289B">
            <w:pPr>
              <w:pStyle w:val="58"/>
              <w:keepNext w:val="0"/>
              <w:keepLines w:val="0"/>
              <w:pageBreakBefore w:val="0"/>
              <w:widowControl w:val="0"/>
              <w:kinsoku/>
              <w:wordWrap/>
              <w:overflowPunct/>
              <w:topLinePunct w:val="0"/>
              <w:bidi w:val="0"/>
              <w:snapToGrid/>
              <w:spacing w:line="360" w:lineRule="auto"/>
              <w:ind w:firstLine="482"/>
              <w:textAlignment w:val="auto"/>
              <w:rPr>
                <w:b/>
                <w:bCs/>
                <w:color w:val="auto"/>
                <w:sz w:val="24"/>
                <w:szCs w:val="24"/>
                <w:lang w:val="en-US" w:eastAsia="zh-CN"/>
              </w:rPr>
            </w:pPr>
            <w:r>
              <w:rPr>
                <w:rFonts w:hint="eastAsia"/>
                <w:b/>
                <w:bCs/>
                <w:color w:val="auto"/>
                <w:sz w:val="24"/>
                <w:szCs w:val="24"/>
                <w:lang w:val="en-US" w:eastAsia="zh-CN"/>
              </w:rPr>
              <w:t>7</w:t>
            </w:r>
            <w:r>
              <w:rPr>
                <w:b/>
                <w:bCs/>
                <w:color w:val="auto"/>
                <w:sz w:val="24"/>
                <w:szCs w:val="24"/>
                <w:lang w:val="en-US" w:eastAsia="zh-CN"/>
              </w:rPr>
              <w:t>、环境风险影响分析</w:t>
            </w:r>
          </w:p>
          <w:p w14:paraId="2797C908">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根据原国家环保部《关于进一步加强环境影响评价管理防范环境风险的通知》（国家环保部环发</w:t>
            </w:r>
            <w:r>
              <w:rPr>
                <w:rFonts w:hint="default"/>
                <w:color w:val="auto"/>
                <w:sz w:val="24"/>
                <w:szCs w:val="24"/>
                <w:lang w:val="en-US" w:eastAsia="zh-CN"/>
              </w:rPr>
              <w:t xml:space="preserve">[2012]77 </w:t>
            </w:r>
            <w:r>
              <w:rPr>
                <w:rFonts w:hint="eastAsia"/>
                <w:color w:val="auto"/>
                <w:sz w:val="24"/>
                <w:szCs w:val="24"/>
                <w:lang w:val="en-US" w:eastAsia="zh-CN"/>
              </w:rPr>
              <w:t>号）及生态环境部发布的《建设项目环境风险评价技术导则》（</w:t>
            </w:r>
            <w:r>
              <w:rPr>
                <w:rFonts w:hint="default"/>
                <w:color w:val="auto"/>
                <w:sz w:val="24"/>
                <w:szCs w:val="24"/>
                <w:lang w:val="en-US" w:eastAsia="zh-CN"/>
              </w:rPr>
              <w:t>HJ 169-2018</w:t>
            </w:r>
            <w:r>
              <w:rPr>
                <w:rFonts w:hint="eastAsia"/>
                <w:color w:val="auto"/>
                <w:sz w:val="24"/>
                <w:szCs w:val="24"/>
                <w:lang w:val="en-US" w:eastAsia="zh-CN"/>
              </w:rPr>
              <w:t>）要求，对于涉及有毒有害和易燃易爆物质的生产、使用、储存（包括使用管线输运）的建设项目进行风险评价。</w:t>
            </w:r>
          </w:p>
          <w:p w14:paraId="631EFE44">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w:t>
            </w:r>
            <w:r>
              <w:rPr>
                <w:rFonts w:hint="default"/>
                <w:color w:val="auto"/>
                <w:sz w:val="24"/>
                <w:szCs w:val="24"/>
                <w:lang w:val="en-US" w:eastAsia="zh-CN"/>
              </w:rPr>
              <w:t>1</w:t>
            </w:r>
            <w:r>
              <w:rPr>
                <w:rFonts w:hint="eastAsia"/>
                <w:color w:val="auto"/>
                <w:sz w:val="24"/>
                <w:szCs w:val="24"/>
                <w:lang w:val="en-US" w:eastAsia="zh-CN"/>
              </w:rPr>
              <w:t>）环境风险识别</w:t>
            </w:r>
          </w:p>
          <w:p w14:paraId="445D176A">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color w:val="auto"/>
                <w:sz w:val="24"/>
                <w:szCs w:val="24"/>
                <w:lang w:val="en-US"/>
              </w:rPr>
            </w:pPr>
            <w:r>
              <w:rPr>
                <w:rFonts w:hint="eastAsia"/>
                <w:color w:val="auto"/>
                <w:sz w:val="24"/>
                <w:szCs w:val="24"/>
                <w:lang w:val="en-US" w:eastAsia="zh-CN"/>
              </w:rPr>
              <w:t>本项目属于煤炭仓储项目，不涉及有毒有害物质的生产、使用、储存（包括使用管线输运）。</w:t>
            </w:r>
            <w:r>
              <w:rPr>
                <w:rFonts w:hint="default" w:ascii="Times New Roman" w:hAnsi="Times New Roman" w:cs="Times New Roman"/>
                <w:color w:val="auto"/>
                <w:sz w:val="24"/>
                <w:lang w:val="en-US" w:eastAsia="zh-CN"/>
              </w:rPr>
              <w:t>项目</w:t>
            </w:r>
            <w:r>
              <w:rPr>
                <w:rFonts w:hint="eastAsia"/>
                <w:color w:val="auto"/>
                <w:sz w:val="24"/>
                <w:szCs w:val="24"/>
                <w:lang w:val="en-US" w:eastAsia="zh-CN"/>
              </w:rPr>
              <w:t>储煤棚内含有大量无组织煤尘，煤尘结构松散，与空气接触容易发生缓慢氧化，受热后容易散发出大量爆炸性碳氢化合物可燃气体，类似于瓦斯爆炸，煤尘爆炸后可产生高温、高压，形成冲击波火焰，并伴随产生大量有害性</w:t>
            </w:r>
            <w:r>
              <w:rPr>
                <w:rFonts w:hint="default"/>
                <w:color w:val="auto"/>
                <w:sz w:val="24"/>
                <w:szCs w:val="24"/>
                <w:lang w:val="en-US" w:eastAsia="zh-CN"/>
              </w:rPr>
              <w:t>CO</w:t>
            </w:r>
            <w:r>
              <w:rPr>
                <w:rFonts w:hint="eastAsia"/>
                <w:color w:val="auto"/>
                <w:sz w:val="24"/>
                <w:szCs w:val="24"/>
                <w:lang w:val="en-US" w:eastAsia="zh-CN"/>
              </w:rPr>
              <w:t>气体。同时设备维修</w:t>
            </w:r>
            <w:r>
              <w:rPr>
                <w:rFonts w:hint="default" w:ascii="Times New Roman" w:hAnsi="Times New Roman" w:cs="Times New Roman"/>
                <w:color w:val="auto"/>
                <w:sz w:val="24"/>
                <w:lang w:val="en-US" w:eastAsia="zh-CN"/>
              </w:rPr>
              <w:t>产生的废机油量为</w:t>
            </w:r>
            <w:r>
              <w:rPr>
                <w:rFonts w:hint="eastAsia" w:ascii="Times New Roman" w:hAnsi="Times New Roman" w:cs="Times New Roman"/>
                <w:color w:val="auto"/>
                <w:sz w:val="24"/>
                <w:lang w:val="en-US" w:eastAsia="zh-CN"/>
              </w:rPr>
              <w:t>0.01</w:t>
            </w:r>
            <w:r>
              <w:rPr>
                <w:rFonts w:hint="default" w:ascii="Times New Roman" w:hAnsi="Times New Roman" w:cs="Times New Roman"/>
                <w:color w:val="auto"/>
                <w:sz w:val="24"/>
                <w:lang w:val="en-US" w:eastAsia="zh-CN"/>
              </w:rPr>
              <w:t>t/a</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存在环境风险，</w:t>
            </w:r>
            <w:r>
              <w:rPr>
                <w:rFonts w:hint="eastAsia" w:ascii="Times New Roman" w:hAnsi="Times New Roman" w:cs="Times New Roman"/>
                <w:color w:val="auto"/>
                <w:sz w:val="24"/>
                <w:lang w:val="en-US" w:eastAsia="zh-CN"/>
              </w:rPr>
              <w:t>但</w:t>
            </w:r>
            <w:r>
              <w:rPr>
                <w:rFonts w:hint="default" w:ascii="Times New Roman" w:hAnsi="Times New Roman" w:cs="Times New Roman"/>
                <w:color w:val="auto"/>
                <w:sz w:val="24"/>
                <w:lang w:val="en-US" w:eastAsia="zh-CN"/>
              </w:rPr>
              <w:t>由于本项目废机油量远小于2500t的临界量，Q＜1，根据《建设项目环境风险评价技术导则》（HJ169-2018）附录C。当Q＜1时，直接判断环境风险潜势为I级，直接判断风险评价工作等级为简单分析</w:t>
            </w:r>
            <w:r>
              <w:rPr>
                <w:rFonts w:hint="eastAsia" w:ascii="Times New Roman" w:hAnsi="Times New Roman" w:cs="Times New Roman"/>
                <w:color w:val="auto"/>
                <w:sz w:val="24"/>
                <w:lang w:val="en-US" w:eastAsia="zh-CN"/>
              </w:rPr>
              <w:t>。</w:t>
            </w:r>
          </w:p>
          <w:p w14:paraId="1EC1A95E">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2</w:t>
            </w:r>
            <w:r>
              <w:rPr>
                <w:rFonts w:hint="eastAsia"/>
                <w:color w:val="auto"/>
                <w:sz w:val="24"/>
                <w:szCs w:val="24"/>
                <w:highlight w:val="none"/>
                <w:lang w:val="en-US" w:eastAsia="zh-CN"/>
              </w:rPr>
              <w:t>）环境风险措施</w:t>
            </w:r>
          </w:p>
          <w:p w14:paraId="6E17A18F">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highlight w:val="none"/>
                <w:lang w:val="en-US" w:eastAsia="zh-CN"/>
              </w:rPr>
              <w:t>为防止煤尘闪爆、废</w:t>
            </w:r>
            <w:r>
              <w:rPr>
                <w:rFonts w:hint="eastAsia"/>
                <w:color w:val="auto"/>
                <w:sz w:val="24"/>
                <w:szCs w:val="24"/>
                <w:lang w:val="en-US" w:eastAsia="zh-CN"/>
              </w:rPr>
              <w:t>机油泄露项目采取的防治措施有：</w:t>
            </w:r>
          </w:p>
          <w:p w14:paraId="5263D044">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① 本项目洗精煤储煤棚全封闭，洗选后精煤含水量和含灰分量较小，能够有效抑制煤尘产生。</w:t>
            </w:r>
          </w:p>
          <w:p w14:paraId="1073EB8B">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② 储煤棚内电气、照明设备均采用防爆型产品。</w:t>
            </w:r>
          </w:p>
          <w:p w14:paraId="5F90D118">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③ 全封闭洗精煤储煤棚、汽车卸载站采用自然通风方式，在棚顶或侧墙高处设置百叶窗通风。地上的输煤栈桥采用自然通风方式，保证易产尘部位通风良好。</w:t>
            </w:r>
          </w:p>
          <w:p w14:paraId="72E9F6FF">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④ 对管理人员和现场人员进行安全培训，禁止在仓内吸烟和明火作业，保证通风良好。</w:t>
            </w:r>
          </w:p>
          <w:p w14:paraId="048C57D6">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⑤ </w:t>
            </w:r>
            <w:r>
              <w:rPr>
                <w:rFonts w:hint="default" w:ascii="Times New Roman" w:hAnsi="Times New Roman" w:cs="Times New Roman"/>
                <w:color w:val="auto"/>
                <w:sz w:val="24"/>
                <w:lang w:val="en-US" w:eastAsia="zh-CN"/>
              </w:rPr>
              <w:t>储备一定的消防器材，降低火灾爆炸事故的影响范围；</w:t>
            </w:r>
          </w:p>
          <w:p w14:paraId="660B08CB">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pPr>
            <w:r>
              <w:rPr>
                <w:rFonts w:hint="eastAsia"/>
                <w:color w:val="auto"/>
                <w:sz w:val="24"/>
                <w:szCs w:val="24"/>
                <w:lang w:val="en-US" w:eastAsia="zh-CN"/>
              </w:rPr>
              <w:t xml:space="preserve">⑥ </w:t>
            </w:r>
            <w:r>
              <w:rPr>
                <w:rFonts w:hint="default" w:ascii="Times New Roman" w:hAnsi="Times New Roman" w:cs="Times New Roman"/>
                <w:color w:val="auto"/>
                <w:sz w:val="24"/>
                <w:lang w:val="en-US" w:eastAsia="zh-CN"/>
              </w:rPr>
              <w:t>加强对废机油的管理，</w:t>
            </w:r>
            <w:r>
              <w:rPr>
                <w:rFonts w:hint="eastAsia" w:ascii="Times New Roman" w:hAnsi="Times New Roman" w:cs="Times New Roman"/>
                <w:color w:val="auto"/>
                <w:sz w:val="24"/>
                <w:lang w:val="en-US" w:eastAsia="zh-CN"/>
              </w:rPr>
              <w:t>做好废机油存储管理台账，</w:t>
            </w:r>
            <w:r>
              <w:rPr>
                <w:rFonts w:hint="default" w:ascii="Times New Roman" w:hAnsi="Times New Roman" w:cs="Times New Roman"/>
                <w:color w:val="auto"/>
                <w:sz w:val="24"/>
                <w:lang w:val="en-US" w:eastAsia="zh-CN"/>
              </w:rPr>
              <w:t>同时做好</w:t>
            </w:r>
            <w:r>
              <w:rPr>
                <w:rFonts w:hint="eastAsia" w:ascii="Times New Roman" w:hAnsi="Times New Roman" w:cs="Times New Roman"/>
                <w:color w:val="auto"/>
                <w:sz w:val="24"/>
                <w:lang w:val="en-US" w:eastAsia="zh-CN"/>
              </w:rPr>
              <w:t>危废暂存库</w:t>
            </w:r>
            <w:r>
              <w:rPr>
                <w:rFonts w:hint="default" w:ascii="Times New Roman" w:hAnsi="Times New Roman" w:cs="Times New Roman"/>
                <w:color w:val="auto"/>
                <w:sz w:val="24"/>
                <w:lang w:val="en-US" w:eastAsia="zh-CN"/>
              </w:rPr>
              <w:t>的防渗工作；</w:t>
            </w:r>
          </w:p>
          <w:p w14:paraId="4C51E349">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rPr>
            </w:pPr>
            <w:r>
              <w:rPr>
                <w:rFonts w:hint="eastAsia"/>
                <w:color w:val="auto"/>
                <w:sz w:val="24"/>
                <w:szCs w:val="24"/>
                <w:lang w:val="en-US" w:eastAsia="zh-CN"/>
              </w:rPr>
              <w:t xml:space="preserve">⑦ </w:t>
            </w:r>
            <w:r>
              <w:rPr>
                <w:rFonts w:hint="default" w:ascii="Times New Roman" w:hAnsi="Times New Roman" w:cs="Times New Roman"/>
                <w:color w:val="auto"/>
                <w:sz w:val="24"/>
                <w:lang w:val="en-US" w:eastAsia="zh-CN"/>
              </w:rPr>
              <w:t>设置符合《安全标志》GB2894-2008标准、规范要求的安全警示标志及标语</w:t>
            </w:r>
            <w:r>
              <w:rPr>
                <w:rFonts w:hint="eastAsia" w:ascii="Times New Roman" w:hAnsi="Times New Roman" w:cs="Times New Roman"/>
                <w:color w:val="auto"/>
                <w:sz w:val="24"/>
                <w:lang w:val="en-US" w:eastAsia="zh-CN"/>
              </w:rPr>
              <w:t>；</w:t>
            </w:r>
          </w:p>
          <w:p w14:paraId="5188123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cs="宋体"/>
                <w:color w:val="FF0000"/>
                <w:sz w:val="24"/>
                <w:lang w:val="en-US" w:eastAsia="zh-CN"/>
              </w:rPr>
            </w:pPr>
            <w:r>
              <w:rPr>
                <w:rFonts w:hint="eastAsia" w:ascii="宋体" w:hAnsi="宋体" w:eastAsia="宋体" w:cs="宋体"/>
                <w:color w:val="FF0000"/>
                <w:sz w:val="24"/>
                <w:lang w:val="en-US" w:eastAsia="zh-CN"/>
              </w:rPr>
              <w:t>⑧</w:t>
            </w:r>
            <w:r>
              <w:rPr>
                <w:rFonts w:hint="eastAsia" w:ascii="宋体" w:hAnsi="宋体" w:cs="宋体"/>
                <w:color w:val="FF0000"/>
                <w:sz w:val="24"/>
                <w:lang w:val="en-US" w:eastAsia="zh-CN"/>
              </w:rPr>
              <w:t xml:space="preserve"> </w:t>
            </w:r>
            <w:r>
              <w:rPr>
                <w:rFonts w:hint="eastAsia" w:ascii="宋体" w:hAnsi="宋体" w:cs="宋体"/>
                <w:color w:val="7030A0"/>
                <w:sz w:val="24"/>
                <w:lang w:val="en-US" w:eastAsia="zh-CN"/>
              </w:rPr>
              <w:t>新建</w:t>
            </w:r>
            <w:r>
              <w:rPr>
                <w:rFonts w:hint="eastAsia" w:cs="Times New Roman"/>
                <w:color w:val="7030A0"/>
                <w:kern w:val="0"/>
                <w:sz w:val="24"/>
                <w:szCs w:val="24"/>
                <w:highlight w:val="none"/>
                <w:lang w:val="en-US" w:eastAsia="zh-CN"/>
              </w:rPr>
              <w:t>1200</w:t>
            </w:r>
            <w:r>
              <w:rPr>
                <w:rFonts w:hint="default" w:ascii="Times New Roman" w:hAnsi="Times New Roman" w:eastAsia="宋体" w:cs="Times New Roman"/>
                <w:color w:val="7030A0"/>
                <w:sz w:val="24"/>
                <w:szCs w:val="24"/>
                <w:highlight w:val="none"/>
                <w:lang w:val="en-US" w:eastAsia="zh-CN"/>
              </w:rPr>
              <w:t>m</w:t>
            </w:r>
            <w:r>
              <w:rPr>
                <w:rFonts w:hint="default" w:ascii="Times New Roman" w:hAnsi="Times New Roman" w:eastAsia="宋体" w:cs="Times New Roman"/>
                <w:color w:val="7030A0"/>
                <w:sz w:val="24"/>
                <w:szCs w:val="24"/>
                <w:highlight w:val="none"/>
                <w:vertAlign w:val="superscript"/>
                <w:lang w:val="en-US" w:eastAsia="zh-CN"/>
              </w:rPr>
              <w:t>3</w:t>
            </w:r>
            <w:r>
              <w:rPr>
                <w:rFonts w:hint="default" w:ascii="Times New Roman" w:hAnsi="Times New Roman" w:eastAsia="宋体" w:cs="Times New Roman"/>
                <w:color w:val="7030A0"/>
                <w:sz w:val="24"/>
                <w:szCs w:val="24"/>
                <w:highlight w:val="none"/>
                <w:vertAlign w:val="baseline"/>
                <w:lang w:val="en-US" w:eastAsia="zh-CN"/>
              </w:rPr>
              <w:t>的事故水池</w:t>
            </w:r>
            <w:r>
              <w:rPr>
                <w:rFonts w:hint="eastAsia" w:cs="Times New Roman"/>
                <w:color w:val="7030A0"/>
                <w:sz w:val="24"/>
                <w:szCs w:val="24"/>
                <w:highlight w:val="none"/>
                <w:vertAlign w:val="baseline"/>
                <w:lang w:val="en-US" w:eastAsia="zh-CN"/>
              </w:rPr>
              <w:t>，用来储存厂区事故废水。</w:t>
            </w:r>
          </w:p>
          <w:p w14:paraId="751E212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rPr>
            </w:pPr>
            <w:r>
              <w:rPr>
                <w:rFonts w:hint="eastAsia" w:ascii="宋体" w:hAnsi="宋体" w:eastAsia="宋体" w:cs="宋体"/>
                <w:b w:val="0"/>
                <w:bCs w:val="0"/>
                <w:color w:val="auto"/>
                <w:sz w:val="24"/>
                <w:szCs w:val="16"/>
                <w:lang w:val="en-US" w:eastAsia="zh-CN"/>
              </w:rPr>
              <w:t>⑨</w:t>
            </w:r>
            <w:r>
              <w:rPr>
                <w:rFonts w:hint="eastAsia" w:ascii="宋体" w:hAnsi="宋体" w:cs="宋体"/>
                <w:color w:val="auto"/>
                <w:sz w:val="24"/>
                <w:lang w:val="en-US" w:eastAsia="zh-CN"/>
              </w:rPr>
              <w:t xml:space="preserve"> </w:t>
            </w:r>
            <w:r>
              <w:rPr>
                <w:rFonts w:hint="eastAsia"/>
                <w:b w:val="0"/>
                <w:bCs w:val="0"/>
                <w:color w:val="auto"/>
                <w:sz w:val="24"/>
                <w:szCs w:val="16"/>
                <w:lang w:val="en-US" w:eastAsia="zh-CN"/>
              </w:rPr>
              <w:t>本项目完成后，修订突发事故应急预案。制定应急预案的目的是在发生风险事故时，能以最快的速度发挥最大的效能，有序的实施救援，尽快控制事态的发展，降低事故造成的危害，减少事故造成的损失。</w:t>
            </w:r>
          </w:p>
          <w:p w14:paraId="0BCC22B5">
            <w:pPr>
              <w:keepNext w:val="0"/>
              <w:keepLines w:val="0"/>
              <w:pageBreakBefore w:val="0"/>
              <w:widowControl w:val="0"/>
              <w:kinsoku/>
              <w:wordWrap/>
              <w:overflowPunct/>
              <w:topLinePunct w:val="0"/>
              <w:bidi w:val="0"/>
              <w:snapToGrid/>
              <w:spacing w:line="240" w:lineRule="auto"/>
              <w:jc w:val="center"/>
              <w:textAlignment w:val="auto"/>
              <w:rPr>
                <w:rFonts w:hint="default"/>
                <w:color w:val="auto"/>
                <w:sz w:val="5"/>
                <w:szCs w:val="24"/>
              </w:rPr>
            </w:pPr>
            <w:r>
              <w:rPr>
                <w:rFonts w:hint="eastAsia"/>
                <w:b/>
                <w:bCs/>
                <w:color w:val="auto"/>
                <w:sz w:val="24"/>
                <w:szCs w:val="24"/>
                <w:lang w:val="en-US" w:eastAsia="zh-CN"/>
              </w:rPr>
              <w:t>表</w:t>
            </w:r>
            <w:r>
              <w:rPr>
                <w:rFonts w:hint="default"/>
                <w:b/>
                <w:bCs/>
                <w:color w:val="auto"/>
                <w:sz w:val="24"/>
                <w:szCs w:val="24"/>
                <w:lang w:val="en-US" w:eastAsia="zh-CN"/>
              </w:rPr>
              <w:t>4</w:t>
            </w:r>
            <w:r>
              <w:rPr>
                <w:rFonts w:hint="eastAsia"/>
                <w:b/>
                <w:bCs/>
                <w:color w:val="auto"/>
                <w:sz w:val="24"/>
                <w:szCs w:val="24"/>
                <w:lang w:val="en-US" w:eastAsia="zh-CN"/>
              </w:rPr>
              <w:t>-6</w:t>
            </w:r>
            <w:r>
              <w:rPr>
                <w:rFonts w:hint="default"/>
                <w:b/>
                <w:bCs/>
                <w:color w:val="auto"/>
                <w:sz w:val="24"/>
                <w:szCs w:val="24"/>
                <w:lang w:val="en-US" w:eastAsia="zh-CN"/>
              </w:rPr>
              <w:t xml:space="preserve"> </w:t>
            </w:r>
            <w:r>
              <w:rPr>
                <w:rFonts w:hint="eastAsia"/>
                <w:b/>
                <w:bCs/>
                <w:color w:val="auto"/>
                <w:sz w:val="24"/>
                <w:szCs w:val="24"/>
                <w:lang w:val="en-US" w:eastAsia="zh-CN"/>
              </w:rPr>
              <w:t xml:space="preserve"> 突发事故应急预案</w:t>
            </w:r>
          </w:p>
          <w:tbl>
            <w:tblPr>
              <w:tblStyle w:val="27"/>
              <w:tblW w:w="78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1"/>
              <w:gridCol w:w="1309"/>
              <w:gridCol w:w="5697"/>
            </w:tblGrid>
            <w:tr w14:paraId="30D0C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8CAFC">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99DA21">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86347">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内容及要求</w:t>
                  </w:r>
                </w:p>
              </w:tc>
            </w:tr>
            <w:tr w14:paraId="7D27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772A5">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1</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ED79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危险源概况</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9C0FAE">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储煤</w:t>
                  </w:r>
                  <w:r>
                    <w:rPr>
                      <w:rFonts w:hint="eastAsia" w:ascii="宋体" w:hAnsi="宋体" w:eastAsia="宋体" w:cs="宋体"/>
                      <w:color w:val="auto"/>
                      <w:sz w:val="21"/>
                      <w:szCs w:val="21"/>
                      <w:lang w:val="en-US" w:eastAsia="zh-CN"/>
                    </w:rPr>
                    <w:t>棚</w:t>
                  </w:r>
                  <w:r>
                    <w:rPr>
                      <w:rFonts w:hint="eastAsia" w:ascii="宋体" w:hAnsi="宋体" w:eastAsia="宋体" w:cs="宋体"/>
                      <w:color w:val="auto"/>
                      <w:sz w:val="21"/>
                      <w:szCs w:val="21"/>
                    </w:rPr>
                    <w:t>内煤尘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危废暂存库废机油</w:t>
                  </w:r>
                </w:p>
              </w:tc>
            </w:tr>
            <w:tr w14:paraId="7E501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532F8">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2</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FDA2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应急计划区</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A74AC">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储煤</w:t>
                  </w:r>
                  <w:r>
                    <w:rPr>
                      <w:rFonts w:hint="eastAsia" w:ascii="宋体" w:hAnsi="宋体" w:eastAsia="宋体" w:cs="宋体"/>
                      <w:color w:val="auto"/>
                      <w:sz w:val="21"/>
                      <w:szCs w:val="21"/>
                      <w:lang w:val="en-US" w:eastAsia="zh-CN"/>
                    </w:rPr>
                    <w:t>棚、危废暂存库</w:t>
                  </w:r>
                </w:p>
              </w:tc>
            </w:tr>
            <w:tr w14:paraId="230A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EEB56">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3</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3AE51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应急组织</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B9382F">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厂区：成立事故应急救援指挥领导小组，下设应急救援办公楼。</w:t>
                  </w:r>
                </w:p>
                <w:p w14:paraId="066F8077">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专业救助队伍：成立专业救助队伍，负责事故控制、救援、善后处理。</w:t>
                  </w:r>
                </w:p>
              </w:tc>
            </w:tr>
            <w:tr w14:paraId="344C7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19581">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4</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B4767">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应急状态分类及应急响应程序</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BCE69">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按照事故发生的严重程度，规定事故的级别及相应的应急分类响应程序。</w:t>
                  </w:r>
                </w:p>
              </w:tc>
            </w:tr>
            <w:tr w14:paraId="2049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203AD2">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5</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0814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应急设施、设备与</w:t>
                  </w:r>
                  <w:r>
                    <w:rPr>
                      <w:rFonts w:hint="eastAsia" w:ascii="宋体" w:hAnsi="宋体" w:eastAsia="宋体" w:cs="宋体"/>
                      <w:color w:val="auto"/>
                      <w:sz w:val="21"/>
                      <w:szCs w:val="21"/>
                    </w:rPr>
                    <w:t>材料</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24DAF">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防火灾应急设施、设备与材料，主要为消防器材，防静电服，自给正压式呼吸器、安全防护镜等。</w:t>
                  </w:r>
                </w:p>
              </w:tc>
            </w:tr>
            <w:tr w14:paraId="53CC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0320A">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6</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24A6B">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应急通讯、通知和交通</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505C9">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组成通讯联络队，并规定应急状态下的通讯方式、通知方式和交通保障、管制</w:t>
                  </w:r>
                </w:p>
              </w:tc>
            </w:tr>
            <w:tr w14:paraId="173E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40457">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7</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2D2E2">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应急环境监测及事</w:t>
                  </w:r>
                  <w:r>
                    <w:rPr>
                      <w:rFonts w:hint="eastAsia" w:ascii="宋体" w:hAnsi="宋体" w:eastAsia="宋体" w:cs="宋体"/>
                      <w:color w:val="auto"/>
                      <w:sz w:val="21"/>
                      <w:szCs w:val="21"/>
                    </w:rPr>
                    <w:t>故后评估</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B72073">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有专业队伍负责对事故现场进行监测，对事故性质、参数与后 果进行评估，为指挥部门提供决策依据</w:t>
                  </w:r>
                </w:p>
              </w:tc>
            </w:tr>
            <w:tr w14:paraId="739D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74ED6E">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8</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7A864">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应急措施</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C8BFB9">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事故现场：控制事故，防止扩大、蔓延及连锁反应</w:t>
                  </w:r>
                </w:p>
              </w:tc>
            </w:tr>
            <w:tr w14:paraId="58D30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11A4E">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9</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4DCF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撤离组织计划、医疗救护与公众健康</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517B4">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事故现场：事故处理人员制定对毒物应急剂量控制，现场及临近装置人员组织撤离计划及救护</w:t>
                  </w:r>
                </w:p>
                <w:p w14:paraId="11614E09">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事故临近区：受事故影响的临近区域人员及公众规定对毒物应急剂量的控制，组织撤离计划及救护</w:t>
                  </w:r>
                </w:p>
              </w:tc>
            </w:tr>
            <w:tr w14:paraId="32EEE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ACD1D">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70AFD">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应急状态终止与恢复措施</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98D9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规定应急状态终止程序；事故现场善后处理，恢复措施；临近区域解除事故警戒及善后恢复措施。</w:t>
                  </w:r>
                </w:p>
              </w:tc>
            </w:tr>
            <w:tr w14:paraId="4421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E1F764">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589B2B">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人员培训与演练</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FD1BF">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平时安排人员应急救援培训与演练</w:t>
                  </w:r>
                </w:p>
              </w:tc>
            </w:tr>
            <w:tr w14:paraId="41D22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DBE85">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A5ABD">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公众教育与信息</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B5530F">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对厂区临近地区开展公众教育、培训和发布有关信息</w:t>
                  </w:r>
                </w:p>
              </w:tc>
            </w:tr>
            <w:tr w14:paraId="6DB9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8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46C425">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13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B9F66">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记录和报告</w:t>
                  </w:r>
                </w:p>
              </w:tc>
              <w:tc>
                <w:tcPr>
                  <w:tcW w:w="569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2C990">
                  <w:pPr>
                    <w:pStyle w:val="75"/>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设应急事故专门记录，建档案和专门报告制度，设专门部门负责管理</w:t>
                  </w:r>
                </w:p>
              </w:tc>
            </w:tr>
          </w:tbl>
          <w:p w14:paraId="0506E67A">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32"/>
              </w:rPr>
            </w:pPr>
            <w:r>
              <w:rPr>
                <w:rFonts w:hint="eastAsia"/>
                <w:color w:val="auto"/>
                <w:sz w:val="24"/>
                <w:szCs w:val="32"/>
              </w:rPr>
              <w:t>项目在严格采取上述措施后，项目发生火灾、爆炸事故风险是可预防和控制的。</w:t>
            </w:r>
          </w:p>
          <w:p w14:paraId="4652B2E0">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b/>
                <w:bCs/>
                <w:color w:val="auto"/>
                <w:sz w:val="24"/>
                <w:szCs w:val="32"/>
                <w:highlight w:val="none"/>
                <w:lang w:val="en-US" w:eastAsia="zh-CN"/>
              </w:rPr>
            </w:pPr>
            <w:r>
              <w:rPr>
                <w:rFonts w:hint="eastAsia"/>
                <w:b/>
                <w:bCs/>
                <w:color w:val="auto"/>
                <w:sz w:val="24"/>
                <w:szCs w:val="32"/>
                <w:lang w:val="en-US" w:eastAsia="zh-CN"/>
              </w:rPr>
              <w:t>8、环保投资</w:t>
            </w:r>
          </w:p>
          <w:p w14:paraId="116B02ED">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b/>
                <w:bCs/>
                <w:color w:val="auto"/>
                <w:sz w:val="24"/>
                <w:szCs w:val="32"/>
                <w:highlight w:val="none"/>
                <w:lang w:val="en-US" w:eastAsia="zh-CN"/>
              </w:rPr>
            </w:pPr>
            <w:r>
              <w:rPr>
                <w:rFonts w:hint="default"/>
                <w:b w:val="0"/>
                <w:bCs w:val="0"/>
                <w:color w:val="auto"/>
                <w:sz w:val="24"/>
                <w:szCs w:val="32"/>
                <w:highlight w:val="none"/>
                <w:lang w:val="en-US" w:eastAsia="zh-CN"/>
              </w:rPr>
              <w:t>项目总投资</w:t>
            </w:r>
            <w:r>
              <w:rPr>
                <w:rFonts w:hint="eastAsia"/>
                <w:b w:val="0"/>
                <w:bCs w:val="0"/>
                <w:color w:val="auto"/>
                <w:sz w:val="24"/>
                <w:szCs w:val="32"/>
                <w:highlight w:val="none"/>
                <w:lang w:val="en-US" w:eastAsia="zh-CN"/>
              </w:rPr>
              <w:t>800</w:t>
            </w:r>
            <w:r>
              <w:rPr>
                <w:rFonts w:hint="default"/>
                <w:b w:val="0"/>
                <w:bCs w:val="0"/>
                <w:color w:val="auto"/>
                <w:sz w:val="24"/>
                <w:szCs w:val="32"/>
                <w:highlight w:val="none"/>
                <w:lang w:val="en-US" w:eastAsia="zh-CN"/>
              </w:rPr>
              <w:t>万元，估算环保投资</w:t>
            </w:r>
            <w:r>
              <w:rPr>
                <w:rFonts w:hint="eastAsia"/>
                <w:b w:val="0"/>
                <w:bCs w:val="0"/>
                <w:color w:val="7030A0"/>
                <w:sz w:val="24"/>
                <w:szCs w:val="32"/>
                <w:highlight w:val="none"/>
                <w:lang w:val="en-US" w:eastAsia="zh-CN"/>
              </w:rPr>
              <w:t>195</w:t>
            </w:r>
            <w:r>
              <w:rPr>
                <w:rFonts w:hint="default"/>
                <w:b w:val="0"/>
                <w:bCs w:val="0"/>
                <w:color w:val="FF0000"/>
                <w:sz w:val="24"/>
                <w:szCs w:val="32"/>
                <w:highlight w:val="none"/>
                <w:lang w:val="en-US" w:eastAsia="zh-CN"/>
              </w:rPr>
              <w:t>万元</w:t>
            </w:r>
            <w:r>
              <w:rPr>
                <w:rFonts w:hint="default"/>
                <w:b w:val="0"/>
                <w:bCs w:val="0"/>
                <w:color w:val="auto"/>
                <w:sz w:val="24"/>
                <w:szCs w:val="32"/>
                <w:highlight w:val="none"/>
                <w:lang w:val="en-US" w:eastAsia="zh-CN"/>
              </w:rPr>
              <w:t>，环保投资占项目投资总额的</w:t>
            </w:r>
            <w:r>
              <w:rPr>
                <w:rFonts w:hint="eastAsia"/>
                <w:b w:val="0"/>
                <w:bCs w:val="0"/>
                <w:color w:val="7030A0"/>
                <w:sz w:val="24"/>
                <w:szCs w:val="32"/>
                <w:highlight w:val="none"/>
                <w:lang w:val="en-US" w:eastAsia="zh-CN"/>
              </w:rPr>
              <w:t>24.38%</w:t>
            </w:r>
            <w:r>
              <w:rPr>
                <w:rFonts w:hint="default"/>
                <w:b w:val="0"/>
                <w:bCs w:val="0"/>
                <w:color w:val="7030A0"/>
                <w:sz w:val="24"/>
                <w:szCs w:val="32"/>
                <w:highlight w:val="none"/>
                <w:lang w:val="en-US" w:eastAsia="zh-CN"/>
              </w:rPr>
              <w:t>，</w:t>
            </w:r>
            <w:r>
              <w:rPr>
                <w:rFonts w:hint="default"/>
                <w:b w:val="0"/>
                <w:bCs w:val="0"/>
                <w:color w:val="auto"/>
                <w:sz w:val="24"/>
                <w:szCs w:val="32"/>
                <w:highlight w:val="none"/>
                <w:lang w:val="en-US" w:eastAsia="zh-CN"/>
              </w:rPr>
              <w:t>环保投资最终以环境治理设施设计投资为准。环保投资概算见表</w:t>
            </w:r>
            <w:r>
              <w:rPr>
                <w:rFonts w:hint="eastAsia"/>
                <w:b w:val="0"/>
                <w:bCs w:val="0"/>
                <w:color w:val="auto"/>
                <w:sz w:val="24"/>
                <w:szCs w:val="32"/>
                <w:highlight w:val="none"/>
                <w:lang w:val="en-US" w:eastAsia="zh-CN"/>
              </w:rPr>
              <w:t>4</w:t>
            </w:r>
            <w:r>
              <w:rPr>
                <w:rFonts w:hint="default"/>
                <w:b w:val="0"/>
                <w:bCs w:val="0"/>
                <w:color w:val="auto"/>
                <w:sz w:val="24"/>
                <w:szCs w:val="32"/>
                <w:highlight w:val="none"/>
                <w:lang w:val="en-US" w:eastAsia="zh-CN"/>
              </w:rPr>
              <w:t>-</w:t>
            </w:r>
            <w:r>
              <w:rPr>
                <w:rFonts w:hint="eastAsia"/>
                <w:b w:val="0"/>
                <w:bCs w:val="0"/>
                <w:color w:val="auto"/>
                <w:sz w:val="24"/>
                <w:szCs w:val="32"/>
                <w:highlight w:val="none"/>
                <w:lang w:val="en-US" w:eastAsia="zh-CN"/>
              </w:rPr>
              <w:t>7</w:t>
            </w:r>
            <w:r>
              <w:rPr>
                <w:rFonts w:hint="default"/>
                <w:b w:val="0"/>
                <w:bCs w:val="0"/>
                <w:color w:val="auto"/>
                <w:sz w:val="24"/>
                <w:szCs w:val="32"/>
                <w:highlight w:val="none"/>
                <w:lang w:val="en-US" w:eastAsia="zh-CN"/>
              </w:rPr>
              <w:t>。</w:t>
            </w:r>
          </w:p>
          <w:p w14:paraId="2596677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4"/>
                <w:szCs w:val="32"/>
                <w:highlight w:val="none"/>
                <w:lang w:val="en-US" w:eastAsia="zh-CN"/>
              </w:rPr>
            </w:pPr>
            <w:r>
              <w:rPr>
                <w:rFonts w:hint="eastAsia"/>
                <w:b/>
                <w:bCs/>
                <w:color w:val="auto"/>
                <w:sz w:val="24"/>
                <w:szCs w:val="32"/>
                <w:highlight w:val="none"/>
                <w:lang w:val="en-US" w:eastAsia="zh-CN"/>
              </w:rPr>
              <w:t>表4-7  项目环境保护投资概算表</w:t>
            </w:r>
          </w:p>
          <w:tbl>
            <w:tblPr>
              <w:tblStyle w:val="27"/>
              <w:tblW w:w="498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788"/>
              <w:gridCol w:w="1249"/>
              <w:gridCol w:w="808"/>
              <w:gridCol w:w="3225"/>
              <w:gridCol w:w="725"/>
              <w:gridCol w:w="1083"/>
            </w:tblGrid>
            <w:tr w14:paraId="4E5B0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noWrap w:val="0"/>
                  <w:vAlign w:val="center"/>
                </w:tcPr>
                <w:p w14:paraId="050F0C3A">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类型</w:t>
                  </w:r>
                </w:p>
              </w:tc>
              <w:tc>
                <w:tcPr>
                  <w:tcW w:w="793" w:type="pct"/>
                  <w:noWrap w:val="0"/>
                  <w:vAlign w:val="center"/>
                </w:tcPr>
                <w:p w14:paraId="764F10C6">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污染源名称</w:t>
                  </w:r>
                </w:p>
              </w:tc>
              <w:tc>
                <w:tcPr>
                  <w:tcW w:w="512" w:type="pct"/>
                  <w:noWrap w:val="0"/>
                  <w:vAlign w:val="center"/>
                </w:tcPr>
                <w:p w14:paraId="163D2E71">
                  <w:pPr>
                    <w:snapToGrid w:val="0"/>
                    <w:spacing w:line="24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污染物</w:t>
                  </w:r>
                </w:p>
              </w:tc>
              <w:tc>
                <w:tcPr>
                  <w:tcW w:w="2047" w:type="pct"/>
                  <w:noWrap w:val="0"/>
                  <w:vAlign w:val="center"/>
                </w:tcPr>
                <w:p w14:paraId="56CF8DD5">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环保设施名称及处理工艺</w:t>
                  </w:r>
                </w:p>
              </w:tc>
              <w:tc>
                <w:tcPr>
                  <w:tcW w:w="458" w:type="pct"/>
                  <w:noWrap w:val="0"/>
                  <w:vAlign w:val="center"/>
                </w:tcPr>
                <w:p w14:paraId="2BB93012">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数量</w:t>
                  </w:r>
                </w:p>
              </w:tc>
              <w:tc>
                <w:tcPr>
                  <w:tcW w:w="687" w:type="pct"/>
                  <w:noWrap w:val="0"/>
                  <w:vAlign w:val="center"/>
                </w:tcPr>
                <w:p w14:paraId="64D8602C">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投资估算</w:t>
                  </w:r>
                </w:p>
                <w:p w14:paraId="2686E918">
                  <w:pPr>
                    <w:snapToGrid w:val="0"/>
                    <w:spacing w:line="240" w:lineRule="exact"/>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万元</w:t>
                  </w:r>
                  <w:r>
                    <w:rPr>
                      <w:rFonts w:hint="eastAsia" w:ascii="Times New Roman" w:hAnsi="Times New Roman" w:eastAsia="宋体"/>
                      <w:color w:val="auto"/>
                      <w:sz w:val="21"/>
                      <w:szCs w:val="21"/>
                      <w:highlight w:val="none"/>
                      <w:lang w:eastAsia="zh-CN"/>
                    </w:rPr>
                    <w:t>）</w:t>
                  </w:r>
                </w:p>
              </w:tc>
            </w:tr>
            <w:tr w14:paraId="33AEC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restart"/>
                  <w:noWrap w:val="0"/>
                  <w:vAlign w:val="center"/>
                </w:tcPr>
                <w:p w14:paraId="768AE330">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大气污染防治</w:t>
                  </w:r>
                </w:p>
              </w:tc>
              <w:tc>
                <w:tcPr>
                  <w:tcW w:w="793" w:type="pct"/>
                  <w:vMerge w:val="restart"/>
                  <w:noWrap w:val="0"/>
                  <w:vAlign w:val="center"/>
                </w:tcPr>
                <w:p w14:paraId="40B8DBF7">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储煤</w:t>
                  </w:r>
                  <w:r>
                    <w:rPr>
                      <w:rFonts w:hint="eastAsia" w:ascii="Times New Roman" w:hAnsi="Times New Roman" w:eastAsia="宋体"/>
                      <w:color w:val="auto"/>
                      <w:sz w:val="21"/>
                      <w:szCs w:val="21"/>
                      <w:highlight w:val="none"/>
                      <w:lang w:val="en-US" w:eastAsia="zh-CN"/>
                    </w:rPr>
                    <w:t>棚</w:t>
                  </w:r>
                </w:p>
              </w:tc>
              <w:tc>
                <w:tcPr>
                  <w:tcW w:w="512" w:type="pct"/>
                  <w:vMerge w:val="restart"/>
                  <w:noWrap w:val="0"/>
                  <w:vAlign w:val="center"/>
                </w:tcPr>
                <w:p w14:paraId="08779981">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2047" w:type="pct"/>
                  <w:tcBorders>
                    <w:bottom w:val="single" w:color="auto" w:sz="4" w:space="0"/>
                  </w:tcBorders>
                  <w:noWrap w:val="0"/>
                  <w:vAlign w:val="center"/>
                </w:tcPr>
                <w:p w14:paraId="68E39E63">
                  <w:pPr>
                    <w:snapToGrid w:val="0"/>
                    <w:spacing w:line="24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全封闭式洗精煤储煤棚</w:t>
                  </w:r>
                  <w:r>
                    <w:rPr>
                      <w:rFonts w:hint="eastAsia"/>
                      <w:color w:val="auto"/>
                      <w:highlight w:val="none"/>
                      <w:lang w:eastAsia="zh-CN"/>
                    </w:rPr>
                    <w:t>，棚顶留设4个百叶窗式通风口</w:t>
                  </w:r>
                  <w:r>
                    <w:rPr>
                      <w:rFonts w:hint="eastAsia"/>
                      <w:color w:val="FF0000"/>
                      <w:highlight w:val="none"/>
                      <w:lang w:eastAsia="zh-CN"/>
                    </w:rPr>
                    <w:t>，</w:t>
                  </w:r>
                  <w:r>
                    <w:rPr>
                      <w:rFonts w:hint="eastAsia"/>
                      <w:color w:val="FF0000"/>
                      <w:highlight w:val="none"/>
                      <w:lang w:val="en-US" w:eastAsia="zh-CN"/>
                    </w:rPr>
                    <w:t>进出口设置挡水围堰</w:t>
                  </w:r>
                  <w:r>
                    <w:rPr>
                      <w:rFonts w:hint="eastAsia"/>
                      <w:color w:val="FF0000"/>
                      <w:highlight w:val="none"/>
                      <w:lang w:eastAsia="zh-CN"/>
                    </w:rPr>
                    <w:t>；</w:t>
                  </w:r>
                </w:p>
              </w:tc>
              <w:tc>
                <w:tcPr>
                  <w:tcW w:w="458" w:type="pct"/>
                  <w:noWrap w:val="0"/>
                  <w:vAlign w:val="center"/>
                </w:tcPr>
                <w:p w14:paraId="130850A3">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1个</w:t>
                  </w:r>
                </w:p>
              </w:tc>
              <w:tc>
                <w:tcPr>
                  <w:tcW w:w="687" w:type="pct"/>
                  <w:noWrap w:val="0"/>
                  <w:vAlign w:val="center"/>
                </w:tcPr>
                <w:p w14:paraId="67EB289A">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计入主体工程</w:t>
                  </w:r>
                </w:p>
              </w:tc>
            </w:tr>
            <w:tr w14:paraId="452D11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continue"/>
                  <w:noWrap w:val="0"/>
                  <w:vAlign w:val="center"/>
                </w:tcPr>
                <w:p w14:paraId="6EEF775E">
                  <w:pPr>
                    <w:snapToGrid w:val="0"/>
                    <w:spacing w:line="240" w:lineRule="exact"/>
                    <w:jc w:val="center"/>
                    <w:rPr>
                      <w:rFonts w:ascii="Times New Roman" w:hAnsi="Times New Roman" w:eastAsia="宋体"/>
                      <w:color w:val="auto"/>
                      <w:sz w:val="21"/>
                      <w:szCs w:val="21"/>
                      <w:highlight w:val="none"/>
                    </w:rPr>
                  </w:pPr>
                </w:p>
              </w:tc>
              <w:tc>
                <w:tcPr>
                  <w:tcW w:w="793" w:type="pct"/>
                  <w:vMerge w:val="continue"/>
                  <w:noWrap w:val="0"/>
                  <w:vAlign w:val="center"/>
                </w:tcPr>
                <w:p w14:paraId="01E8C9BA">
                  <w:pPr>
                    <w:snapToGrid w:val="0"/>
                    <w:spacing w:line="240" w:lineRule="exact"/>
                    <w:jc w:val="center"/>
                    <w:rPr>
                      <w:rFonts w:ascii="Times New Roman" w:hAnsi="Times New Roman" w:eastAsia="宋体"/>
                      <w:color w:val="auto"/>
                      <w:sz w:val="21"/>
                      <w:szCs w:val="21"/>
                      <w:highlight w:val="none"/>
                    </w:rPr>
                  </w:pPr>
                </w:p>
              </w:tc>
              <w:tc>
                <w:tcPr>
                  <w:tcW w:w="512" w:type="pct"/>
                  <w:vMerge w:val="continue"/>
                  <w:noWrap w:val="0"/>
                  <w:vAlign w:val="center"/>
                </w:tcPr>
                <w:p w14:paraId="26E73F31">
                  <w:pPr>
                    <w:snapToGrid w:val="0"/>
                    <w:spacing w:line="240" w:lineRule="exact"/>
                    <w:jc w:val="center"/>
                    <w:rPr>
                      <w:rFonts w:hint="eastAsia" w:ascii="Times New Roman" w:hAnsi="Times New Roman" w:eastAsia="宋体"/>
                      <w:color w:val="auto"/>
                      <w:sz w:val="21"/>
                      <w:szCs w:val="21"/>
                      <w:highlight w:val="none"/>
                      <w:lang w:eastAsia="zh-CN"/>
                    </w:rPr>
                  </w:pPr>
                </w:p>
              </w:tc>
              <w:tc>
                <w:tcPr>
                  <w:tcW w:w="2047" w:type="pct"/>
                  <w:tcBorders>
                    <w:bottom w:val="single" w:color="auto" w:sz="4" w:space="0"/>
                  </w:tcBorders>
                  <w:noWrap w:val="0"/>
                  <w:vAlign w:val="center"/>
                </w:tcPr>
                <w:p w14:paraId="35F1FE62">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将现有原煤棚全封闭</w:t>
                  </w:r>
                  <w:r>
                    <w:rPr>
                      <w:rFonts w:hint="eastAsia"/>
                      <w:color w:val="auto"/>
                      <w:sz w:val="21"/>
                      <w:szCs w:val="21"/>
                      <w:highlight w:val="none"/>
                      <w:lang w:val="en-US" w:eastAsia="zh-CN"/>
                    </w:rPr>
                    <w:t>，</w:t>
                  </w:r>
                  <w:r>
                    <w:rPr>
                      <w:rFonts w:hint="eastAsia"/>
                      <w:color w:val="FF0000"/>
                      <w:highlight w:val="none"/>
                      <w:lang w:val="en-US" w:eastAsia="zh-CN"/>
                    </w:rPr>
                    <w:t>进出口设置挡水围堰</w:t>
                  </w:r>
                  <w:r>
                    <w:rPr>
                      <w:rFonts w:hint="eastAsia"/>
                      <w:color w:val="FF0000"/>
                      <w:highlight w:val="none"/>
                      <w:lang w:eastAsia="zh-CN"/>
                    </w:rPr>
                    <w:t>；</w:t>
                  </w:r>
                  <w:r>
                    <w:rPr>
                      <w:rFonts w:hint="eastAsia" w:ascii="Times New Roman" w:hAnsi="Times New Roman" w:eastAsia="宋体"/>
                      <w:color w:val="auto"/>
                      <w:sz w:val="21"/>
                      <w:szCs w:val="21"/>
                      <w:highlight w:val="none"/>
                      <w:lang w:val="en-US" w:eastAsia="zh-CN"/>
                    </w:rPr>
                    <w:t>（“以新带老”工程）</w:t>
                  </w:r>
                </w:p>
              </w:tc>
              <w:tc>
                <w:tcPr>
                  <w:tcW w:w="458" w:type="pct"/>
                  <w:noWrap w:val="0"/>
                  <w:vAlign w:val="center"/>
                </w:tcPr>
                <w:p w14:paraId="65D5C6C9">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1个</w:t>
                  </w:r>
                </w:p>
              </w:tc>
              <w:tc>
                <w:tcPr>
                  <w:tcW w:w="687" w:type="pct"/>
                  <w:noWrap w:val="0"/>
                  <w:vAlign w:val="center"/>
                </w:tcPr>
                <w:p w14:paraId="05F69113">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3C87B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continue"/>
                  <w:noWrap w:val="0"/>
                  <w:vAlign w:val="center"/>
                </w:tcPr>
                <w:p w14:paraId="69B73A0A">
                  <w:pPr>
                    <w:snapToGrid w:val="0"/>
                    <w:spacing w:line="240" w:lineRule="exact"/>
                    <w:jc w:val="center"/>
                    <w:rPr>
                      <w:rFonts w:ascii="Times New Roman" w:hAnsi="Times New Roman" w:eastAsia="宋体"/>
                      <w:color w:val="auto"/>
                      <w:sz w:val="21"/>
                      <w:szCs w:val="21"/>
                      <w:highlight w:val="none"/>
                    </w:rPr>
                  </w:pPr>
                </w:p>
              </w:tc>
              <w:tc>
                <w:tcPr>
                  <w:tcW w:w="793" w:type="pct"/>
                  <w:vMerge w:val="continue"/>
                  <w:noWrap w:val="0"/>
                  <w:vAlign w:val="center"/>
                </w:tcPr>
                <w:p w14:paraId="670A5820">
                  <w:pPr>
                    <w:snapToGrid w:val="0"/>
                    <w:spacing w:line="240" w:lineRule="exact"/>
                    <w:jc w:val="center"/>
                    <w:rPr>
                      <w:rFonts w:ascii="Times New Roman" w:hAnsi="Times New Roman" w:eastAsia="宋体"/>
                      <w:color w:val="auto"/>
                      <w:sz w:val="21"/>
                      <w:szCs w:val="21"/>
                      <w:highlight w:val="none"/>
                    </w:rPr>
                  </w:pPr>
                </w:p>
              </w:tc>
              <w:tc>
                <w:tcPr>
                  <w:tcW w:w="512" w:type="pct"/>
                  <w:vMerge w:val="continue"/>
                  <w:noWrap w:val="0"/>
                  <w:vAlign w:val="center"/>
                </w:tcPr>
                <w:p w14:paraId="296BD6CD">
                  <w:pPr>
                    <w:snapToGrid w:val="0"/>
                    <w:spacing w:line="240" w:lineRule="exact"/>
                    <w:jc w:val="center"/>
                    <w:rPr>
                      <w:rFonts w:hint="eastAsia" w:ascii="Times New Roman" w:hAnsi="Times New Roman" w:eastAsia="宋体"/>
                      <w:color w:val="auto"/>
                      <w:sz w:val="21"/>
                      <w:szCs w:val="21"/>
                      <w:highlight w:val="none"/>
                      <w:lang w:eastAsia="zh-CN"/>
                    </w:rPr>
                  </w:pPr>
                </w:p>
              </w:tc>
              <w:tc>
                <w:tcPr>
                  <w:tcW w:w="2047" w:type="pct"/>
                  <w:tcBorders>
                    <w:bottom w:val="single" w:color="auto" w:sz="4" w:space="0"/>
                  </w:tcBorders>
                  <w:noWrap w:val="0"/>
                  <w:vAlign w:val="center"/>
                </w:tcPr>
                <w:p w14:paraId="1CFBCFE4">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将现有矸石棚和煤泥棚全封闭</w:t>
                  </w:r>
                  <w:r>
                    <w:rPr>
                      <w:rFonts w:hint="eastAsia"/>
                      <w:color w:val="FF0000"/>
                      <w:highlight w:val="none"/>
                      <w:lang w:eastAsia="zh-CN"/>
                    </w:rPr>
                    <w:t>；</w:t>
                  </w:r>
                  <w:r>
                    <w:rPr>
                      <w:rFonts w:hint="eastAsia" w:ascii="Times New Roman" w:hAnsi="Times New Roman" w:eastAsia="宋体"/>
                      <w:color w:val="auto"/>
                      <w:sz w:val="21"/>
                      <w:szCs w:val="21"/>
                      <w:highlight w:val="none"/>
                      <w:lang w:val="en-US" w:eastAsia="zh-CN"/>
                    </w:rPr>
                    <w:t>（“以新带老”工程）</w:t>
                  </w:r>
                </w:p>
              </w:tc>
              <w:tc>
                <w:tcPr>
                  <w:tcW w:w="458" w:type="pct"/>
                  <w:noWrap w:val="0"/>
                  <w:vAlign w:val="center"/>
                </w:tcPr>
                <w:p w14:paraId="7CAC3BAA">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2个</w:t>
                  </w:r>
                </w:p>
              </w:tc>
              <w:tc>
                <w:tcPr>
                  <w:tcW w:w="687" w:type="pct"/>
                  <w:noWrap w:val="0"/>
                  <w:vAlign w:val="center"/>
                </w:tcPr>
                <w:p w14:paraId="167268DF">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r>
            <w:tr w14:paraId="4832A4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continue"/>
                  <w:noWrap w:val="0"/>
                  <w:vAlign w:val="center"/>
                </w:tcPr>
                <w:p w14:paraId="74E720FD">
                  <w:pPr>
                    <w:snapToGrid w:val="0"/>
                    <w:spacing w:line="240" w:lineRule="exact"/>
                    <w:jc w:val="center"/>
                    <w:rPr>
                      <w:rFonts w:ascii="Times New Roman" w:hAnsi="Times New Roman" w:eastAsia="宋体"/>
                      <w:color w:val="auto"/>
                      <w:sz w:val="21"/>
                      <w:szCs w:val="21"/>
                      <w:highlight w:val="none"/>
                    </w:rPr>
                  </w:pPr>
                </w:p>
              </w:tc>
              <w:tc>
                <w:tcPr>
                  <w:tcW w:w="793" w:type="pct"/>
                  <w:vMerge w:val="continue"/>
                  <w:noWrap w:val="0"/>
                  <w:vAlign w:val="center"/>
                </w:tcPr>
                <w:p w14:paraId="407A59DF">
                  <w:pPr>
                    <w:snapToGrid w:val="0"/>
                    <w:spacing w:line="240" w:lineRule="exact"/>
                    <w:jc w:val="center"/>
                    <w:rPr>
                      <w:rFonts w:ascii="Times New Roman" w:hAnsi="Times New Roman" w:eastAsia="宋体"/>
                      <w:color w:val="auto"/>
                      <w:sz w:val="21"/>
                      <w:szCs w:val="21"/>
                      <w:highlight w:val="none"/>
                    </w:rPr>
                  </w:pPr>
                </w:p>
              </w:tc>
              <w:tc>
                <w:tcPr>
                  <w:tcW w:w="512" w:type="pct"/>
                  <w:vMerge w:val="continue"/>
                  <w:noWrap w:val="0"/>
                  <w:vAlign w:val="center"/>
                </w:tcPr>
                <w:p w14:paraId="484A182D">
                  <w:pPr>
                    <w:snapToGrid w:val="0"/>
                    <w:spacing w:line="240" w:lineRule="exact"/>
                    <w:jc w:val="center"/>
                    <w:rPr>
                      <w:rFonts w:hint="eastAsia" w:ascii="Times New Roman" w:hAnsi="Times New Roman" w:eastAsia="宋体"/>
                      <w:color w:val="auto"/>
                      <w:sz w:val="21"/>
                      <w:szCs w:val="21"/>
                      <w:highlight w:val="none"/>
                      <w:lang w:eastAsia="zh-CN"/>
                    </w:rPr>
                  </w:pPr>
                </w:p>
              </w:tc>
              <w:tc>
                <w:tcPr>
                  <w:tcW w:w="2047" w:type="pct"/>
                  <w:tcBorders>
                    <w:bottom w:val="single" w:color="auto" w:sz="4" w:space="0"/>
                  </w:tcBorders>
                  <w:noWrap w:val="0"/>
                  <w:vAlign w:val="center"/>
                </w:tcPr>
                <w:p w14:paraId="7D7E71B8">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运输转载点全密闭并设置喷淋洒水装置</w:t>
                  </w:r>
                </w:p>
              </w:tc>
              <w:tc>
                <w:tcPr>
                  <w:tcW w:w="458" w:type="pct"/>
                  <w:noWrap w:val="0"/>
                  <w:vAlign w:val="center"/>
                </w:tcPr>
                <w:p w14:paraId="3D594A6B">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若干</w:t>
                  </w:r>
                </w:p>
              </w:tc>
              <w:tc>
                <w:tcPr>
                  <w:tcW w:w="687" w:type="pct"/>
                  <w:noWrap w:val="0"/>
                  <w:vAlign w:val="center"/>
                </w:tcPr>
                <w:p w14:paraId="55C5082A">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1AA609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continue"/>
                  <w:noWrap w:val="0"/>
                  <w:vAlign w:val="center"/>
                </w:tcPr>
                <w:p w14:paraId="267B30DF">
                  <w:pPr>
                    <w:snapToGrid w:val="0"/>
                    <w:spacing w:line="240" w:lineRule="exact"/>
                    <w:jc w:val="center"/>
                    <w:rPr>
                      <w:rFonts w:ascii="Times New Roman" w:hAnsi="Times New Roman" w:eastAsia="宋体"/>
                      <w:color w:val="auto"/>
                      <w:sz w:val="21"/>
                      <w:szCs w:val="21"/>
                      <w:highlight w:val="none"/>
                    </w:rPr>
                  </w:pPr>
                </w:p>
              </w:tc>
              <w:tc>
                <w:tcPr>
                  <w:tcW w:w="793" w:type="pct"/>
                  <w:vMerge w:val="continue"/>
                  <w:noWrap w:val="0"/>
                  <w:vAlign w:val="center"/>
                </w:tcPr>
                <w:p w14:paraId="4D239C9A">
                  <w:pPr>
                    <w:snapToGrid w:val="0"/>
                    <w:spacing w:line="240" w:lineRule="exact"/>
                    <w:jc w:val="center"/>
                    <w:rPr>
                      <w:rFonts w:ascii="Times New Roman" w:hAnsi="Times New Roman" w:eastAsia="宋体"/>
                      <w:color w:val="auto"/>
                      <w:sz w:val="21"/>
                      <w:szCs w:val="21"/>
                      <w:highlight w:val="none"/>
                    </w:rPr>
                  </w:pPr>
                </w:p>
              </w:tc>
              <w:tc>
                <w:tcPr>
                  <w:tcW w:w="512" w:type="pct"/>
                  <w:vMerge w:val="continue"/>
                  <w:noWrap w:val="0"/>
                  <w:vAlign w:val="center"/>
                </w:tcPr>
                <w:p w14:paraId="0FB540FE">
                  <w:pPr>
                    <w:snapToGrid w:val="0"/>
                    <w:spacing w:line="240" w:lineRule="exact"/>
                    <w:jc w:val="center"/>
                    <w:rPr>
                      <w:rFonts w:hint="eastAsia" w:ascii="Times New Roman" w:hAnsi="Times New Roman" w:eastAsia="宋体"/>
                      <w:color w:val="auto"/>
                      <w:sz w:val="21"/>
                      <w:szCs w:val="21"/>
                      <w:highlight w:val="none"/>
                      <w:lang w:eastAsia="zh-CN"/>
                    </w:rPr>
                  </w:pPr>
                </w:p>
              </w:tc>
              <w:tc>
                <w:tcPr>
                  <w:tcW w:w="2047" w:type="pct"/>
                  <w:tcBorders>
                    <w:bottom w:val="single" w:color="auto" w:sz="4" w:space="0"/>
                  </w:tcBorders>
                  <w:noWrap w:val="0"/>
                  <w:vAlign w:val="center"/>
                </w:tcPr>
                <w:p w14:paraId="34503675">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原煤棚增设固定式喷雾抑尘装置</w:t>
                  </w:r>
                </w:p>
              </w:tc>
              <w:tc>
                <w:tcPr>
                  <w:tcW w:w="458" w:type="pct"/>
                  <w:noWrap w:val="0"/>
                  <w:vAlign w:val="center"/>
                </w:tcPr>
                <w:p w14:paraId="1189F080">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2台</w:t>
                  </w:r>
                </w:p>
              </w:tc>
              <w:tc>
                <w:tcPr>
                  <w:tcW w:w="687" w:type="pct"/>
                  <w:noWrap w:val="0"/>
                  <w:vAlign w:val="center"/>
                </w:tcPr>
                <w:p w14:paraId="42B85270">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w:t>
                  </w:r>
                </w:p>
              </w:tc>
            </w:tr>
            <w:tr w14:paraId="4A17F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500" w:type="pct"/>
                  <w:vMerge w:val="continue"/>
                  <w:noWrap w:val="0"/>
                  <w:vAlign w:val="center"/>
                </w:tcPr>
                <w:p w14:paraId="4B9CE95C">
                  <w:pPr>
                    <w:snapToGrid w:val="0"/>
                    <w:spacing w:line="240" w:lineRule="exact"/>
                    <w:jc w:val="center"/>
                    <w:rPr>
                      <w:rFonts w:ascii="Times New Roman" w:hAnsi="Times New Roman" w:eastAsia="宋体"/>
                      <w:color w:val="auto"/>
                      <w:sz w:val="21"/>
                      <w:szCs w:val="21"/>
                      <w:highlight w:val="none"/>
                    </w:rPr>
                  </w:pPr>
                </w:p>
              </w:tc>
              <w:tc>
                <w:tcPr>
                  <w:tcW w:w="793" w:type="pct"/>
                  <w:vMerge w:val="restart"/>
                  <w:noWrap w:val="0"/>
                  <w:vAlign w:val="center"/>
                </w:tcPr>
                <w:p w14:paraId="7CB6B9DB">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道路扬尘</w:t>
                  </w:r>
                </w:p>
              </w:tc>
              <w:tc>
                <w:tcPr>
                  <w:tcW w:w="512" w:type="pct"/>
                  <w:vMerge w:val="restart"/>
                  <w:noWrap w:val="0"/>
                  <w:vAlign w:val="center"/>
                </w:tcPr>
                <w:p w14:paraId="44EF6859">
                  <w:pPr>
                    <w:snapToGrid w:val="0"/>
                    <w:spacing w:line="240" w:lineRule="exact"/>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颗粒物</w:t>
                  </w:r>
                </w:p>
              </w:tc>
              <w:tc>
                <w:tcPr>
                  <w:tcW w:w="2047" w:type="pct"/>
                  <w:noWrap w:val="0"/>
                  <w:vAlign w:val="center"/>
                </w:tcPr>
                <w:p w14:paraId="1B952BD0">
                  <w:pPr>
                    <w:snapToGrid w:val="0"/>
                    <w:spacing w:line="240" w:lineRule="exact"/>
                    <w:jc w:val="center"/>
                    <w:rPr>
                      <w:rFonts w:ascii="Times New Roman" w:hAnsi="Times New Roman" w:eastAsia="宋体"/>
                      <w:color w:val="auto"/>
                      <w:sz w:val="21"/>
                      <w:szCs w:val="21"/>
                      <w:highlight w:val="none"/>
                    </w:rPr>
                  </w:pPr>
                  <w:r>
                    <w:rPr>
                      <w:rStyle w:val="33"/>
                      <w:rFonts w:hint="default" w:ascii="Times New Roman" w:hAnsi="Times New Roman" w:eastAsia="宋体" w:cs="Times New Roman"/>
                      <w:b w:val="0"/>
                      <w:color w:val="auto"/>
                      <w:sz w:val="21"/>
                      <w:szCs w:val="21"/>
                      <w:highlight w:val="none"/>
                    </w:rPr>
                    <w:t>进出厂道路硬化、运输车辆采用密闭方式运输</w:t>
                  </w:r>
                </w:p>
              </w:tc>
              <w:tc>
                <w:tcPr>
                  <w:tcW w:w="458" w:type="pct"/>
                  <w:noWrap w:val="0"/>
                  <w:vAlign w:val="center"/>
                </w:tcPr>
                <w:p w14:paraId="5396EDC4">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687" w:type="pct"/>
                  <w:noWrap w:val="0"/>
                  <w:vAlign w:val="center"/>
                </w:tcPr>
                <w:p w14:paraId="29AF30F4">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计入主体</w:t>
                  </w:r>
                </w:p>
              </w:tc>
            </w:tr>
            <w:tr w14:paraId="5C3386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vMerge w:val="continue"/>
                  <w:noWrap w:val="0"/>
                  <w:vAlign w:val="center"/>
                </w:tcPr>
                <w:p w14:paraId="1B2DF6C6">
                  <w:pPr>
                    <w:snapToGrid w:val="0"/>
                    <w:spacing w:line="240" w:lineRule="exact"/>
                    <w:jc w:val="center"/>
                    <w:rPr>
                      <w:rFonts w:ascii="Times New Roman" w:hAnsi="Times New Roman" w:eastAsia="宋体"/>
                      <w:color w:val="auto"/>
                      <w:sz w:val="21"/>
                      <w:szCs w:val="21"/>
                      <w:highlight w:val="none"/>
                    </w:rPr>
                  </w:pPr>
                </w:p>
              </w:tc>
              <w:tc>
                <w:tcPr>
                  <w:tcW w:w="793" w:type="pct"/>
                  <w:vMerge w:val="continue"/>
                  <w:noWrap w:val="0"/>
                  <w:vAlign w:val="center"/>
                </w:tcPr>
                <w:p w14:paraId="58C220A1">
                  <w:pPr>
                    <w:snapToGrid w:val="0"/>
                    <w:spacing w:line="240" w:lineRule="exact"/>
                    <w:jc w:val="center"/>
                    <w:rPr>
                      <w:rFonts w:ascii="Times New Roman" w:hAnsi="Times New Roman" w:eastAsia="宋体"/>
                      <w:color w:val="auto"/>
                      <w:sz w:val="21"/>
                      <w:szCs w:val="21"/>
                      <w:highlight w:val="none"/>
                    </w:rPr>
                  </w:pPr>
                </w:p>
              </w:tc>
              <w:tc>
                <w:tcPr>
                  <w:tcW w:w="512" w:type="pct"/>
                  <w:vMerge w:val="continue"/>
                  <w:noWrap w:val="0"/>
                  <w:vAlign w:val="center"/>
                </w:tcPr>
                <w:p w14:paraId="0572BD70">
                  <w:pPr>
                    <w:snapToGrid w:val="0"/>
                    <w:spacing w:line="240" w:lineRule="exact"/>
                    <w:jc w:val="center"/>
                    <w:rPr>
                      <w:rFonts w:hint="eastAsia" w:ascii="Times New Roman" w:hAnsi="Times New Roman" w:eastAsia="宋体"/>
                      <w:color w:val="auto"/>
                      <w:sz w:val="21"/>
                      <w:szCs w:val="21"/>
                      <w:highlight w:val="none"/>
                      <w:lang w:val="en-US" w:eastAsia="zh-CN"/>
                    </w:rPr>
                  </w:pPr>
                </w:p>
              </w:tc>
              <w:tc>
                <w:tcPr>
                  <w:tcW w:w="2047" w:type="pct"/>
                  <w:noWrap w:val="0"/>
                  <w:vAlign w:val="center"/>
                </w:tcPr>
                <w:p w14:paraId="17B22F11">
                  <w:pPr>
                    <w:snapToGrid w:val="0"/>
                    <w:spacing w:line="240" w:lineRule="exact"/>
                    <w:jc w:val="center"/>
                    <w:rPr>
                      <w:rStyle w:val="33"/>
                      <w:rFonts w:hint="default" w:ascii="Times New Roman" w:hAnsi="Times New Roman" w:eastAsia="宋体" w:cs="Times New Roman"/>
                      <w:b w:val="0"/>
                      <w:color w:val="auto"/>
                      <w:sz w:val="21"/>
                      <w:szCs w:val="21"/>
                      <w:highlight w:val="none"/>
                    </w:rPr>
                  </w:pPr>
                  <w:r>
                    <w:rPr>
                      <w:rFonts w:hint="eastAsia"/>
                      <w:color w:val="FF0000"/>
                      <w:sz w:val="21"/>
                      <w:szCs w:val="21"/>
                      <w:lang w:val="en-US" w:eastAsia="zh-CN"/>
                    </w:rPr>
                    <w:t>安装环保门禁及视频监控系统</w:t>
                  </w:r>
                </w:p>
              </w:tc>
              <w:tc>
                <w:tcPr>
                  <w:tcW w:w="458" w:type="pct"/>
                  <w:noWrap w:val="0"/>
                  <w:vAlign w:val="center"/>
                </w:tcPr>
                <w:p w14:paraId="32522690">
                  <w:pPr>
                    <w:snapToGrid w:val="0"/>
                    <w:spacing w:line="240" w:lineRule="exact"/>
                    <w:jc w:val="center"/>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1套</w:t>
                  </w:r>
                </w:p>
              </w:tc>
              <w:tc>
                <w:tcPr>
                  <w:tcW w:w="687" w:type="pct"/>
                  <w:noWrap w:val="0"/>
                  <w:vAlign w:val="center"/>
                </w:tcPr>
                <w:p w14:paraId="2B276106">
                  <w:pPr>
                    <w:snapToGrid w:val="0"/>
                    <w:spacing w:line="240" w:lineRule="exact"/>
                    <w:jc w:val="center"/>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10</w:t>
                  </w:r>
                </w:p>
              </w:tc>
            </w:tr>
            <w:tr w14:paraId="76CA7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25" w:hRule="atLeast"/>
              </w:trPr>
              <w:tc>
                <w:tcPr>
                  <w:tcW w:w="500" w:type="pct"/>
                  <w:vMerge w:val="restart"/>
                  <w:noWrap w:val="0"/>
                  <w:vAlign w:val="center"/>
                </w:tcPr>
                <w:p w14:paraId="75C1E396">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水污染防治</w:t>
                  </w:r>
                </w:p>
              </w:tc>
              <w:tc>
                <w:tcPr>
                  <w:tcW w:w="793" w:type="pct"/>
                  <w:noWrap w:val="0"/>
                  <w:vAlign w:val="center"/>
                </w:tcPr>
                <w:p w14:paraId="7EE2B0D7">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防渗</w:t>
                  </w:r>
                </w:p>
              </w:tc>
              <w:tc>
                <w:tcPr>
                  <w:tcW w:w="512" w:type="pct"/>
                  <w:noWrap w:val="0"/>
                  <w:vAlign w:val="center"/>
                </w:tcPr>
                <w:p w14:paraId="08EA9435">
                  <w:pPr>
                    <w:snapToGrid w:val="0"/>
                    <w:spacing w:line="24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2047" w:type="pct"/>
                  <w:noWrap w:val="0"/>
                  <w:vAlign w:val="center"/>
                </w:tcPr>
                <w:p w14:paraId="74FEC262">
                  <w:pPr>
                    <w:snapToGrid w:val="0"/>
                    <w:spacing w:line="240" w:lineRule="exact"/>
                    <w:jc w:val="center"/>
                    <w:rPr>
                      <w:rFonts w:hint="eastAsia" w:ascii="Times New Roman" w:hAnsi="Times New Roman" w:eastAsia="宋体"/>
                      <w:color w:val="auto"/>
                      <w:sz w:val="21"/>
                      <w:szCs w:val="21"/>
                      <w:highlight w:val="none"/>
                    </w:rPr>
                  </w:pPr>
                  <w:r>
                    <w:rPr>
                      <w:rFonts w:hint="eastAsia" w:ascii="Times New Roman" w:hAnsi="Times New Roman" w:eastAsia="宋体"/>
                      <w:color w:val="FF0000"/>
                      <w:sz w:val="21"/>
                      <w:szCs w:val="21"/>
                      <w:highlight w:val="none"/>
                    </w:rPr>
                    <w:t>储煤棚</w:t>
                  </w:r>
                  <w:r>
                    <w:rPr>
                      <w:rFonts w:hint="eastAsia"/>
                      <w:color w:val="FF0000"/>
                      <w:sz w:val="21"/>
                      <w:szCs w:val="21"/>
                      <w:highlight w:val="none"/>
                      <w:lang w:eastAsia="zh-CN"/>
                    </w:rPr>
                    <w:t>、</w:t>
                  </w:r>
                  <w:r>
                    <w:rPr>
                      <w:rFonts w:hint="eastAsia"/>
                      <w:color w:val="FF0000"/>
                      <w:sz w:val="21"/>
                      <w:szCs w:val="21"/>
                      <w:highlight w:val="none"/>
                      <w:lang w:val="en-US" w:eastAsia="zh-CN"/>
                    </w:rPr>
                    <w:t>初期雨水收集池、事故池</w:t>
                  </w:r>
                  <w:r>
                    <w:rPr>
                      <w:rFonts w:hint="eastAsia" w:ascii="Times New Roman" w:hAnsi="Times New Roman" w:eastAsia="宋体"/>
                      <w:color w:val="auto"/>
                      <w:sz w:val="21"/>
                      <w:szCs w:val="21"/>
                      <w:highlight w:val="none"/>
                    </w:rPr>
                    <w:t>采取一般防渗措施，防渗层的厚度应相当于渗透系数为1.0×10</w:t>
                  </w:r>
                  <w:r>
                    <w:rPr>
                      <w:rFonts w:hint="eastAsia" w:ascii="Times New Roman" w:hAnsi="Times New Roman" w:eastAsia="宋体"/>
                      <w:color w:val="auto"/>
                      <w:sz w:val="21"/>
                      <w:szCs w:val="21"/>
                      <w:highlight w:val="none"/>
                      <w:vertAlign w:val="superscript"/>
                    </w:rPr>
                    <w:t>-7</w:t>
                  </w:r>
                  <w:r>
                    <w:rPr>
                      <w:rFonts w:hint="eastAsia" w:ascii="Times New Roman" w:hAnsi="Times New Roman" w:eastAsia="宋体"/>
                      <w:color w:val="auto"/>
                      <w:sz w:val="21"/>
                      <w:szCs w:val="21"/>
                      <w:highlight w:val="none"/>
                    </w:rPr>
                    <w:t>cm/s、厚度1.5m的粘土层的防渗性能或参照 GB18598 执行；</w:t>
                  </w:r>
                </w:p>
              </w:tc>
              <w:tc>
                <w:tcPr>
                  <w:tcW w:w="458" w:type="pct"/>
                  <w:noWrap w:val="0"/>
                  <w:vAlign w:val="center"/>
                </w:tcPr>
                <w:p w14:paraId="67C09FC3">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687" w:type="pct"/>
                  <w:noWrap w:val="0"/>
                  <w:vAlign w:val="center"/>
                </w:tcPr>
                <w:p w14:paraId="683CD88F">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80</w:t>
                  </w:r>
                </w:p>
              </w:tc>
            </w:tr>
            <w:tr w14:paraId="1441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8" w:hRule="atLeast"/>
              </w:trPr>
              <w:tc>
                <w:tcPr>
                  <w:tcW w:w="500" w:type="pct"/>
                  <w:vMerge w:val="continue"/>
                  <w:noWrap w:val="0"/>
                  <w:vAlign w:val="center"/>
                </w:tcPr>
                <w:p w14:paraId="7927F29D">
                  <w:pPr>
                    <w:snapToGrid w:val="0"/>
                    <w:spacing w:line="240" w:lineRule="exact"/>
                    <w:jc w:val="center"/>
                    <w:rPr>
                      <w:rFonts w:ascii="Times New Roman" w:hAnsi="Times New Roman" w:eastAsia="宋体"/>
                      <w:color w:val="auto"/>
                      <w:sz w:val="21"/>
                      <w:szCs w:val="21"/>
                      <w:highlight w:val="none"/>
                    </w:rPr>
                  </w:pPr>
                </w:p>
              </w:tc>
              <w:tc>
                <w:tcPr>
                  <w:tcW w:w="793" w:type="pct"/>
                  <w:noWrap w:val="0"/>
                  <w:vAlign w:val="center"/>
                </w:tcPr>
                <w:p w14:paraId="6E679192">
                  <w:pPr>
                    <w:snapToGrid w:val="0"/>
                    <w:spacing w:line="240" w:lineRule="exact"/>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512" w:type="pct"/>
                  <w:noWrap w:val="0"/>
                  <w:vAlign w:val="center"/>
                </w:tcPr>
                <w:p w14:paraId="2872B668">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2047" w:type="pct"/>
                  <w:noWrap w:val="0"/>
                  <w:vAlign w:val="center"/>
                </w:tcPr>
                <w:p w14:paraId="181B7606">
                  <w:pPr>
                    <w:snapToGrid w:val="0"/>
                    <w:spacing w:line="240" w:lineRule="exact"/>
                    <w:jc w:val="center"/>
                    <w:rPr>
                      <w:rFonts w:hint="default" w:ascii="Times New Roman" w:hAnsi="Times New Roman" w:eastAsia="宋体"/>
                      <w:color w:val="112ADE"/>
                      <w:sz w:val="21"/>
                      <w:szCs w:val="21"/>
                      <w:highlight w:val="none"/>
                      <w:lang w:val="en-US" w:eastAsia="zh-CN"/>
                    </w:rPr>
                  </w:pPr>
                  <w:r>
                    <w:rPr>
                      <w:rFonts w:hint="default" w:ascii="Times New Roman" w:hAnsi="Times New Roman" w:cs="Times New Roman"/>
                      <w:color w:val="112ADE"/>
                      <w:kern w:val="0"/>
                      <w:sz w:val="21"/>
                      <w:szCs w:val="21"/>
                      <w:highlight w:val="none"/>
                      <w:lang w:val="en-US" w:eastAsia="zh-CN"/>
                    </w:rPr>
                    <w:t>新建容积不小于</w:t>
                  </w:r>
                  <w:r>
                    <w:rPr>
                      <w:rFonts w:hint="eastAsia" w:cs="Times New Roman"/>
                      <w:color w:val="7030A0"/>
                      <w:sz w:val="21"/>
                      <w:szCs w:val="21"/>
                      <w:highlight w:val="none"/>
                      <w:lang w:val="en-US" w:eastAsia="zh-CN"/>
                    </w:rPr>
                    <w:t>654m</w:t>
                  </w:r>
                  <w:r>
                    <w:rPr>
                      <w:rFonts w:hint="eastAsia" w:cs="Times New Roman"/>
                      <w:color w:val="7030A0"/>
                      <w:sz w:val="24"/>
                      <w:szCs w:val="24"/>
                      <w:highlight w:val="none"/>
                      <w:vertAlign w:val="superscript"/>
                      <w:lang w:val="en-US" w:eastAsia="zh-CN"/>
                    </w:rPr>
                    <w:t>3</w:t>
                  </w:r>
                  <w:r>
                    <w:rPr>
                      <w:rFonts w:hint="default" w:ascii="Times New Roman" w:hAnsi="Times New Roman" w:cs="Times New Roman"/>
                      <w:color w:val="112ADE"/>
                      <w:kern w:val="0"/>
                      <w:sz w:val="21"/>
                      <w:szCs w:val="21"/>
                      <w:highlight w:val="none"/>
                      <w:lang w:val="en-US" w:eastAsia="zh-CN"/>
                    </w:rPr>
                    <w:t>的初期雨水池</w:t>
                  </w:r>
                  <w:r>
                    <w:rPr>
                      <w:rFonts w:hint="eastAsia" w:cs="Times New Roman"/>
                      <w:color w:val="112ADE"/>
                      <w:kern w:val="0"/>
                      <w:sz w:val="21"/>
                      <w:szCs w:val="21"/>
                      <w:highlight w:val="none"/>
                      <w:lang w:val="en-US" w:eastAsia="zh-CN"/>
                    </w:rPr>
                    <w:t>（</w:t>
                  </w:r>
                  <w:r>
                    <w:rPr>
                      <w:rFonts w:hint="eastAsia" w:ascii="Times New Roman" w:hAnsi="Times New Roman" w:eastAsia="宋体"/>
                      <w:color w:val="112ADE"/>
                      <w:sz w:val="21"/>
                      <w:szCs w:val="21"/>
                      <w:highlight w:val="none"/>
                      <w:lang w:val="en-US" w:eastAsia="zh-CN"/>
                    </w:rPr>
                    <w:t>“以新带老”工程</w:t>
                  </w:r>
                  <w:r>
                    <w:rPr>
                      <w:rFonts w:hint="eastAsia" w:cs="Times New Roman"/>
                      <w:color w:val="112ADE"/>
                      <w:kern w:val="0"/>
                      <w:sz w:val="21"/>
                      <w:szCs w:val="21"/>
                      <w:highlight w:val="none"/>
                      <w:lang w:val="en-US" w:eastAsia="zh-CN"/>
                    </w:rPr>
                    <w:t>）</w:t>
                  </w:r>
                </w:p>
              </w:tc>
              <w:tc>
                <w:tcPr>
                  <w:tcW w:w="458" w:type="pct"/>
                  <w:noWrap w:val="0"/>
                  <w:vAlign w:val="center"/>
                </w:tcPr>
                <w:p w14:paraId="41D0A9AC">
                  <w:pPr>
                    <w:snapToGrid w:val="0"/>
                    <w:spacing w:line="240" w:lineRule="exact"/>
                    <w:jc w:val="center"/>
                    <w:rPr>
                      <w:rFonts w:hint="default" w:ascii="Times New Roman" w:hAnsi="Times New Roman" w:eastAsia="宋体"/>
                      <w:color w:val="112ADE"/>
                      <w:sz w:val="21"/>
                      <w:szCs w:val="21"/>
                      <w:highlight w:val="none"/>
                      <w:lang w:val="en-US" w:eastAsia="zh-CN"/>
                    </w:rPr>
                  </w:pPr>
                  <w:r>
                    <w:rPr>
                      <w:rFonts w:hint="eastAsia"/>
                      <w:color w:val="112ADE"/>
                      <w:sz w:val="21"/>
                      <w:szCs w:val="21"/>
                      <w:highlight w:val="none"/>
                      <w:lang w:val="en-US" w:eastAsia="zh-CN"/>
                    </w:rPr>
                    <w:t>1个</w:t>
                  </w:r>
                </w:p>
              </w:tc>
              <w:tc>
                <w:tcPr>
                  <w:tcW w:w="687" w:type="pct"/>
                  <w:noWrap w:val="0"/>
                  <w:vAlign w:val="center"/>
                </w:tcPr>
                <w:p w14:paraId="77B0916C">
                  <w:pPr>
                    <w:snapToGrid w:val="0"/>
                    <w:spacing w:line="240" w:lineRule="exact"/>
                    <w:jc w:val="center"/>
                    <w:rPr>
                      <w:rFonts w:hint="default" w:ascii="Times New Roman" w:hAnsi="Times New Roman" w:eastAsia="宋体"/>
                      <w:color w:val="112ADE"/>
                      <w:sz w:val="21"/>
                      <w:szCs w:val="21"/>
                      <w:highlight w:val="none"/>
                      <w:lang w:val="en-US" w:eastAsia="zh-CN"/>
                    </w:rPr>
                  </w:pPr>
                  <w:r>
                    <w:rPr>
                      <w:rFonts w:hint="eastAsia"/>
                      <w:color w:val="112ADE"/>
                      <w:sz w:val="21"/>
                      <w:szCs w:val="21"/>
                      <w:highlight w:val="none"/>
                      <w:lang w:val="en-US" w:eastAsia="zh-CN"/>
                    </w:rPr>
                    <w:t>11</w:t>
                  </w:r>
                </w:p>
              </w:tc>
            </w:tr>
            <w:tr w14:paraId="7B17A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8" w:hRule="atLeast"/>
              </w:trPr>
              <w:tc>
                <w:tcPr>
                  <w:tcW w:w="500" w:type="pct"/>
                  <w:vMerge w:val="continue"/>
                  <w:noWrap w:val="0"/>
                  <w:vAlign w:val="center"/>
                </w:tcPr>
                <w:p w14:paraId="1B54F4C9">
                  <w:pPr>
                    <w:snapToGrid w:val="0"/>
                    <w:spacing w:line="240" w:lineRule="exact"/>
                    <w:jc w:val="center"/>
                    <w:rPr>
                      <w:rFonts w:ascii="Times New Roman" w:hAnsi="Times New Roman" w:eastAsia="宋体"/>
                      <w:color w:val="auto"/>
                      <w:sz w:val="21"/>
                      <w:szCs w:val="21"/>
                      <w:highlight w:val="none"/>
                    </w:rPr>
                  </w:pPr>
                </w:p>
              </w:tc>
              <w:tc>
                <w:tcPr>
                  <w:tcW w:w="793" w:type="pct"/>
                  <w:noWrap w:val="0"/>
                  <w:vAlign w:val="center"/>
                </w:tcPr>
                <w:p w14:paraId="3178EEA7">
                  <w:pPr>
                    <w:snapToGrid w:val="0"/>
                    <w:spacing w:line="24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512" w:type="pct"/>
                  <w:noWrap w:val="0"/>
                  <w:vAlign w:val="center"/>
                </w:tcPr>
                <w:p w14:paraId="266A922C">
                  <w:pPr>
                    <w:snapToGrid w:val="0"/>
                    <w:spacing w:line="24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2047" w:type="pct"/>
                  <w:noWrap w:val="0"/>
                  <w:vAlign w:val="center"/>
                </w:tcPr>
                <w:p w14:paraId="3CBD5786">
                  <w:pPr>
                    <w:snapToGrid w:val="0"/>
                    <w:spacing w:line="240" w:lineRule="exact"/>
                    <w:jc w:val="center"/>
                    <w:rPr>
                      <w:rFonts w:hint="default" w:ascii="Times New Roman" w:hAnsi="Times New Roman" w:cs="Times New Roman"/>
                      <w:color w:val="112ADE"/>
                      <w:kern w:val="0"/>
                      <w:sz w:val="21"/>
                      <w:szCs w:val="21"/>
                      <w:highlight w:val="none"/>
                      <w:lang w:val="en-US" w:eastAsia="zh-CN"/>
                    </w:rPr>
                  </w:pPr>
                  <w:r>
                    <w:rPr>
                      <w:rFonts w:hint="default" w:ascii="Times New Roman" w:hAnsi="Times New Roman" w:eastAsia="宋体" w:cs="Times New Roman"/>
                      <w:color w:val="112ADE"/>
                      <w:kern w:val="0"/>
                      <w:sz w:val="21"/>
                      <w:szCs w:val="21"/>
                      <w:highlight w:val="none"/>
                      <w:lang w:val="en-US" w:eastAsia="zh-CN"/>
                    </w:rPr>
                    <w:t>新建</w:t>
                  </w:r>
                  <w:r>
                    <w:rPr>
                      <w:rFonts w:hint="eastAsia" w:cs="Times New Roman"/>
                      <w:color w:val="7030A0"/>
                      <w:kern w:val="0"/>
                      <w:sz w:val="21"/>
                      <w:szCs w:val="21"/>
                      <w:highlight w:val="none"/>
                      <w:lang w:val="en-US" w:eastAsia="zh-CN"/>
                    </w:rPr>
                    <w:t>1200</w:t>
                  </w:r>
                  <w:r>
                    <w:rPr>
                      <w:rFonts w:hint="default" w:ascii="Times New Roman" w:hAnsi="Times New Roman" w:eastAsia="宋体" w:cs="Times New Roman"/>
                      <w:color w:val="7030A0"/>
                      <w:sz w:val="21"/>
                      <w:szCs w:val="21"/>
                      <w:highlight w:val="none"/>
                      <w:lang w:val="en-US" w:eastAsia="zh-CN"/>
                    </w:rPr>
                    <w:t>m</w:t>
                  </w:r>
                  <w:r>
                    <w:rPr>
                      <w:rFonts w:hint="default" w:ascii="Times New Roman" w:hAnsi="Times New Roman" w:eastAsia="宋体" w:cs="Times New Roman"/>
                      <w:color w:val="7030A0"/>
                      <w:sz w:val="21"/>
                      <w:szCs w:val="21"/>
                      <w:highlight w:val="none"/>
                      <w:vertAlign w:val="superscript"/>
                      <w:lang w:val="en-US" w:eastAsia="zh-CN"/>
                    </w:rPr>
                    <w:t>3</w:t>
                  </w:r>
                  <w:r>
                    <w:rPr>
                      <w:rFonts w:hint="default" w:ascii="Times New Roman" w:hAnsi="Times New Roman" w:eastAsia="宋体" w:cs="Times New Roman"/>
                      <w:color w:val="112ADE"/>
                      <w:sz w:val="21"/>
                      <w:szCs w:val="21"/>
                      <w:highlight w:val="none"/>
                      <w:vertAlign w:val="baseline"/>
                      <w:lang w:val="en-US" w:eastAsia="zh-CN"/>
                    </w:rPr>
                    <w:t>的事故水池</w:t>
                  </w:r>
                  <w:r>
                    <w:rPr>
                      <w:rFonts w:hint="eastAsia" w:cs="Times New Roman"/>
                      <w:color w:val="112ADE"/>
                      <w:kern w:val="0"/>
                      <w:sz w:val="21"/>
                      <w:szCs w:val="21"/>
                      <w:highlight w:val="none"/>
                      <w:lang w:val="en-US" w:eastAsia="zh-CN"/>
                    </w:rPr>
                    <w:t>（</w:t>
                  </w:r>
                  <w:r>
                    <w:rPr>
                      <w:rFonts w:hint="eastAsia" w:ascii="Times New Roman" w:hAnsi="Times New Roman" w:eastAsia="宋体"/>
                      <w:color w:val="112ADE"/>
                      <w:sz w:val="21"/>
                      <w:szCs w:val="21"/>
                      <w:highlight w:val="none"/>
                      <w:lang w:val="en-US" w:eastAsia="zh-CN"/>
                    </w:rPr>
                    <w:t>“以新带老”工程</w:t>
                  </w:r>
                  <w:r>
                    <w:rPr>
                      <w:rFonts w:hint="eastAsia" w:cs="Times New Roman"/>
                      <w:color w:val="112ADE"/>
                      <w:kern w:val="0"/>
                      <w:sz w:val="21"/>
                      <w:szCs w:val="21"/>
                      <w:highlight w:val="none"/>
                      <w:lang w:val="en-US" w:eastAsia="zh-CN"/>
                    </w:rPr>
                    <w:t>）</w:t>
                  </w:r>
                </w:p>
              </w:tc>
              <w:tc>
                <w:tcPr>
                  <w:tcW w:w="458" w:type="pct"/>
                  <w:noWrap w:val="0"/>
                  <w:vAlign w:val="center"/>
                </w:tcPr>
                <w:p w14:paraId="2D58DC15">
                  <w:pPr>
                    <w:snapToGrid w:val="0"/>
                    <w:spacing w:line="240" w:lineRule="exact"/>
                    <w:jc w:val="center"/>
                    <w:rPr>
                      <w:rFonts w:hint="default"/>
                      <w:color w:val="112ADE"/>
                      <w:sz w:val="21"/>
                      <w:szCs w:val="21"/>
                      <w:highlight w:val="none"/>
                      <w:lang w:val="en-US" w:eastAsia="zh-CN"/>
                    </w:rPr>
                  </w:pPr>
                  <w:r>
                    <w:rPr>
                      <w:rFonts w:hint="eastAsia"/>
                      <w:color w:val="112ADE"/>
                      <w:sz w:val="21"/>
                      <w:szCs w:val="21"/>
                      <w:highlight w:val="none"/>
                      <w:lang w:val="en-US" w:eastAsia="zh-CN"/>
                    </w:rPr>
                    <w:t>1个</w:t>
                  </w:r>
                </w:p>
              </w:tc>
              <w:tc>
                <w:tcPr>
                  <w:tcW w:w="687" w:type="pct"/>
                  <w:noWrap w:val="0"/>
                  <w:vAlign w:val="center"/>
                </w:tcPr>
                <w:p w14:paraId="23373FB6">
                  <w:pPr>
                    <w:snapToGrid w:val="0"/>
                    <w:spacing w:line="240" w:lineRule="exact"/>
                    <w:jc w:val="center"/>
                    <w:rPr>
                      <w:rFonts w:hint="default"/>
                      <w:color w:val="112ADE"/>
                      <w:sz w:val="21"/>
                      <w:szCs w:val="21"/>
                      <w:highlight w:val="none"/>
                      <w:lang w:val="en-US" w:eastAsia="zh-CN"/>
                    </w:rPr>
                  </w:pPr>
                  <w:r>
                    <w:rPr>
                      <w:rFonts w:hint="eastAsia"/>
                      <w:color w:val="112ADE"/>
                      <w:sz w:val="21"/>
                      <w:szCs w:val="21"/>
                      <w:highlight w:val="none"/>
                      <w:lang w:val="en-US" w:eastAsia="zh-CN"/>
                    </w:rPr>
                    <w:t>19</w:t>
                  </w:r>
                </w:p>
              </w:tc>
            </w:tr>
            <w:tr w14:paraId="001BF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9" w:hRule="atLeast"/>
              </w:trPr>
              <w:tc>
                <w:tcPr>
                  <w:tcW w:w="500" w:type="pct"/>
                  <w:tcBorders>
                    <w:right w:val="single" w:color="auto" w:sz="4" w:space="0"/>
                  </w:tcBorders>
                  <w:noWrap w:val="0"/>
                  <w:vAlign w:val="center"/>
                </w:tcPr>
                <w:p w14:paraId="4AC3745C">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噪声污染防治</w:t>
                  </w:r>
                </w:p>
              </w:tc>
              <w:tc>
                <w:tcPr>
                  <w:tcW w:w="793" w:type="pct"/>
                  <w:noWrap w:val="0"/>
                  <w:vAlign w:val="center"/>
                </w:tcPr>
                <w:p w14:paraId="6659B846">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皮带输送机等</w:t>
                  </w:r>
                </w:p>
              </w:tc>
              <w:tc>
                <w:tcPr>
                  <w:tcW w:w="512" w:type="pct"/>
                  <w:noWrap w:val="0"/>
                  <w:vAlign w:val="center"/>
                </w:tcPr>
                <w:p w14:paraId="26D16F22">
                  <w:pPr>
                    <w:snapToGrid w:val="0"/>
                    <w:spacing w:line="240" w:lineRule="exact"/>
                    <w:jc w:val="center"/>
                    <w:rPr>
                      <w:rFonts w:ascii="Times New Roman" w:hAnsi="Times New Roman" w:eastAsia="宋体"/>
                      <w:color w:val="auto"/>
                      <w:sz w:val="21"/>
                      <w:szCs w:val="21"/>
                      <w:highlight w:val="none"/>
                    </w:rPr>
                  </w:pPr>
                  <w:r>
                    <w:rPr>
                      <w:rStyle w:val="33"/>
                      <w:rFonts w:hint="default" w:ascii="Times New Roman" w:hAnsi="Times New Roman" w:eastAsia="宋体" w:cs="Times New Roman"/>
                      <w:b w:val="0"/>
                      <w:color w:val="auto"/>
                      <w:sz w:val="21"/>
                      <w:szCs w:val="21"/>
                      <w:highlight w:val="none"/>
                    </w:rPr>
                    <w:t>噪声</w:t>
                  </w:r>
                </w:p>
              </w:tc>
              <w:tc>
                <w:tcPr>
                  <w:tcW w:w="2047" w:type="pct"/>
                  <w:noWrap w:val="0"/>
                  <w:vAlign w:val="center"/>
                </w:tcPr>
                <w:p w14:paraId="2B9671D5">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选</w:t>
                  </w:r>
                  <w:r>
                    <w:rPr>
                      <w:rFonts w:hint="default" w:ascii="Times New Roman" w:hAnsi="Times New Roman" w:eastAsia="宋体" w:cs="Times New Roman"/>
                      <w:bCs/>
                      <w:color w:val="auto"/>
                      <w:spacing w:val="6"/>
                      <w:sz w:val="21"/>
                      <w:szCs w:val="21"/>
                      <w:highlight w:val="none"/>
                      <w:lang w:eastAsia="zh-CN"/>
                    </w:rPr>
                    <w:t>选用低噪声设备、</w:t>
                  </w:r>
                  <w:r>
                    <w:rPr>
                      <w:rFonts w:hint="default" w:ascii="Times New Roman" w:hAnsi="Times New Roman" w:eastAsia="宋体" w:cs="Times New Roman"/>
                      <w:bCs/>
                      <w:color w:val="auto"/>
                      <w:spacing w:val="6"/>
                      <w:sz w:val="21"/>
                      <w:szCs w:val="21"/>
                      <w:highlight w:val="none"/>
                    </w:rPr>
                    <w:t>加强管理，室内操作，基础减震，定期维护</w:t>
                  </w:r>
                </w:p>
              </w:tc>
              <w:tc>
                <w:tcPr>
                  <w:tcW w:w="458" w:type="pct"/>
                  <w:noWrap w:val="0"/>
                  <w:vAlign w:val="center"/>
                </w:tcPr>
                <w:p w14:paraId="06E36A9F">
                  <w:pPr>
                    <w:pStyle w:val="86"/>
                    <w:spacing w:line="24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687" w:type="pct"/>
                  <w:noWrap w:val="0"/>
                  <w:vAlign w:val="center"/>
                </w:tcPr>
                <w:p w14:paraId="03CBDA25">
                  <w:pPr>
                    <w:pStyle w:val="86"/>
                    <w:spacing w:line="240" w:lineRule="exact"/>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w:t>
                  </w:r>
                </w:p>
              </w:tc>
            </w:tr>
            <w:tr w14:paraId="6A9F8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500" w:type="pct"/>
                  <w:noWrap w:val="0"/>
                  <w:vAlign w:val="center"/>
                </w:tcPr>
                <w:p w14:paraId="0F4A8D63">
                  <w:pPr>
                    <w:snapToGrid w:val="0"/>
                    <w:spacing w:line="24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固废</w:t>
                  </w:r>
                </w:p>
              </w:tc>
              <w:tc>
                <w:tcPr>
                  <w:tcW w:w="1306" w:type="pct"/>
                  <w:gridSpan w:val="2"/>
                  <w:tcBorders>
                    <w:right w:val="single" w:color="auto" w:sz="4" w:space="0"/>
                  </w:tcBorders>
                  <w:noWrap w:val="0"/>
                  <w:vAlign w:val="center"/>
                </w:tcPr>
                <w:p w14:paraId="497BAA97">
                  <w:pPr>
                    <w:widowControl/>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废机油</w:t>
                  </w:r>
                </w:p>
              </w:tc>
              <w:tc>
                <w:tcPr>
                  <w:tcW w:w="2047" w:type="pct"/>
                  <w:tcBorders>
                    <w:right w:val="single" w:color="auto" w:sz="4" w:space="0"/>
                  </w:tcBorders>
                  <w:noWrap w:val="0"/>
                  <w:vAlign w:val="center"/>
                </w:tcPr>
                <w:p w14:paraId="206626F4">
                  <w:pPr>
                    <w:widowControl/>
                    <w:jc w:val="center"/>
                    <w:rPr>
                      <w:rFonts w:hint="eastAsia" w:ascii="Times New Roman" w:hAnsi="Times New Roman" w:eastAsia="宋体"/>
                      <w:bCs/>
                      <w:color w:val="auto"/>
                      <w:sz w:val="21"/>
                      <w:szCs w:val="21"/>
                      <w:highlight w:val="none"/>
                      <w:lang w:val="en-US" w:eastAsia="zh-CN"/>
                    </w:rPr>
                  </w:pPr>
                  <w:r>
                    <w:rPr>
                      <w:rStyle w:val="33"/>
                      <w:rFonts w:hint="default" w:ascii="Times New Roman" w:hAnsi="Times New Roman" w:eastAsia="宋体" w:cs="Times New Roman"/>
                      <w:b w:val="0"/>
                      <w:color w:val="auto"/>
                      <w:sz w:val="21"/>
                      <w:szCs w:val="21"/>
                      <w:highlight w:val="none"/>
                      <w:lang w:val="en-US" w:eastAsia="zh-CN"/>
                    </w:rPr>
                    <w:t>暂存于现有</w:t>
                  </w:r>
                  <w:r>
                    <w:rPr>
                      <w:rStyle w:val="33"/>
                      <w:rFonts w:hint="eastAsia" w:ascii="Times New Roman" w:hAnsi="Times New Roman" w:eastAsia="宋体" w:cs="Times New Roman"/>
                      <w:b w:val="0"/>
                      <w:color w:val="auto"/>
                      <w:sz w:val="21"/>
                      <w:szCs w:val="21"/>
                      <w:highlight w:val="none"/>
                      <w:lang w:val="en-US" w:eastAsia="zh-CN"/>
                    </w:rPr>
                    <w:t>危废暂存库</w:t>
                  </w:r>
                  <w:r>
                    <w:rPr>
                      <w:rStyle w:val="33"/>
                      <w:rFonts w:hint="default" w:ascii="Times New Roman" w:hAnsi="Times New Roman" w:eastAsia="宋体" w:cs="Times New Roman"/>
                      <w:b w:val="0"/>
                      <w:color w:val="auto"/>
                      <w:sz w:val="21"/>
                      <w:szCs w:val="21"/>
                      <w:highlight w:val="none"/>
                      <w:lang w:val="en-US" w:eastAsia="zh-CN"/>
                    </w:rPr>
                    <w:t>，</w:t>
                  </w:r>
                  <w:r>
                    <w:rPr>
                      <w:rStyle w:val="33"/>
                      <w:rFonts w:hint="eastAsia" w:ascii="Times New Roman" w:hAnsi="Times New Roman" w:eastAsia="宋体" w:cs="Times New Roman"/>
                      <w:b w:val="0"/>
                      <w:color w:val="auto"/>
                      <w:sz w:val="21"/>
                      <w:szCs w:val="21"/>
                      <w:highlight w:val="none"/>
                      <w:lang w:val="en-US" w:eastAsia="zh-CN"/>
                    </w:rPr>
                    <w:t>按照《危险废物贮存污染控制标准》(GB18597-2023）和《危险废物识别标志设置技术规范》（HJ1276-2022）对危废暂存库进行防风、防雨、防晒、防渗、标识标牌等进行完善，</w:t>
                  </w:r>
                  <w:r>
                    <w:rPr>
                      <w:rStyle w:val="33"/>
                      <w:rFonts w:hint="default" w:ascii="Times New Roman" w:hAnsi="Times New Roman" w:eastAsia="宋体" w:cs="Times New Roman"/>
                      <w:b w:val="0"/>
                      <w:color w:val="auto"/>
                      <w:sz w:val="21"/>
                      <w:szCs w:val="21"/>
                      <w:highlight w:val="none"/>
                      <w:lang w:val="en-US" w:eastAsia="zh-CN"/>
                    </w:rPr>
                    <w:t>定期</w:t>
                  </w:r>
                  <w:r>
                    <w:rPr>
                      <w:rStyle w:val="33"/>
                      <w:rFonts w:hint="default" w:ascii="Times New Roman" w:hAnsi="Times New Roman" w:eastAsia="宋体" w:cs="Times New Roman"/>
                      <w:b w:val="0"/>
                      <w:color w:val="auto"/>
                      <w:sz w:val="21"/>
                      <w:szCs w:val="21"/>
                      <w:highlight w:val="none"/>
                      <w:lang w:eastAsia="zh-CN"/>
                    </w:rPr>
                    <w:t>委托有资质的单位处置</w:t>
                  </w:r>
                  <w:r>
                    <w:rPr>
                      <w:rFonts w:hint="eastAsia" w:ascii="Times New Roman" w:hAnsi="Times New Roman" w:eastAsia="宋体"/>
                      <w:color w:val="auto"/>
                      <w:sz w:val="21"/>
                      <w:szCs w:val="21"/>
                      <w:highlight w:val="none"/>
                      <w:lang w:val="en-US" w:eastAsia="zh-CN"/>
                    </w:rPr>
                    <w:t>（“以新带老”工程）</w:t>
                  </w:r>
                </w:p>
              </w:tc>
              <w:tc>
                <w:tcPr>
                  <w:tcW w:w="458" w:type="pct"/>
                  <w:tcBorders>
                    <w:left w:val="single" w:color="auto" w:sz="4" w:space="0"/>
                  </w:tcBorders>
                  <w:noWrap w:val="0"/>
                  <w:vAlign w:val="center"/>
                </w:tcPr>
                <w:p w14:paraId="29876AE8">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若干</w:t>
                  </w:r>
                </w:p>
              </w:tc>
              <w:tc>
                <w:tcPr>
                  <w:tcW w:w="687" w:type="pct"/>
                  <w:noWrap w:val="0"/>
                  <w:vAlign w:val="center"/>
                </w:tcPr>
                <w:p w14:paraId="1B0D7068">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w:t>
                  </w:r>
                </w:p>
              </w:tc>
            </w:tr>
            <w:tr w14:paraId="5F7E9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12" w:type="pct"/>
                  <w:gridSpan w:val="5"/>
                  <w:noWrap w:val="0"/>
                  <w:vAlign w:val="center"/>
                </w:tcPr>
                <w:p w14:paraId="1BF70653">
                  <w:pPr>
                    <w:snapToGrid w:val="0"/>
                    <w:spacing w:line="240" w:lineRule="exact"/>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合计</w:t>
                  </w:r>
                </w:p>
              </w:tc>
              <w:tc>
                <w:tcPr>
                  <w:tcW w:w="687" w:type="pct"/>
                  <w:noWrap w:val="0"/>
                  <w:vAlign w:val="center"/>
                </w:tcPr>
                <w:p w14:paraId="7D0607C6">
                  <w:pPr>
                    <w:snapToGrid w:val="0"/>
                    <w:spacing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7030A0"/>
                      <w:sz w:val="21"/>
                      <w:szCs w:val="21"/>
                      <w:highlight w:val="none"/>
                      <w:lang w:val="en-US" w:eastAsia="zh-CN"/>
                    </w:rPr>
                    <w:t>1</w:t>
                  </w:r>
                  <w:r>
                    <w:rPr>
                      <w:rFonts w:hint="eastAsia"/>
                      <w:color w:val="7030A0"/>
                      <w:sz w:val="21"/>
                      <w:szCs w:val="21"/>
                      <w:highlight w:val="none"/>
                      <w:lang w:val="en-US" w:eastAsia="zh-CN"/>
                    </w:rPr>
                    <w:t>95</w:t>
                  </w:r>
                </w:p>
              </w:tc>
            </w:tr>
          </w:tbl>
          <w:p w14:paraId="0ADE9034">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default"/>
                <w:color w:val="auto"/>
                <w:sz w:val="24"/>
                <w:szCs w:val="32"/>
                <w:lang w:val="en-US" w:eastAsia="zh-CN"/>
              </w:rPr>
            </w:pPr>
          </w:p>
        </w:tc>
      </w:tr>
    </w:tbl>
    <w:p w14:paraId="24B7F59C">
      <w:pPr>
        <w:pStyle w:val="24"/>
        <w:jc w:val="center"/>
        <w:rPr>
          <w:rFonts w:ascii="Times New Roman" w:hAnsi="Times New Roman" w:eastAsia="宋体"/>
          <w:snapToGrid w:val="0"/>
          <w:color w:val="auto"/>
          <w:sz w:val="36"/>
          <w:szCs w:val="36"/>
        </w:rPr>
        <w:sectPr>
          <w:pgSz w:w="11906" w:h="16838"/>
          <w:pgMar w:top="1440" w:right="1800" w:bottom="1440" w:left="1800" w:header="851" w:footer="1077" w:gutter="0"/>
          <w:pgNumType w:fmt="decimal"/>
          <w:cols w:space="720" w:num="1"/>
          <w:docGrid w:linePitch="312" w:charSpace="0"/>
        </w:sectPr>
      </w:pPr>
    </w:p>
    <w:p w14:paraId="433D132F">
      <w:pPr>
        <w:pStyle w:val="24"/>
        <w:jc w:val="center"/>
        <w:outlineLvl w:val="0"/>
        <w:rPr>
          <w:rFonts w:hint="eastAsia" w:ascii="黑体" w:hAnsi="黑体" w:eastAsia="黑体" w:cs="黑体"/>
          <w:snapToGrid w:val="0"/>
          <w:color w:val="auto"/>
          <w:sz w:val="30"/>
          <w:szCs w:val="30"/>
        </w:rPr>
      </w:pPr>
      <w:bookmarkStart w:id="11" w:name="_Toc1783"/>
      <w:r>
        <w:rPr>
          <w:rFonts w:hint="eastAsia" w:ascii="黑体" w:hAnsi="黑体" w:eastAsia="黑体" w:cs="黑体"/>
          <w:snapToGrid w:val="0"/>
          <w:color w:val="auto"/>
          <w:sz w:val="30"/>
          <w:szCs w:val="30"/>
          <w:lang w:val="en-US" w:eastAsia="zh-CN"/>
        </w:rPr>
        <w:t>五</w:t>
      </w:r>
      <w:r>
        <w:rPr>
          <w:rFonts w:hint="eastAsia" w:ascii="黑体" w:hAnsi="黑体" w:eastAsia="黑体" w:cs="黑体"/>
          <w:snapToGrid w:val="0"/>
          <w:color w:val="auto"/>
          <w:sz w:val="30"/>
          <w:szCs w:val="30"/>
        </w:rPr>
        <w:t>、生态环境保护措施监督检查清单</w:t>
      </w:r>
      <w:bookmarkEnd w:id="11"/>
    </w:p>
    <w:tbl>
      <w:tblPr>
        <w:tblStyle w:val="27"/>
        <w:tblW w:w="50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2035"/>
        <w:gridCol w:w="998"/>
        <w:gridCol w:w="2323"/>
        <w:gridCol w:w="1936"/>
      </w:tblGrid>
      <w:tr w14:paraId="58073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728" w:type="pct"/>
            <w:tcBorders>
              <w:tl2br w:val="single" w:color="auto" w:sz="4" w:space="0"/>
            </w:tcBorders>
            <w:noWrap w:val="0"/>
            <w:vAlign w:val="center"/>
          </w:tcPr>
          <w:p w14:paraId="20C0B5E8">
            <w:pPr>
              <w:pStyle w:val="24"/>
              <w:adjustRightInd w:val="0"/>
              <w:spacing w:before="72" w:beforeLines="30" w:beforeAutospacing="0" w:after="0" w:afterAutospacing="0" w:line="240" w:lineRule="auto"/>
              <w:ind w:left="600" w:hanging="525" w:hangingChars="250"/>
              <w:jc w:val="center"/>
              <w:outlineLvl w:val="0"/>
              <w:rPr>
                <w:rFonts w:ascii="Times New Roman" w:hAnsi="Times New Roman" w:eastAsia="宋体"/>
                <w:color w:val="auto"/>
                <w:kern w:val="2"/>
                <w:sz w:val="21"/>
                <w:szCs w:val="21"/>
                <w:lang w:val="en-US" w:eastAsia="zh-CN"/>
              </w:rPr>
            </w:pPr>
            <w:bookmarkStart w:id="12" w:name="_Toc24520"/>
            <w:r>
              <w:rPr>
                <w:rFonts w:ascii="Times New Roman" w:hAnsi="Times New Roman" w:eastAsia="宋体"/>
                <w:color w:val="auto"/>
                <w:kern w:val="2"/>
                <w:sz w:val="21"/>
                <w:szCs w:val="21"/>
                <w:lang w:val="en-US" w:eastAsia="zh-CN"/>
              </w:rPr>
              <w:t>内容</w:t>
            </w:r>
            <w:bookmarkEnd w:id="12"/>
          </w:p>
          <w:p w14:paraId="60120AC1">
            <w:pPr>
              <w:pStyle w:val="24"/>
              <w:adjustRightInd w:val="0"/>
              <w:spacing w:before="0" w:beforeAutospacing="0" w:after="0" w:afterAutospacing="0" w:line="240" w:lineRule="auto"/>
              <w:jc w:val="center"/>
              <w:outlineLvl w:val="9"/>
              <w:rPr>
                <w:rFonts w:ascii="Times New Roman" w:hAnsi="Times New Roman" w:eastAsia="宋体"/>
                <w:color w:val="auto"/>
                <w:kern w:val="2"/>
                <w:sz w:val="21"/>
                <w:szCs w:val="21"/>
                <w:lang w:val="en-US" w:eastAsia="zh-CN"/>
              </w:rPr>
            </w:pPr>
          </w:p>
          <w:p w14:paraId="27739A31">
            <w:pPr>
              <w:pStyle w:val="24"/>
              <w:adjustRightInd w:val="0"/>
              <w:spacing w:before="0" w:beforeAutospacing="0" w:after="0" w:afterAutospacing="0" w:line="240" w:lineRule="auto"/>
              <w:jc w:val="center"/>
              <w:outlineLvl w:val="0"/>
              <w:rPr>
                <w:rFonts w:ascii="Times New Roman" w:hAnsi="Times New Roman" w:eastAsia="宋体"/>
                <w:color w:val="auto"/>
                <w:kern w:val="2"/>
                <w:sz w:val="21"/>
                <w:szCs w:val="21"/>
                <w:lang w:val="en-US" w:eastAsia="zh-CN"/>
              </w:rPr>
            </w:pPr>
            <w:bookmarkStart w:id="13" w:name="_Toc2776"/>
            <w:r>
              <w:rPr>
                <w:rFonts w:ascii="Times New Roman" w:hAnsi="Times New Roman" w:eastAsia="宋体"/>
                <w:color w:val="auto"/>
                <w:kern w:val="2"/>
                <w:sz w:val="21"/>
                <w:szCs w:val="21"/>
                <w:lang w:val="en-US" w:eastAsia="zh-CN"/>
              </w:rPr>
              <w:t>要素</w:t>
            </w:r>
            <w:bookmarkEnd w:id="13"/>
          </w:p>
        </w:tc>
        <w:tc>
          <w:tcPr>
            <w:tcW w:w="1192" w:type="pct"/>
            <w:noWrap w:val="0"/>
            <w:vAlign w:val="center"/>
          </w:tcPr>
          <w:p w14:paraId="22C1F668">
            <w:pPr>
              <w:pStyle w:val="24"/>
              <w:adjustRightInd w:val="0"/>
              <w:spacing w:before="0" w:beforeAutospacing="0" w:after="0" w:afterAutospacing="0" w:line="240" w:lineRule="auto"/>
              <w:jc w:val="center"/>
              <w:outlineLvl w:val="0"/>
              <w:rPr>
                <w:rFonts w:hint="default" w:ascii="Times New Roman" w:hAnsi="Times New Roman" w:eastAsia="宋体"/>
                <w:color w:val="auto"/>
                <w:kern w:val="2"/>
                <w:sz w:val="21"/>
                <w:szCs w:val="21"/>
                <w:lang w:val="en-US" w:eastAsia="zh-CN"/>
              </w:rPr>
            </w:pPr>
            <w:bookmarkStart w:id="14" w:name="_Toc28304"/>
            <w:r>
              <w:rPr>
                <w:rFonts w:hint="eastAsia" w:ascii="Times New Roman" w:hAnsi="Times New Roman" w:eastAsia="宋体"/>
                <w:color w:val="auto"/>
                <w:kern w:val="2"/>
                <w:sz w:val="21"/>
                <w:szCs w:val="21"/>
                <w:lang w:val="en-US" w:eastAsia="zh-CN"/>
              </w:rPr>
              <w:t>排放口（编号、名称）/污染源</w:t>
            </w:r>
            <w:bookmarkEnd w:id="14"/>
          </w:p>
        </w:tc>
        <w:tc>
          <w:tcPr>
            <w:tcW w:w="584" w:type="pct"/>
            <w:noWrap w:val="0"/>
            <w:vAlign w:val="center"/>
          </w:tcPr>
          <w:p w14:paraId="23FA8D4D">
            <w:pPr>
              <w:pStyle w:val="24"/>
              <w:adjustRightInd w:val="0"/>
              <w:spacing w:before="0" w:beforeAutospacing="0" w:after="0" w:afterAutospacing="0" w:line="240" w:lineRule="auto"/>
              <w:jc w:val="center"/>
              <w:outlineLvl w:val="0"/>
              <w:rPr>
                <w:rFonts w:hint="default" w:ascii="Times New Roman" w:hAnsi="Times New Roman" w:eastAsia="宋体"/>
                <w:color w:val="auto"/>
                <w:kern w:val="2"/>
                <w:sz w:val="21"/>
                <w:szCs w:val="21"/>
                <w:lang w:val="en-US" w:eastAsia="zh-CN"/>
              </w:rPr>
            </w:pPr>
            <w:bookmarkStart w:id="15" w:name="_Toc17502"/>
            <w:r>
              <w:rPr>
                <w:rFonts w:hint="eastAsia" w:ascii="Times New Roman" w:hAnsi="Times New Roman" w:eastAsia="宋体"/>
                <w:color w:val="auto"/>
                <w:kern w:val="2"/>
                <w:sz w:val="21"/>
                <w:szCs w:val="21"/>
                <w:lang w:val="en-US" w:eastAsia="zh-CN"/>
              </w:rPr>
              <w:t>污染物项目</w:t>
            </w:r>
            <w:bookmarkEnd w:id="15"/>
          </w:p>
        </w:tc>
        <w:tc>
          <w:tcPr>
            <w:tcW w:w="1360" w:type="pct"/>
            <w:noWrap w:val="0"/>
            <w:vAlign w:val="center"/>
          </w:tcPr>
          <w:p w14:paraId="26AEC326">
            <w:pPr>
              <w:pStyle w:val="24"/>
              <w:adjustRightInd w:val="0"/>
              <w:spacing w:before="0" w:beforeAutospacing="0" w:after="0" w:afterAutospacing="0" w:line="240" w:lineRule="auto"/>
              <w:jc w:val="center"/>
              <w:outlineLvl w:val="0"/>
              <w:rPr>
                <w:rFonts w:hint="default" w:ascii="Times New Roman" w:hAnsi="Times New Roman" w:eastAsia="宋体"/>
                <w:color w:val="auto"/>
                <w:kern w:val="2"/>
                <w:sz w:val="21"/>
                <w:szCs w:val="21"/>
                <w:lang w:val="en-US" w:eastAsia="zh-CN"/>
              </w:rPr>
            </w:pPr>
            <w:bookmarkStart w:id="16" w:name="_Toc28926"/>
            <w:r>
              <w:rPr>
                <w:rFonts w:hint="eastAsia" w:ascii="Times New Roman" w:hAnsi="Times New Roman" w:eastAsia="宋体"/>
                <w:color w:val="auto"/>
                <w:kern w:val="2"/>
                <w:sz w:val="21"/>
                <w:szCs w:val="21"/>
                <w:lang w:val="en-US" w:eastAsia="zh-CN"/>
              </w:rPr>
              <w:t>环境保护措施</w:t>
            </w:r>
            <w:bookmarkEnd w:id="16"/>
          </w:p>
        </w:tc>
        <w:tc>
          <w:tcPr>
            <w:tcW w:w="1134" w:type="pct"/>
            <w:noWrap w:val="0"/>
            <w:vAlign w:val="center"/>
          </w:tcPr>
          <w:p w14:paraId="300187FD">
            <w:pPr>
              <w:pStyle w:val="24"/>
              <w:adjustRightInd w:val="0"/>
              <w:spacing w:before="0" w:beforeAutospacing="0" w:after="0" w:afterAutospacing="0" w:line="240" w:lineRule="auto"/>
              <w:jc w:val="center"/>
              <w:outlineLvl w:val="0"/>
              <w:rPr>
                <w:rFonts w:hint="default" w:ascii="Times New Roman" w:hAnsi="Times New Roman" w:eastAsia="宋体"/>
                <w:color w:val="auto"/>
                <w:kern w:val="2"/>
                <w:sz w:val="21"/>
                <w:szCs w:val="21"/>
                <w:lang w:val="en-US" w:eastAsia="zh-CN"/>
              </w:rPr>
            </w:pPr>
            <w:bookmarkStart w:id="17" w:name="_Toc3635"/>
            <w:r>
              <w:rPr>
                <w:rFonts w:hint="eastAsia" w:ascii="Times New Roman" w:hAnsi="Times New Roman" w:eastAsia="宋体"/>
                <w:color w:val="auto"/>
                <w:kern w:val="2"/>
                <w:sz w:val="21"/>
                <w:szCs w:val="21"/>
                <w:lang w:val="en-US" w:eastAsia="zh-CN"/>
              </w:rPr>
              <w:t>执行标准</w:t>
            </w:r>
            <w:bookmarkEnd w:id="17"/>
          </w:p>
        </w:tc>
      </w:tr>
      <w:tr w14:paraId="43D34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pct"/>
            <w:vMerge w:val="restart"/>
            <w:noWrap w:val="0"/>
            <w:vAlign w:val="center"/>
          </w:tcPr>
          <w:p w14:paraId="1475E90F">
            <w:pPr>
              <w:adjustRightIn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大气环境</w:t>
            </w:r>
          </w:p>
        </w:tc>
        <w:tc>
          <w:tcPr>
            <w:tcW w:w="1192" w:type="pct"/>
            <w:vMerge w:val="restart"/>
            <w:noWrap w:val="0"/>
            <w:vAlign w:val="center"/>
          </w:tcPr>
          <w:p w14:paraId="34875718">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无组织废气</w:t>
            </w:r>
          </w:p>
        </w:tc>
        <w:tc>
          <w:tcPr>
            <w:tcW w:w="584" w:type="pct"/>
            <w:noWrap w:val="0"/>
            <w:vAlign w:val="center"/>
          </w:tcPr>
          <w:p w14:paraId="508111CE">
            <w:pPr>
              <w:snapToGrid w:val="0"/>
              <w:spacing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洗精煤</w:t>
            </w:r>
            <w:r>
              <w:rPr>
                <w:rFonts w:ascii="Times New Roman" w:hAnsi="Times New Roman" w:eastAsia="宋体"/>
                <w:color w:val="auto"/>
                <w:sz w:val="21"/>
                <w:szCs w:val="21"/>
                <w:highlight w:val="none"/>
              </w:rPr>
              <w:t>储煤</w:t>
            </w:r>
            <w:r>
              <w:rPr>
                <w:rFonts w:hint="eastAsia" w:ascii="Times New Roman" w:hAnsi="Times New Roman" w:eastAsia="宋体"/>
                <w:color w:val="auto"/>
                <w:sz w:val="21"/>
                <w:szCs w:val="21"/>
                <w:highlight w:val="none"/>
                <w:lang w:val="en-US" w:eastAsia="zh-CN"/>
              </w:rPr>
              <w:t>棚颗粒物</w:t>
            </w:r>
          </w:p>
        </w:tc>
        <w:tc>
          <w:tcPr>
            <w:tcW w:w="1360" w:type="pct"/>
            <w:noWrap w:val="0"/>
            <w:vAlign w:val="center"/>
          </w:tcPr>
          <w:p w14:paraId="0A01010E">
            <w:pPr>
              <w:snapToGrid w:val="0"/>
              <w:spacing w:line="240" w:lineRule="auto"/>
              <w:jc w:val="center"/>
              <w:rPr>
                <w:rFonts w:hint="default" w:ascii="Times New Roman" w:hAnsi="Times New Roman" w:eastAsia="宋体"/>
                <w:color w:val="auto"/>
                <w:sz w:val="21"/>
                <w:szCs w:val="21"/>
                <w:highlight w:val="none"/>
                <w:vertAlign w:val="superscript"/>
                <w:lang w:val="en-US" w:eastAsia="zh-CN"/>
              </w:rPr>
            </w:pPr>
            <w:r>
              <w:rPr>
                <w:rFonts w:hint="eastAsia" w:ascii="Times New Roman" w:hAnsi="Times New Roman" w:eastAsia="宋体"/>
                <w:color w:val="auto"/>
                <w:sz w:val="21"/>
                <w:szCs w:val="21"/>
                <w:highlight w:val="none"/>
                <w:lang w:val="en-US" w:eastAsia="zh-CN"/>
              </w:rPr>
              <w:t>全封闭式洗精煤储煤棚+自然通风百叶窗</w:t>
            </w:r>
          </w:p>
        </w:tc>
        <w:tc>
          <w:tcPr>
            <w:tcW w:w="1134" w:type="pct"/>
            <w:vMerge w:val="restart"/>
            <w:noWrap w:val="0"/>
            <w:vAlign w:val="center"/>
          </w:tcPr>
          <w:p w14:paraId="646EBDA1">
            <w:pPr>
              <w:keepNext w:val="0"/>
              <w:keepLines w:val="0"/>
              <w:widowControl/>
              <w:suppressLineNumbers w:val="0"/>
              <w:spacing w:line="240" w:lineRule="auto"/>
              <w:jc w:val="center"/>
              <w:rPr>
                <w:rFonts w:ascii="Times New Roman" w:hAnsi="Times New Roman" w:eastAsia="宋体"/>
                <w:color w:val="auto"/>
                <w:sz w:val="21"/>
                <w:szCs w:val="21"/>
              </w:rPr>
            </w:pPr>
            <w:r>
              <w:rPr>
                <w:rFonts w:hint="eastAsia" w:ascii="宋体" w:hAnsi="宋体" w:eastAsia="宋体" w:cs="宋体"/>
                <w:color w:val="auto"/>
                <w:kern w:val="0"/>
                <w:sz w:val="21"/>
                <w:szCs w:val="21"/>
                <w:lang w:val="en-US" w:eastAsia="zh-CN" w:bidi="ar"/>
              </w:rPr>
              <w:t>《煤炭工业污染物排放标准》</w:t>
            </w:r>
            <w:r>
              <w:rPr>
                <w:rFonts w:hint="default" w:ascii="Times New Roman" w:hAnsi="Times New Roman" w:eastAsia="宋体" w:cs="Times New Roman"/>
                <w:color w:val="auto"/>
                <w:kern w:val="0"/>
                <w:sz w:val="21"/>
                <w:szCs w:val="21"/>
                <w:lang w:val="en-US" w:eastAsia="zh-CN" w:bidi="ar"/>
              </w:rPr>
              <w:t>(GB20426-2006</w:t>
            </w:r>
            <w:r>
              <w:rPr>
                <w:rFonts w:hint="eastAsia"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无组织排放限值</w:t>
            </w:r>
          </w:p>
        </w:tc>
      </w:tr>
      <w:tr w14:paraId="63340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28" w:type="pct"/>
            <w:vMerge w:val="continue"/>
            <w:noWrap w:val="0"/>
            <w:vAlign w:val="center"/>
          </w:tcPr>
          <w:p w14:paraId="36ECAE85">
            <w:pPr>
              <w:adjustRightInd w:val="0"/>
              <w:snapToGrid w:val="0"/>
              <w:spacing w:line="240" w:lineRule="auto"/>
              <w:jc w:val="center"/>
              <w:rPr>
                <w:color w:val="auto"/>
              </w:rPr>
            </w:pPr>
          </w:p>
        </w:tc>
        <w:tc>
          <w:tcPr>
            <w:tcW w:w="1192" w:type="pct"/>
            <w:vMerge w:val="continue"/>
            <w:noWrap w:val="0"/>
            <w:vAlign w:val="center"/>
          </w:tcPr>
          <w:p w14:paraId="2404B0D2">
            <w:pPr>
              <w:adjustRightInd w:val="0"/>
              <w:snapToGrid w:val="0"/>
              <w:spacing w:line="240" w:lineRule="auto"/>
              <w:jc w:val="center"/>
              <w:rPr>
                <w:color w:val="auto"/>
              </w:rPr>
            </w:pPr>
          </w:p>
        </w:tc>
        <w:tc>
          <w:tcPr>
            <w:tcW w:w="584" w:type="pct"/>
            <w:vMerge w:val="restart"/>
            <w:noWrap w:val="0"/>
            <w:vAlign w:val="center"/>
          </w:tcPr>
          <w:p w14:paraId="370590D0">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原煤棚颗粒物</w:t>
            </w:r>
          </w:p>
        </w:tc>
        <w:tc>
          <w:tcPr>
            <w:tcW w:w="1360" w:type="pct"/>
            <w:noWrap w:val="0"/>
            <w:vAlign w:val="center"/>
          </w:tcPr>
          <w:p w14:paraId="244122EE">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全封闭式原煤棚</w:t>
            </w:r>
          </w:p>
        </w:tc>
        <w:tc>
          <w:tcPr>
            <w:tcW w:w="1134" w:type="pct"/>
            <w:vMerge w:val="continue"/>
            <w:noWrap w:val="0"/>
            <w:vAlign w:val="center"/>
          </w:tcPr>
          <w:p w14:paraId="60A1F1F1">
            <w:pPr>
              <w:adjustRightInd w:val="0"/>
              <w:snapToGrid w:val="0"/>
              <w:spacing w:line="240" w:lineRule="auto"/>
              <w:jc w:val="center"/>
              <w:rPr>
                <w:rFonts w:ascii="Times New Roman" w:hAnsi="Times New Roman" w:eastAsia="宋体"/>
                <w:color w:val="auto"/>
                <w:sz w:val="21"/>
                <w:szCs w:val="21"/>
              </w:rPr>
            </w:pPr>
          </w:p>
        </w:tc>
      </w:tr>
      <w:tr w14:paraId="37BBC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8" w:type="pct"/>
            <w:vMerge w:val="continue"/>
            <w:noWrap w:val="0"/>
            <w:vAlign w:val="center"/>
          </w:tcPr>
          <w:p w14:paraId="54D4C87B">
            <w:pPr>
              <w:adjustRightInd w:val="0"/>
              <w:snapToGrid w:val="0"/>
              <w:spacing w:line="240" w:lineRule="auto"/>
              <w:jc w:val="center"/>
              <w:rPr>
                <w:color w:val="auto"/>
              </w:rPr>
            </w:pPr>
          </w:p>
        </w:tc>
        <w:tc>
          <w:tcPr>
            <w:tcW w:w="1192" w:type="pct"/>
            <w:vMerge w:val="continue"/>
            <w:noWrap w:val="0"/>
            <w:vAlign w:val="center"/>
          </w:tcPr>
          <w:p w14:paraId="0E5BD118">
            <w:pPr>
              <w:adjustRightInd w:val="0"/>
              <w:snapToGrid w:val="0"/>
              <w:spacing w:line="240" w:lineRule="auto"/>
              <w:jc w:val="center"/>
              <w:rPr>
                <w:color w:val="auto"/>
              </w:rPr>
            </w:pPr>
          </w:p>
        </w:tc>
        <w:tc>
          <w:tcPr>
            <w:tcW w:w="584" w:type="pct"/>
            <w:vMerge w:val="continue"/>
            <w:noWrap w:val="0"/>
            <w:vAlign w:val="center"/>
          </w:tcPr>
          <w:p w14:paraId="597039FE">
            <w:pPr>
              <w:adjustRightInd w:val="0"/>
              <w:snapToGrid w:val="0"/>
              <w:spacing w:line="240" w:lineRule="auto"/>
              <w:jc w:val="center"/>
              <w:rPr>
                <w:color w:val="auto"/>
                <w:highlight w:val="none"/>
              </w:rPr>
            </w:pPr>
          </w:p>
        </w:tc>
        <w:tc>
          <w:tcPr>
            <w:tcW w:w="1360" w:type="pct"/>
            <w:noWrap w:val="0"/>
            <w:vAlign w:val="center"/>
          </w:tcPr>
          <w:p w14:paraId="71C43B28">
            <w:pPr>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原煤棚增设2台固定喷雾抑尘装置</w:t>
            </w:r>
          </w:p>
        </w:tc>
        <w:tc>
          <w:tcPr>
            <w:tcW w:w="1134" w:type="pct"/>
            <w:vMerge w:val="continue"/>
            <w:noWrap w:val="0"/>
            <w:vAlign w:val="center"/>
          </w:tcPr>
          <w:p w14:paraId="350AC0B4">
            <w:pPr>
              <w:adjustRightInd w:val="0"/>
              <w:snapToGrid w:val="0"/>
              <w:spacing w:line="240" w:lineRule="auto"/>
              <w:jc w:val="center"/>
              <w:rPr>
                <w:rFonts w:ascii="Times New Roman" w:hAnsi="Times New Roman" w:eastAsia="宋体"/>
                <w:color w:val="auto"/>
                <w:sz w:val="21"/>
                <w:szCs w:val="21"/>
              </w:rPr>
            </w:pPr>
          </w:p>
        </w:tc>
      </w:tr>
      <w:tr w14:paraId="16675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8" w:type="pct"/>
            <w:vMerge w:val="continue"/>
            <w:noWrap w:val="0"/>
            <w:vAlign w:val="center"/>
          </w:tcPr>
          <w:p w14:paraId="50266F0D">
            <w:pPr>
              <w:adjustRightInd w:val="0"/>
              <w:snapToGrid w:val="0"/>
              <w:spacing w:line="240" w:lineRule="auto"/>
              <w:jc w:val="center"/>
              <w:rPr>
                <w:color w:val="auto"/>
              </w:rPr>
            </w:pPr>
          </w:p>
        </w:tc>
        <w:tc>
          <w:tcPr>
            <w:tcW w:w="1192" w:type="pct"/>
            <w:vMerge w:val="continue"/>
            <w:noWrap w:val="0"/>
            <w:vAlign w:val="center"/>
          </w:tcPr>
          <w:p w14:paraId="1E5D7D26">
            <w:pPr>
              <w:adjustRightInd w:val="0"/>
              <w:snapToGrid w:val="0"/>
              <w:spacing w:line="240" w:lineRule="auto"/>
              <w:jc w:val="center"/>
              <w:rPr>
                <w:color w:val="auto"/>
              </w:rPr>
            </w:pPr>
          </w:p>
        </w:tc>
        <w:tc>
          <w:tcPr>
            <w:tcW w:w="584" w:type="pct"/>
            <w:noWrap w:val="0"/>
            <w:vAlign w:val="center"/>
          </w:tcPr>
          <w:p w14:paraId="14120FB9">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储存过程颗粒物</w:t>
            </w:r>
          </w:p>
        </w:tc>
        <w:tc>
          <w:tcPr>
            <w:tcW w:w="1360" w:type="pct"/>
            <w:noWrap w:val="0"/>
            <w:vAlign w:val="center"/>
          </w:tcPr>
          <w:p w14:paraId="16978D21">
            <w:pPr>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煤泥棚和矸石棚全封闭</w:t>
            </w:r>
          </w:p>
        </w:tc>
        <w:tc>
          <w:tcPr>
            <w:tcW w:w="1134" w:type="pct"/>
            <w:vMerge w:val="continue"/>
            <w:noWrap w:val="0"/>
            <w:vAlign w:val="center"/>
          </w:tcPr>
          <w:p w14:paraId="66671FF8">
            <w:pPr>
              <w:adjustRightInd w:val="0"/>
              <w:snapToGrid w:val="0"/>
              <w:spacing w:line="240" w:lineRule="auto"/>
              <w:jc w:val="center"/>
              <w:rPr>
                <w:rFonts w:ascii="Times New Roman" w:hAnsi="Times New Roman" w:eastAsia="宋体"/>
                <w:color w:val="auto"/>
                <w:sz w:val="21"/>
                <w:szCs w:val="21"/>
              </w:rPr>
            </w:pPr>
          </w:p>
        </w:tc>
      </w:tr>
      <w:tr w14:paraId="64310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pct"/>
            <w:vMerge w:val="continue"/>
            <w:noWrap w:val="0"/>
            <w:vAlign w:val="center"/>
          </w:tcPr>
          <w:p w14:paraId="4D8C90AE">
            <w:pPr>
              <w:adjustRightInd w:val="0"/>
              <w:snapToGrid w:val="0"/>
              <w:spacing w:line="240" w:lineRule="auto"/>
              <w:jc w:val="center"/>
              <w:rPr>
                <w:color w:val="auto"/>
              </w:rPr>
            </w:pPr>
          </w:p>
        </w:tc>
        <w:tc>
          <w:tcPr>
            <w:tcW w:w="1192" w:type="pct"/>
            <w:vMerge w:val="continue"/>
            <w:noWrap w:val="0"/>
            <w:vAlign w:val="center"/>
          </w:tcPr>
          <w:p w14:paraId="72B3F11B">
            <w:pPr>
              <w:adjustRightInd w:val="0"/>
              <w:snapToGrid w:val="0"/>
              <w:spacing w:line="240" w:lineRule="auto"/>
              <w:jc w:val="center"/>
              <w:rPr>
                <w:color w:val="auto"/>
              </w:rPr>
            </w:pPr>
          </w:p>
        </w:tc>
        <w:tc>
          <w:tcPr>
            <w:tcW w:w="584" w:type="pct"/>
            <w:vMerge w:val="restart"/>
            <w:noWrap w:val="0"/>
            <w:vAlign w:val="center"/>
          </w:tcPr>
          <w:p w14:paraId="27314292">
            <w:pPr>
              <w:adjustRightInd w:val="0"/>
              <w:snapToGrid w:val="0"/>
              <w:spacing w:line="240" w:lineRule="auto"/>
              <w:jc w:val="center"/>
              <w:rPr>
                <w:rFonts w:hint="default" w:eastAsia="宋体"/>
                <w:color w:val="auto"/>
                <w:lang w:val="en-US" w:eastAsia="zh-CN"/>
              </w:rPr>
            </w:pPr>
            <w:r>
              <w:rPr>
                <w:rFonts w:hint="eastAsia"/>
                <w:color w:val="auto"/>
                <w:lang w:val="en-US" w:eastAsia="zh-CN"/>
              </w:rPr>
              <w:t>转运过程颗粒物</w:t>
            </w:r>
          </w:p>
        </w:tc>
        <w:tc>
          <w:tcPr>
            <w:tcW w:w="1360" w:type="pct"/>
            <w:noWrap w:val="0"/>
            <w:vAlign w:val="center"/>
          </w:tcPr>
          <w:p w14:paraId="3097071B">
            <w:pPr>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输煤廊道、转载点及栈桥全密闭</w:t>
            </w:r>
          </w:p>
        </w:tc>
        <w:tc>
          <w:tcPr>
            <w:tcW w:w="1134" w:type="pct"/>
            <w:vMerge w:val="continue"/>
            <w:noWrap w:val="0"/>
            <w:vAlign w:val="center"/>
          </w:tcPr>
          <w:p w14:paraId="54594D00">
            <w:pPr>
              <w:adjustRightInd w:val="0"/>
              <w:snapToGrid w:val="0"/>
              <w:spacing w:line="240" w:lineRule="auto"/>
              <w:jc w:val="center"/>
              <w:rPr>
                <w:rFonts w:ascii="Times New Roman" w:hAnsi="Times New Roman" w:eastAsia="宋体"/>
                <w:color w:val="auto"/>
                <w:sz w:val="21"/>
                <w:szCs w:val="21"/>
              </w:rPr>
            </w:pPr>
          </w:p>
        </w:tc>
      </w:tr>
      <w:tr w14:paraId="0CA46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pct"/>
            <w:vMerge w:val="continue"/>
            <w:noWrap w:val="0"/>
            <w:vAlign w:val="center"/>
          </w:tcPr>
          <w:p w14:paraId="23D19123">
            <w:pPr>
              <w:snapToGrid w:val="0"/>
              <w:spacing w:line="240" w:lineRule="auto"/>
              <w:jc w:val="center"/>
              <w:rPr>
                <w:color w:val="auto"/>
              </w:rPr>
            </w:pPr>
          </w:p>
        </w:tc>
        <w:tc>
          <w:tcPr>
            <w:tcW w:w="1192" w:type="pct"/>
            <w:vMerge w:val="continue"/>
            <w:noWrap w:val="0"/>
            <w:vAlign w:val="center"/>
          </w:tcPr>
          <w:p w14:paraId="03922E4A">
            <w:pPr>
              <w:snapToGrid w:val="0"/>
              <w:spacing w:line="240" w:lineRule="auto"/>
              <w:jc w:val="center"/>
              <w:rPr>
                <w:color w:val="auto"/>
              </w:rPr>
            </w:pPr>
          </w:p>
        </w:tc>
        <w:tc>
          <w:tcPr>
            <w:tcW w:w="584" w:type="pct"/>
            <w:vMerge w:val="continue"/>
            <w:noWrap w:val="0"/>
            <w:vAlign w:val="center"/>
          </w:tcPr>
          <w:p w14:paraId="1F91C19C">
            <w:pPr>
              <w:snapToGrid w:val="0"/>
              <w:spacing w:line="240" w:lineRule="auto"/>
              <w:jc w:val="center"/>
              <w:rPr>
                <w:color w:val="auto"/>
              </w:rPr>
            </w:pPr>
          </w:p>
        </w:tc>
        <w:tc>
          <w:tcPr>
            <w:tcW w:w="1360" w:type="pct"/>
            <w:noWrap w:val="0"/>
            <w:vAlign w:val="center"/>
          </w:tcPr>
          <w:p w14:paraId="08A38317">
            <w:pPr>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设置喷雾洒水装置</w:t>
            </w:r>
          </w:p>
        </w:tc>
        <w:tc>
          <w:tcPr>
            <w:tcW w:w="1134" w:type="pct"/>
            <w:vMerge w:val="continue"/>
            <w:noWrap w:val="0"/>
            <w:vAlign w:val="center"/>
          </w:tcPr>
          <w:p w14:paraId="35D5564A">
            <w:pPr>
              <w:snapToGrid w:val="0"/>
              <w:spacing w:line="240" w:lineRule="auto"/>
              <w:jc w:val="center"/>
              <w:rPr>
                <w:rFonts w:hint="eastAsia" w:ascii="Times New Roman" w:hAnsi="Times New Roman" w:eastAsia="宋体"/>
                <w:color w:val="auto"/>
                <w:sz w:val="21"/>
                <w:szCs w:val="21"/>
                <w:lang w:val="en-US" w:eastAsia="zh-CN"/>
              </w:rPr>
            </w:pPr>
          </w:p>
        </w:tc>
      </w:tr>
      <w:tr w14:paraId="7F6BE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pct"/>
            <w:vMerge w:val="continue"/>
            <w:noWrap w:val="0"/>
            <w:vAlign w:val="center"/>
          </w:tcPr>
          <w:p w14:paraId="735226F5">
            <w:pPr>
              <w:adjustRightInd w:val="0"/>
              <w:snapToGrid w:val="0"/>
              <w:spacing w:line="240" w:lineRule="auto"/>
              <w:jc w:val="center"/>
              <w:rPr>
                <w:rFonts w:ascii="Times New Roman" w:hAnsi="Times New Roman" w:eastAsia="宋体"/>
                <w:color w:val="auto"/>
                <w:sz w:val="21"/>
                <w:szCs w:val="21"/>
                <w:vertAlign w:val="superscript"/>
              </w:rPr>
            </w:pPr>
          </w:p>
        </w:tc>
        <w:tc>
          <w:tcPr>
            <w:tcW w:w="1192" w:type="pct"/>
            <w:vMerge w:val="continue"/>
            <w:noWrap w:val="0"/>
            <w:vAlign w:val="center"/>
          </w:tcPr>
          <w:p w14:paraId="27EA2ADE">
            <w:pPr>
              <w:adjustRightInd w:val="0"/>
              <w:snapToGrid w:val="0"/>
              <w:spacing w:line="240" w:lineRule="auto"/>
              <w:jc w:val="center"/>
              <w:rPr>
                <w:rFonts w:ascii="Times New Roman" w:hAnsi="Times New Roman" w:eastAsia="宋体"/>
                <w:color w:val="auto"/>
                <w:sz w:val="21"/>
                <w:szCs w:val="21"/>
                <w:vertAlign w:val="superscript"/>
              </w:rPr>
            </w:pPr>
          </w:p>
        </w:tc>
        <w:tc>
          <w:tcPr>
            <w:tcW w:w="584" w:type="pct"/>
            <w:vMerge w:val="restart"/>
            <w:noWrap w:val="0"/>
            <w:vAlign w:val="center"/>
          </w:tcPr>
          <w:p w14:paraId="52AA426D">
            <w:pPr>
              <w:snapToGrid w:val="0"/>
              <w:spacing w:line="240" w:lineRule="auto"/>
              <w:jc w:val="center"/>
              <w:rPr>
                <w:rFonts w:ascii="Times New Roman" w:hAnsi="Times New Roman" w:eastAsia="宋体"/>
                <w:color w:val="auto"/>
                <w:sz w:val="21"/>
                <w:szCs w:val="21"/>
                <w:vertAlign w:val="superscript"/>
              </w:rPr>
            </w:pPr>
            <w:r>
              <w:rPr>
                <w:rFonts w:ascii="Times New Roman" w:hAnsi="Times New Roman" w:eastAsia="宋体"/>
                <w:color w:val="auto"/>
                <w:sz w:val="21"/>
                <w:szCs w:val="21"/>
              </w:rPr>
              <w:t>道路扬尘</w:t>
            </w:r>
          </w:p>
        </w:tc>
        <w:tc>
          <w:tcPr>
            <w:tcW w:w="1360" w:type="pct"/>
            <w:noWrap w:val="0"/>
            <w:vAlign w:val="center"/>
          </w:tcPr>
          <w:p w14:paraId="46B572AE">
            <w:pPr>
              <w:snapToGrid w:val="0"/>
              <w:spacing w:line="240" w:lineRule="auto"/>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z w:val="21"/>
                <w:szCs w:val="21"/>
              </w:rPr>
              <w:t>采用箱式运输车辆运输，厂区道路硬化处理</w:t>
            </w:r>
          </w:p>
        </w:tc>
        <w:tc>
          <w:tcPr>
            <w:tcW w:w="1134" w:type="pct"/>
            <w:vMerge w:val="continue"/>
            <w:noWrap w:val="0"/>
            <w:vAlign w:val="center"/>
          </w:tcPr>
          <w:p w14:paraId="39F6043A">
            <w:pPr>
              <w:adjustRightInd w:val="0"/>
              <w:snapToGrid w:val="0"/>
              <w:spacing w:line="240" w:lineRule="auto"/>
              <w:jc w:val="center"/>
              <w:rPr>
                <w:rFonts w:ascii="Times New Roman" w:hAnsi="Times New Roman" w:eastAsia="宋体"/>
                <w:color w:val="auto"/>
                <w:sz w:val="21"/>
                <w:szCs w:val="21"/>
                <w:vertAlign w:val="superscript"/>
              </w:rPr>
            </w:pPr>
          </w:p>
        </w:tc>
      </w:tr>
      <w:tr w14:paraId="5F03F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pct"/>
            <w:vMerge w:val="continue"/>
            <w:noWrap w:val="0"/>
            <w:vAlign w:val="center"/>
          </w:tcPr>
          <w:p w14:paraId="5794E5DB">
            <w:pPr>
              <w:adjustRightInd w:val="0"/>
              <w:snapToGrid w:val="0"/>
              <w:spacing w:line="240" w:lineRule="auto"/>
              <w:jc w:val="center"/>
              <w:rPr>
                <w:color w:val="auto"/>
              </w:rPr>
            </w:pPr>
          </w:p>
        </w:tc>
        <w:tc>
          <w:tcPr>
            <w:tcW w:w="1192" w:type="pct"/>
            <w:vMerge w:val="continue"/>
            <w:noWrap w:val="0"/>
            <w:vAlign w:val="center"/>
          </w:tcPr>
          <w:p w14:paraId="2485F93B">
            <w:pPr>
              <w:adjustRightInd w:val="0"/>
              <w:snapToGrid w:val="0"/>
              <w:spacing w:line="240" w:lineRule="auto"/>
              <w:jc w:val="center"/>
              <w:rPr>
                <w:color w:val="auto"/>
              </w:rPr>
            </w:pPr>
          </w:p>
        </w:tc>
        <w:tc>
          <w:tcPr>
            <w:tcW w:w="584" w:type="pct"/>
            <w:vMerge w:val="continue"/>
            <w:noWrap w:val="0"/>
            <w:vAlign w:val="center"/>
          </w:tcPr>
          <w:p w14:paraId="014B01FF">
            <w:pPr>
              <w:adjustRightInd w:val="0"/>
              <w:snapToGrid w:val="0"/>
              <w:spacing w:line="240" w:lineRule="auto"/>
              <w:jc w:val="center"/>
              <w:rPr>
                <w:color w:val="auto"/>
              </w:rPr>
            </w:pPr>
          </w:p>
        </w:tc>
        <w:tc>
          <w:tcPr>
            <w:tcW w:w="1360" w:type="pct"/>
            <w:noWrap w:val="0"/>
            <w:vAlign w:val="center"/>
          </w:tcPr>
          <w:p w14:paraId="2FBA4ECC">
            <w:pPr>
              <w:snapToGrid w:val="0"/>
              <w:spacing w:line="240" w:lineRule="auto"/>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z w:val="21"/>
                <w:szCs w:val="21"/>
              </w:rPr>
              <w:t>及时清扫、洒水抑尘</w:t>
            </w:r>
          </w:p>
        </w:tc>
        <w:tc>
          <w:tcPr>
            <w:tcW w:w="1134" w:type="pct"/>
            <w:vMerge w:val="continue"/>
            <w:noWrap w:val="0"/>
            <w:vAlign w:val="center"/>
          </w:tcPr>
          <w:p w14:paraId="60548E4F">
            <w:pPr>
              <w:adjustRightInd w:val="0"/>
              <w:snapToGrid w:val="0"/>
              <w:spacing w:line="240" w:lineRule="auto"/>
              <w:jc w:val="center"/>
              <w:rPr>
                <w:rFonts w:hint="default" w:ascii="Times New Roman" w:hAnsi="Times New Roman" w:eastAsia="宋体"/>
                <w:color w:val="auto"/>
                <w:sz w:val="21"/>
                <w:szCs w:val="21"/>
                <w:vertAlign w:val="baseline"/>
                <w:lang w:val="en-US" w:eastAsia="zh-CN"/>
              </w:rPr>
            </w:pPr>
          </w:p>
        </w:tc>
      </w:tr>
      <w:tr w14:paraId="391FA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pct"/>
            <w:vMerge w:val="continue"/>
            <w:noWrap w:val="0"/>
            <w:vAlign w:val="center"/>
          </w:tcPr>
          <w:p w14:paraId="5E5A8979">
            <w:pPr>
              <w:adjustRightInd w:val="0"/>
              <w:snapToGrid w:val="0"/>
              <w:spacing w:line="240" w:lineRule="auto"/>
              <w:jc w:val="center"/>
              <w:rPr>
                <w:color w:val="auto"/>
              </w:rPr>
            </w:pPr>
          </w:p>
        </w:tc>
        <w:tc>
          <w:tcPr>
            <w:tcW w:w="1192" w:type="pct"/>
            <w:vMerge w:val="continue"/>
            <w:noWrap w:val="0"/>
            <w:vAlign w:val="center"/>
          </w:tcPr>
          <w:p w14:paraId="23E4B57A">
            <w:pPr>
              <w:adjustRightInd w:val="0"/>
              <w:snapToGrid w:val="0"/>
              <w:spacing w:line="240" w:lineRule="auto"/>
              <w:jc w:val="center"/>
              <w:rPr>
                <w:color w:val="auto"/>
              </w:rPr>
            </w:pPr>
          </w:p>
        </w:tc>
        <w:tc>
          <w:tcPr>
            <w:tcW w:w="584" w:type="pct"/>
            <w:vMerge w:val="continue"/>
            <w:noWrap w:val="0"/>
            <w:vAlign w:val="center"/>
          </w:tcPr>
          <w:p w14:paraId="4758F83A">
            <w:pPr>
              <w:adjustRightInd w:val="0"/>
              <w:snapToGrid w:val="0"/>
              <w:spacing w:line="240" w:lineRule="auto"/>
              <w:jc w:val="center"/>
              <w:rPr>
                <w:color w:val="auto"/>
              </w:rPr>
            </w:pPr>
          </w:p>
        </w:tc>
        <w:tc>
          <w:tcPr>
            <w:tcW w:w="1360" w:type="pct"/>
            <w:noWrap w:val="0"/>
            <w:vAlign w:val="center"/>
          </w:tcPr>
          <w:p w14:paraId="5EC8A651">
            <w:pPr>
              <w:snapToGrid w:val="0"/>
              <w:spacing w:line="240" w:lineRule="auto"/>
              <w:jc w:val="center"/>
              <w:rPr>
                <w:rFonts w:hint="default" w:ascii="Times New Roman" w:hAnsi="Times New Roman" w:eastAsia="宋体"/>
                <w:color w:val="auto"/>
                <w:sz w:val="21"/>
                <w:szCs w:val="21"/>
                <w:lang w:val="en-US" w:eastAsia="zh-CN"/>
              </w:rPr>
            </w:pPr>
            <w:r>
              <w:rPr>
                <w:rFonts w:hint="eastAsia"/>
                <w:color w:val="FF0000"/>
                <w:sz w:val="21"/>
                <w:szCs w:val="21"/>
                <w:lang w:val="en-US" w:eastAsia="zh-CN"/>
              </w:rPr>
              <w:t>安装环保门禁及视频监控系统</w:t>
            </w:r>
          </w:p>
        </w:tc>
        <w:tc>
          <w:tcPr>
            <w:tcW w:w="1134" w:type="pct"/>
            <w:vMerge w:val="continue"/>
            <w:noWrap w:val="0"/>
            <w:vAlign w:val="center"/>
          </w:tcPr>
          <w:p w14:paraId="5A4D55C0">
            <w:pPr>
              <w:adjustRightInd w:val="0"/>
              <w:snapToGrid w:val="0"/>
              <w:spacing w:line="240" w:lineRule="auto"/>
              <w:jc w:val="center"/>
              <w:rPr>
                <w:rFonts w:hint="default" w:ascii="Times New Roman" w:hAnsi="Times New Roman" w:eastAsia="宋体"/>
                <w:color w:val="auto"/>
                <w:sz w:val="21"/>
                <w:szCs w:val="21"/>
                <w:vertAlign w:val="baseline"/>
                <w:lang w:val="en-US" w:eastAsia="zh-CN"/>
              </w:rPr>
            </w:pPr>
          </w:p>
        </w:tc>
      </w:tr>
      <w:tr w14:paraId="61A0E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8" w:type="pct"/>
            <w:vMerge w:val="restart"/>
            <w:noWrap w:val="0"/>
            <w:vAlign w:val="center"/>
          </w:tcPr>
          <w:p w14:paraId="6E58CD67">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地表水</w:t>
            </w:r>
          </w:p>
          <w:p w14:paraId="38E752EB">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环境</w:t>
            </w:r>
          </w:p>
        </w:tc>
        <w:tc>
          <w:tcPr>
            <w:tcW w:w="1192" w:type="pct"/>
            <w:noWrap w:val="0"/>
            <w:vAlign w:val="center"/>
          </w:tcPr>
          <w:p w14:paraId="704C3BA8">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雨水</w:t>
            </w:r>
          </w:p>
        </w:tc>
        <w:tc>
          <w:tcPr>
            <w:tcW w:w="584" w:type="pct"/>
            <w:vMerge w:val="restart"/>
            <w:noWrap w:val="0"/>
            <w:vAlign w:val="center"/>
          </w:tcPr>
          <w:p w14:paraId="59B0F7DB">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1360" w:type="pct"/>
            <w:noWrap w:val="0"/>
            <w:vAlign w:val="center"/>
          </w:tcPr>
          <w:p w14:paraId="287AB3EB">
            <w:pPr>
              <w:adjustRightInd w:val="0"/>
              <w:snapToGrid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FF0000"/>
                <w:kern w:val="0"/>
                <w:sz w:val="21"/>
                <w:szCs w:val="21"/>
                <w:highlight w:val="none"/>
                <w:lang w:val="en-US" w:eastAsia="zh-CN"/>
              </w:rPr>
              <w:t>新建容积不小于</w:t>
            </w:r>
            <w:r>
              <w:rPr>
                <w:rFonts w:hint="eastAsia" w:cs="Times New Roman"/>
                <w:color w:val="7030A0"/>
                <w:sz w:val="21"/>
                <w:szCs w:val="21"/>
                <w:highlight w:val="none"/>
                <w:lang w:val="en-US" w:eastAsia="zh-CN"/>
              </w:rPr>
              <w:t>654m</w:t>
            </w:r>
            <w:r>
              <w:rPr>
                <w:rFonts w:hint="eastAsia" w:cs="Times New Roman"/>
                <w:color w:val="7030A0"/>
                <w:sz w:val="24"/>
                <w:szCs w:val="24"/>
                <w:highlight w:val="none"/>
                <w:vertAlign w:val="superscript"/>
                <w:lang w:val="en-US" w:eastAsia="zh-CN"/>
              </w:rPr>
              <w:t>3</w:t>
            </w:r>
            <w:r>
              <w:rPr>
                <w:rFonts w:hint="default" w:ascii="Times New Roman" w:hAnsi="Times New Roman" w:cs="Times New Roman"/>
                <w:color w:val="FF0000"/>
                <w:kern w:val="0"/>
                <w:sz w:val="21"/>
                <w:szCs w:val="21"/>
                <w:highlight w:val="none"/>
                <w:lang w:val="en-US" w:eastAsia="zh-CN"/>
              </w:rPr>
              <w:t>的初期雨水池</w:t>
            </w:r>
          </w:p>
        </w:tc>
        <w:tc>
          <w:tcPr>
            <w:tcW w:w="1134" w:type="pct"/>
            <w:vMerge w:val="restart"/>
            <w:noWrap w:val="0"/>
            <w:vAlign w:val="center"/>
          </w:tcPr>
          <w:p w14:paraId="79D057F5">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综合利用，不外排</w:t>
            </w:r>
          </w:p>
        </w:tc>
      </w:tr>
      <w:tr w14:paraId="01D76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8" w:type="pct"/>
            <w:vMerge w:val="continue"/>
            <w:noWrap w:val="0"/>
            <w:vAlign w:val="center"/>
          </w:tcPr>
          <w:p w14:paraId="67020818">
            <w:pPr>
              <w:adjustRightInd w:val="0"/>
              <w:snapToGrid w:val="0"/>
              <w:spacing w:line="240" w:lineRule="auto"/>
              <w:jc w:val="center"/>
              <w:rPr>
                <w:color w:val="auto"/>
              </w:rPr>
            </w:pPr>
          </w:p>
        </w:tc>
        <w:tc>
          <w:tcPr>
            <w:tcW w:w="1192" w:type="pct"/>
            <w:noWrap w:val="0"/>
            <w:vAlign w:val="center"/>
          </w:tcPr>
          <w:p w14:paraId="735D1F93">
            <w:pPr>
              <w:adjustRightInd w:val="0"/>
              <w:snapToGrid w:val="0"/>
              <w:spacing w:line="240" w:lineRule="auto"/>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地面冲洗水</w:t>
            </w:r>
          </w:p>
        </w:tc>
        <w:tc>
          <w:tcPr>
            <w:tcW w:w="584" w:type="pct"/>
            <w:vMerge w:val="continue"/>
            <w:noWrap w:val="0"/>
            <w:vAlign w:val="center"/>
          </w:tcPr>
          <w:p w14:paraId="2014EEEE">
            <w:pPr>
              <w:adjustRightInd w:val="0"/>
              <w:snapToGrid w:val="0"/>
              <w:spacing w:line="240" w:lineRule="auto"/>
              <w:jc w:val="center"/>
              <w:rPr>
                <w:color w:val="FF0000"/>
              </w:rPr>
            </w:pPr>
          </w:p>
        </w:tc>
        <w:tc>
          <w:tcPr>
            <w:tcW w:w="1360" w:type="pct"/>
            <w:noWrap w:val="0"/>
            <w:vAlign w:val="center"/>
          </w:tcPr>
          <w:p w14:paraId="2277E63A">
            <w:pPr>
              <w:adjustRightInd w:val="0"/>
              <w:snapToGrid w:val="0"/>
              <w:spacing w:line="240" w:lineRule="auto"/>
              <w:jc w:val="center"/>
              <w:rPr>
                <w:rFonts w:hint="default" w:ascii="Times New Roman" w:hAnsi="Times New Roman" w:eastAsia="宋体"/>
                <w:color w:val="FF0000"/>
                <w:sz w:val="21"/>
                <w:szCs w:val="21"/>
                <w:lang w:val="en-US" w:eastAsia="zh-CN"/>
              </w:rPr>
            </w:pPr>
            <w:r>
              <w:rPr>
                <w:rFonts w:hint="eastAsia"/>
                <w:color w:val="7030A0"/>
                <w:sz w:val="21"/>
                <w:szCs w:val="21"/>
                <w:lang w:val="en-US" w:eastAsia="zh-CN"/>
              </w:rPr>
              <w:t>原煤储煤棚和新建精煤储煤棚进出口设置挡水围堰</w:t>
            </w:r>
          </w:p>
        </w:tc>
        <w:tc>
          <w:tcPr>
            <w:tcW w:w="1134" w:type="pct"/>
            <w:vMerge w:val="continue"/>
            <w:noWrap w:val="0"/>
            <w:vAlign w:val="center"/>
          </w:tcPr>
          <w:p w14:paraId="2CCE4038">
            <w:pPr>
              <w:adjustRightInd w:val="0"/>
              <w:snapToGrid w:val="0"/>
              <w:spacing w:line="240" w:lineRule="auto"/>
              <w:jc w:val="center"/>
              <w:rPr>
                <w:rFonts w:hint="eastAsia" w:ascii="Times New Roman" w:hAnsi="Times New Roman" w:eastAsia="宋体"/>
                <w:color w:val="auto"/>
                <w:sz w:val="21"/>
                <w:szCs w:val="21"/>
                <w:lang w:eastAsia="zh-CN"/>
              </w:rPr>
            </w:pPr>
          </w:p>
        </w:tc>
      </w:tr>
      <w:tr w14:paraId="1D117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8" w:type="pct"/>
            <w:vMerge w:val="continue"/>
            <w:noWrap w:val="0"/>
            <w:vAlign w:val="center"/>
          </w:tcPr>
          <w:p w14:paraId="79BE059D">
            <w:pPr>
              <w:adjustRightInd w:val="0"/>
              <w:snapToGrid w:val="0"/>
              <w:spacing w:line="240" w:lineRule="auto"/>
              <w:jc w:val="center"/>
              <w:rPr>
                <w:color w:val="auto"/>
              </w:rPr>
            </w:pPr>
          </w:p>
        </w:tc>
        <w:tc>
          <w:tcPr>
            <w:tcW w:w="1192" w:type="pct"/>
            <w:noWrap w:val="0"/>
            <w:vAlign w:val="center"/>
          </w:tcPr>
          <w:p w14:paraId="3418A1C0">
            <w:pPr>
              <w:adjustRightInd w:val="0"/>
              <w:snapToGrid w:val="0"/>
              <w:spacing w:line="240" w:lineRule="auto"/>
              <w:jc w:val="center"/>
              <w:rPr>
                <w:rFonts w:hint="default"/>
                <w:color w:val="FF0000"/>
                <w:sz w:val="21"/>
                <w:szCs w:val="21"/>
                <w:lang w:val="en-US" w:eastAsia="zh-CN"/>
              </w:rPr>
            </w:pPr>
            <w:r>
              <w:rPr>
                <w:rFonts w:hint="eastAsia"/>
                <w:color w:val="7030A0"/>
                <w:sz w:val="21"/>
                <w:szCs w:val="21"/>
                <w:lang w:val="en-US" w:eastAsia="zh-CN"/>
              </w:rPr>
              <w:t>事故废水</w:t>
            </w:r>
          </w:p>
        </w:tc>
        <w:tc>
          <w:tcPr>
            <w:tcW w:w="584" w:type="pct"/>
            <w:vMerge w:val="continue"/>
            <w:noWrap w:val="0"/>
            <w:vAlign w:val="center"/>
          </w:tcPr>
          <w:p w14:paraId="21C2BF84">
            <w:pPr>
              <w:adjustRightInd w:val="0"/>
              <w:snapToGrid w:val="0"/>
              <w:spacing w:line="240" w:lineRule="auto"/>
              <w:jc w:val="center"/>
              <w:rPr>
                <w:color w:val="FF0000"/>
              </w:rPr>
            </w:pPr>
          </w:p>
        </w:tc>
        <w:tc>
          <w:tcPr>
            <w:tcW w:w="1360" w:type="pct"/>
            <w:noWrap w:val="0"/>
            <w:vAlign w:val="center"/>
          </w:tcPr>
          <w:p w14:paraId="4F2991A1">
            <w:pPr>
              <w:adjustRightInd w:val="0"/>
              <w:snapToGrid w:val="0"/>
              <w:spacing w:line="240" w:lineRule="auto"/>
              <w:jc w:val="center"/>
              <w:rPr>
                <w:rFonts w:hint="default"/>
                <w:color w:val="FF0000"/>
                <w:sz w:val="21"/>
                <w:szCs w:val="21"/>
                <w:lang w:val="en-US" w:eastAsia="zh-CN"/>
              </w:rPr>
            </w:pPr>
            <w:r>
              <w:rPr>
                <w:rFonts w:hint="eastAsia"/>
                <w:color w:val="112ADE"/>
                <w:sz w:val="21"/>
                <w:szCs w:val="21"/>
                <w:lang w:val="en-US" w:eastAsia="zh-CN"/>
              </w:rPr>
              <w:t>新建</w:t>
            </w:r>
            <w:r>
              <w:rPr>
                <w:rFonts w:hint="eastAsia"/>
                <w:color w:val="7030A0"/>
                <w:sz w:val="21"/>
                <w:szCs w:val="21"/>
                <w:lang w:val="en-US" w:eastAsia="zh-CN"/>
              </w:rPr>
              <w:t>1200</w:t>
            </w:r>
            <w:r>
              <w:rPr>
                <w:rFonts w:hint="eastAsia" w:cs="Times New Roman"/>
                <w:color w:val="7030A0"/>
                <w:sz w:val="21"/>
                <w:szCs w:val="21"/>
                <w:highlight w:val="none"/>
                <w:lang w:val="en-US" w:eastAsia="zh-CN"/>
              </w:rPr>
              <w:t>m</w:t>
            </w:r>
            <w:r>
              <w:rPr>
                <w:rFonts w:hint="eastAsia" w:cs="Times New Roman"/>
                <w:color w:val="7030A0"/>
                <w:sz w:val="24"/>
                <w:szCs w:val="24"/>
                <w:highlight w:val="none"/>
                <w:vertAlign w:val="superscript"/>
                <w:lang w:val="en-US" w:eastAsia="zh-CN"/>
              </w:rPr>
              <w:t>3</w:t>
            </w:r>
            <w:r>
              <w:rPr>
                <w:rFonts w:hint="eastAsia"/>
                <w:color w:val="112ADE"/>
                <w:sz w:val="21"/>
                <w:szCs w:val="21"/>
                <w:lang w:val="en-US" w:eastAsia="zh-CN"/>
              </w:rPr>
              <w:t>的事故水池</w:t>
            </w:r>
          </w:p>
        </w:tc>
        <w:tc>
          <w:tcPr>
            <w:tcW w:w="1134" w:type="pct"/>
            <w:vMerge w:val="continue"/>
            <w:noWrap w:val="0"/>
            <w:vAlign w:val="center"/>
          </w:tcPr>
          <w:p w14:paraId="7E02476B">
            <w:pPr>
              <w:adjustRightInd w:val="0"/>
              <w:snapToGrid w:val="0"/>
              <w:spacing w:line="240" w:lineRule="auto"/>
              <w:jc w:val="center"/>
              <w:rPr>
                <w:rFonts w:hint="eastAsia" w:ascii="Times New Roman" w:hAnsi="Times New Roman" w:eastAsia="宋体"/>
                <w:color w:val="auto"/>
                <w:sz w:val="21"/>
                <w:szCs w:val="21"/>
                <w:lang w:eastAsia="zh-CN"/>
              </w:rPr>
            </w:pPr>
          </w:p>
        </w:tc>
      </w:tr>
      <w:tr w14:paraId="5F869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28" w:type="pct"/>
            <w:vMerge w:val="restart"/>
            <w:noWrap w:val="0"/>
            <w:vAlign w:val="center"/>
          </w:tcPr>
          <w:p w14:paraId="6C8909D7">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地下水</w:t>
            </w:r>
            <w:r>
              <w:rPr>
                <w:rFonts w:hint="eastAsia" w:ascii="Times New Roman" w:hAnsi="Times New Roman" w:eastAsia="宋体"/>
                <w:color w:val="auto"/>
                <w:sz w:val="21"/>
                <w:szCs w:val="21"/>
                <w:lang w:val="en-US" w:eastAsia="zh-CN"/>
              </w:rPr>
              <w:t>及土壤</w:t>
            </w:r>
            <w:r>
              <w:rPr>
                <w:rFonts w:ascii="Times New Roman" w:hAnsi="Times New Roman" w:eastAsia="宋体"/>
                <w:color w:val="auto"/>
                <w:sz w:val="21"/>
                <w:szCs w:val="21"/>
              </w:rPr>
              <w:t>环境</w:t>
            </w:r>
          </w:p>
        </w:tc>
        <w:tc>
          <w:tcPr>
            <w:tcW w:w="1192" w:type="pct"/>
            <w:vMerge w:val="restart"/>
            <w:noWrap w:val="0"/>
            <w:vAlign w:val="center"/>
          </w:tcPr>
          <w:p w14:paraId="550CC0E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bCs/>
                <w:color w:val="auto"/>
                <w:sz w:val="21"/>
                <w:szCs w:val="21"/>
              </w:rPr>
              <w:t>/</w:t>
            </w:r>
          </w:p>
        </w:tc>
        <w:tc>
          <w:tcPr>
            <w:tcW w:w="584" w:type="pct"/>
            <w:vMerge w:val="restart"/>
            <w:noWrap w:val="0"/>
            <w:vAlign w:val="center"/>
          </w:tcPr>
          <w:p w14:paraId="63465CBA">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94" w:type="pct"/>
            <w:gridSpan w:val="2"/>
            <w:noWrap w:val="0"/>
            <w:vAlign w:val="center"/>
          </w:tcPr>
          <w:p w14:paraId="4CCDDF13">
            <w:pPr>
              <w:snapToGrid w:val="0"/>
              <w:spacing w:line="240" w:lineRule="auto"/>
              <w:jc w:val="center"/>
              <w:rPr>
                <w:rFonts w:ascii="Times New Roman" w:hAnsi="Times New Roman" w:eastAsia="宋体"/>
                <w:color w:val="auto"/>
                <w:sz w:val="21"/>
                <w:szCs w:val="21"/>
              </w:rPr>
            </w:pPr>
            <w:r>
              <w:rPr>
                <w:rFonts w:hint="eastAsia" w:ascii="Times New Roman" w:hAnsi="Times New Roman" w:eastAsia="宋体"/>
                <w:color w:val="FF0000"/>
                <w:sz w:val="21"/>
                <w:szCs w:val="21"/>
                <w:lang w:val="en-US" w:eastAsia="zh-CN"/>
              </w:rPr>
              <w:t>精煤</w:t>
            </w:r>
            <w:r>
              <w:rPr>
                <w:rFonts w:hint="eastAsia" w:ascii="Times New Roman" w:hAnsi="Times New Roman" w:eastAsia="宋体"/>
                <w:color w:val="FF0000"/>
                <w:sz w:val="21"/>
                <w:szCs w:val="21"/>
              </w:rPr>
              <w:t>储</w:t>
            </w:r>
            <w:r>
              <w:rPr>
                <w:rFonts w:hint="eastAsia" w:ascii="Times New Roman" w:hAnsi="Times New Roman" w:eastAsia="宋体"/>
                <w:color w:val="auto"/>
                <w:sz w:val="21"/>
                <w:szCs w:val="21"/>
              </w:rPr>
              <w:t>煤棚</w:t>
            </w:r>
            <w:r>
              <w:rPr>
                <w:rFonts w:hint="eastAsia"/>
                <w:color w:val="FF0000"/>
                <w:sz w:val="21"/>
                <w:szCs w:val="21"/>
                <w:lang w:eastAsia="zh-CN"/>
              </w:rPr>
              <w:t>、</w:t>
            </w:r>
            <w:r>
              <w:rPr>
                <w:rFonts w:hint="eastAsia"/>
                <w:color w:val="FF0000"/>
                <w:sz w:val="21"/>
                <w:szCs w:val="21"/>
                <w:lang w:val="en-US" w:eastAsia="zh-CN"/>
              </w:rPr>
              <w:t>新建初期雨水池</w:t>
            </w:r>
            <w:r>
              <w:rPr>
                <w:rFonts w:hint="eastAsia" w:ascii="Times New Roman" w:hAnsi="Times New Roman" w:eastAsia="宋体"/>
                <w:color w:val="auto"/>
                <w:sz w:val="21"/>
                <w:szCs w:val="21"/>
              </w:rPr>
              <w:t>采取一般防渗措施，防渗层的厚度应相当于渗透系数为1.0×10</w:t>
            </w:r>
            <w:r>
              <w:rPr>
                <w:rFonts w:hint="eastAsia" w:ascii="Times New Roman" w:hAnsi="Times New Roman" w:eastAsia="宋体"/>
                <w:color w:val="auto"/>
                <w:sz w:val="21"/>
                <w:szCs w:val="21"/>
                <w:vertAlign w:val="superscript"/>
              </w:rPr>
              <w:t>-7</w:t>
            </w:r>
            <w:r>
              <w:rPr>
                <w:rFonts w:hint="eastAsia" w:ascii="Times New Roman" w:hAnsi="Times New Roman" w:eastAsia="宋体"/>
                <w:color w:val="auto"/>
                <w:sz w:val="21"/>
                <w:szCs w:val="21"/>
              </w:rPr>
              <w:t>cm/s、厚度1.5m的粘土层的防渗性能或参照 GB18598 执行；</w:t>
            </w:r>
          </w:p>
        </w:tc>
      </w:tr>
      <w:tr w14:paraId="5012A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28" w:type="pct"/>
            <w:vMerge w:val="continue"/>
            <w:noWrap w:val="0"/>
            <w:vAlign w:val="center"/>
          </w:tcPr>
          <w:p w14:paraId="72DAD30C">
            <w:pPr>
              <w:snapToGrid w:val="0"/>
              <w:spacing w:line="240" w:lineRule="auto"/>
              <w:jc w:val="center"/>
              <w:rPr>
                <w:color w:val="auto"/>
              </w:rPr>
            </w:pPr>
          </w:p>
        </w:tc>
        <w:tc>
          <w:tcPr>
            <w:tcW w:w="1192" w:type="pct"/>
            <w:vMerge w:val="continue"/>
            <w:noWrap w:val="0"/>
            <w:vAlign w:val="center"/>
          </w:tcPr>
          <w:p w14:paraId="4657426B">
            <w:pPr>
              <w:snapToGrid w:val="0"/>
              <w:spacing w:line="240" w:lineRule="auto"/>
              <w:jc w:val="center"/>
              <w:rPr>
                <w:color w:val="auto"/>
              </w:rPr>
            </w:pPr>
          </w:p>
        </w:tc>
        <w:tc>
          <w:tcPr>
            <w:tcW w:w="584" w:type="pct"/>
            <w:vMerge w:val="continue"/>
            <w:noWrap w:val="0"/>
            <w:vAlign w:val="center"/>
          </w:tcPr>
          <w:p w14:paraId="4399E8EA">
            <w:pPr>
              <w:snapToGrid w:val="0"/>
              <w:spacing w:line="240" w:lineRule="auto"/>
              <w:jc w:val="center"/>
              <w:rPr>
                <w:color w:val="auto"/>
              </w:rPr>
            </w:pPr>
          </w:p>
        </w:tc>
        <w:tc>
          <w:tcPr>
            <w:tcW w:w="2494" w:type="pct"/>
            <w:gridSpan w:val="2"/>
            <w:noWrap w:val="0"/>
            <w:vAlign w:val="center"/>
          </w:tcPr>
          <w:p w14:paraId="10382279">
            <w:pPr>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加强操作管理，确保处理设备正常稳定运行，现有危废暂存库地面按照《危险废物贮存污染控制标准》（GB18597-2023）进行基础防渗，防渗层为至少1m厚黏土层（渗透系数不大于10-7cm/s），或至少2mm厚高密度聚乙烯膜等人工防渗材料（渗透系数不大于10-10 cm/s），或其他防渗性能等效的材料</w:t>
            </w:r>
          </w:p>
        </w:tc>
      </w:tr>
      <w:tr w14:paraId="091C9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28" w:type="pct"/>
            <w:noWrap w:val="0"/>
            <w:vAlign w:val="center"/>
          </w:tcPr>
          <w:p w14:paraId="05F4BA76">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声环境</w:t>
            </w:r>
          </w:p>
        </w:tc>
        <w:tc>
          <w:tcPr>
            <w:tcW w:w="1192" w:type="pct"/>
            <w:noWrap w:val="0"/>
            <w:vAlign w:val="center"/>
          </w:tcPr>
          <w:p w14:paraId="409BECB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选用低噪声设备、合理安排作业时间、禁止夜间施工等</w:t>
            </w:r>
          </w:p>
        </w:tc>
        <w:tc>
          <w:tcPr>
            <w:tcW w:w="584" w:type="pct"/>
            <w:noWrap w:val="0"/>
            <w:vAlign w:val="center"/>
          </w:tcPr>
          <w:p w14:paraId="77086CA8">
            <w:pPr>
              <w:adjustRightInd w:val="0"/>
              <w:snapToGri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连续等效A声级</w:t>
            </w:r>
          </w:p>
        </w:tc>
        <w:tc>
          <w:tcPr>
            <w:tcW w:w="1360" w:type="pct"/>
            <w:noWrap w:val="0"/>
            <w:vAlign w:val="center"/>
          </w:tcPr>
          <w:p w14:paraId="37DA960D">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选择低噪声设备、合理布局、设备入室、减振、隔声、消声等</w:t>
            </w:r>
          </w:p>
        </w:tc>
        <w:tc>
          <w:tcPr>
            <w:tcW w:w="1134" w:type="pct"/>
            <w:noWrap w:val="0"/>
            <w:vAlign w:val="center"/>
          </w:tcPr>
          <w:p w14:paraId="08EF472E">
            <w:pPr>
              <w:adjustRightInd w:val="0"/>
              <w:snapToGri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厂</w:t>
            </w:r>
            <w:r>
              <w:rPr>
                <w:rFonts w:ascii="Times New Roman" w:hAnsi="Times New Roman" w:eastAsia="宋体"/>
                <w:color w:val="auto"/>
                <w:sz w:val="21"/>
                <w:szCs w:val="21"/>
              </w:rPr>
              <w:t>界噪声排放满足《工业企业厂界环境噪声排放标准》（GB12348-2008）中</w:t>
            </w:r>
            <w:r>
              <w:rPr>
                <w:rFonts w:hint="eastAsia" w:ascii="Times New Roman" w:hAnsi="Times New Roman" w:eastAsia="宋体"/>
                <w:color w:val="auto"/>
                <w:sz w:val="21"/>
                <w:szCs w:val="21"/>
                <w:lang w:val="en-US" w:eastAsia="zh-CN"/>
              </w:rPr>
              <w:t>2</w:t>
            </w:r>
            <w:r>
              <w:rPr>
                <w:rFonts w:ascii="Times New Roman" w:hAnsi="Times New Roman" w:eastAsia="宋体"/>
                <w:color w:val="auto"/>
                <w:sz w:val="21"/>
                <w:szCs w:val="21"/>
              </w:rPr>
              <w:t>类标准</w:t>
            </w:r>
          </w:p>
        </w:tc>
      </w:tr>
      <w:tr w14:paraId="2DA0B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noWrap w:val="0"/>
            <w:vAlign w:val="center"/>
          </w:tcPr>
          <w:p w14:paraId="1D4B5630">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固体废物</w:t>
            </w:r>
          </w:p>
        </w:tc>
        <w:tc>
          <w:tcPr>
            <w:tcW w:w="1192" w:type="pct"/>
            <w:noWrap w:val="0"/>
            <w:vAlign w:val="center"/>
          </w:tcPr>
          <w:p w14:paraId="7151C5C1">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bCs/>
                <w:color w:val="auto"/>
                <w:sz w:val="21"/>
                <w:szCs w:val="21"/>
              </w:rPr>
              <w:t>建筑垃圾按要求分类处置、综合回收利用，不能回用的及时送往城建部门指定的建筑垃圾处理场处置</w:t>
            </w:r>
          </w:p>
        </w:tc>
        <w:tc>
          <w:tcPr>
            <w:tcW w:w="584" w:type="pct"/>
            <w:noWrap w:val="0"/>
            <w:vAlign w:val="center"/>
          </w:tcPr>
          <w:p w14:paraId="677E34C0">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处置率100%</w:t>
            </w:r>
          </w:p>
        </w:tc>
        <w:tc>
          <w:tcPr>
            <w:tcW w:w="1360" w:type="pct"/>
            <w:noWrap w:val="0"/>
            <w:vAlign w:val="center"/>
          </w:tcPr>
          <w:p w14:paraId="7D18B3BF">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bCs/>
                <w:color w:val="auto"/>
                <w:sz w:val="21"/>
                <w:szCs w:val="21"/>
                <w:lang w:val="en-US" w:eastAsia="zh-CN"/>
              </w:rPr>
              <w:t>依托洗煤厂</w:t>
            </w:r>
            <w:r>
              <w:rPr>
                <w:rFonts w:hint="eastAsia" w:ascii="Times New Roman" w:hAnsi="Times New Roman" w:eastAsia="宋体"/>
                <w:bCs/>
                <w:color w:val="auto"/>
                <w:sz w:val="21"/>
                <w:szCs w:val="21"/>
                <w:lang w:eastAsia="zh-CN"/>
              </w:rPr>
              <w:t>危废暂存库</w:t>
            </w:r>
            <w:r>
              <w:rPr>
                <w:rFonts w:ascii="Times New Roman" w:hAnsi="Times New Roman" w:eastAsia="宋体"/>
                <w:bCs/>
                <w:color w:val="auto"/>
                <w:sz w:val="21"/>
                <w:szCs w:val="21"/>
              </w:rPr>
              <w:t>，</w:t>
            </w:r>
            <w:r>
              <w:rPr>
                <w:rFonts w:hint="eastAsia" w:ascii="Times New Roman" w:hAnsi="Times New Roman" w:eastAsia="宋体"/>
                <w:bCs/>
                <w:color w:val="auto"/>
                <w:sz w:val="21"/>
                <w:szCs w:val="21"/>
              </w:rPr>
              <w:t>按照《危险废物贮存污染控制标准》(GB18597-2023）和《危险废物识别标志设置技术规范》（HJ1276-2022）对危废暂存库进行防风、防雨、防晒、防渗、标识标牌等进行完善，定期委托有资质的单位处置</w:t>
            </w:r>
          </w:p>
        </w:tc>
        <w:tc>
          <w:tcPr>
            <w:tcW w:w="1134" w:type="pct"/>
            <w:noWrap w:val="0"/>
            <w:vAlign w:val="center"/>
          </w:tcPr>
          <w:p w14:paraId="4BC25DB9">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处置率100%</w:t>
            </w:r>
          </w:p>
        </w:tc>
      </w:tr>
      <w:tr w14:paraId="4064C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noWrap w:val="0"/>
            <w:vAlign w:val="center"/>
          </w:tcPr>
          <w:p w14:paraId="3C5AEF8B">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电磁环境</w:t>
            </w:r>
          </w:p>
        </w:tc>
        <w:tc>
          <w:tcPr>
            <w:tcW w:w="4271" w:type="pct"/>
            <w:gridSpan w:val="4"/>
            <w:noWrap w:val="0"/>
            <w:vAlign w:val="center"/>
          </w:tcPr>
          <w:p w14:paraId="715A9453">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7521B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noWrap w:val="0"/>
            <w:vAlign w:val="center"/>
          </w:tcPr>
          <w:p w14:paraId="2ECDAD8A">
            <w:pPr>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生态保护措施</w:t>
            </w:r>
          </w:p>
        </w:tc>
        <w:tc>
          <w:tcPr>
            <w:tcW w:w="4271" w:type="pct"/>
            <w:gridSpan w:val="4"/>
            <w:noWrap w:val="0"/>
            <w:vAlign w:val="center"/>
          </w:tcPr>
          <w:p w14:paraId="477DCAAD">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7F2D8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noWrap w:val="0"/>
            <w:vAlign w:val="center"/>
          </w:tcPr>
          <w:p w14:paraId="0A94A0D8">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环境风险</w:t>
            </w:r>
          </w:p>
        </w:tc>
        <w:tc>
          <w:tcPr>
            <w:tcW w:w="4271" w:type="pct"/>
            <w:gridSpan w:val="4"/>
            <w:noWrap w:val="0"/>
            <w:vAlign w:val="center"/>
          </w:tcPr>
          <w:p w14:paraId="53C59B20">
            <w:pPr>
              <w:adjustRightInd w:val="0"/>
              <w:snapToGri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储煤</w:t>
            </w:r>
            <w:r>
              <w:rPr>
                <w:rFonts w:hint="eastAsia" w:ascii="Times New Roman" w:hAnsi="Times New Roman" w:eastAsia="宋体"/>
                <w:color w:val="auto"/>
                <w:sz w:val="21"/>
                <w:szCs w:val="21"/>
                <w:lang w:val="en-US" w:eastAsia="zh-CN"/>
              </w:rPr>
              <w:t>棚</w:t>
            </w:r>
            <w:r>
              <w:rPr>
                <w:rFonts w:hint="eastAsia" w:ascii="Times New Roman" w:hAnsi="Times New Roman" w:eastAsia="宋体"/>
                <w:color w:val="auto"/>
                <w:sz w:val="21"/>
                <w:szCs w:val="21"/>
              </w:rPr>
              <w:t>内煤尘遇热有发生火灾或爆炸的风险。①储煤</w:t>
            </w:r>
            <w:r>
              <w:rPr>
                <w:rFonts w:hint="eastAsia" w:ascii="Times New Roman" w:hAnsi="Times New Roman" w:eastAsia="宋体"/>
                <w:color w:val="auto"/>
                <w:sz w:val="21"/>
                <w:szCs w:val="21"/>
                <w:lang w:val="en-US" w:eastAsia="zh-CN"/>
              </w:rPr>
              <w:t>棚</w:t>
            </w:r>
            <w:r>
              <w:rPr>
                <w:rFonts w:hint="eastAsia" w:ascii="Times New Roman" w:hAnsi="Times New Roman" w:eastAsia="宋体"/>
                <w:color w:val="auto"/>
                <w:sz w:val="21"/>
                <w:szCs w:val="21"/>
              </w:rPr>
              <w:t>内安装</w:t>
            </w:r>
            <w:r>
              <w:rPr>
                <w:rFonts w:hint="eastAsia" w:ascii="Times New Roman" w:hAnsi="Times New Roman" w:eastAsia="宋体"/>
                <w:color w:val="auto"/>
                <w:sz w:val="21"/>
                <w:szCs w:val="21"/>
                <w:lang w:val="en-US" w:eastAsia="zh-CN"/>
              </w:rPr>
              <w:t>瓦斯、感温、感烟探头</w:t>
            </w:r>
            <w:r>
              <w:rPr>
                <w:rFonts w:hint="eastAsia" w:ascii="Times New Roman" w:hAnsi="Times New Roman" w:eastAsia="宋体"/>
                <w:color w:val="auto"/>
                <w:sz w:val="21"/>
                <w:szCs w:val="21"/>
              </w:rPr>
              <w:t>，要求具备声光报警功能；②禁止在仓内吸烟和明火作业，</w:t>
            </w:r>
            <w:r>
              <w:rPr>
                <w:rFonts w:hint="eastAsia" w:ascii="Times New Roman" w:hAnsi="Times New Roman" w:eastAsia="宋体"/>
                <w:color w:val="auto"/>
                <w:sz w:val="21"/>
                <w:szCs w:val="21"/>
                <w:lang w:eastAsia="zh-CN"/>
              </w:rPr>
              <w:t>喷雾抑尘装置</w:t>
            </w:r>
            <w:r>
              <w:rPr>
                <w:rFonts w:hint="eastAsia" w:ascii="Times New Roman" w:hAnsi="Times New Roman" w:eastAsia="宋体"/>
                <w:color w:val="auto"/>
                <w:sz w:val="21"/>
                <w:szCs w:val="21"/>
              </w:rPr>
              <w:t>定期喷水抑尘，降低空气中粉尘浓度和温度；③储煤</w:t>
            </w:r>
            <w:r>
              <w:rPr>
                <w:rFonts w:hint="eastAsia" w:ascii="Times New Roman" w:hAnsi="Times New Roman" w:eastAsia="宋体"/>
                <w:color w:val="auto"/>
                <w:sz w:val="21"/>
                <w:szCs w:val="21"/>
                <w:lang w:val="en-US" w:eastAsia="zh-CN"/>
              </w:rPr>
              <w:t>棚棚顶和高墙侧边</w:t>
            </w:r>
            <w:r>
              <w:rPr>
                <w:rFonts w:hint="eastAsia" w:ascii="Times New Roman" w:hAnsi="Times New Roman" w:eastAsia="宋体"/>
                <w:color w:val="auto"/>
                <w:sz w:val="21"/>
                <w:szCs w:val="21"/>
              </w:rPr>
              <w:t>留设通风口，实现储煤</w:t>
            </w:r>
            <w:r>
              <w:rPr>
                <w:rFonts w:hint="eastAsia" w:ascii="Times New Roman" w:hAnsi="Times New Roman" w:eastAsia="宋体"/>
                <w:color w:val="auto"/>
                <w:sz w:val="21"/>
                <w:szCs w:val="21"/>
                <w:lang w:val="en-US" w:eastAsia="zh-CN"/>
              </w:rPr>
              <w:t>棚</w:t>
            </w:r>
            <w:r>
              <w:rPr>
                <w:rFonts w:hint="eastAsia" w:ascii="Times New Roman" w:hAnsi="Times New Roman" w:eastAsia="宋体"/>
                <w:color w:val="auto"/>
                <w:sz w:val="21"/>
                <w:szCs w:val="21"/>
              </w:rPr>
              <w:t>内自然通风。④编制突发事故应急预案，并备案、培训和演练等</w:t>
            </w:r>
          </w:p>
        </w:tc>
      </w:tr>
      <w:tr w14:paraId="38BAF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vMerge w:val="restart"/>
            <w:noWrap w:val="0"/>
            <w:vAlign w:val="center"/>
          </w:tcPr>
          <w:p w14:paraId="01089C6A">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环境监测</w:t>
            </w:r>
          </w:p>
        </w:tc>
        <w:tc>
          <w:tcPr>
            <w:tcW w:w="1192" w:type="pct"/>
            <w:vMerge w:val="restart"/>
            <w:noWrap w:val="0"/>
            <w:vAlign w:val="center"/>
          </w:tcPr>
          <w:p w14:paraId="309C3A6D">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584" w:type="pct"/>
            <w:vMerge w:val="restart"/>
            <w:noWrap w:val="0"/>
            <w:vAlign w:val="center"/>
          </w:tcPr>
          <w:p w14:paraId="3B0C6824">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360" w:type="pct"/>
            <w:noWrap w:val="0"/>
            <w:vAlign w:val="center"/>
          </w:tcPr>
          <w:p w14:paraId="7A64CE6D">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vertAlign w:val="baseline"/>
                <w:lang w:val="en-US" w:eastAsia="zh-CN"/>
              </w:rPr>
              <w:t>利用厂界扬尘在线监测系统</w:t>
            </w:r>
          </w:p>
        </w:tc>
        <w:tc>
          <w:tcPr>
            <w:tcW w:w="1134" w:type="pct"/>
            <w:noWrap w:val="0"/>
            <w:vAlign w:val="center"/>
          </w:tcPr>
          <w:p w14:paraId="403529BB">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《煤炭工业污染物排放标准》（GB20426-2006）表5要求</w:t>
            </w:r>
          </w:p>
        </w:tc>
      </w:tr>
      <w:tr w14:paraId="7D479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vMerge w:val="continue"/>
            <w:noWrap w:val="0"/>
            <w:vAlign w:val="center"/>
          </w:tcPr>
          <w:p w14:paraId="4CC0B576">
            <w:pPr>
              <w:adjustRightInd w:val="0"/>
              <w:spacing w:line="240" w:lineRule="auto"/>
              <w:jc w:val="center"/>
              <w:rPr>
                <w:rFonts w:ascii="Times New Roman" w:hAnsi="Times New Roman" w:eastAsia="宋体"/>
                <w:color w:val="auto"/>
                <w:sz w:val="21"/>
                <w:szCs w:val="21"/>
              </w:rPr>
            </w:pPr>
          </w:p>
        </w:tc>
        <w:tc>
          <w:tcPr>
            <w:tcW w:w="1192" w:type="pct"/>
            <w:vMerge w:val="continue"/>
            <w:noWrap w:val="0"/>
            <w:vAlign w:val="center"/>
          </w:tcPr>
          <w:p w14:paraId="78ECC00F">
            <w:pPr>
              <w:adjustRightInd w:val="0"/>
              <w:snapToGrid w:val="0"/>
              <w:spacing w:line="240" w:lineRule="auto"/>
              <w:jc w:val="center"/>
              <w:rPr>
                <w:rFonts w:ascii="Times New Roman" w:hAnsi="Times New Roman" w:eastAsia="宋体"/>
                <w:color w:val="auto"/>
                <w:sz w:val="21"/>
                <w:szCs w:val="21"/>
              </w:rPr>
            </w:pPr>
          </w:p>
        </w:tc>
        <w:tc>
          <w:tcPr>
            <w:tcW w:w="584" w:type="pct"/>
            <w:vMerge w:val="continue"/>
            <w:noWrap w:val="0"/>
            <w:vAlign w:val="center"/>
          </w:tcPr>
          <w:p w14:paraId="6A741CF3">
            <w:pPr>
              <w:adjustRightInd w:val="0"/>
              <w:snapToGrid w:val="0"/>
              <w:spacing w:line="240" w:lineRule="auto"/>
              <w:jc w:val="center"/>
              <w:rPr>
                <w:rFonts w:ascii="Times New Roman" w:hAnsi="Times New Roman" w:eastAsia="宋体"/>
                <w:color w:val="auto"/>
                <w:sz w:val="21"/>
                <w:szCs w:val="21"/>
              </w:rPr>
            </w:pPr>
          </w:p>
        </w:tc>
        <w:tc>
          <w:tcPr>
            <w:tcW w:w="1360" w:type="pct"/>
            <w:noWrap w:val="0"/>
            <w:vAlign w:val="center"/>
          </w:tcPr>
          <w:p w14:paraId="0AC087A7">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场界四周外</w:t>
            </w:r>
            <w:r>
              <w:rPr>
                <w:rFonts w:hint="eastAsia" w:ascii="Times New Roman" w:hAnsi="Times New Roman" w:eastAsia="宋体"/>
                <w:color w:val="auto"/>
                <w:sz w:val="21"/>
                <w:szCs w:val="21"/>
                <w:lang w:val="en-US" w:eastAsia="zh-CN"/>
              </w:rPr>
              <w:t>各</w:t>
            </w:r>
            <w:r>
              <w:rPr>
                <w:rFonts w:ascii="Times New Roman" w:hAnsi="Times New Roman" w:eastAsia="宋体"/>
                <w:color w:val="auto"/>
                <w:sz w:val="21"/>
                <w:szCs w:val="21"/>
              </w:rPr>
              <w:t>设</w:t>
            </w:r>
            <w:r>
              <w:rPr>
                <w:rFonts w:hint="eastAsia" w:ascii="Times New Roman" w:hAnsi="Times New Roman" w:eastAsia="宋体"/>
                <w:color w:val="auto"/>
                <w:sz w:val="21"/>
                <w:szCs w:val="21"/>
                <w:lang w:val="en-US" w:eastAsia="zh-CN"/>
              </w:rPr>
              <w:t>1个</w:t>
            </w:r>
            <w:r>
              <w:rPr>
                <w:rFonts w:ascii="Times New Roman" w:hAnsi="Times New Roman" w:eastAsia="宋体"/>
                <w:color w:val="auto"/>
                <w:sz w:val="21"/>
                <w:szCs w:val="21"/>
              </w:rPr>
              <w:t>监测点位</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共</w:t>
            </w:r>
            <w:r>
              <w:rPr>
                <w:rFonts w:ascii="Times New Roman" w:hAnsi="Times New Roman" w:eastAsia="宋体"/>
                <w:color w:val="auto"/>
                <w:sz w:val="21"/>
                <w:szCs w:val="21"/>
              </w:rPr>
              <w:t>4个</w:t>
            </w:r>
          </w:p>
        </w:tc>
        <w:tc>
          <w:tcPr>
            <w:tcW w:w="1134" w:type="pct"/>
            <w:noWrap w:val="0"/>
            <w:vAlign w:val="center"/>
          </w:tcPr>
          <w:p w14:paraId="529A40BD">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bCs/>
                <w:color w:val="auto"/>
                <w:sz w:val="21"/>
                <w:szCs w:val="21"/>
              </w:rPr>
              <w:t>《工业企业厂界环境噪声排放标准》（GB12348-2008）3类标准</w:t>
            </w:r>
          </w:p>
        </w:tc>
      </w:tr>
      <w:tr w14:paraId="6B58B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pct"/>
            <w:noWrap w:val="0"/>
            <w:vAlign w:val="center"/>
          </w:tcPr>
          <w:p w14:paraId="5707CF9E">
            <w:pPr>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其他</w:t>
            </w:r>
          </w:p>
        </w:tc>
        <w:tc>
          <w:tcPr>
            <w:tcW w:w="4271" w:type="pct"/>
            <w:gridSpan w:val="4"/>
            <w:noWrap w:val="0"/>
            <w:vAlign w:val="center"/>
          </w:tcPr>
          <w:p w14:paraId="41F57821">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bl>
    <w:p w14:paraId="15523759">
      <w:pPr>
        <w:pStyle w:val="24"/>
        <w:jc w:val="center"/>
        <w:outlineLvl w:val="0"/>
        <w:rPr>
          <w:rFonts w:ascii="Times New Roman" w:hAnsi="Times New Roman" w:eastAsia="宋体"/>
          <w:snapToGrid w:val="0"/>
          <w:color w:val="auto"/>
          <w:sz w:val="30"/>
          <w:szCs w:val="30"/>
        </w:rPr>
      </w:pPr>
      <w:r>
        <w:rPr>
          <w:rFonts w:ascii="Times New Roman" w:hAnsi="Times New Roman" w:eastAsia="宋体"/>
          <w:snapToGrid w:val="0"/>
          <w:color w:val="auto"/>
          <w:sz w:val="30"/>
          <w:szCs w:val="30"/>
        </w:rPr>
        <w:br w:type="page"/>
      </w:r>
      <w:bookmarkStart w:id="18" w:name="_Toc1483"/>
      <w:r>
        <w:rPr>
          <w:rFonts w:hint="eastAsia" w:ascii="黑体" w:hAnsi="黑体" w:eastAsia="黑体" w:cs="黑体"/>
          <w:snapToGrid w:val="0"/>
          <w:color w:val="auto"/>
          <w:sz w:val="30"/>
          <w:szCs w:val="30"/>
          <w:lang w:val="en-US" w:eastAsia="zh-CN"/>
        </w:rPr>
        <w:t>六</w:t>
      </w:r>
      <w:r>
        <w:rPr>
          <w:rFonts w:hint="eastAsia" w:ascii="黑体" w:hAnsi="黑体" w:eastAsia="黑体" w:cs="黑体"/>
          <w:snapToGrid w:val="0"/>
          <w:color w:val="auto"/>
          <w:sz w:val="30"/>
          <w:szCs w:val="30"/>
        </w:rPr>
        <w:t>、结论</w:t>
      </w:r>
      <w:bookmarkEnd w:id="18"/>
    </w:p>
    <w:tbl>
      <w:tblPr>
        <w:tblStyle w:val="2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341EB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14:paraId="1244A287">
            <w:pPr>
              <w:pStyle w:val="76"/>
              <w:spacing w:line="360" w:lineRule="auto"/>
              <w:ind w:firstLine="600" w:firstLineChars="250"/>
              <w:rPr>
                <w:rFonts w:ascii="Times New Roman" w:hAnsi="Times New Roman" w:eastAsia="宋体"/>
                <w:color w:val="auto"/>
                <w:sz w:val="24"/>
                <w:szCs w:val="24"/>
              </w:rPr>
            </w:pPr>
            <w:bookmarkStart w:id="19" w:name="OLE_LINK1"/>
            <w:r>
              <w:rPr>
                <w:rFonts w:hint="eastAsia" w:ascii="Times New Roman" w:hAnsi="Times New Roman" w:eastAsia="宋体"/>
                <w:color w:val="auto"/>
                <w:sz w:val="24"/>
                <w:lang w:eastAsia="zh-CN"/>
              </w:rPr>
              <w:t>府谷县鸿凯经贸开发有限公司建设储煤棚项目</w:t>
            </w:r>
            <w:r>
              <w:rPr>
                <w:rFonts w:ascii="Times New Roman" w:hAnsi="Times New Roman" w:eastAsia="宋体"/>
                <w:color w:val="auto"/>
                <w:sz w:val="24"/>
              </w:rPr>
              <w:t>符合相关产业政策，选址合理。项目在采取可研及环评报告提出的各项污染防治措施后，项目在运营期各污染物可实现达标排放，对环境影响较小</w:t>
            </w:r>
            <w:r>
              <w:rPr>
                <w:rFonts w:hint="eastAsia" w:ascii="Times New Roman" w:hAnsi="Times New Roman" w:eastAsia="宋体"/>
                <w:color w:val="auto"/>
                <w:sz w:val="24"/>
              </w:rPr>
              <w:t>，从环境保护角度</w:t>
            </w:r>
            <w:r>
              <w:rPr>
                <w:rFonts w:hint="eastAsia" w:ascii="Times New Roman" w:hAnsi="Times New Roman" w:eastAsia="宋体"/>
                <w:color w:val="auto"/>
                <w:sz w:val="24"/>
                <w:lang w:val="en-US" w:eastAsia="zh-CN"/>
              </w:rPr>
              <w:t>分析，</w:t>
            </w:r>
            <w:r>
              <w:rPr>
                <w:rFonts w:ascii="Times New Roman" w:hAnsi="Times New Roman" w:eastAsia="宋体"/>
                <w:color w:val="auto"/>
                <w:sz w:val="24"/>
              </w:rPr>
              <w:t>本项目</w:t>
            </w:r>
            <w:r>
              <w:rPr>
                <w:rFonts w:hint="eastAsia" w:ascii="Times New Roman" w:hAnsi="Times New Roman" w:eastAsia="宋体"/>
                <w:color w:val="auto"/>
                <w:sz w:val="24"/>
                <w:lang w:val="en-US" w:eastAsia="zh-CN"/>
              </w:rPr>
              <w:t>环境影响</w:t>
            </w:r>
            <w:r>
              <w:rPr>
                <w:rFonts w:ascii="Times New Roman" w:hAnsi="Times New Roman" w:eastAsia="宋体"/>
                <w:color w:val="auto"/>
                <w:sz w:val="24"/>
              </w:rPr>
              <w:t>是可行的</w:t>
            </w:r>
            <w:r>
              <w:rPr>
                <w:rFonts w:ascii="Times New Roman" w:hAnsi="Times New Roman" w:eastAsia="宋体"/>
                <w:color w:val="auto"/>
                <w:spacing w:val="-8"/>
                <w:sz w:val="24"/>
                <w:szCs w:val="24"/>
              </w:rPr>
              <w:t>。</w:t>
            </w:r>
          </w:p>
          <w:bookmarkEnd w:id="19"/>
          <w:p w14:paraId="2219D075">
            <w:pPr>
              <w:adjustRightInd w:val="0"/>
              <w:snapToGrid w:val="0"/>
              <w:ind w:firstLine="315"/>
              <w:rPr>
                <w:rFonts w:ascii="Times New Roman" w:hAnsi="Times New Roman" w:eastAsia="宋体"/>
                <w:color w:val="auto"/>
              </w:rPr>
            </w:pPr>
          </w:p>
        </w:tc>
      </w:tr>
    </w:tbl>
    <w:p w14:paraId="72917FF8">
      <w:pPr>
        <w:rPr>
          <w:rFonts w:ascii="Times New Roman" w:hAnsi="Times New Roman" w:eastAsia="宋体"/>
          <w:color w:val="auto"/>
        </w:rPr>
      </w:pPr>
    </w:p>
    <w:p w14:paraId="6A570D94">
      <w:pPr>
        <w:pStyle w:val="24"/>
        <w:adjustRightInd w:val="0"/>
        <w:snapToGrid w:val="0"/>
        <w:spacing w:before="0" w:beforeAutospacing="0" w:after="0" w:afterAutospacing="0" w:line="288" w:lineRule="auto"/>
        <w:outlineLvl w:val="9"/>
        <w:rPr>
          <w:rFonts w:ascii="Times New Roman" w:hAnsi="Times New Roman" w:eastAsia="宋体"/>
          <w:color w:val="auto"/>
        </w:rPr>
        <w:sectPr>
          <w:footerReference r:id="rId6" w:type="default"/>
          <w:pgSz w:w="11906" w:h="16838"/>
          <w:pgMar w:top="1440" w:right="1800" w:bottom="1440" w:left="1800" w:header="851" w:footer="1077" w:gutter="0"/>
          <w:pgNumType w:fmt="decimal"/>
          <w:cols w:space="720" w:num="1"/>
          <w:docGrid w:linePitch="312" w:charSpace="0"/>
        </w:sectPr>
      </w:pPr>
    </w:p>
    <w:p w14:paraId="59E645D9">
      <w:pPr>
        <w:pStyle w:val="24"/>
        <w:adjustRightInd w:val="0"/>
        <w:snapToGrid w:val="0"/>
        <w:spacing w:before="0" w:beforeAutospacing="0" w:after="0" w:afterAutospacing="0" w:line="360" w:lineRule="auto"/>
        <w:outlineLvl w:val="0"/>
        <w:rPr>
          <w:rFonts w:ascii="Times New Roman" w:hAnsi="Times New Roman" w:eastAsia="黑体"/>
          <w:snapToGrid w:val="0"/>
          <w:color w:val="auto"/>
          <w:sz w:val="32"/>
          <w:szCs w:val="32"/>
        </w:rPr>
      </w:pPr>
      <w:bookmarkStart w:id="20" w:name="_Toc18449"/>
      <w:bookmarkStart w:id="21" w:name="_Toc11721"/>
      <w:r>
        <w:rPr>
          <w:rFonts w:ascii="Times New Roman" w:hAnsi="Times New Roman" w:eastAsia="黑体"/>
          <w:snapToGrid w:val="0"/>
          <w:color w:val="auto"/>
          <w:sz w:val="32"/>
          <w:szCs w:val="32"/>
        </w:rPr>
        <w:t>附表</w:t>
      </w:r>
      <w:bookmarkEnd w:id="20"/>
      <w:bookmarkEnd w:id="21"/>
    </w:p>
    <w:p w14:paraId="47DD3167">
      <w:pPr>
        <w:pStyle w:val="24"/>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bookmarkStart w:id="22" w:name="_Toc1386"/>
      <w:bookmarkStart w:id="23" w:name="_Toc516"/>
      <w:r>
        <w:rPr>
          <w:rFonts w:ascii="Times New Roman" w:hAnsi="Times New Roman" w:eastAsia="方正小标宋_GBK"/>
          <w:snapToGrid w:val="0"/>
          <w:color w:val="auto"/>
          <w:sz w:val="38"/>
          <w:szCs w:val="38"/>
        </w:rPr>
        <w:t>建设项目污染物排放量汇总表</w:t>
      </w:r>
      <w:bookmarkEnd w:id="22"/>
      <w:bookmarkEnd w:id="23"/>
    </w:p>
    <w:tbl>
      <w:tblPr>
        <w:tblStyle w:val="27"/>
        <w:tblW w:w="141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722"/>
        <w:gridCol w:w="1568"/>
        <w:gridCol w:w="1282"/>
        <w:gridCol w:w="1675"/>
        <w:gridCol w:w="1675"/>
        <w:gridCol w:w="1644"/>
        <w:gridCol w:w="1961"/>
        <w:gridCol w:w="1401"/>
      </w:tblGrid>
      <w:tr w14:paraId="18F50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tcBorders>
              <w:tl2br w:val="single" w:color="auto" w:sz="4" w:space="0"/>
            </w:tcBorders>
            <w:noWrap w:val="0"/>
            <w:tcMar>
              <w:left w:w="28" w:type="dxa"/>
              <w:right w:w="28" w:type="dxa"/>
            </w:tcMar>
            <w:vAlign w:val="center"/>
          </w:tcPr>
          <w:p w14:paraId="22765897">
            <w:pPr>
              <w:pStyle w:val="55"/>
              <w:spacing w:beforeLines="0" w:afterLines="0" w:line="240" w:lineRule="auto"/>
              <w:jc w:val="right"/>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项目</w:t>
            </w:r>
          </w:p>
          <w:p w14:paraId="2F6275E6">
            <w:pPr>
              <w:pStyle w:val="55"/>
              <w:spacing w:beforeLines="0" w:afterLines="0" w:line="240" w:lineRule="auto"/>
              <w:jc w:val="left"/>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分类</w:t>
            </w:r>
          </w:p>
        </w:tc>
        <w:tc>
          <w:tcPr>
            <w:tcW w:w="1722" w:type="dxa"/>
            <w:noWrap w:val="0"/>
            <w:tcMar>
              <w:left w:w="28" w:type="dxa"/>
              <w:right w:w="28" w:type="dxa"/>
            </w:tcMar>
            <w:vAlign w:val="center"/>
          </w:tcPr>
          <w:p w14:paraId="5186DF1B">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污染物名称</w:t>
            </w:r>
          </w:p>
        </w:tc>
        <w:tc>
          <w:tcPr>
            <w:tcW w:w="1568" w:type="dxa"/>
            <w:noWrap w:val="0"/>
            <w:tcMar>
              <w:left w:w="28" w:type="dxa"/>
              <w:right w:w="28" w:type="dxa"/>
            </w:tcMar>
            <w:vAlign w:val="center"/>
          </w:tcPr>
          <w:p w14:paraId="55DAE7DF">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现有工程</w:t>
            </w:r>
          </w:p>
          <w:p w14:paraId="6739A648">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1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①</w:t>
            </w:r>
            <w:r>
              <w:rPr>
                <w:rFonts w:ascii="Times New Roman" w:eastAsia="黑体"/>
                <w:snapToGrid w:val="0"/>
                <w:color w:val="auto"/>
                <w:spacing w:val="-6"/>
                <w:kern w:val="21"/>
                <w:szCs w:val="21"/>
                <w:lang w:val="en-US" w:eastAsia="zh-CN"/>
              </w:rPr>
              <w:fldChar w:fldCharType="end"/>
            </w:r>
          </w:p>
        </w:tc>
        <w:tc>
          <w:tcPr>
            <w:tcW w:w="1282" w:type="dxa"/>
            <w:noWrap w:val="0"/>
            <w:tcMar>
              <w:left w:w="28" w:type="dxa"/>
              <w:right w:w="28" w:type="dxa"/>
            </w:tcMar>
            <w:vAlign w:val="center"/>
          </w:tcPr>
          <w:p w14:paraId="656107D6">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现有工程</w:t>
            </w:r>
          </w:p>
          <w:p w14:paraId="64560E2A">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许可排放量</w:t>
            </w:r>
          </w:p>
          <w:p w14:paraId="3CFC1AF6">
            <w:pPr>
              <w:pStyle w:val="55"/>
              <w:spacing w:beforeLines="0" w:afterLines="0"/>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2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snapToGrid w:val="0"/>
                <w:color w:val="auto"/>
                <w:spacing w:val="-6"/>
                <w:kern w:val="21"/>
                <w:szCs w:val="21"/>
                <w:lang w:val="en-US" w:eastAsia="zh-CN"/>
              </w:rPr>
              <w:t>②</w:t>
            </w:r>
            <w:r>
              <w:rPr>
                <w:rFonts w:ascii="Times New Roman" w:eastAsia="黑体"/>
                <w:snapToGrid w:val="0"/>
                <w:color w:val="auto"/>
                <w:spacing w:val="-6"/>
                <w:kern w:val="21"/>
                <w:szCs w:val="21"/>
                <w:lang w:val="en-US" w:eastAsia="zh-CN"/>
              </w:rPr>
              <w:fldChar w:fldCharType="end"/>
            </w:r>
          </w:p>
        </w:tc>
        <w:tc>
          <w:tcPr>
            <w:tcW w:w="1675" w:type="dxa"/>
            <w:noWrap w:val="0"/>
            <w:tcMar>
              <w:left w:w="28" w:type="dxa"/>
              <w:right w:w="28" w:type="dxa"/>
            </w:tcMar>
            <w:vAlign w:val="center"/>
          </w:tcPr>
          <w:p w14:paraId="4C5D156C">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在建工程</w:t>
            </w:r>
          </w:p>
          <w:p w14:paraId="299889BB">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3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③</w:t>
            </w:r>
            <w:r>
              <w:rPr>
                <w:rFonts w:ascii="Times New Roman" w:eastAsia="黑体"/>
                <w:snapToGrid w:val="0"/>
                <w:color w:val="auto"/>
                <w:spacing w:val="-6"/>
                <w:kern w:val="21"/>
                <w:szCs w:val="21"/>
                <w:lang w:val="en-US" w:eastAsia="zh-CN"/>
              </w:rPr>
              <w:fldChar w:fldCharType="end"/>
            </w:r>
          </w:p>
        </w:tc>
        <w:tc>
          <w:tcPr>
            <w:tcW w:w="1675" w:type="dxa"/>
            <w:noWrap w:val="0"/>
            <w:tcMar>
              <w:left w:w="28" w:type="dxa"/>
              <w:right w:w="28" w:type="dxa"/>
            </w:tcMar>
            <w:vAlign w:val="center"/>
          </w:tcPr>
          <w:p w14:paraId="5A33A117">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本项目</w:t>
            </w:r>
          </w:p>
          <w:p w14:paraId="721E06A8">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4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④</w:t>
            </w:r>
            <w:r>
              <w:rPr>
                <w:rFonts w:ascii="Times New Roman" w:eastAsia="黑体"/>
                <w:snapToGrid w:val="0"/>
                <w:color w:val="auto"/>
                <w:spacing w:val="-6"/>
                <w:kern w:val="21"/>
                <w:szCs w:val="21"/>
                <w:lang w:val="en-US" w:eastAsia="zh-CN"/>
              </w:rPr>
              <w:fldChar w:fldCharType="end"/>
            </w:r>
          </w:p>
        </w:tc>
        <w:tc>
          <w:tcPr>
            <w:tcW w:w="1644" w:type="dxa"/>
            <w:noWrap w:val="0"/>
            <w:tcMar>
              <w:left w:w="28" w:type="dxa"/>
              <w:right w:w="28" w:type="dxa"/>
            </w:tcMar>
            <w:vAlign w:val="center"/>
          </w:tcPr>
          <w:p w14:paraId="46F1895C">
            <w:pPr>
              <w:pStyle w:val="55"/>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以新带老削减量</w:t>
            </w:r>
          </w:p>
          <w:p w14:paraId="2D2190A6">
            <w:pPr>
              <w:pStyle w:val="55"/>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（新建项目不填）</w:t>
            </w:r>
            <w:r>
              <w:rPr>
                <w:rFonts w:ascii="Times New Roman" w:eastAsia="黑体"/>
                <w:snapToGrid w:val="0"/>
                <w:color w:val="auto"/>
                <w:spacing w:val="-16"/>
                <w:kern w:val="21"/>
                <w:szCs w:val="21"/>
                <w:lang w:val="en-US" w:eastAsia="zh-CN"/>
              </w:rPr>
              <w:fldChar w:fldCharType="begin"/>
            </w:r>
            <w:r>
              <w:rPr>
                <w:rFonts w:ascii="Times New Roman" w:eastAsia="黑体"/>
                <w:snapToGrid w:val="0"/>
                <w:color w:val="auto"/>
                <w:spacing w:val="-16"/>
                <w:kern w:val="21"/>
                <w:szCs w:val="21"/>
                <w:lang w:val="en-US" w:eastAsia="zh-CN"/>
              </w:rPr>
              <w:instrText xml:space="preserve"> = 5 \* GB3 \* MERGEFORMAT </w:instrText>
            </w:r>
            <w:r>
              <w:rPr>
                <w:rFonts w:ascii="Times New Roman" w:eastAsia="黑体"/>
                <w:snapToGrid w:val="0"/>
                <w:color w:val="auto"/>
                <w:spacing w:val="-16"/>
                <w:kern w:val="21"/>
                <w:szCs w:val="21"/>
                <w:lang w:val="en-US" w:eastAsia="zh-CN"/>
              </w:rPr>
              <w:fldChar w:fldCharType="separate"/>
            </w:r>
            <w:r>
              <w:rPr>
                <w:rFonts w:ascii="Times New Roman" w:eastAsia="黑体"/>
                <w:color w:val="auto"/>
                <w:kern w:val="2"/>
                <w:szCs w:val="21"/>
                <w:lang w:val="en-US" w:eastAsia="zh-CN"/>
              </w:rPr>
              <w:t>⑤</w:t>
            </w:r>
            <w:r>
              <w:rPr>
                <w:rFonts w:ascii="Times New Roman" w:eastAsia="黑体"/>
                <w:snapToGrid w:val="0"/>
                <w:color w:val="auto"/>
                <w:spacing w:val="-16"/>
                <w:kern w:val="21"/>
                <w:szCs w:val="21"/>
                <w:lang w:val="en-US" w:eastAsia="zh-CN"/>
              </w:rPr>
              <w:fldChar w:fldCharType="end"/>
            </w:r>
          </w:p>
        </w:tc>
        <w:tc>
          <w:tcPr>
            <w:tcW w:w="1961" w:type="dxa"/>
            <w:noWrap w:val="0"/>
            <w:tcMar>
              <w:left w:w="28" w:type="dxa"/>
              <w:right w:w="28" w:type="dxa"/>
            </w:tcMar>
            <w:vAlign w:val="center"/>
          </w:tcPr>
          <w:p w14:paraId="56A74D44">
            <w:pPr>
              <w:pStyle w:val="55"/>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本项目建成后</w:t>
            </w:r>
          </w:p>
          <w:p w14:paraId="4C47E5C5">
            <w:pPr>
              <w:pStyle w:val="55"/>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全厂排放量（固体废物产生量）</w:t>
            </w:r>
            <w:r>
              <w:rPr>
                <w:rFonts w:ascii="Times New Roman" w:eastAsia="黑体"/>
                <w:snapToGrid w:val="0"/>
                <w:color w:val="auto"/>
                <w:spacing w:val="-16"/>
                <w:kern w:val="21"/>
                <w:szCs w:val="21"/>
                <w:lang w:val="en-US" w:eastAsia="zh-CN"/>
              </w:rPr>
              <w:fldChar w:fldCharType="begin"/>
            </w:r>
            <w:r>
              <w:rPr>
                <w:rFonts w:ascii="Times New Roman" w:eastAsia="黑体"/>
                <w:snapToGrid w:val="0"/>
                <w:color w:val="auto"/>
                <w:spacing w:val="-16"/>
                <w:kern w:val="21"/>
                <w:szCs w:val="21"/>
                <w:lang w:val="en-US" w:eastAsia="zh-CN"/>
              </w:rPr>
              <w:instrText xml:space="preserve"> = 6 \* GB3 \* MERGEFORMAT </w:instrText>
            </w:r>
            <w:r>
              <w:rPr>
                <w:rFonts w:ascii="Times New Roman" w:eastAsia="黑体"/>
                <w:snapToGrid w:val="0"/>
                <w:color w:val="auto"/>
                <w:spacing w:val="-16"/>
                <w:kern w:val="21"/>
                <w:szCs w:val="21"/>
                <w:lang w:val="en-US" w:eastAsia="zh-CN"/>
              </w:rPr>
              <w:fldChar w:fldCharType="separate"/>
            </w:r>
            <w:r>
              <w:rPr>
                <w:rFonts w:ascii="Times New Roman" w:eastAsia="黑体"/>
                <w:color w:val="auto"/>
                <w:kern w:val="2"/>
                <w:szCs w:val="21"/>
                <w:lang w:val="en-US" w:eastAsia="zh-CN"/>
              </w:rPr>
              <w:t>⑥</w:t>
            </w:r>
            <w:r>
              <w:rPr>
                <w:rFonts w:ascii="Times New Roman" w:eastAsia="黑体"/>
                <w:snapToGrid w:val="0"/>
                <w:color w:val="auto"/>
                <w:spacing w:val="-16"/>
                <w:kern w:val="21"/>
                <w:szCs w:val="21"/>
                <w:lang w:val="en-US" w:eastAsia="zh-CN"/>
              </w:rPr>
              <w:fldChar w:fldCharType="end"/>
            </w:r>
          </w:p>
        </w:tc>
        <w:tc>
          <w:tcPr>
            <w:tcW w:w="1401" w:type="dxa"/>
            <w:noWrap w:val="0"/>
            <w:tcMar>
              <w:left w:w="28" w:type="dxa"/>
              <w:right w:w="28" w:type="dxa"/>
            </w:tcMar>
            <w:vAlign w:val="center"/>
          </w:tcPr>
          <w:p w14:paraId="28051AF6">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变化量</w:t>
            </w:r>
          </w:p>
          <w:p w14:paraId="4EAC3F1D">
            <w:pPr>
              <w:pStyle w:val="55"/>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7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⑦</w:t>
            </w:r>
            <w:r>
              <w:rPr>
                <w:rFonts w:ascii="Times New Roman" w:eastAsia="黑体"/>
                <w:snapToGrid w:val="0"/>
                <w:color w:val="auto"/>
                <w:spacing w:val="-6"/>
                <w:kern w:val="21"/>
                <w:szCs w:val="21"/>
                <w:lang w:val="en-US" w:eastAsia="zh-CN"/>
              </w:rPr>
              <w:fldChar w:fldCharType="end"/>
            </w:r>
          </w:p>
        </w:tc>
      </w:tr>
      <w:tr w14:paraId="12142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restart"/>
            <w:noWrap w:val="0"/>
            <w:vAlign w:val="center"/>
          </w:tcPr>
          <w:p w14:paraId="24F82308">
            <w:pPr>
              <w:pStyle w:val="55"/>
              <w:spacing w:beforeLines="0" w:afterLines="0" w:line="240" w:lineRule="auto"/>
              <w:rPr>
                <w:rFonts w:ascii="Times New Roman"/>
                <w:snapToGrid w:val="0"/>
                <w:color w:val="auto"/>
                <w:kern w:val="21"/>
                <w:szCs w:val="21"/>
                <w:lang w:val="en-US" w:eastAsia="zh-CN"/>
              </w:rPr>
            </w:pPr>
            <w:r>
              <w:rPr>
                <w:rFonts w:ascii="Times New Roman"/>
                <w:snapToGrid w:val="0"/>
                <w:color w:val="auto"/>
                <w:kern w:val="21"/>
                <w:szCs w:val="21"/>
                <w:lang w:val="en-US" w:eastAsia="zh-CN"/>
              </w:rPr>
              <w:t>废气</w:t>
            </w:r>
          </w:p>
        </w:tc>
        <w:tc>
          <w:tcPr>
            <w:tcW w:w="1722" w:type="dxa"/>
            <w:noWrap w:val="0"/>
            <w:vAlign w:val="center"/>
          </w:tcPr>
          <w:p w14:paraId="01799807">
            <w:pPr>
              <w:spacing w:line="240" w:lineRule="auto"/>
              <w:jc w:val="center"/>
              <w:rPr>
                <w:snapToGrid w:val="0"/>
                <w:color w:val="auto"/>
                <w:kern w:val="21"/>
                <w:sz w:val="21"/>
                <w:szCs w:val="21"/>
              </w:rPr>
            </w:pPr>
            <w:r>
              <w:rPr>
                <w:color w:val="auto"/>
                <w:sz w:val="21"/>
                <w:szCs w:val="21"/>
              </w:rPr>
              <w:t>颗粒物</w:t>
            </w:r>
          </w:p>
        </w:tc>
        <w:tc>
          <w:tcPr>
            <w:tcW w:w="1568" w:type="dxa"/>
            <w:noWrap w:val="0"/>
            <w:vAlign w:val="center"/>
          </w:tcPr>
          <w:p w14:paraId="4B6F6517">
            <w:pPr>
              <w:pStyle w:val="55"/>
              <w:spacing w:beforeLines="0" w:afterLines="0" w:line="240" w:lineRule="auto"/>
              <w:jc w:val="center"/>
              <w:rPr>
                <w:rFonts w:hint="default"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2.27</w:t>
            </w:r>
            <w:r>
              <w:rPr>
                <w:rFonts w:hint="default" w:ascii="Times New Roman" w:hAnsi="Times New Roman" w:cs="Times New Roman"/>
                <w:color w:val="auto"/>
                <w:sz w:val="21"/>
                <w:szCs w:val="21"/>
                <w:lang w:bidi="ar"/>
              </w:rPr>
              <w:t>t/a</w:t>
            </w:r>
          </w:p>
        </w:tc>
        <w:tc>
          <w:tcPr>
            <w:tcW w:w="1282" w:type="dxa"/>
            <w:noWrap w:val="0"/>
            <w:vAlign w:val="center"/>
          </w:tcPr>
          <w:p w14:paraId="26B5B401">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221FF040">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2AD195FF">
            <w:pPr>
              <w:spacing w:line="240" w:lineRule="auto"/>
              <w:jc w:val="center"/>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0.6</w:t>
            </w:r>
          </w:p>
        </w:tc>
        <w:tc>
          <w:tcPr>
            <w:tcW w:w="1644" w:type="dxa"/>
            <w:noWrap w:val="0"/>
            <w:vAlign w:val="center"/>
          </w:tcPr>
          <w:p w14:paraId="19894ED2">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961" w:type="dxa"/>
            <w:noWrap w:val="0"/>
            <w:vAlign w:val="center"/>
          </w:tcPr>
          <w:p w14:paraId="298B3DED">
            <w:pPr>
              <w:spacing w:line="240" w:lineRule="auto"/>
              <w:jc w:val="center"/>
              <w:rPr>
                <w:rFonts w:hint="default"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2.87</w:t>
            </w:r>
            <w:r>
              <w:rPr>
                <w:rFonts w:hint="default" w:ascii="Times New Roman" w:hAnsi="Times New Roman" w:cs="Times New Roman"/>
                <w:color w:val="auto"/>
                <w:sz w:val="21"/>
                <w:szCs w:val="21"/>
                <w:lang w:bidi="ar"/>
              </w:rPr>
              <w:t>t/a</w:t>
            </w:r>
          </w:p>
        </w:tc>
        <w:tc>
          <w:tcPr>
            <w:tcW w:w="1401" w:type="dxa"/>
            <w:noWrap w:val="0"/>
            <w:vAlign w:val="center"/>
          </w:tcPr>
          <w:p w14:paraId="6B4FF995">
            <w:pPr>
              <w:spacing w:line="240" w:lineRule="auto"/>
              <w:jc w:val="center"/>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0.6</w:t>
            </w:r>
          </w:p>
        </w:tc>
      </w:tr>
      <w:tr w14:paraId="2F7DE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28" w:type="dxa"/>
            <w:vMerge w:val="continue"/>
            <w:noWrap w:val="0"/>
            <w:vAlign w:val="center"/>
          </w:tcPr>
          <w:p w14:paraId="3767B7DC">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11976DE2">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SO</w:t>
            </w:r>
            <w:r>
              <w:rPr>
                <w:rFonts w:hint="eastAsia"/>
                <w:snapToGrid w:val="0"/>
                <w:color w:val="auto"/>
                <w:kern w:val="21"/>
                <w:sz w:val="21"/>
                <w:szCs w:val="21"/>
                <w:vertAlign w:val="subscript"/>
                <w:lang w:val="en-US" w:eastAsia="zh-CN"/>
              </w:rPr>
              <w:t>2</w:t>
            </w:r>
          </w:p>
        </w:tc>
        <w:tc>
          <w:tcPr>
            <w:tcW w:w="1568" w:type="dxa"/>
            <w:noWrap w:val="0"/>
            <w:vAlign w:val="center"/>
          </w:tcPr>
          <w:p w14:paraId="7E8FA90A">
            <w:pPr>
              <w:spacing w:line="240" w:lineRule="auto"/>
              <w:jc w:val="center"/>
              <w:rPr>
                <w:rFonts w:hint="default" w:eastAsia="宋体"/>
                <w:snapToGrid w:val="0"/>
                <w:color w:val="auto"/>
                <w:kern w:val="21"/>
                <w:sz w:val="21"/>
                <w:szCs w:val="21"/>
                <w:lang w:val="en-US" w:eastAsia="zh-CN"/>
              </w:rPr>
            </w:pPr>
            <w:r>
              <w:rPr>
                <w:snapToGrid w:val="0"/>
                <w:color w:val="auto"/>
                <w:kern w:val="21"/>
                <w:sz w:val="21"/>
                <w:szCs w:val="21"/>
              </w:rPr>
              <w:t>0</w:t>
            </w:r>
          </w:p>
        </w:tc>
        <w:tc>
          <w:tcPr>
            <w:tcW w:w="1282" w:type="dxa"/>
            <w:noWrap w:val="0"/>
            <w:vAlign w:val="center"/>
          </w:tcPr>
          <w:p w14:paraId="1DBB8277">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3C5C5D35">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6908C869">
            <w:pPr>
              <w:spacing w:line="240" w:lineRule="auto"/>
              <w:jc w:val="center"/>
              <w:rPr>
                <w:rFonts w:hint="default" w:eastAsia="宋体"/>
                <w:snapToGrid w:val="0"/>
                <w:color w:val="auto"/>
                <w:kern w:val="21"/>
                <w:sz w:val="21"/>
                <w:szCs w:val="21"/>
                <w:lang w:val="en-US" w:eastAsia="zh-CN"/>
              </w:rPr>
            </w:pPr>
            <w:r>
              <w:rPr>
                <w:rFonts w:hint="eastAsia" w:ascii="Times New Roman" w:hAnsi="Times New Roman" w:eastAsia="宋体" w:cs="Times New Roman"/>
                <w:color w:val="auto"/>
                <w:sz w:val="21"/>
                <w:szCs w:val="21"/>
                <w:lang w:eastAsia="zh-CN" w:bidi="ar"/>
              </w:rPr>
              <w:t>0</w:t>
            </w:r>
          </w:p>
        </w:tc>
        <w:tc>
          <w:tcPr>
            <w:tcW w:w="1644" w:type="dxa"/>
            <w:noWrap w:val="0"/>
            <w:vAlign w:val="center"/>
          </w:tcPr>
          <w:p w14:paraId="7F2F95A9">
            <w:pPr>
              <w:spacing w:line="240" w:lineRule="auto"/>
              <w:jc w:val="center"/>
              <w:rPr>
                <w:snapToGrid w:val="0"/>
                <w:color w:val="auto"/>
                <w:kern w:val="21"/>
                <w:sz w:val="21"/>
                <w:szCs w:val="21"/>
              </w:rPr>
            </w:pPr>
            <w:r>
              <w:rPr>
                <w:snapToGrid w:val="0"/>
                <w:color w:val="auto"/>
                <w:kern w:val="21"/>
                <w:sz w:val="21"/>
                <w:szCs w:val="21"/>
              </w:rPr>
              <w:t>0</w:t>
            </w:r>
          </w:p>
        </w:tc>
        <w:tc>
          <w:tcPr>
            <w:tcW w:w="1961" w:type="dxa"/>
            <w:noWrap w:val="0"/>
            <w:vAlign w:val="center"/>
          </w:tcPr>
          <w:p w14:paraId="25EC9071">
            <w:pPr>
              <w:spacing w:line="240" w:lineRule="auto"/>
              <w:jc w:val="center"/>
              <w:rPr>
                <w:rFonts w:hint="default" w:eastAsia="宋体"/>
                <w:snapToGrid w:val="0"/>
                <w:color w:val="auto"/>
                <w:kern w:val="21"/>
                <w:sz w:val="21"/>
                <w:szCs w:val="21"/>
                <w:lang w:val="en-US" w:eastAsia="zh-CN"/>
              </w:rPr>
            </w:pPr>
            <w:r>
              <w:rPr>
                <w:rFonts w:hint="eastAsia" w:ascii="Times New Roman" w:hAnsi="Times New Roman" w:eastAsia="宋体" w:cs="Times New Roman"/>
                <w:color w:val="auto"/>
                <w:sz w:val="21"/>
                <w:szCs w:val="21"/>
                <w:lang w:eastAsia="zh-CN" w:bidi="ar"/>
              </w:rPr>
              <w:t>0</w:t>
            </w:r>
          </w:p>
        </w:tc>
        <w:tc>
          <w:tcPr>
            <w:tcW w:w="1401" w:type="dxa"/>
            <w:noWrap w:val="0"/>
            <w:vAlign w:val="center"/>
          </w:tcPr>
          <w:p w14:paraId="2C9D7AC6">
            <w:pPr>
              <w:spacing w:line="240" w:lineRule="auto"/>
              <w:jc w:val="center"/>
              <w:rPr>
                <w:snapToGrid w:val="0"/>
                <w:color w:val="auto"/>
                <w:kern w:val="21"/>
                <w:sz w:val="21"/>
                <w:szCs w:val="21"/>
              </w:rPr>
            </w:pPr>
            <w:r>
              <w:rPr>
                <w:rFonts w:hint="eastAsia" w:ascii="Times New Roman" w:hAnsi="Times New Roman" w:eastAsia="宋体" w:cs="Times New Roman"/>
                <w:color w:val="auto"/>
                <w:sz w:val="21"/>
                <w:szCs w:val="21"/>
                <w:lang w:eastAsia="zh-CN" w:bidi="ar"/>
              </w:rPr>
              <w:t>0</w:t>
            </w:r>
          </w:p>
        </w:tc>
      </w:tr>
      <w:tr w14:paraId="54F68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28" w:type="dxa"/>
            <w:vMerge w:val="continue"/>
            <w:noWrap w:val="0"/>
            <w:vAlign w:val="center"/>
          </w:tcPr>
          <w:p w14:paraId="2431EEF3">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294029E2">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NO</w:t>
            </w:r>
            <w:r>
              <w:rPr>
                <w:rFonts w:hint="eastAsia"/>
                <w:snapToGrid w:val="0"/>
                <w:color w:val="auto"/>
                <w:kern w:val="21"/>
                <w:sz w:val="21"/>
                <w:szCs w:val="21"/>
                <w:vertAlign w:val="subscript"/>
                <w:lang w:val="en-US" w:eastAsia="zh-CN"/>
              </w:rPr>
              <w:t>X</w:t>
            </w:r>
          </w:p>
        </w:tc>
        <w:tc>
          <w:tcPr>
            <w:tcW w:w="1568" w:type="dxa"/>
            <w:noWrap w:val="0"/>
            <w:vAlign w:val="center"/>
          </w:tcPr>
          <w:p w14:paraId="372C2A15">
            <w:pPr>
              <w:spacing w:line="240" w:lineRule="auto"/>
              <w:jc w:val="center"/>
              <w:rPr>
                <w:rFonts w:hint="default" w:eastAsia="宋体"/>
                <w:snapToGrid w:val="0"/>
                <w:color w:val="auto"/>
                <w:kern w:val="21"/>
                <w:sz w:val="21"/>
                <w:szCs w:val="21"/>
                <w:lang w:val="en-US" w:eastAsia="zh-CN"/>
              </w:rPr>
            </w:pPr>
            <w:r>
              <w:rPr>
                <w:snapToGrid w:val="0"/>
                <w:color w:val="auto"/>
                <w:kern w:val="21"/>
                <w:sz w:val="21"/>
                <w:szCs w:val="21"/>
              </w:rPr>
              <w:t>0</w:t>
            </w:r>
          </w:p>
        </w:tc>
        <w:tc>
          <w:tcPr>
            <w:tcW w:w="1282" w:type="dxa"/>
            <w:noWrap w:val="0"/>
            <w:vAlign w:val="center"/>
          </w:tcPr>
          <w:p w14:paraId="7096EA24">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466F4794">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69BC53AB">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4" w:type="dxa"/>
            <w:noWrap w:val="0"/>
            <w:vAlign w:val="center"/>
          </w:tcPr>
          <w:p w14:paraId="6B7AC432">
            <w:pPr>
              <w:spacing w:line="240" w:lineRule="auto"/>
              <w:jc w:val="center"/>
              <w:rPr>
                <w:snapToGrid w:val="0"/>
                <w:color w:val="auto"/>
                <w:kern w:val="21"/>
                <w:sz w:val="21"/>
                <w:szCs w:val="21"/>
              </w:rPr>
            </w:pPr>
            <w:r>
              <w:rPr>
                <w:snapToGrid w:val="0"/>
                <w:color w:val="auto"/>
                <w:kern w:val="21"/>
                <w:sz w:val="21"/>
                <w:szCs w:val="21"/>
              </w:rPr>
              <w:t>0</w:t>
            </w:r>
          </w:p>
        </w:tc>
        <w:tc>
          <w:tcPr>
            <w:tcW w:w="1961" w:type="dxa"/>
            <w:noWrap w:val="0"/>
            <w:vAlign w:val="center"/>
          </w:tcPr>
          <w:p w14:paraId="518D40DC">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401" w:type="dxa"/>
            <w:noWrap w:val="0"/>
            <w:vAlign w:val="center"/>
          </w:tcPr>
          <w:p w14:paraId="5B088E01">
            <w:pPr>
              <w:spacing w:line="240" w:lineRule="auto"/>
              <w:jc w:val="center"/>
              <w:rPr>
                <w:snapToGrid w:val="0"/>
                <w:color w:val="auto"/>
                <w:kern w:val="21"/>
                <w:sz w:val="21"/>
                <w:szCs w:val="21"/>
              </w:rPr>
            </w:pPr>
            <w:r>
              <w:rPr>
                <w:rFonts w:hint="eastAsia"/>
                <w:snapToGrid w:val="0"/>
                <w:color w:val="auto"/>
                <w:kern w:val="21"/>
                <w:sz w:val="21"/>
                <w:szCs w:val="21"/>
                <w:lang w:val="en-US" w:eastAsia="zh-CN"/>
              </w:rPr>
              <w:t>0</w:t>
            </w:r>
          </w:p>
        </w:tc>
      </w:tr>
      <w:tr w14:paraId="1E304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restart"/>
            <w:noWrap w:val="0"/>
            <w:vAlign w:val="center"/>
          </w:tcPr>
          <w:p w14:paraId="0E712572">
            <w:pPr>
              <w:pStyle w:val="55"/>
              <w:spacing w:beforeLines="0" w:afterLines="0" w:line="240" w:lineRule="auto"/>
              <w:rPr>
                <w:rFonts w:ascii="Times New Roman"/>
                <w:snapToGrid w:val="0"/>
                <w:color w:val="auto"/>
                <w:kern w:val="21"/>
                <w:szCs w:val="21"/>
                <w:lang w:val="en-US" w:eastAsia="zh-CN"/>
              </w:rPr>
            </w:pPr>
            <w:r>
              <w:rPr>
                <w:rFonts w:ascii="Times New Roman"/>
                <w:snapToGrid w:val="0"/>
                <w:color w:val="auto"/>
                <w:kern w:val="21"/>
                <w:szCs w:val="21"/>
                <w:lang w:val="en-US" w:eastAsia="zh-CN"/>
              </w:rPr>
              <w:t>废水</w:t>
            </w:r>
          </w:p>
        </w:tc>
        <w:tc>
          <w:tcPr>
            <w:tcW w:w="1722" w:type="dxa"/>
            <w:noWrap w:val="0"/>
            <w:vAlign w:val="center"/>
          </w:tcPr>
          <w:p w14:paraId="0BD963E0">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COD</w:t>
            </w:r>
          </w:p>
        </w:tc>
        <w:tc>
          <w:tcPr>
            <w:tcW w:w="1568" w:type="dxa"/>
            <w:noWrap w:val="0"/>
            <w:vAlign w:val="center"/>
          </w:tcPr>
          <w:p w14:paraId="43DB1919">
            <w:pPr>
              <w:pStyle w:val="55"/>
              <w:spacing w:beforeLines="0" w:afterLines="0" w:line="240" w:lineRule="auto"/>
              <w:jc w:val="center"/>
              <w:rPr>
                <w:snapToGrid w:val="0"/>
                <w:color w:val="auto"/>
                <w:kern w:val="21"/>
                <w:sz w:val="21"/>
                <w:szCs w:val="21"/>
              </w:rPr>
            </w:pPr>
            <w:r>
              <w:rPr>
                <w:rFonts w:ascii="Times New Roman"/>
                <w:snapToGrid w:val="0"/>
                <w:color w:val="auto"/>
                <w:kern w:val="21"/>
                <w:sz w:val="21"/>
                <w:szCs w:val="21"/>
                <w:lang w:val="en-US" w:eastAsia="zh-CN"/>
              </w:rPr>
              <w:t>0</w:t>
            </w:r>
          </w:p>
        </w:tc>
        <w:tc>
          <w:tcPr>
            <w:tcW w:w="1282" w:type="dxa"/>
            <w:noWrap w:val="0"/>
            <w:vAlign w:val="center"/>
          </w:tcPr>
          <w:p w14:paraId="4FD318E9">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5619A901">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684A07E7">
            <w:pPr>
              <w:spacing w:line="240" w:lineRule="auto"/>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4" w:type="dxa"/>
            <w:noWrap w:val="0"/>
            <w:vAlign w:val="center"/>
          </w:tcPr>
          <w:p w14:paraId="1A81F1C9">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961" w:type="dxa"/>
            <w:noWrap w:val="0"/>
            <w:vAlign w:val="center"/>
          </w:tcPr>
          <w:p w14:paraId="0AC07C68">
            <w:pPr>
              <w:spacing w:line="240" w:lineRule="auto"/>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401" w:type="dxa"/>
            <w:noWrap w:val="0"/>
            <w:vAlign w:val="center"/>
          </w:tcPr>
          <w:p w14:paraId="6F4BDF09">
            <w:pPr>
              <w:spacing w:line="240" w:lineRule="auto"/>
              <w:jc w:val="center"/>
              <w:rPr>
                <w:rFonts w:ascii="Times New Roman"/>
                <w:snapToGrid w:val="0"/>
                <w:color w:val="auto"/>
                <w:kern w:val="21"/>
                <w:sz w:val="21"/>
                <w:szCs w:val="21"/>
                <w:lang w:val="en-US" w:eastAsia="zh-CN"/>
              </w:rPr>
            </w:pPr>
            <w:r>
              <w:rPr>
                <w:rFonts w:hint="eastAsia"/>
                <w:snapToGrid w:val="0"/>
                <w:color w:val="auto"/>
                <w:kern w:val="21"/>
                <w:sz w:val="21"/>
                <w:szCs w:val="21"/>
                <w:lang w:val="en-US" w:eastAsia="zh-CN"/>
              </w:rPr>
              <w:t>0</w:t>
            </w:r>
          </w:p>
        </w:tc>
      </w:tr>
      <w:tr w14:paraId="13E70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continue"/>
            <w:noWrap w:val="0"/>
            <w:vAlign w:val="center"/>
          </w:tcPr>
          <w:p w14:paraId="0A498908">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434090F7">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NH</w:t>
            </w:r>
            <w:r>
              <w:rPr>
                <w:rFonts w:ascii="Times New Roman"/>
                <w:snapToGrid w:val="0"/>
                <w:color w:val="auto"/>
                <w:kern w:val="21"/>
                <w:sz w:val="21"/>
                <w:szCs w:val="21"/>
                <w:vertAlign w:val="subscript"/>
                <w:lang w:val="en-US" w:eastAsia="zh-CN"/>
              </w:rPr>
              <w:t>3</w:t>
            </w:r>
            <w:r>
              <w:rPr>
                <w:rFonts w:ascii="Times New Roman"/>
                <w:snapToGrid w:val="0"/>
                <w:color w:val="auto"/>
                <w:kern w:val="21"/>
                <w:sz w:val="21"/>
                <w:szCs w:val="21"/>
                <w:lang w:val="en-US" w:eastAsia="zh-CN"/>
              </w:rPr>
              <w:t>-N</w:t>
            </w:r>
          </w:p>
        </w:tc>
        <w:tc>
          <w:tcPr>
            <w:tcW w:w="1568" w:type="dxa"/>
            <w:noWrap w:val="0"/>
            <w:vAlign w:val="center"/>
          </w:tcPr>
          <w:p w14:paraId="2E3A63D3">
            <w:pPr>
              <w:pStyle w:val="55"/>
              <w:spacing w:beforeLines="0" w:afterLines="0" w:line="240" w:lineRule="auto"/>
              <w:jc w:val="center"/>
              <w:rPr>
                <w:snapToGrid w:val="0"/>
                <w:color w:val="auto"/>
                <w:kern w:val="21"/>
                <w:sz w:val="21"/>
                <w:szCs w:val="21"/>
              </w:rPr>
            </w:pPr>
            <w:r>
              <w:rPr>
                <w:rFonts w:ascii="Times New Roman"/>
                <w:snapToGrid w:val="0"/>
                <w:color w:val="auto"/>
                <w:kern w:val="21"/>
                <w:sz w:val="21"/>
                <w:szCs w:val="21"/>
                <w:lang w:val="en-US" w:eastAsia="zh-CN"/>
              </w:rPr>
              <w:t>0</w:t>
            </w:r>
          </w:p>
        </w:tc>
        <w:tc>
          <w:tcPr>
            <w:tcW w:w="1282" w:type="dxa"/>
            <w:noWrap w:val="0"/>
            <w:vAlign w:val="center"/>
          </w:tcPr>
          <w:p w14:paraId="34C2962B">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54299E0E">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334683EB">
            <w:pPr>
              <w:spacing w:line="240" w:lineRule="auto"/>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4" w:type="dxa"/>
            <w:noWrap w:val="0"/>
            <w:vAlign w:val="center"/>
          </w:tcPr>
          <w:p w14:paraId="263379D8">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961" w:type="dxa"/>
            <w:noWrap w:val="0"/>
            <w:vAlign w:val="center"/>
          </w:tcPr>
          <w:p w14:paraId="4B9F02AF">
            <w:pPr>
              <w:spacing w:line="240" w:lineRule="auto"/>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401" w:type="dxa"/>
            <w:noWrap w:val="0"/>
            <w:vAlign w:val="center"/>
          </w:tcPr>
          <w:p w14:paraId="6080A12B">
            <w:pPr>
              <w:spacing w:line="240" w:lineRule="auto"/>
              <w:jc w:val="center"/>
              <w:rPr>
                <w:rFonts w:ascii="Times New Roman"/>
                <w:snapToGrid w:val="0"/>
                <w:color w:val="auto"/>
                <w:kern w:val="21"/>
                <w:sz w:val="21"/>
                <w:szCs w:val="21"/>
                <w:lang w:val="en-US" w:eastAsia="zh-CN"/>
              </w:rPr>
            </w:pPr>
            <w:r>
              <w:rPr>
                <w:rFonts w:hint="eastAsia"/>
                <w:snapToGrid w:val="0"/>
                <w:color w:val="auto"/>
                <w:kern w:val="21"/>
                <w:sz w:val="21"/>
                <w:szCs w:val="21"/>
                <w:lang w:val="en-US" w:eastAsia="zh-CN"/>
              </w:rPr>
              <w:t>0</w:t>
            </w:r>
          </w:p>
        </w:tc>
      </w:tr>
      <w:tr w14:paraId="26D1F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28" w:type="dxa"/>
            <w:vMerge w:val="restart"/>
            <w:noWrap w:val="0"/>
            <w:vAlign w:val="center"/>
          </w:tcPr>
          <w:p w14:paraId="390D33C9">
            <w:pPr>
              <w:pStyle w:val="55"/>
              <w:spacing w:beforeLines="0" w:afterLines="0" w:line="240" w:lineRule="auto"/>
              <w:rPr>
                <w:rFonts w:ascii="Times New Roman"/>
                <w:snapToGrid w:val="0"/>
                <w:color w:val="auto"/>
                <w:kern w:val="21"/>
                <w:szCs w:val="21"/>
                <w:lang w:val="en-US" w:eastAsia="zh-CN"/>
              </w:rPr>
            </w:pPr>
            <w:r>
              <w:rPr>
                <w:rFonts w:ascii="Times New Roman"/>
                <w:snapToGrid w:val="0"/>
                <w:color w:val="auto"/>
                <w:kern w:val="21"/>
                <w:szCs w:val="21"/>
                <w:lang w:val="en-US" w:eastAsia="zh-CN"/>
              </w:rPr>
              <w:t>一般工业</w:t>
            </w:r>
          </w:p>
          <w:p w14:paraId="5C1F7EBE">
            <w:pPr>
              <w:pStyle w:val="55"/>
              <w:spacing w:beforeLines="0" w:afterLines="0" w:line="240" w:lineRule="auto"/>
              <w:rPr>
                <w:rFonts w:ascii="Times New Roman"/>
                <w:snapToGrid w:val="0"/>
                <w:color w:val="auto"/>
                <w:kern w:val="21"/>
                <w:szCs w:val="21"/>
                <w:lang w:val="en-US" w:eastAsia="zh-CN"/>
              </w:rPr>
            </w:pPr>
            <w:r>
              <w:rPr>
                <w:rFonts w:ascii="Times New Roman"/>
                <w:snapToGrid w:val="0"/>
                <w:color w:val="auto"/>
                <w:kern w:val="21"/>
                <w:szCs w:val="21"/>
                <w:lang w:val="en-US" w:eastAsia="zh-CN"/>
              </w:rPr>
              <w:t>固体废物</w:t>
            </w:r>
          </w:p>
        </w:tc>
        <w:tc>
          <w:tcPr>
            <w:tcW w:w="1722" w:type="dxa"/>
            <w:noWrap w:val="0"/>
            <w:vAlign w:val="center"/>
          </w:tcPr>
          <w:p w14:paraId="15EAB3A1">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color w:val="auto"/>
                <w:sz w:val="21"/>
                <w:szCs w:val="21"/>
              </w:rPr>
            </w:pPr>
            <w:r>
              <w:rPr>
                <w:rFonts w:hint="eastAsia"/>
                <w:b w:val="0"/>
                <w:bCs w:val="0"/>
                <w:color w:val="auto"/>
                <w:sz w:val="21"/>
                <w:szCs w:val="21"/>
                <w:vertAlign w:val="baseline"/>
                <w:lang w:val="en-US" w:eastAsia="zh-CN"/>
              </w:rPr>
              <w:t>煤泥</w:t>
            </w:r>
          </w:p>
        </w:tc>
        <w:tc>
          <w:tcPr>
            <w:tcW w:w="1568" w:type="dxa"/>
            <w:noWrap w:val="0"/>
            <w:vAlign w:val="center"/>
          </w:tcPr>
          <w:p w14:paraId="234D02C2">
            <w:pPr>
              <w:spacing w:line="240" w:lineRule="auto"/>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14.19万</w:t>
            </w:r>
            <w:r>
              <w:rPr>
                <w:rFonts w:hint="default" w:ascii="Times New Roman" w:hAnsi="Times New Roman" w:cs="Times New Roman"/>
                <w:color w:val="auto"/>
                <w:sz w:val="21"/>
                <w:szCs w:val="21"/>
                <w:lang w:bidi="ar"/>
              </w:rPr>
              <w:t>t/a</w:t>
            </w:r>
          </w:p>
        </w:tc>
        <w:tc>
          <w:tcPr>
            <w:tcW w:w="1282" w:type="dxa"/>
            <w:noWrap w:val="0"/>
            <w:vAlign w:val="center"/>
          </w:tcPr>
          <w:p w14:paraId="36F5F0A2">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1BFE9352">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64F472F0">
            <w:pPr>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1644" w:type="dxa"/>
            <w:noWrap w:val="0"/>
            <w:vAlign w:val="center"/>
          </w:tcPr>
          <w:p w14:paraId="27624BFB">
            <w:pPr>
              <w:spacing w:line="240" w:lineRule="auto"/>
              <w:jc w:val="center"/>
              <w:rPr>
                <w:snapToGrid w:val="0"/>
                <w:color w:val="auto"/>
                <w:kern w:val="21"/>
                <w:sz w:val="21"/>
                <w:szCs w:val="21"/>
              </w:rPr>
            </w:pPr>
            <w:r>
              <w:rPr>
                <w:snapToGrid w:val="0"/>
                <w:color w:val="auto"/>
                <w:kern w:val="21"/>
                <w:sz w:val="21"/>
                <w:szCs w:val="21"/>
              </w:rPr>
              <w:t>0</w:t>
            </w:r>
          </w:p>
        </w:tc>
        <w:tc>
          <w:tcPr>
            <w:tcW w:w="1961" w:type="dxa"/>
            <w:noWrap w:val="0"/>
            <w:vAlign w:val="center"/>
          </w:tcPr>
          <w:p w14:paraId="07865F60">
            <w:pPr>
              <w:spacing w:line="240" w:lineRule="auto"/>
              <w:jc w:val="center"/>
              <w:rPr>
                <w:rFonts w:hint="default" w:eastAsia="宋体"/>
                <w:snapToGrid w:val="0"/>
                <w:color w:val="auto"/>
                <w:kern w:val="21"/>
                <w:sz w:val="21"/>
                <w:szCs w:val="21"/>
                <w:lang w:val="en-US" w:eastAsia="zh-CN"/>
              </w:rPr>
            </w:pPr>
            <w:r>
              <w:rPr>
                <w:rFonts w:hint="eastAsia" w:ascii="Times New Roman" w:hAnsi="Times New Roman"/>
                <w:color w:val="auto"/>
                <w:sz w:val="21"/>
                <w:szCs w:val="21"/>
                <w:lang w:val="en-US" w:eastAsia="zh-CN"/>
              </w:rPr>
              <w:t>14.19万</w:t>
            </w:r>
            <w:r>
              <w:rPr>
                <w:rFonts w:hint="default" w:ascii="Times New Roman" w:hAnsi="Times New Roman" w:cs="Times New Roman"/>
                <w:color w:val="auto"/>
                <w:sz w:val="21"/>
                <w:szCs w:val="21"/>
                <w:lang w:bidi="ar"/>
              </w:rPr>
              <w:t>t/a</w:t>
            </w:r>
          </w:p>
        </w:tc>
        <w:tc>
          <w:tcPr>
            <w:tcW w:w="1401" w:type="dxa"/>
            <w:noWrap w:val="0"/>
            <w:vAlign w:val="center"/>
          </w:tcPr>
          <w:p w14:paraId="237FDEC2">
            <w:pPr>
              <w:spacing w:line="240" w:lineRule="auto"/>
              <w:jc w:val="center"/>
              <w:rPr>
                <w:rFonts w:hint="default"/>
                <w:snapToGrid w:val="0"/>
                <w:color w:val="auto"/>
                <w:kern w:val="21"/>
                <w:sz w:val="21"/>
                <w:szCs w:val="21"/>
                <w:lang w:val="en-US"/>
              </w:rPr>
            </w:pPr>
            <w:r>
              <w:rPr>
                <w:rFonts w:hint="eastAsia"/>
                <w:color w:val="auto"/>
                <w:sz w:val="21"/>
                <w:szCs w:val="21"/>
                <w:lang w:val="en-US" w:eastAsia="zh-CN"/>
              </w:rPr>
              <w:t>0</w:t>
            </w:r>
          </w:p>
        </w:tc>
      </w:tr>
      <w:tr w14:paraId="24A44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28" w:type="dxa"/>
            <w:vMerge w:val="continue"/>
            <w:noWrap w:val="0"/>
            <w:vAlign w:val="center"/>
          </w:tcPr>
          <w:p w14:paraId="42DA4C5A">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29FAB687">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煤矸石</w:t>
            </w:r>
          </w:p>
        </w:tc>
        <w:tc>
          <w:tcPr>
            <w:tcW w:w="1568" w:type="dxa"/>
            <w:noWrap w:val="0"/>
            <w:vAlign w:val="center"/>
          </w:tcPr>
          <w:p w14:paraId="74225CC1">
            <w:pPr>
              <w:spacing w:line="240" w:lineRule="auto"/>
              <w:jc w:val="center"/>
              <w:rPr>
                <w:rFonts w:hint="default" w:eastAsia="宋体"/>
                <w:color w:val="auto"/>
                <w:sz w:val="21"/>
                <w:szCs w:val="21"/>
                <w:lang w:val="en-US" w:eastAsia="zh-CN"/>
              </w:rPr>
            </w:pPr>
            <w:r>
              <w:rPr>
                <w:rFonts w:hint="eastAsia" w:eastAsia="宋体"/>
                <w:snapToGrid w:val="0"/>
                <w:color w:val="auto"/>
                <w:kern w:val="21"/>
                <w:sz w:val="21"/>
                <w:szCs w:val="21"/>
                <w:lang w:val="en-US" w:eastAsia="zh-CN"/>
              </w:rPr>
              <w:t>10.10</w:t>
            </w:r>
            <w:r>
              <w:rPr>
                <w:rFonts w:hint="eastAsia" w:ascii="Times New Roman" w:hAnsi="Times New Roman"/>
                <w:color w:val="auto"/>
                <w:sz w:val="21"/>
                <w:szCs w:val="21"/>
                <w:lang w:val="en-US" w:eastAsia="zh-CN"/>
              </w:rPr>
              <w:t>万</w:t>
            </w:r>
            <w:r>
              <w:rPr>
                <w:rFonts w:hint="default" w:ascii="Times New Roman" w:hAnsi="Times New Roman" w:cs="Times New Roman"/>
                <w:color w:val="auto"/>
                <w:sz w:val="21"/>
                <w:szCs w:val="21"/>
                <w:lang w:bidi="ar"/>
              </w:rPr>
              <w:t>t/a</w:t>
            </w:r>
          </w:p>
        </w:tc>
        <w:tc>
          <w:tcPr>
            <w:tcW w:w="1282" w:type="dxa"/>
            <w:noWrap w:val="0"/>
            <w:vAlign w:val="center"/>
          </w:tcPr>
          <w:p w14:paraId="0739DE74">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62B04DFA">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0630A542">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0</w:t>
            </w:r>
          </w:p>
        </w:tc>
        <w:tc>
          <w:tcPr>
            <w:tcW w:w="1644" w:type="dxa"/>
            <w:noWrap w:val="0"/>
            <w:vAlign w:val="center"/>
          </w:tcPr>
          <w:p w14:paraId="20FA4BBE">
            <w:pPr>
              <w:spacing w:line="240" w:lineRule="auto"/>
              <w:jc w:val="center"/>
              <w:rPr>
                <w:snapToGrid w:val="0"/>
                <w:color w:val="auto"/>
                <w:kern w:val="21"/>
                <w:sz w:val="21"/>
                <w:szCs w:val="21"/>
              </w:rPr>
            </w:pPr>
            <w:r>
              <w:rPr>
                <w:snapToGrid w:val="0"/>
                <w:color w:val="auto"/>
                <w:kern w:val="21"/>
                <w:sz w:val="21"/>
                <w:szCs w:val="21"/>
              </w:rPr>
              <w:t>0</w:t>
            </w:r>
          </w:p>
        </w:tc>
        <w:tc>
          <w:tcPr>
            <w:tcW w:w="1961" w:type="dxa"/>
            <w:noWrap w:val="0"/>
            <w:vAlign w:val="center"/>
          </w:tcPr>
          <w:p w14:paraId="55048FD3">
            <w:pPr>
              <w:spacing w:line="240" w:lineRule="auto"/>
              <w:jc w:val="center"/>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10.10</w:t>
            </w:r>
            <w:r>
              <w:rPr>
                <w:rFonts w:hint="eastAsia" w:ascii="Times New Roman" w:hAnsi="Times New Roman"/>
                <w:color w:val="auto"/>
                <w:sz w:val="21"/>
                <w:szCs w:val="21"/>
                <w:lang w:val="en-US" w:eastAsia="zh-CN"/>
              </w:rPr>
              <w:t>万</w:t>
            </w:r>
            <w:r>
              <w:rPr>
                <w:rFonts w:hint="default" w:ascii="Times New Roman" w:hAnsi="Times New Roman" w:cs="Times New Roman"/>
                <w:color w:val="auto"/>
                <w:sz w:val="21"/>
                <w:szCs w:val="21"/>
                <w:lang w:bidi="ar"/>
              </w:rPr>
              <w:t>t/a</w:t>
            </w:r>
          </w:p>
        </w:tc>
        <w:tc>
          <w:tcPr>
            <w:tcW w:w="1401" w:type="dxa"/>
            <w:noWrap w:val="0"/>
            <w:vAlign w:val="center"/>
          </w:tcPr>
          <w:p w14:paraId="396C5298">
            <w:pPr>
              <w:spacing w:line="240" w:lineRule="auto"/>
              <w:jc w:val="center"/>
              <w:rPr>
                <w:rFonts w:hint="default" w:eastAsia="宋体"/>
                <w:snapToGrid w:val="0"/>
                <w:color w:val="auto"/>
                <w:kern w:val="21"/>
                <w:sz w:val="21"/>
                <w:szCs w:val="21"/>
                <w:lang w:val="en-US" w:eastAsia="zh-CN"/>
              </w:rPr>
            </w:pPr>
            <w:r>
              <w:rPr>
                <w:rFonts w:hint="eastAsia"/>
                <w:color w:val="auto"/>
                <w:sz w:val="21"/>
                <w:szCs w:val="21"/>
                <w:lang w:val="en-US" w:eastAsia="zh-CN"/>
              </w:rPr>
              <w:t>0</w:t>
            </w:r>
          </w:p>
        </w:tc>
      </w:tr>
      <w:tr w14:paraId="69B5E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continue"/>
            <w:noWrap w:val="0"/>
            <w:vAlign w:val="center"/>
          </w:tcPr>
          <w:p w14:paraId="471FA1BC">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757203E1">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color w:val="auto"/>
                <w:sz w:val="21"/>
                <w:szCs w:val="21"/>
              </w:rPr>
            </w:pPr>
            <w:r>
              <w:rPr>
                <w:rFonts w:hint="eastAsia"/>
                <w:b w:val="0"/>
                <w:bCs w:val="0"/>
                <w:color w:val="auto"/>
                <w:sz w:val="21"/>
                <w:szCs w:val="21"/>
                <w:vertAlign w:val="baseline"/>
                <w:lang w:val="en-US" w:eastAsia="zh-CN"/>
              </w:rPr>
              <w:t>生活垃圾</w:t>
            </w:r>
          </w:p>
        </w:tc>
        <w:tc>
          <w:tcPr>
            <w:tcW w:w="1568" w:type="dxa"/>
            <w:noWrap w:val="0"/>
            <w:vAlign w:val="center"/>
          </w:tcPr>
          <w:p w14:paraId="0F323B87">
            <w:pPr>
              <w:pStyle w:val="55"/>
              <w:spacing w:beforeLines="0" w:afterLines="0" w:line="240" w:lineRule="auto"/>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bidi="ar"/>
              </w:rPr>
              <w:t>13.5</w:t>
            </w:r>
            <w:r>
              <w:rPr>
                <w:rFonts w:hint="default" w:ascii="Times New Roman" w:hAnsi="Times New Roman" w:cs="Times New Roman"/>
                <w:color w:val="auto"/>
                <w:sz w:val="21"/>
                <w:szCs w:val="21"/>
                <w:lang w:bidi="ar"/>
              </w:rPr>
              <w:t>t/a</w:t>
            </w:r>
          </w:p>
        </w:tc>
        <w:tc>
          <w:tcPr>
            <w:tcW w:w="1282" w:type="dxa"/>
            <w:noWrap w:val="0"/>
            <w:vAlign w:val="center"/>
          </w:tcPr>
          <w:p w14:paraId="1B5F732D">
            <w:pPr>
              <w:spacing w:line="240" w:lineRule="auto"/>
              <w:jc w:val="center"/>
              <w:rPr>
                <w:color w:val="auto"/>
                <w:sz w:val="21"/>
                <w:szCs w:val="21"/>
                <w:highlight w:val="yellow"/>
              </w:rPr>
            </w:pPr>
            <w:r>
              <w:rPr>
                <w:snapToGrid w:val="0"/>
                <w:color w:val="auto"/>
                <w:kern w:val="21"/>
                <w:sz w:val="21"/>
                <w:szCs w:val="21"/>
              </w:rPr>
              <w:t>0</w:t>
            </w:r>
          </w:p>
        </w:tc>
        <w:tc>
          <w:tcPr>
            <w:tcW w:w="1675" w:type="dxa"/>
            <w:noWrap w:val="0"/>
            <w:vAlign w:val="center"/>
          </w:tcPr>
          <w:p w14:paraId="0148F319">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134FE06A">
            <w:pPr>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1644" w:type="dxa"/>
            <w:noWrap w:val="0"/>
            <w:vAlign w:val="center"/>
          </w:tcPr>
          <w:p w14:paraId="7A28FFA3">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961" w:type="dxa"/>
            <w:noWrap w:val="0"/>
            <w:vAlign w:val="center"/>
          </w:tcPr>
          <w:p w14:paraId="32737B9E">
            <w:pPr>
              <w:spacing w:line="240" w:lineRule="auto"/>
              <w:jc w:val="center"/>
              <w:rPr>
                <w:rFonts w:hint="default" w:ascii="Times New Roman"/>
                <w:snapToGrid w:val="0"/>
                <w:color w:val="auto"/>
                <w:kern w:val="21"/>
                <w:sz w:val="21"/>
                <w:szCs w:val="21"/>
                <w:lang w:val="en-US" w:eastAsia="zh-CN"/>
              </w:rPr>
            </w:pPr>
            <w:r>
              <w:rPr>
                <w:rFonts w:hint="eastAsia" w:ascii="Times New Roman" w:hAnsi="Times New Roman" w:cs="Times New Roman"/>
                <w:color w:val="auto"/>
                <w:sz w:val="21"/>
                <w:szCs w:val="21"/>
                <w:lang w:val="en-US" w:eastAsia="zh-CN" w:bidi="ar"/>
              </w:rPr>
              <w:t>13.5</w:t>
            </w:r>
            <w:r>
              <w:rPr>
                <w:rFonts w:hint="default" w:ascii="Times New Roman" w:hAnsi="Times New Roman" w:cs="Times New Roman"/>
                <w:color w:val="auto"/>
                <w:sz w:val="21"/>
                <w:szCs w:val="21"/>
                <w:lang w:bidi="ar"/>
              </w:rPr>
              <w:t>t/a</w:t>
            </w:r>
          </w:p>
        </w:tc>
        <w:tc>
          <w:tcPr>
            <w:tcW w:w="1401" w:type="dxa"/>
            <w:noWrap w:val="0"/>
            <w:vAlign w:val="center"/>
          </w:tcPr>
          <w:p w14:paraId="4DA40D43">
            <w:pPr>
              <w:spacing w:line="240" w:lineRule="auto"/>
              <w:jc w:val="center"/>
              <w:rPr>
                <w:rFonts w:hint="default" w:ascii="Times New Roman"/>
                <w:snapToGrid w:val="0"/>
                <w:color w:val="auto"/>
                <w:kern w:val="21"/>
                <w:sz w:val="21"/>
                <w:szCs w:val="21"/>
                <w:lang w:val="en-US" w:eastAsia="zh-CN"/>
              </w:rPr>
            </w:pPr>
            <w:r>
              <w:rPr>
                <w:rFonts w:hint="eastAsia"/>
                <w:color w:val="auto"/>
                <w:sz w:val="21"/>
                <w:szCs w:val="21"/>
                <w:lang w:val="en-US" w:eastAsia="zh-CN"/>
              </w:rPr>
              <w:t>0</w:t>
            </w:r>
          </w:p>
        </w:tc>
      </w:tr>
      <w:tr w14:paraId="0771A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continue"/>
            <w:noWrap w:val="0"/>
            <w:vAlign w:val="center"/>
          </w:tcPr>
          <w:p w14:paraId="6FB30834">
            <w:pPr>
              <w:pStyle w:val="55"/>
              <w:spacing w:beforeLines="0" w:afterLines="0" w:line="240" w:lineRule="auto"/>
              <w:rPr>
                <w:rFonts w:ascii="Times New Roman"/>
                <w:snapToGrid w:val="0"/>
                <w:color w:val="auto"/>
                <w:kern w:val="21"/>
                <w:szCs w:val="21"/>
                <w:lang w:val="en-US" w:eastAsia="zh-CN"/>
              </w:rPr>
            </w:pPr>
          </w:p>
        </w:tc>
        <w:tc>
          <w:tcPr>
            <w:tcW w:w="1722" w:type="dxa"/>
            <w:noWrap w:val="0"/>
            <w:vAlign w:val="center"/>
          </w:tcPr>
          <w:p w14:paraId="2710BAA5">
            <w:pPr>
              <w:pStyle w:val="14"/>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color w:val="auto"/>
                <w:sz w:val="21"/>
                <w:szCs w:val="21"/>
              </w:rPr>
            </w:pPr>
            <w:r>
              <w:rPr>
                <w:rFonts w:hint="eastAsia"/>
                <w:b w:val="0"/>
                <w:bCs w:val="0"/>
                <w:color w:val="auto"/>
                <w:sz w:val="21"/>
                <w:szCs w:val="21"/>
                <w:vertAlign w:val="baseline"/>
                <w:lang w:val="en-US" w:eastAsia="zh-CN"/>
              </w:rPr>
              <w:t>废包装材料</w:t>
            </w:r>
          </w:p>
        </w:tc>
        <w:tc>
          <w:tcPr>
            <w:tcW w:w="1568" w:type="dxa"/>
            <w:noWrap w:val="0"/>
            <w:vAlign w:val="center"/>
          </w:tcPr>
          <w:p w14:paraId="00579482">
            <w:pPr>
              <w:pStyle w:val="55"/>
              <w:spacing w:beforeLines="0" w:afterLines="0" w:line="240" w:lineRule="auto"/>
              <w:jc w:val="center"/>
              <w:rPr>
                <w:rFonts w:hint="eastAsia" w:eastAsia="宋体"/>
                <w:color w:val="auto"/>
                <w:sz w:val="21"/>
                <w:szCs w:val="21"/>
                <w:lang w:val="en-US" w:eastAsia="zh-CN"/>
              </w:rPr>
            </w:pPr>
            <w:r>
              <w:rPr>
                <w:rFonts w:ascii="Times New Roman"/>
                <w:snapToGrid w:val="0"/>
                <w:color w:val="auto"/>
                <w:kern w:val="21"/>
                <w:sz w:val="21"/>
                <w:szCs w:val="21"/>
                <w:lang w:val="en-US" w:eastAsia="zh-CN"/>
              </w:rPr>
              <w:t>0</w:t>
            </w:r>
          </w:p>
        </w:tc>
        <w:tc>
          <w:tcPr>
            <w:tcW w:w="1282" w:type="dxa"/>
            <w:noWrap w:val="0"/>
            <w:vAlign w:val="center"/>
          </w:tcPr>
          <w:p w14:paraId="393F6C65">
            <w:pPr>
              <w:spacing w:line="240" w:lineRule="auto"/>
              <w:jc w:val="center"/>
              <w:rPr>
                <w:color w:val="auto"/>
                <w:sz w:val="21"/>
                <w:szCs w:val="21"/>
              </w:rPr>
            </w:pPr>
            <w:r>
              <w:rPr>
                <w:snapToGrid w:val="0"/>
                <w:color w:val="auto"/>
                <w:kern w:val="21"/>
                <w:sz w:val="21"/>
                <w:szCs w:val="21"/>
              </w:rPr>
              <w:t>0</w:t>
            </w:r>
          </w:p>
        </w:tc>
        <w:tc>
          <w:tcPr>
            <w:tcW w:w="1675" w:type="dxa"/>
            <w:noWrap w:val="0"/>
            <w:vAlign w:val="center"/>
          </w:tcPr>
          <w:p w14:paraId="4A79B00E">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03E0157E">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0</w:t>
            </w:r>
          </w:p>
        </w:tc>
        <w:tc>
          <w:tcPr>
            <w:tcW w:w="1644" w:type="dxa"/>
            <w:noWrap w:val="0"/>
            <w:vAlign w:val="center"/>
          </w:tcPr>
          <w:p w14:paraId="023C96B6">
            <w:pPr>
              <w:pStyle w:val="55"/>
              <w:spacing w:beforeLines="0" w:afterLines="0" w:line="240" w:lineRule="auto"/>
              <w:jc w:val="center"/>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961" w:type="dxa"/>
            <w:noWrap w:val="0"/>
            <w:vAlign w:val="center"/>
          </w:tcPr>
          <w:p w14:paraId="561C75F7">
            <w:pPr>
              <w:spacing w:line="240" w:lineRule="auto"/>
              <w:jc w:val="center"/>
              <w:rPr>
                <w:rFonts w:hint="default" w:ascii="Times New Roman"/>
                <w:snapToGrid w:val="0"/>
                <w:color w:val="auto"/>
                <w:kern w:val="21"/>
                <w:sz w:val="21"/>
                <w:szCs w:val="21"/>
                <w:lang w:val="en-US" w:eastAsia="zh-CN"/>
              </w:rPr>
            </w:pPr>
            <w:r>
              <w:rPr>
                <w:rFonts w:hint="eastAsia"/>
                <w:color w:val="auto"/>
                <w:sz w:val="21"/>
                <w:szCs w:val="21"/>
                <w:lang w:val="en-US" w:eastAsia="zh-CN"/>
              </w:rPr>
              <w:t>0</w:t>
            </w:r>
          </w:p>
        </w:tc>
        <w:tc>
          <w:tcPr>
            <w:tcW w:w="1401" w:type="dxa"/>
            <w:noWrap w:val="0"/>
            <w:vAlign w:val="center"/>
          </w:tcPr>
          <w:p w14:paraId="48BE0056">
            <w:pPr>
              <w:spacing w:line="240" w:lineRule="auto"/>
              <w:jc w:val="center"/>
              <w:rPr>
                <w:rFonts w:hint="default" w:eastAsia="宋体"/>
                <w:snapToGrid w:val="0"/>
                <w:color w:val="auto"/>
                <w:kern w:val="21"/>
                <w:sz w:val="21"/>
                <w:szCs w:val="21"/>
                <w:lang w:val="en-US" w:eastAsia="zh-CN"/>
              </w:rPr>
            </w:pPr>
            <w:r>
              <w:rPr>
                <w:rFonts w:hint="eastAsia"/>
                <w:color w:val="auto"/>
                <w:sz w:val="21"/>
                <w:szCs w:val="21"/>
                <w:lang w:val="en-US" w:eastAsia="zh-CN"/>
              </w:rPr>
              <w:t>0</w:t>
            </w:r>
          </w:p>
        </w:tc>
      </w:tr>
      <w:tr w14:paraId="6EFB3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noWrap w:val="0"/>
            <w:vAlign w:val="center"/>
          </w:tcPr>
          <w:p w14:paraId="1AA9C0AB">
            <w:pPr>
              <w:pStyle w:val="55"/>
              <w:spacing w:beforeLines="0" w:afterLines="0" w:line="240" w:lineRule="auto"/>
              <w:rPr>
                <w:rFonts w:ascii="Times New Roman"/>
                <w:snapToGrid w:val="0"/>
                <w:color w:val="auto"/>
                <w:kern w:val="21"/>
                <w:szCs w:val="21"/>
                <w:lang w:val="en-US" w:eastAsia="zh-CN"/>
              </w:rPr>
            </w:pPr>
            <w:r>
              <w:rPr>
                <w:rFonts w:ascii="Times New Roman"/>
                <w:snapToGrid w:val="0"/>
                <w:color w:val="auto"/>
                <w:kern w:val="21"/>
                <w:szCs w:val="21"/>
                <w:lang w:val="en-US" w:eastAsia="zh-CN"/>
              </w:rPr>
              <w:t>危险废物</w:t>
            </w:r>
          </w:p>
        </w:tc>
        <w:tc>
          <w:tcPr>
            <w:tcW w:w="1722" w:type="dxa"/>
            <w:noWrap w:val="0"/>
            <w:vAlign w:val="center"/>
          </w:tcPr>
          <w:p w14:paraId="03AA47C3">
            <w:pPr>
              <w:spacing w:line="240" w:lineRule="auto"/>
              <w:jc w:val="center"/>
              <w:rPr>
                <w:color w:val="auto"/>
                <w:sz w:val="21"/>
                <w:szCs w:val="21"/>
              </w:rPr>
            </w:pPr>
            <w:r>
              <w:rPr>
                <w:rFonts w:hint="eastAsia"/>
                <w:color w:val="auto"/>
                <w:sz w:val="21"/>
                <w:szCs w:val="21"/>
              </w:rPr>
              <w:t>废机油</w:t>
            </w:r>
          </w:p>
        </w:tc>
        <w:tc>
          <w:tcPr>
            <w:tcW w:w="1568" w:type="dxa"/>
            <w:noWrap w:val="0"/>
            <w:vAlign w:val="center"/>
          </w:tcPr>
          <w:p w14:paraId="4A5E008B">
            <w:pPr>
              <w:pStyle w:val="55"/>
              <w:spacing w:beforeLines="0" w:afterLines="0" w:line="240" w:lineRule="auto"/>
              <w:jc w:val="center"/>
              <w:rPr>
                <w:rFonts w:hint="default" w:eastAsia="宋体"/>
                <w:color w:val="auto"/>
                <w:sz w:val="21"/>
                <w:szCs w:val="21"/>
                <w:lang w:val="en-US" w:eastAsia="zh-CN"/>
              </w:rPr>
            </w:pPr>
            <w:r>
              <w:rPr>
                <w:rFonts w:hint="eastAsia" w:ascii="Times New Roman"/>
                <w:snapToGrid w:val="0"/>
                <w:color w:val="auto"/>
                <w:kern w:val="21"/>
                <w:sz w:val="21"/>
                <w:szCs w:val="21"/>
                <w:lang w:val="en-US" w:eastAsia="zh-CN"/>
              </w:rPr>
              <w:t>0.2</w:t>
            </w:r>
          </w:p>
        </w:tc>
        <w:tc>
          <w:tcPr>
            <w:tcW w:w="1282" w:type="dxa"/>
            <w:noWrap w:val="0"/>
            <w:vAlign w:val="center"/>
          </w:tcPr>
          <w:p w14:paraId="7539E0A5">
            <w:pPr>
              <w:spacing w:line="240" w:lineRule="auto"/>
              <w:jc w:val="center"/>
              <w:rPr>
                <w:color w:val="auto"/>
                <w:sz w:val="21"/>
                <w:szCs w:val="21"/>
              </w:rPr>
            </w:pPr>
            <w:r>
              <w:rPr>
                <w:snapToGrid w:val="0"/>
                <w:color w:val="auto"/>
                <w:kern w:val="21"/>
                <w:sz w:val="21"/>
                <w:szCs w:val="21"/>
              </w:rPr>
              <w:t>0</w:t>
            </w:r>
          </w:p>
        </w:tc>
        <w:tc>
          <w:tcPr>
            <w:tcW w:w="1675" w:type="dxa"/>
            <w:noWrap w:val="0"/>
            <w:vAlign w:val="center"/>
          </w:tcPr>
          <w:p w14:paraId="60DA0AF5">
            <w:pPr>
              <w:spacing w:line="240" w:lineRule="auto"/>
              <w:jc w:val="center"/>
              <w:rPr>
                <w:snapToGrid w:val="0"/>
                <w:color w:val="auto"/>
                <w:kern w:val="21"/>
                <w:sz w:val="21"/>
                <w:szCs w:val="21"/>
              </w:rPr>
            </w:pPr>
            <w:r>
              <w:rPr>
                <w:snapToGrid w:val="0"/>
                <w:color w:val="auto"/>
                <w:kern w:val="21"/>
                <w:sz w:val="21"/>
                <w:szCs w:val="21"/>
              </w:rPr>
              <w:t>0</w:t>
            </w:r>
          </w:p>
        </w:tc>
        <w:tc>
          <w:tcPr>
            <w:tcW w:w="1675" w:type="dxa"/>
            <w:noWrap w:val="0"/>
            <w:vAlign w:val="center"/>
          </w:tcPr>
          <w:p w14:paraId="29FA4A3E">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0.01</w:t>
            </w:r>
          </w:p>
        </w:tc>
        <w:tc>
          <w:tcPr>
            <w:tcW w:w="1644" w:type="dxa"/>
            <w:noWrap w:val="0"/>
            <w:vAlign w:val="center"/>
          </w:tcPr>
          <w:p w14:paraId="0F8880DE">
            <w:pPr>
              <w:pStyle w:val="55"/>
              <w:spacing w:beforeLines="0" w:afterLines="0" w:line="240" w:lineRule="auto"/>
              <w:jc w:val="center"/>
              <w:rPr>
                <w:rFonts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961" w:type="dxa"/>
            <w:noWrap w:val="0"/>
            <w:vAlign w:val="center"/>
          </w:tcPr>
          <w:p w14:paraId="12719BB3">
            <w:pPr>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0.21</w:t>
            </w:r>
          </w:p>
        </w:tc>
        <w:tc>
          <w:tcPr>
            <w:tcW w:w="1401" w:type="dxa"/>
            <w:noWrap w:val="0"/>
            <w:vAlign w:val="center"/>
          </w:tcPr>
          <w:p w14:paraId="0DC71F60">
            <w:pPr>
              <w:spacing w:line="240" w:lineRule="auto"/>
              <w:jc w:val="center"/>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w:t>
            </w:r>
            <w:r>
              <w:rPr>
                <w:rFonts w:hint="eastAsia"/>
                <w:snapToGrid w:val="0"/>
                <w:color w:val="auto"/>
                <w:kern w:val="21"/>
                <w:sz w:val="21"/>
                <w:szCs w:val="21"/>
                <w:lang w:val="en-US" w:eastAsia="zh-CN"/>
              </w:rPr>
              <w:t>0.01</w:t>
            </w:r>
          </w:p>
        </w:tc>
      </w:tr>
    </w:tbl>
    <w:p w14:paraId="430529C0">
      <w:pPr>
        <w:pStyle w:val="55"/>
        <w:spacing w:before="192" w:beforeLines="80" w:after="24"/>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sectPr>
      <w:pgSz w:w="16838" w:h="11906" w:orient="landscape"/>
      <w:pgMar w:top="1800" w:right="1440" w:bottom="1800" w:left="144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C3573">
    <w:pPr>
      <w:pStyle w:val="16"/>
      <w:tabs>
        <w:tab w:val="center" w:pos="4422"/>
        <w:tab w:val="clear" w:pos="4153"/>
      </w:tabs>
      <w:ind w:right="360" w:firstLine="360"/>
      <w:jc w:val="both"/>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80D22">
    <w:pPr>
      <w:pStyle w:val="16"/>
      <w:tabs>
        <w:tab w:val="center" w:pos="4422"/>
        <w:tab w:val="clear" w:pos="4153"/>
      </w:tabs>
      <w:ind w:right="360" w:firstLine="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1B7680">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lEcoccBAACb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Jy74xYnfvnx/fLz9+XXN7Is&#10;AvUBasx7CJiZhrd+wOQsXPYDOjPvQUWbv8iIYBzlPV/llUMiIj9ar9brCkMCY/MFcdjteYiQ3klv&#10;STYaGnF+RVZ++gBpTJ1TcjXn77UxZYbG/eVAzOxhtx6zlYb9MDW+9+0Z+fQ4+oY63HRKzHuHyuYt&#10;mY04G/vZOIaoD11Zo1wPwptjwiZKb7nCCDsVxpkVdtN+5aV4fC9Zt39q+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slEcoccBAACbAwAADgAAAAAAAAABACAAAAAeAQAAZHJzL2Uyb0RvYy54&#10;bWxQSwUGAAAAAAYABgBZAQAAVwUAAAAA&#10;">
              <v:fill on="f" focussize="0,0"/>
              <v:stroke on="f"/>
              <v:imagedata o:title=""/>
              <o:lock v:ext="edit" aspectratio="f"/>
              <v:textbox inset="0mm,0mm,0mm,0mm" style="mso-fit-shape-to-text:t;">
                <w:txbxContent>
                  <w:p w14:paraId="121B7680">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6CDA">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4EA11">
                          <w:pPr>
                            <w:pStyle w:val="16"/>
                          </w:pPr>
                          <w:r>
                            <w:fldChar w:fldCharType="begin"/>
                          </w:r>
                          <w:r>
                            <w:instrText xml:space="preserve"> PAGE  \* MERGEFORMAT </w:instrText>
                          </w:r>
                          <w:r>
                            <w:fldChar w:fldCharType="separate"/>
                          </w:r>
                          <w:r>
                            <w:t>114</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Bwj7abdAQAAvwMAAA4AAAAAAAAA&#10;AQAgAAAAHgEAAGRycy9lMm9Eb2MueG1sUEsFBgAAAAAGAAYAWQEAAG0FAAAAAA==&#10;">
              <v:fill on="f" focussize="0,0"/>
              <v:stroke on="f"/>
              <v:imagedata o:title=""/>
              <o:lock v:ext="edit" aspectratio="f"/>
              <v:textbox inset="0mm,0mm,0mm,0mm" style="mso-fit-shape-to-text:t;">
                <w:txbxContent>
                  <w:p w14:paraId="44C4EA11">
                    <w:pPr>
                      <w:pStyle w:val="16"/>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ED76">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CD422"/>
    <w:multiLevelType w:val="singleLevel"/>
    <w:tmpl w:val="BA1CD422"/>
    <w:lvl w:ilvl="0" w:tentative="0">
      <w:start w:val="3"/>
      <w:numFmt w:val="decimal"/>
      <w:suff w:val="nothing"/>
      <w:lvlText w:val="（%1）"/>
      <w:lvlJc w:val="left"/>
    </w:lvl>
  </w:abstractNum>
  <w:abstractNum w:abstractNumId="1">
    <w:nsid w:val="0000000C"/>
    <w:multiLevelType w:val="multilevel"/>
    <w:tmpl w:val="0000000C"/>
    <w:lvl w:ilvl="0" w:tentative="0">
      <w:start w:val="1"/>
      <w:numFmt w:val="decimal"/>
      <w:isLgl/>
      <w:lvlText w:val="%1"/>
      <w:lvlJc w:val="left"/>
      <w:pPr>
        <w:tabs>
          <w:tab w:val="left" w:pos="0"/>
        </w:tabs>
        <w:ind w:left="0" w:firstLine="0"/>
      </w:pPr>
      <w:rPr>
        <w:rFonts w:hint="eastAsia"/>
        <w:b/>
        <w:i w:val="0"/>
      </w:rPr>
    </w:lvl>
    <w:lvl w:ilvl="1" w:tentative="0">
      <w:start w:val="1"/>
      <w:numFmt w:val="decimal"/>
      <w:pStyle w:val="2"/>
      <w:isLgl/>
      <w:lvlText w:val="%1.%2"/>
      <w:lvlJc w:val="left"/>
      <w:pPr>
        <w:tabs>
          <w:tab w:val="left" w:pos="288"/>
        </w:tabs>
        <w:ind w:left="288" w:firstLine="0"/>
      </w:pPr>
    </w:lvl>
    <w:lvl w:ilvl="2" w:tentative="0">
      <w:start w:val="1"/>
      <w:numFmt w:val="decimal"/>
      <w:isLgl/>
      <w:lvlText w:val="%1.%2.%3"/>
      <w:lvlJc w:val="left"/>
      <w:pPr>
        <w:tabs>
          <w:tab w:val="left" w:pos="2836"/>
        </w:tabs>
        <w:ind w:left="2836" w:firstLine="0"/>
      </w:pPr>
      <w:rPr>
        <w:rFonts w:hint="eastAsia"/>
      </w:rPr>
    </w:lvl>
    <w:lvl w:ilvl="3" w:tentative="0">
      <w:start w:val="1"/>
      <w:numFmt w:val="decimal"/>
      <w:isLgl/>
      <w:lvlText w:val="%1.%2.%3.%4"/>
      <w:lvlJc w:val="left"/>
      <w:pPr>
        <w:tabs>
          <w:tab w:val="left" w:pos="0"/>
        </w:tabs>
        <w:ind w:left="0" w:firstLine="0"/>
      </w:pPr>
      <w:rPr>
        <w:rFonts w:hint="eastAsia"/>
      </w:rPr>
    </w:lvl>
    <w:lvl w:ilvl="4" w:tentative="0">
      <w:start w:val="1"/>
      <w:numFmt w:val="decimal"/>
      <w:isLg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60C5E52"/>
    <w:multiLevelType w:val="singleLevel"/>
    <w:tmpl w:val="260C5E52"/>
    <w:lvl w:ilvl="0" w:tentative="0">
      <w:start w:val="3"/>
      <w:numFmt w:val="decimal"/>
      <w:suff w:val="nothing"/>
      <w:lvlText w:val="%1、"/>
      <w:lvlJc w:val="left"/>
    </w:lvl>
  </w:abstractNum>
  <w:abstractNum w:abstractNumId="3">
    <w:nsid w:val="3E441C4B"/>
    <w:multiLevelType w:val="singleLevel"/>
    <w:tmpl w:val="3E441C4B"/>
    <w:lvl w:ilvl="0" w:tentative="0">
      <w:start w:val="4"/>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2NTc5MzA1NWNiOGI0OGQ3ZWU2N2ZiNDM3MWQ1NGIifQ=="/>
    <w:docVar w:name="KSO_WPS_MARK_KEY" w:val="f4b64ebe-adce-4719-aa3a-5b0b9587e86d"/>
  </w:docVars>
  <w:rsids>
    <w:rsidRoot w:val="00172A27"/>
    <w:rsid w:val="00001CED"/>
    <w:rsid w:val="00001E67"/>
    <w:rsid w:val="00003CD8"/>
    <w:rsid w:val="000045A8"/>
    <w:rsid w:val="00005437"/>
    <w:rsid w:val="0000643E"/>
    <w:rsid w:val="00006447"/>
    <w:rsid w:val="00007F72"/>
    <w:rsid w:val="00014965"/>
    <w:rsid w:val="0001523A"/>
    <w:rsid w:val="00016042"/>
    <w:rsid w:val="00016ECB"/>
    <w:rsid w:val="000237C5"/>
    <w:rsid w:val="00024543"/>
    <w:rsid w:val="000269F6"/>
    <w:rsid w:val="00031939"/>
    <w:rsid w:val="00032D25"/>
    <w:rsid w:val="000343A7"/>
    <w:rsid w:val="000365AF"/>
    <w:rsid w:val="000370C7"/>
    <w:rsid w:val="00045457"/>
    <w:rsid w:val="000457CD"/>
    <w:rsid w:val="00046150"/>
    <w:rsid w:val="0005219D"/>
    <w:rsid w:val="00053202"/>
    <w:rsid w:val="0005568F"/>
    <w:rsid w:val="0006153D"/>
    <w:rsid w:val="00061B1F"/>
    <w:rsid w:val="000664DB"/>
    <w:rsid w:val="00066FA2"/>
    <w:rsid w:val="00070729"/>
    <w:rsid w:val="0007127D"/>
    <w:rsid w:val="00071AE5"/>
    <w:rsid w:val="00072D05"/>
    <w:rsid w:val="00073677"/>
    <w:rsid w:val="00074783"/>
    <w:rsid w:val="000801E0"/>
    <w:rsid w:val="00081AF1"/>
    <w:rsid w:val="00082A29"/>
    <w:rsid w:val="0008331D"/>
    <w:rsid w:val="00083401"/>
    <w:rsid w:val="00083C18"/>
    <w:rsid w:val="0008745F"/>
    <w:rsid w:val="000878FA"/>
    <w:rsid w:val="00091FF3"/>
    <w:rsid w:val="00092899"/>
    <w:rsid w:val="000A178E"/>
    <w:rsid w:val="000A3DCD"/>
    <w:rsid w:val="000A557E"/>
    <w:rsid w:val="000B058F"/>
    <w:rsid w:val="000B0F66"/>
    <w:rsid w:val="000B2066"/>
    <w:rsid w:val="000B223D"/>
    <w:rsid w:val="000B48D9"/>
    <w:rsid w:val="000B693F"/>
    <w:rsid w:val="000B6BA5"/>
    <w:rsid w:val="000B75A1"/>
    <w:rsid w:val="000C09AC"/>
    <w:rsid w:val="000C0A63"/>
    <w:rsid w:val="000C437E"/>
    <w:rsid w:val="000C583C"/>
    <w:rsid w:val="000D29A9"/>
    <w:rsid w:val="000D7825"/>
    <w:rsid w:val="000E02A3"/>
    <w:rsid w:val="000E5F16"/>
    <w:rsid w:val="000F22AD"/>
    <w:rsid w:val="000F2958"/>
    <w:rsid w:val="000F4452"/>
    <w:rsid w:val="000F6DA1"/>
    <w:rsid w:val="000F701B"/>
    <w:rsid w:val="001025AA"/>
    <w:rsid w:val="001056A0"/>
    <w:rsid w:val="00115279"/>
    <w:rsid w:val="00115667"/>
    <w:rsid w:val="00117459"/>
    <w:rsid w:val="0011749A"/>
    <w:rsid w:val="0012262B"/>
    <w:rsid w:val="00126534"/>
    <w:rsid w:val="00127A68"/>
    <w:rsid w:val="00127C70"/>
    <w:rsid w:val="001317E5"/>
    <w:rsid w:val="00136BC5"/>
    <w:rsid w:val="00140B13"/>
    <w:rsid w:val="00141B68"/>
    <w:rsid w:val="001466DA"/>
    <w:rsid w:val="00154DE1"/>
    <w:rsid w:val="00155B40"/>
    <w:rsid w:val="001566F0"/>
    <w:rsid w:val="00157435"/>
    <w:rsid w:val="001577A8"/>
    <w:rsid w:val="00160DD5"/>
    <w:rsid w:val="001617BB"/>
    <w:rsid w:val="00163EEA"/>
    <w:rsid w:val="00167A07"/>
    <w:rsid w:val="0017046A"/>
    <w:rsid w:val="001704A3"/>
    <w:rsid w:val="00171C24"/>
    <w:rsid w:val="0017504D"/>
    <w:rsid w:val="001765AC"/>
    <w:rsid w:val="00177422"/>
    <w:rsid w:val="00184F10"/>
    <w:rsid w:val="00185546"/>
    <w:rsid w:val="0019146B"/>
    <w:rsid w:val="001927A4"/>
    <w:rsid w:val="00194398"/>
    <w:rsid w:val="001A4786"/>
    <w:rsid w:val="001A7D2A"/>
    <w:rsid w:val="001B30ED"/>
    <w:rsid w:val="001B3183"/>
    <w:rsid w:val="001B574C"/>
    <w:rsid w:val="001B7C07"/>
    <w:rsid w:val="001C0ACB"/>
    <w:rsid w:val="001C0AF9"/>
    <w:rsid w:val="001C155A"/>
    <w:rsid w:val="001C3A2C"/>
    <w:rsid w:val="001C48C0"/>
    <w:rsid w:val="001C7BF6"/>
    <w:rsid w:val="001D01A9"/>
    <w:rsid w:val="001D19F2"/>
    <w:rsid w:val="001D3328"/>
    <w:rsid w:val="001D6726"/>
    <w:rsid w:val="001E0E21"/>
    <w:rsid w:val="001E1BDB"/>
    <w:rsid w:val="001E6EDA"/>
    <w:rsid w:val="001F3347"/>
    <w:rsid w:val="001F3368"/>
    <w:rsid w:val="001F4440"/>
    <w:rsid w:val="001F69E4"/>
    <w:rsid w:val="00200B08"/>
    <w:rsid w:val="00203393"/>
    <w:rsid w:val="0020655C"/>
    <w:rsid w:val="00206A65"/>
    <w:rsid w:val="00212D31"/>
    <w:rsid w:val="002130C7"/>
    <w:rsid w:val="002146C9"/>
    <w:rsid w:val="002146F3"/>
    <w:rsid w:val="002218A8"/>
    <w:rsid w:val="0022306D"/>
    <w:rsid w:val="00223B9A"/>
    <w:rsid w:val="00226574"/>
    <w:rsid w:val="002278EC"/>
    <w:rsid w:val="00227CCC"/>
    <w:rsid w:val="0023365D"/>
    <w:rsid w:val="0023419C"/>
    <w:rsid w:val="002357C7"/>
    <w:rsid w:val="002367C4"/>
    <w:rsid w:val="00240A4B"/>
    <w:rsid w:val="00243616"/>
    <w:rsid w:val="002438A8"/>
    <w:rsid w:val="00244DE1"/>
    <w:rsid w:val="00252307"/>
    <w:rsid w:val="0025679E"/>
    <w:rsid w:val="00260A90"/>
    <w:rsid w:val="00260C68"/>
    <w:rsid w:val="00262DF4"/>
    <w:rsid w:val="002648B0"/>
    <w:rsid w:val="00270C11"/>
    <w:rsid w:val="00275271"/>
    <w:rsid w:val="0027535E"/>
    <w:rsid w:val="00275AA6"/>
    <w:rsid w:val="002807D5"/>
    <w:rsid w:val="00281ACB"/>
    <w:rsid w:val="00282CCD"/>
    <w:rsid w:val="00283ED3"/>
    <w:rsid w:val="00291D39"/>
    <w:rsid w:val="00295598"/>
    <w:rsid w:val="00296613"/>
    <w:rsid w:val="002969C2"/>
    <w:rsid w:val="002A168C"/>
    <w:rsid w:val="002A2C48"/>
    <w:rsid w:val="002A3EED"/>
    <w:rsid w:val="002A4A39"/>
    <w:rsid w:val="002A5A17"/>
    <w:rsid w:val="002A6425"/>
    <w:rsid w:val="002B430F"/>
    <w:rsid w:val="002B49E2"/>
    <w:rsid w:val="002B63C1"/>
    <w:rsid w:val="002B686E"/>
    <w:rsid w:val="002B7B00"/>
    <w:rsid w:val="002B7C44"/>
    <w:rsid w:val="002C0D15"/>
    <w:rsid w:val="002C1388"/>
    <w:rsid w:val="002C2B19"/>
    <w:rsid w:val="002C3348"/>
    <w:rsid w:val="002C3C6A"/>
    <w:rsid w:val="002D00EF"/>
    <w:rsid w:val="002D42DB"/>
    <w:rsid w:val="002E1F3A"/>
    <w:rsid w:val="002E298A"/>
    <w:rsid w:val="002E7B07"/>
    <w:rsid w:val="002F02A4"/>
    <w:rsid w:val="002F272B"/>
    <w:rsid w:val="002F71F7"/>
    <w:rsid w:val="002F7C6D"/>
    <w:rsid w:val="0030044A"/>
    <w:rsid w:val="003027E4"/>
    <w:rsid w:val="0030332C"/>
    <w:rsid w:val="0031178C"/>
    <w:rsid w:val="00312296"/>
    <w:rsid w:val="0031340E"/>
    <w:rsid w:val="003158BA"/>
    <w:rsid w:val="00316464"/>
    <w:rsid w:val="0032073A"/>
    <w:rsid w:val="00320828"/>
    <w:rsid w:val="00321D8E"/>
    <w:rsid w:val="00323698"/>
    <w:rsid w:val="00324AE8"/>
    <w:rsid w:val="00331827"/>
    <w:rsid w:val="00334996"/>
    <w:rsid w:val="00336969"/>
    <w:rsid w:val="00336C52"/>
    <w:rsid w:val="0034097C"/>
    <w:rsid w:val="00340FE0"/>
    <w:rsid w:val="00341B3E"/>
    <w:rsid w:val="00341B42"/>
    <w:rsid w:val="00344A12"/>
    <w:rsid w:val="00345154"/>
    <w:rsid w:val="00345368"/>
    <w:rsid w:val="0034560E"/>
    <w:rsid w:val="003458E9"/>
    <w:rsid w:val="00350523"/>
    <w:rsid w:val="00352975"/>
    <w:rsid w:val="0035367A"/>
    <w:rsid w:val="00356868"/>
    <w:rsid w:val="003643D3"/>
    <w:rsid w:val="0036485B"/>
    <w:rsid w:val="0036757D"/>
    <w:rsid w:val="00372C9D"/>
    <w:rsid w:val="00373B0D"/>
    <w:rsid w:val="00375AEB"/>
    <w:rsid w:val="00376988"/>
    <w:rsid w:val="00381A72"/>
    <w:rsid w:val="0038314E"/>
    <w:rsid w:val="00384447"/>
    <w:rsid w:val="00384DB1"/>
    <w:rsid w:val="0038643F"/>
    <w:rsid w:val="003A06FC"/>
    <w:rsid w:val="003A18F4"/>
    <w:rsid w:val="003A1948"/>
    <w:rsid w:val="003B152A"/>
    <w:rsid w:val="003B2DF2"/>
    <w:rsid w:val="003B48FD"/>
    <w:rsid w:val="003B545B"/>
    <w:rsid w:val="003B7903"/>
    <w:rsid w:val="003C2F07"/>
    <w:rsid w:val="003C605E"/>
    <w:rsid w:val="003D1B69"/>
    <w:rsid w:val="003D2E0C"/>
    <w:rsid w:val="003D3EE9"/>
    <w:rsid w:val="003D6013"/>
    <w:rsid w:val="003D7A6E"/>
    <w:rsid w:val="003E4922"/>
    <w:rsid w:val="003E7681"/>
    <w:rsid w:val="003F0809"/>
    <w:rsid w:val="003F2748"/>
    <w:rsid w:val="003F5E8B"/>
    <w:rsid w:val="003F611C"/>
    <w:rsid w:val="003F755C"/>
    <w:rsid w:val="00400C26"/>
    <w:rsid w:val="0040643C"/>
    <w:rsid w:val="00406588"/>
    <w:rsid w:val="00406F01"/>
    <w:rsid w:val="00411B36"/>
    <w:rsid w:val="004121D7"/>
    <w:rsid w:val="00412249"/>
    <w:rsid w:val="0041474A"/>
    <w:rsid w:val="00415BC3"/>
    <w:rsid w:val="00416D50"/>
    <w:rsid w:val="00417751"/>
    <w:rsid w:val="00417772"/>
    <w:rsid w:val="00420E6A"/>
    <w:rsid w:val="004319D0"/>
    <w:rsid w:val="00433CA9"/>
    <w:rsid w:val="0043521D"/>
    <w:rsid w:val="00436A08"/>
    <w:rsid w:val="00437781"/>
    <w:rsid w:val="00442024"/>
    <w:rsid w:val="0044254C"/>
    <w:rsid w:val="00443F6A"/>
    <w:rsid w:val="00447FB3"/>
    <w:rsid w:val="00450994"/>
    <w:rsid w:val="00450A17"/>
    <w:rsid w:val="00453A00"/>
    <w:rsid w:val="00453C71"/>
    <w:rsid w:val="00453FDB"/>
    <w:rsid w:val="00457A3B"/>
    <w:rsid w:val="00466321"/>
    <w:rsid w:val="004672AF"/>
    <w:rsid w:val="004727B0"/>
    <w:rsid w:val="00480247"/>
    <w:rsid w:val="0048081D"/>
    <w:rsid w:val="0048117E"/>
    <w:rsid w:val="004855F6"/>
    <w:rsid w:val="0048601B"/>
    <w:rsid w:val="00486F0C"/>
    <w:rsid w:val="0049107C"/>
    <w:rsid w:val="00494001"/>
    <w:rsid w:val="00494670"/>
    <w:rsid w:val="0049499B"/>
    <w:rsid w:val="004A01BD"/>
    <w:rsid w:val="004A0EB4"/>
    <w:rsid w:val="004A3823"/>
    <w:rsid w:val="004A53AF"/>
    <w:rsid w:val="004A59BB"/>
    <w:rsid w:val="004B057C"/>
    <w:rsid w:val="004B0B28"/>
    <w:rsid w:val="004B43A3"/>
    <w:rsid w:val="004B489D"/>
    <w:rsid w:val="004B4C49"/>
    <w:rsid w:val="004B58A5"/>
    <w:rsid w:val="004B63D9"/>
    <w:rsid w:val="004C0882"/>
    <w:rsid w:val="004C2714"/>
    <w:rsid w:val="004C3738"/>
    <w:rsid w:val="004C54D4"/>
    <w:rsid w:val="004C55BE"/>
    <w:rsid w:val="004C6E0E"/>
    <w:rsid w:val="004C77D1"/>
    <w:rsid w:val="004C7D20"/>
    <w:rsid w:val="004D082D"/>
    <w:rsid w:val="004D370E"/>
    <w:rsid w:val="004D5369"/>
    <w:rsid w:val="004E076B"/>
    <w:rsid w:val="004E11CE"/>
    <w:rsid w:val="004E5B30"/>
    <w:rsid w:val="004E6FB4"/>
    <w:rsid w:val="004F0779"/>
    <w:rsid w:val="004F1230"/>
    <w:rsid w:val="004F173F"/>
    <w:rsid w:val="004F177C"/>
    <w:rsid w:val="004F2DCE"/>
    <w:rsid w:val="004F3065"/>
    <w:rsid w:val="004F3FC9"/>
    <w:rsid w:val="004F756B"/>
    <w:rsid w:val="005039CB"/>
    <w:rsid w:val="0050558F"/>
    <w:rsid w:val="005057E0"/>
    <w:rsid w:val="00506286"/>
    <w:rsid w:val="00510813"/>
    <w:rsid w:val="00511D0B"/>
    <w:rsid w:val="00511DE0"/>
    <w:rsid w:val="00513796"/>
    <w:rsid w:val="005150C3"/>
    <w:rsid w:val="005152B1"/>
    <w:rsid w:val="00515924"/>
    <w:rsid w:val="00517F02"/>
    <w:rsid w:val="00523B3A"/>
    <w:rsid w:val="00523DC6"/>
    <w:rsid w:val="00524547"/>
    <w:rsid w:val="005258A2"/>
    <w:rsid w:val="00526448"/>
    <w:rsid w:val="00526BDA"/>
    <w:rsid w:val="00530F7C"/>
    <w:rsid w:val="00533169"/>
    <w:rsid w:val="0053359A"/>
    <w:rsid w:val="0053455C"/>
    <w:rsid w:val="00534567"/>
    <w:rsid w:val="00534F43"/>
    <w:rsid w:val="00535A84"/>
    <w:rsid w:val="00536889"/>
    <w:rsid w:val="00537010"/>
    <w:rsid w:val="00542E07"/>
    <w:rsid w:val="00544043"/>
    <w:rsid w:val="005464D8"/>
    <w:rsid w:val="00546ED0"/>
    <w:rsid w:val="00552999"/>
    <w:rsid w:val="0055310E"/>
    <w:rsid w:val="005536FC"/>
    <w:rsid w:val="00554A7B"/>
    <w:rsid w:val="0055572C"/>
    <w:rsid w:val="0056064F"/>
    <w:rsid w:val="00561B84"/>
    <w:rsid w:val="00561E5D"/>
    <w:rsid w:val="0056784F"/>
    <w:rsid w:val="0057154F"/>
    <w:rsid w:val="00571D98"/>
    <w:rsid w:val="005720AE"/>
    <w:rsid w:val="0057655D"/>
    <w:rsid w:val="0058030D"/>
    <w:rsid w:val="00580FE7"/>
    <w:rsid w:val="00582045"/>
    <w:rsid w:val="005821DB"/>
    <w:rsid w:val="005833C1"/>
    <w:rsid w:val="00584321"/>
    <w:rsid w:val="0058450F"/>
    <w:rsid w:val="00584AE2"/>
    <w:rsid w:val="00590AE3"/>
    <w:rsid w:val="00591815"/>
    <w:rsid w:val="005918F1"/>
    <w:rsid w:val="00592D6C"/>
    <w:rsid w:val="00594AB7"/>
    <w:rsid w:val="005A06B7"/>
    <w:rsid w:val="005A16A4"/>
    <w:rsid w:val="005A1759"/>
    <w:rsid w:val="005A4A5A"/>
    <w:rsid w:val="005B33E6"/>
    <w:rsid w:val="005B7E03"/>
    <w:rsid w:val="005C0E5B"/>
    <w:rsid w:val="005D0369"/>
    <w:rsid w:val="005D3103"/>
    <w:rsid w:val="005D4C68"/>
    <w:rsid w:val="005D53FE"/>
    <w:rsid w:val="005D7A0F"/>
    <w:rsid w:val="005E0438"/>
    <w:rsid w:val="005E1791"/>
    <w:rsid w:val="005E1ED4"/>
    <w:rsid w:val="005E2CE6"/>
    <w:rsid w:val="005E4533"/>
    <w:rsid w:val="005E6324"/>
    <w:rsid w:val="005F038E"/>
    <w:rsid w:val="005F228B"/>
    <w:rsid w:val="005F29CD"/>
    <w:rsid w:val="005F3772"/>
    <w:rsid w:val="005F3C83"/>
    <w:rsid w:val="005F4DFB"/>
    <w:rsid w:val="005F6CC0"/>
    <w:rsid w:val="005F7EEC"/>
    <w:rsid w:val="00602AAD"/>
    <w:rsid w:val="00603E5B"/>
    <w:rsid w:val="00604BC8"/>
    <w:rsid w:val="00604EC8"/>
    <w:rsid w:val="006078C2"/>
    <w:rsid w:val="00611369"/>
    <w:rsid w:val="00612DC4"/>
    <w:rsid w:val="0061365E"/>
    <w:rsid w:val="006138E0"/>
    <w:rsid w:val="00614561"/>
    <w:rsid w:val="00615B4C"/>
    <w:rsid w:val="00615B5D"/>
    <w:rsid w:val="00617F40"/>
    <w:rsid w:val="0062146F"/>
    <w:rsid w:val="006237D0"/>
    <w:rsid w:val="006343AF"/>
    <w:rsid w:val="0063634A"/>
    <w:rsid w:val="00637273"/>
    <w:rsid w:val="0064250D"/>
    <w:rsid w:val="006517B8"/>
    <w:rsid w:val="006535EB"/>
    <w:rsid w:val="00657126"/>
    <w:rsid w:val="00661154"/>
    <w:rsid w:val="006621E3"/>
    <w:rsid w:val="00663016"/>
    <w:rsid w:val="0066772F"/>
    <w:rsid w:val="006734EC"/>
    <w:rsid w:val="006744BA"/>
    <w:rsid w:val="00674605"/>
    <w:rsid w:val="006748B8"/>
    <w:rsid w:val="00674931"/>
    <w:rsid w:val="00677932"/>
    <w:rsid w:val="0068138C"/>
    <w:rsid w:val="0068535B"/>
    <w:rsid w:val="00685B68"/>
    <w:rsid w:val="00685E76"/>
    <w:rsid w:val="006872EB"/>
    <w:rsid w:val="0068736E"/>
    <w:rsid w:val="006923EF"/>
    <w:rsid w:val="0069290A"/>
    <w:rsid w:val="006963DA"/>
    <w:rsid w:val="00697032"/>
    <w:rsid w:val="006975AC"/>
    <w:rsid w:val="006A0845"/>
    <w:rsid w:val="006A0AD0"/>
    <w:rsid w:val="006A15FB"/>
    <w:rsid w:val="006A677E"/>
    <w:rsid w:val="006A72BF"/>
    <w:rsid w:val="006A72ED"/>
    <w:rsid w:val="006A7725"/>
    <w:rsid w:val="006B332A"/>
    <w:rsid w:val="006B33BD"/>
    <w:rsid w:val="006B57C2"/>
    <w:rsid w:val="006B6598"/>
    <w:rsid w:val="006B7294"/>
    <w:rsid w:val="006C0C20"/>
    <w:rsid w:val="006C0E9B"/>
    <w:rsid w:val="006C3F75"/>
    <w:rsid w:val="006C491C"/>
    <w:rsid w:val="006D170E"/>
    <w:rsid w:val="006E06AF"/>
    <w:rsid w:val="006E3C77"/>
    <w:rsid w:val="006E6AE3"/>
    <w:rsid w:val="006E781A"/>
    <w:rsid w:val="006F0492"/>
    <w:rsid w:val="006F15AB"/>
    <w:rsid w:val="006F1789"/>
    <w:rsid w:val="0070466F"/>
    <w:rsid w:val="00706C5D"/>
    <w:rsid w:val="00707B96"/>
    <w:rsid w:val="007118E6"/>
    <w:rsid w:val="007206FB"/>
    <w:rsid w:val="00721F73"/>
    <w:rsid w:val="00722409"/>
    <w:rsid w:val="007225C9"/>
    <w:rsid w:val="00723B37"/>
    <w:rsid w:val="00724BB7"/>
    <w:rsid w:val="00727A15"/>
    <w:rsid w:val="00727FB0"/>
    <w:rsid w:val="00732D1A"/>
    <w:rsid w:val="00735CD7"/>
    <w:rsid w:val="00740674"/>
    <w:rsid w:val="0074085D"/>
    <w:rsid w:val="00740C73"/>
    <w:rsid w:val="00744007"/>
    <w:rsid w:val="007514F7"/>
    <w:rsid w:val="00754034"/>
    <w:rsid w:val="007548EF"/>
    <w:rsid w:val="00754BF1"/>
    <w:rsid w:val="00754E02"/>
    <w:rsid w:val="00755A30"/>
    <w:rsid w:val="00755E1C"/>
    <w:rsid w:val="00756556"/>
    <w:rsid w:val="0076132B"/>
    <w:rsid w:val="007623AE"/>
    <w:rsid w:val="007674FF"/>
    <w:rsid w:val="00770B19"/>
    <w:rsid w:val="00771B0F"/>
    <w:rsid w:val="00772757"/>
    <w:rsid w:val="00774FA0"/>
    <w:rsid w:val="00776620"/>
    <w:rsid w:val="00777B6D"/>
    <w:rsid w:val="00784855"/>
    <w:rsid w:val="00784D0E"/>
    <w:rsid w:val="00784F39"/>
    <w:rsid w:val="007852C5"/>
    <w:rsid w:val="0078545C"/>
    <w:rsid w:val="007906C4"/>
    <w:rsid w:val="0079320F"/>
    <w:rsid w:val="007940EA"/>
    <w:rsid w:val="00795628"/>
    <w:rsid w:val="00796760"/>
    <w:rsid w:val="007967E8"/>
    <w:rsid w:val="007A63F2"/>
    <w:rsid w:val="007B20E0"/>
    <w:rsid w:val="007B4E86"/>
    <w:rsid w:val="007B68DE"/>
    <w:rsid w:val="007B7AB0"/>
    <w:rsid w:val="007C1091"/>
    <w:rsid w:val="007C1857"/>
    <w:rsid w:val="007C200F"/>
    <w:rsid w:val="007C514F"/>
    <w:rsid w:val="007D0758"/>
    <w:rsid w:val="007D0F95"/>
    <w:rsid w:val="007D308F"/>
    <w:rsid w:val="007D3A8D"/>
    <w:rsid w:val="007D48DF"/>
    <w:rsid w:val="007D5598"/>
    <w:rsid w:val="007D7ECB"/>
    <w:rsid w:val="007E00CB"/>
    <w:rsid w:val="007E1586"/>
    <w:rsid w:val="007E17C2"/>
    <w:rsid w:val="007E1D68"/>
    <w:rsid w:val="007E25A1"/>
    <w:rsid w:val="007E4BD2"/>
    <w:rsid w:val="007E7145"/>
    <w:rsid w:val="007F2722"/>
    <w:rsid w:val="007F3916"/>
    <w:rsid w:val="007F78D5"/>
    <w:rsid w:val="00801177"/>
    <w:rsid w:val="00801179"/>
    <w:rsid w:val="00802479"/>
    <w:rsid w:val="00805372"/>
    <w:rsid w:val="00805B7B"/>
    <w:rsid w:val="00810193"/>
    <w:rsid w:val="00810CA4"/>
    <w:rsid w:val="0081293E"/>
    <w:rsid w:val="00812D51"/>
    <w:rsid w:val="00814FFB"/>
    <w:rsid w:val="008161B8"/>
    <w:rsid w:val="00820568"/>
    <w:rsid w:val="00821250"/>
    <w:rsid w:val="00825050"/>
    <w:rsid w:val="00831A80"/>
    <w:rsid w:val="00831F47"/>
    <w:rsid w:val="008332C8"/>
    <w:rsid w:val="00833743"/>
    <w:rsid w:val="00833B4F"/>
    <w:rsid w:val="008340A4"/>
    <w:rsid w:val="00834CD2"/>
    <w:rsid w:val="00835DEF"/>
    <w:rsid w:val="00835F36"/>
    <w:rsid w:val="00836799"/>
    <w:rsid w:val="00837028"/>
    <w:rsid w:val="00837131"/>
    <w:rsid w:val="00844D49"/>
    <w:rsid w:val="00845F57"/>
    <w:rsid w:val="00847132"/>
    <w:rsid w:val="0084764B"/>
    <w:rsid w:val="00847E98"/>
    <w:rsid w:val="00850F19"/>
    <w:rsid w:val="008521E0"/>
    <w:rsid w:val="008525B0"/>
    <w:rsid w:val="008616EE"/>
    <w:rsid w:val="00867CBC"/>
    <w:rsid w:val="008717D8"/>
    <w:rsid w:val="00872EBE"/>
    <w:rsid w:val="00873309"/>
    <w:rsid w:val="00876C03"/>
    <w:rsid w:val="00876C30"/>
    <w:rsid w:val="00877017"/>
    <w:rsid w:val="008773C0"/>
    <w:rsid w:val="00880082"/>
    <w:rsid w:val="00880364"/>
    <w:rsid w:val="00882BBE"/>
    <w:rsid w:val="00886C4C"/>
    <w:rsid w:val="0088711C"/>
    <w:rsid w:val="00887C0C"/>
    <w:rsid w:val="00892ECF"/>
    <w:rsid w:val="00892F06"/>
    <w:rsid w:val="00894285"/>
    <w:rsid w:val="008A3E4B"/>
    <w:rsid w:val="008A40AE"/>
    <w:rsid w:val="008A49D0"/>
    <w:rsid w:val="008A4E19"/>
    <w:rsid w:val="008A67C5"/>
    <w:rsid w:val="008A6983"/>
    <w:rsid w:val="008B22E1"/>
    <w:rsid w:val="008B2307"/>
    <w:rsid w:val="008B3C78"/>
    <w:rsid w:val="008B4AE9"/>
    <w:rsid w:val="008C0BFE"/>
    <w:rsid w:val="008C30AD"/>
    <w:rsid w:val="008C3E34"/>
    <w:rsid w:val="008C5662"/>
    <w:rsid w:val="008C77E4"/>
    <w:rsid w:val="008C7A3A"/>
    <w:rsid w:val="008D068E"/>
    <w:rsid w:val="008D0F7A"/>
    <w:rsid w:val="008D3C97"/>
    <w:rsid w:val="008D44A1"/>
    <w:rsid w:val="008D63BE"/>
    <w:rsid w:val="008E097E"/>
    <w:rsid w:val="008E0CFF"/>
    <w:rsid w:val="008E223B"/>
    <w:rsid w:val="008E3017"/>
    <w:rsid w:val="008E5D6B"/>
    <w:rsid w:val="008E689B"/>
    <w:rsid w:val="008E76F0"/>
    <w:rsid w:val="008E771C"/>
    <w:rsid w:val="008F15FE"/>
    <w:rsid w:val="008F18D3"/>
    <w:rsid w:val="008F2A94"/>
    <w:rsid w:val="008F4EE0"/>
    <w:rsid w:val="008F5187"/>
    <w:rsid w:val="008F709C"/>
    <w:rsid w:val="009006C2"/>
    <w:rsid w:val="0090312B"/>
    <w:rsid w:val="00904961"/>
    <w:rsid w:val="00907552"/>
    <w:rsid w:val="00915CEB"/>
    <w:rsid w:val="009166BC"/>
    <w:rsid w:val="0091736D"/>
    <w:rsid w:val="00921405"/>
    <w:rsid w:val="00923509"/>
    <w:rsid w:val="009269E0"/>
    <w:rsid w:val="00931001"/>
    <w:rsid w:val="00931863"/>
    <w:rsid w:val="009321DB"/>
    <w:rsid w:val="009327C1"/>
    <w:rsid w:val="00933524"/>
    <w:rsid w:val="009400C7"/>
    <w:rsid w:val="0094278D"/>
    <w:rsid w:val="00943D11"/>
    <w:rsid w:val="0094499F"/>
    <w:rsid w:val="00950931"/>
    <w:rsid w:val="009518C6"/>
    <w:rsid w:val="0095308A"/>
    <w:rsid w:val="009545BA"/>
    <w:rsid w:val="00955AEE"/>
    <w:rsid w:val="00956F14"/>
    <w:rsid w:val="00957AF5"/>
    <w:rsid w:val="009620FD"/>
    <w:rsid w:val="0096247A"/>
    <w:rsid w:val="00965F4B"/>
    <w:rsid w:val="00967397"/>
    <w:rsid w:val="009705C6"/>
    <w:rsid w:val="00970F8A"/>
    <w:rsid w:val="00971FB5"/>
    <w:rsid w:val="00972D2A"/>
    <w:rsid w:val="00974989"/>
    <w:rsid w:val="00975CC5"/>
    <w:rsid w:val="00976328"/>
    <w:rsid w:val="00976B4E"/>
    <w:rsid w:val="00984458"/>
    <w:rsid w:val="00985283"/>
    <w:rsid w:val="00987322"/>
    <w:rsid w:val="00992035"/>
    <w:rsid w:val="00995744"/>
    <w:rsid w:val="009963AA"/>
    <w:rsid w:val="009A0F3B"/>
    <w:rsid w:val="009A260A"/>
    <w:rsid w:val="009A72C7"/>
    <w:rsid w:val="009B0897"/>
    <w:rsid w:val="009B54C7"/>
    <w:rsid w:val="009B7519"/>
    <w:rsid w:val="009C2328"/>
    <w:rsid w:val="009C3B9C"/>
    <w:rsid w:val="009C4F5D"/>
    <w:rsid w:val="009D0852"/>
    <w:rsid w:val="009D0983"/>
    <w:rsid w:val="009D1FBF"/>
    <w:rsid w:val="009D24D1"/>
    <w:rsid w:val="009D2D85"/>
    <w:rsid w:val="009E26E6"/>
    <w:rsid w:val="009E399C"/>
    <w:rsid w:val="009E43C1"/>
    <w:rsid w:val="009E5FAA"/>
    <w:rsid w:val="009E7E95"/>
    <w:rsid w:val="009F116F"/>
    <w:rsid w:val="009F1C2B"/>
    <w:rsid w:val="009F2812"/>
    <w:rsid w:val="009F329E"/>
    <w:rsid w:val="009F4EA1"/>
    <w:rsid w:val="009F719F"/>
    <w:rsid w:val="009F7ED3"/>
    <w:rsid w:val="00A03607"/>
    <w:rsid w:val="00A047FF"/>
    <w:rsid w:val="00A04FEF"/>
    <w:rsid w:val="00A061EE"/>
    <w:rsid w:val="00A10A78"/>
    <w:rsid w:val="00A10F7B"/>
    <w:rsid w:val="00A122CD"/>
    <w:rsid w:val="00A12A32"/>
    <w:rsid w:val="00A14248"/>
    <w:rsid w:val="00A14947"/>
    <w:rsid w:val="00A23DC5"/>
    <w:rsid w:val="00A25E51"/>
    <w:rsid w:val="00A33BA1"/>
    <w:rsid w:val="00A34028"/>
    <w:rsid w:val="00A35568"/>
    <w:rsid w:val="00A35FAE"/>
    <w:rsid w:val="00A37056"/>
    <w:rsid w:val="00A402F2"/>
    <w:rsid w:val="00A4358F"/>
    <w:rsid w:val="00A46442"/>
    <w:rsid w:val="00A46F67"/>
    <w:rsid w:val="00A5112A"/>
    <w:rsid w:val="00A54AA1"/>
    <w:rsid w:val="00A568FF"/>
    <w:rsid w:val="00A61496"/>
    <w:rsid w:val="00A61833"/>
    <w:rsid w:val="00A624C6"/>
    <w:rsid w:val="00A63CEC"/>
    <w:rsid w:val="00A64F2B"/>
    <w:rsid w:val="00A7031E"/>
    <w:rsid w:val="00A728B1"/>
    <w:rsid w:val="00A7472B"/>
    <w:rsid w:val="00A75989"/>
    <w:rsid w:val="00A763DE"/>
    <w:rsid w:val="00A77FF4"/>
    <w:rsid w:val="00A803D6"/>
    <w:rsid w:val="00A81282"/>
    <w:rsid w:val="00A8151F"/>
    <w:rsid w:val="00A83CB1"/>
    <w:rsid w:val="00A86718"/>
    <w:rsid w:val="00A8713F"/>
    <w:rsid w:val="00A90BFF"/>
    <w:rsid w:val="00A91167"/>
    <w:rsid w:val="00A9171C"/>
    <w:rsid w:val="00A927BE"/>
    <w:rsid w:val="00A92FFD"/>
    <w:rsid w:val="00A95251"/>
    <w:rsid w:val="00A95975"/>
    <w:rsid w:val="00A9708D"/>
    <w:rsid w:val="00A97E09"/>
    <w:rsid w:val="00AA2C17"/>
    <w:rsid w:val="00AA4172"/>
    <w:rsid w:val="00AA689A"/>
    <w:rsid w:val="00AB1914"/>
    <w:rsid w:val="00AB42CE"/>
    <w:rsid w:val="00AB5330"/>
    <w:rsid w:val="00AB7747"/>
    <w:rsid w:val="00AC2532"/>
    <w:rsid w:val="00AC29B6"/>
    <w:rsid w:val="00AC42BD"/>
    <w:rsid w:val="00AC63A7"/>
    <w:rsid w:val="00AD1507"/>
    <w:rsid w:val="00AD4E94"/>
    <w:rsid w:val="00AD5A70"/>
    <w:rsid w:val="00AD6C95"/>
    <w:rsid w:val="00AD738B"/>
    <w:rsid w:val="00AE1BF4"/>
    <w:rsid w:val="00AE2E39"/>
    <w:rsid w:val="00AE5D97"/>
    <w:rsid w:val="00AE6794"/>
    <w:rsid w:val="00AE6B82"/>
    <w:rsid w:val="00AF070E"/>
    <w:rsid w:val="00AF1B02"/>
    <w:rsid w:val="00B01110"/>
    <w:rsid w:val="00B02262"/>
    <w:rsid w:val="00B03CEC"/>
    <w:rsid w:val="00B05574"/>
    <w:rsid w:val="00B11C4D"/>
    <w:rsid w:val="00B1209F"/>
    <w:rsid w:val="00B12AD0"/>
    <w:rsid w:val="00B1658D"/>
    <w:rsid w:val="00B23328"/>
    <w:rsid w:val="00B23FD2"/>
    <w:rsid w:val="00B24F30"/>
    <w:rsid w:val="00B27A7A"/>
    <w:rsid w:val="00B31050"/>
    <w:rsid w:val="00B31ABF"/>
    <w:rsid w:val="00B335AE"/>
    <w:rsid w:val="00B37CE1"/>
    <w:rsid w:val="00B40668"/>
    <w:rsid w:val="00B40ACF"/>
    <w:rsid w:val="00B432E6"/>
    <w:rsid w:val="00B46308"/>
    <w:rsid w:val="00B46BAA"/>
    <w:rsid w:val="00B50B5F"/>
    <w:rsid w:val="00B54128"/>
    <w:rsid w:val="00B55826"/>
    <w:rsid w:val="00B6018B"/>
    <w:rsid w:val="00B60426"/>
    <w:rsid w:val="00B6083E"/>
    <w:rsid w:val="00B622DD"/>
    <w:rsid w:val="00B63522"/>
    <w:rsid w:val="00B63F14"/>
    <w:rsid w:val="00B66F36"/>
    <w:rsid w:val="00B7086A"/>
    <w:rsid w:val="00B76F1D"/>
    <w:rsid w:val="00B8156C"/>
    <w:rsid w:val="00B834FF"/>
    <w:rsid w:val="00B84A58"/>
    <w:rsid w:val="00B851B7"/>
    <w:rsid w:val="00B8606A"/>
    <w:rsid w:val="00B92293"/>
    <w:rsid w:val="00B92A19"/>
    <w:rsid w:val="00B9446B"/>
    <w:rsid w:val="00B9544C"/>
    <w:rsid w:val="00B96BA8"/>
    <w:rsid w:val="00B977CF"/>
    <w:rsid w:val="00BA29E9"/>
    <w:rsid w:val="00BB3618"/>
    <w:rsid w:val="00BB6419"/>
    <w:rsid w:val="00BB6EFF"/>
    <w:rsid w:val="00BC0B79"/>
    <w:rsid w:val="00BC0C9E"/>
    <w:rsid w:val="00BC32DC"/>
    <w:rsid w:val="00BC69B3"/>
    <w:rsid w:val="00BC784E"/>
    <w:rsid w:val="00BD14AB"/>
    <w:rsid w:val="00BD1B51"/>
    <w:rsid w:val="00BD4266"/>
    <w:rsid w:val="00BD47F6"/>
    <w:rsid w:val="00BE0254"/>
    <w:rsid w:val="00BE312D"/>
    <w:rsid w:val="00BE3FCA"/>
    <w:rsid w:val="00BE5194"/>
    <w:rsid w:val="00BF2FAE"/>
    <w:rsid w:val="00C02AA2"/>
    <w:rsid w:val="00C05719"/>
    <w:rsid w:val="00C05BD1"/>
    <w:rsid w:val="00C10578"/>
    <w:rsid w:val="00C17D62"/>
    <w:rsid w:val="00C21FDC"/>
    <w:rsid w:val="00C249EA"/>
    <w:rsid w:val="00C24EE7"/>
    <w:rsid w:val="00C2596A"/>
    <w:rsid w:val="00C26761"/>
    <w:rsid w:val="00C271BE"/>
    <w:rsid w:val="00C27425"/>
    <w:rsid w:val="00C3180E"/>
    <w:rsid w:val="00C328FE"/>
    <w:rsid w:val="00C33A05"/>
    <w:rsid w:val="00C359AA"/>
    <w:rsid w:val="00C40FB4"/>
    <w:rsid w:val="00C4187B"/>
    <w:rsid w:val="00C42500"/>
    <w:rsid w:val="00C42D9F"/>
    <w:rsid w:val="00C43C93"/>
    <w:rsid w:val="00C4409D"/>
    <w:rsid w:val="00C455BE"/>
    <w:rsid w:val="00C45B4F"/>
    <w:rsid w:val="00C4787B"/>
    <w:rsid w:val="00C51824"/>
    <w:rsid w:val="00C51E5F"/>
    <w:rsid w:val="00C524D2"/>
    <w:rsid w:val="00C57D4A"/>
    <w:rsid w:val="00C61E4B"/>
    <w:rsid w:val="00C62E3A"/>
    <w:rsid w:val="00C6321B"/>
    <w:rsid w:val="00C64503"/>
    <w:rsid w:val="00C64A1F"/>
    <w:rsid w:val="00C64BFF"/>
    <w:rsid w:val="00C74193"/>
    <w:rsid w:val="00C75070"/>
    <w:rsid w:val="00C763C9"/>
    <w:rsid w:val="00C80057"/>
    <w:rsid w:val="00C82C79"/>
    <w:rsid w:val="00C84753"/>
    <w:rsid w:val="00C87C28"/>
    <w:rsid w:val="00C902AE"/>
    <w:rsid w:val="00C90FA1"/>
    <w:rsid w:val="00C91611"/>
    <w:rsid w:val="00C9292F"/>
    <w:rsid w:val="00C92F10"/>
    <w:rsid w:val="00C93F31"/>
    <w:rsid w:val="00C96621"/>
    <w:rsid w:val="00C9770E"/>
    <w:rsid w:val="00CA3585"/>
    <w:rsid w:val="00CA3D5A"/>
    <w:rsid w:val="00CA4C7C"/>
    <w:rsid w:val="00CB0183"/>
    <w:rsid w:val="00CB1EA3"/>
    <w:rsid w:val="00CB552C"/>
    <w:rsid w:val="00CB5921"/>
    <w:rsid w:val="00CB5C97"/>
    <w:rsid w:val="00CB6A9E"/>
    <w:rsid w:val="00CB6F2A"/>
    <w:rsid w:val="00CC0572"/>
    <w:rsid w:val="00CC0610"/>
    <w:rsid w:val="00CC1C61"/>
    <w:rsid w:val="00CC21C6"/>
    <w:rsid w:val="00CC273D"/>
    <w:rsid w:val="00CC4FA6"/>
    <w:rsid w:val="00CC5581"/>
    <w:rsid w:val="00CC615D"/>
    <w:rsid w:val="00CC6181"/>
    <w:rsid w:val="00CD2BCD"/>
    <w:rsid w:val="00CD36AA"/>
    <w:rsid w:val="00CD3791"/>
    <w:rsid w:val="00CD65B0"/>
    <w:rsid w:val="00CE02CD"/>
    <w:rsid w:val="00CE10E9"/>
    <w:rsid w:val="00CE49A3"/>
    <w:rsid w:val="00CF04E3"/>
    <w:rsid w:val="00CF708B"/>
    <w:rsid w:val="00CF76EB"/>
    <w:rsid w:val="00D0072E"/>
    <w:rsid w:val="00D0082E"/>
    <w:rsid w:val="00D0603A"/>
    <w:rsid w:val="00D14FDC"/>
    <w:rsid w:val="00D15727"/>
    <w:rsid w:val="00D16332"/>
    <w:rsid w:val="00D21537"/>
    <w:rsid w:val="00D21A07"/>
    <w:rsid w:val="00D24032"/>
    <w:rsid w:val="00D24972"/>
    <w:rsid w:val="00D2515E"/>
    <w:rsid w:val="00D308ED"/>
    <w:rsid w:val="00D32601"/>
    <w:rsid w:val="00D51AB9"/>
    <w:rsid w:val="00D56178"/>
    <w:rsid w:val="00D5644B"/>
    <w:rsid w:val="00D56CF0"/>
    <w:rsid w:val="00D56D43"/>
    <w:rsid w:val="00D56F5C"/>
    <w:rsid w:val="00D6191E"/>
    <w:rsid w:val="00D63186"/>
    <w:rsid w:val="00D704B1"/>
    <w:rsid w:val="00D70B63"/>
    <w:rsid w:val="00D72B92"/>
    <w:rsid w:val="00D72E1A"/>
    <w:rsid w:val="00D72ED4"/>
    <w:rsid w:val="00D73DE0"/>
    <w:rsid w:val="00D73F61"/>
    <w:rsid w:val="00D74F57"/>
    <w:rsid w:val="00D754C0"/>
    <w:rsid w:val="00D776A2"/>
    <w:rsid w:val="00D801C4"/>
    <w:rsid w:val="00D827CE"/>
    <w:rsid w:val="00D90836"/>
    <w:rsid w:val="00D90B61"/>
    <w:rsid w:val="00D949E1"/>
    <w:rsid w:val="00D95896"/>
    <w:rsid w:val="00D95CC6"/>
    <w:rsid w:val="00D97E0A"/>
    <w:rsid w:val="00DA2DA3"/>
    <w:rsid w:val="00DA6615"/>
    <w:rsid w:val="00DA6FE7"/>
    <w:rsid w:val="00DA76AE"/>
    <w:rsid w:val="00DB181E"/>
    <w:rsid w:val="00DB1C7A"/>
    <w:rsid w:val="00DB2983"/>
    <w:rsid w:val="00DB343D"/>
    <w:rsid w:val="00DB4601"/>
    <w:rsid w:val="00DB5579"/>
    <w:rsid w:val="00DB5CFE"/>
    <w:rsid w:val="00DC0D1D"/>
    <w:rsid w:val="00DC27E9"/>
    <w:rsid w:val="00DC5548"/>
    <w:rsid w:val="00DC680B"/>
    <w:rsid w:val="00DC72A6"/>
    <w:rsid w:val="00DC7994"/>
    <w:rsid w:val="00DC7E5D"/>
    <w:rsid w:val="00DD1D42"/>
    <w:rsid w:val="00DD2113"/>
    <w:rsid w:val="00DD265E"/>
    <w:rsid w:val="00DD37F0"/>
    <w:rsid w:val="00DD4528"/>
    <w:rsid w:val="00DD5059"/>
    <w:rsid w:val="00DD5EBA"/>
    <w:rsid w:val="00DE304F"/>
    <w:rsid w:val="00DE4825"/>
    <w:rsid w:val="00DE610E"/>
    <w:rsid w:val="00DE6CF0"/>
    <w:rsid w:val="00DF1930"/>
    <w:rsid w:val="00DF1F77"/>
    <w:rsid w:val="00DF4932"/>
    <w:rsid w:val="00DF514A"/>
    <w:rsid w:val="00E00114"/>
    <w:rsid w:val="00E0358D"/>
    <w:rsid w:val="00E06327"/>
    <w:rsid w:val="00E2064B"/>
    <w:rsid w:val="00E21B78"/>
    <w:rsid w:val="00E22D04"/>
    <w:rsid w:val="00E22DAE"/>
    <w:rsid w:val="00E2434B"/>
    <w:rsid w:val="00E25239"/>
    <w:rsid w:val="00E265B1"/>
    <w:rsid w:val="00E275B0"/>
    <w:rsid w:val="00E320AE"/>
    <w:rsid w:val="00E32406"/>
    <w:rsid w:val="00E34F87"/>
    <w:rsid w:val="00E403A1"/>
    <w:rsid w:val="00E4051B"/>
    <w:rsid w:val="00E412D0"/>
    <w:rsid w:val="00E47CDB"/>
    <w:rsid w:val="00E54085"/>
    <w:rsid w:val="00E566BC"/>
    <w:rsid w:val="00E60982"/>
    <w:rsid w:val="00E60C8D"/>
    <w:rsid w:val="00E6162F"/>
    <w:rsid w:val="00E62B1F"/>
    <w:rsid w:val="00E6311B"/>
    <w:rsid w:val="00E65D97"/>
    <w:rsid w:val="00E65DFC"/>
    <w:rsid w:val="00E66046"/>
    <w:rsid w:val="00E67EFD"/>
    <w:rsid w:val="00E702DC"/>
    <w:rsid w:val="00E71FFB"/>
    <w:rsid w:val="00E72053"/>
    <w:rsid w:val="00E743EB"/>
    <w:rsid w:val="00E76BD9"/>
    <w:rsid w:val="00E76D1D"/>
    <w:rsid w:val="00E77C04"/>
    <w:rsid w:val="00E806F8"/>
    <w:rsid w:val="00E80A7A"/>
    <w:rsid w:val="00E83F97"/>
    <w:rsid w:val="00E87752"/>
    <w:rsid w:val="00E8793B"/>
    <w:rsid w:val="00E908F6"/>
    <w:rsid w:val="00E90F81"/>
    <w:rsid w:val="00E915BC"/>
    <w:rsid w:val="00E91A6D"/>
    <w:rsid w:val="00E91AEC"/>
    <w:rsid w:val="00E9242D"/>
    <w:rsid w:val="00E93C7E"/>
    <w:rsid w:val="00EA62F6"/>
    <w:rsid w:val="00EA7F49"/>
    <w:rsid w:val="00EB041C"/>
    <w:rsid w:val="00EB0EE2"/>
    <w:rsid w:val="00EB73DC"/>
    <w:rsid w:val="00EC5874"/>
    <w:rsid w:val="00EC7A07"/>
    <w:rsid w:val="00EC7F03"/>
    <w:rsid w:val="00ED0E42"/>
    <w:rsid w:val="00ED192D"/>
    <w:rsid w:val="00ED30B4"/>
    <w:rsid w:val="00ED31F5"/>
    <w:rsid w:val="00ED4CAA"/>
    <w:rsid w:val="00ED7FD9"/>
    <w:rsid w:val="00EE6257"/>
    <w:rsid w:val="00EE6D06"/>
    <w:rsid w:val="00EF2759"/>
    <w:rsid w:val="00EF3199"/>
    <w:rsid w:val="00EF45EB"/>
    <w:rsid w:val="00EF5099"/>
    <w:rsid w:val="00EF5E33"/>
    <w:rsid w:val="00F00075"/>
    <w:rsid w:val="00F01903"/>
    <w:rsid w:val="00F05C92"/>
    <w:rsid w:val="00F07822"/>
    <w:rsid w:val="00F15C95"/>
    <w:rsid w:val="00F22985"/>
    <w:rsid w:val="00F22C46"/>
    <w:rsid w:val="00F241AB"/>
    <w:rsid w:val="00F31382"/>
    <w:rsid w:val="00F31E92"/>
    <w:rsid w:val="00F34BAE"/>
    <w:rsid w:val="00F35829"/>
    <w:rsid w:val="00F3653B"/>
    <w:rsid w:val="00F40A10"/>
    <w:rsid w:val="00F42868"/>
    <w:rsid w:val="00F4399A"/>
    <w:rsid w:val="00F465A7"/>
    <w:rsid w:val="00F46B17"/>
    <w:rsid w:val="00F50B7C"/>
    <w:rsid w:val="00F5202D"/>
    <w:rsid w:val="00F52B03"/>
    <w:rsid w:val="00F52CF6"/>
    <w:rsid w:val="00F5391C"/>
    <w:rsid w:val="00F54496"/>
    <w:rsid w:val="00F54F4F"/>
    <w:rsid w:val="00F61097"/>
    <w:rsid w:val="00F61099"/>
    <w:rsid w:val="00F66984"/>
    <w:rsid w:val="00F67212"/>
    <w:rsid w:val="00F7264A"/>
    <w:rsid w:val="00F74345"/>
    <w:rsid w:val="00F74441"/>
    <w:rsid w:val="00F74E40"/>
    <w:rsid w:val="00F77F30"/>
    <w:rsid w:val="00F82589"/>
    <w:rsid w:val="00F82B19"/>
    <w:rsid w:val="00F83A31"/>
    <w:rsid w:val="00F86DF8"/>
    <w:rsid w:val="00F90AA7"/>
    <w:rsid w:val="00F9212D"/>
    <w:rsid w:val="00F93D79"/>
    <w:rsid w:val="00F93E88"/>
    <w:rsid w:val="00FA301A"/>
    <w:rsid w:val="00FA406A"/>
    <w:rsid w:val="00FA5CB6"/>
    <w:rsid w:val="00FB2744"/>
    <w:rsid w:val="00FB43E7"/>
    <w:rsid w:val="00FB46F6"/>
    <w:rsid w:val="00FB781E"/>
    <w:rsid w:val="00FC23D8"/>
    <w:rsid w:val="00FC66AC"/>
    <w:rsid w:val="00FD148C"/>
    <w:rsid w:val="00FD18F4"/>
    <w:rsid w:val="00FD6E2A"/>
    <w:rsid w:val="00FD74B4"/>
    <w:rsid w:val="00FE15A1"/>
    <w:rsid w:val="00FE271E"/>
    <w:rsid w:val="00FE2A08"/>
    <w:rsid w:val="00FE5F5A"/>
    <w:rsid w:val="00FF3727"/>
    <w:rsid w:val="00FF6FCE"/>
    <w:rsid w:val="00FF7518"/>
    <w:rsid w:val="00FF7FD8"/>
    <w:rsid w:val="015772A4"/>
    <w:rsid w:val="016421A9"/>
    <w:rsid w:val="019F0B71"/>
    <w:rsid w:val="01B9731E"/>
    <w:rsid w:val="01C11BDB"/>
    <w:rsid w:val="0228553B"/>
    <w:rsid w:val="0240460E"/>
    <w:rsid w:val="029167E5"/>
    <w:rsid w:val="02F2197A"/>
    <w:rsid w:val="03054947"/>
    <w:rsid w:val="034C72DC"/>
    <w:rsid w:val="034D095E"/>
    <w:rsid w:val="03A8028B"/>
    <w:rsid w:val="03E92685"/>
    <w:rsid w:val="04694FAB"/>
    <w:rsid w:val="054705CA"/>
    <w:rsid w:val="05742AC8"/>
    <w:rsid w:val="058E085B"/>
    <w:rsid w:val="06352F05"/>
    <w:rsid w:val="063E7D85"/>
    <w:rsid w:val="06400E10"/>
    <w:rsid w:val="06B4195F"/>
    <w:rsid w:val="06B44DB9"/>
    <w:rsid w:val="07040506"/>
    <w:rsid w:val="070875E0"/>
    <w:rsid w:val="071A4FFB"/>
    <w:rsid w:val="07293586"/>
    <w:rsid w:val="07295285"/>
    <w:rsid w:val="07303B46"/>
    <w:rsid w:val="073F1F6F"/>
    <w:rsid w:val="07502944"/>
    <w:rsid w:val="07770C56"/>
    <w:rsid w:val="07AC2416"/>
    <w:rsid w:val="07B43CCE"/>
    <w:rsid w:val="0853199C"/>
    <w:rsid w:val="087B09D0"/>
    <w:rsid w:val="087C2060"/>
    <w:rsid w:val="08C55E2E"/>
    <w:rsid w:val="092217DD"/>
    <w:rsid w:val="093A7294"/>
    <w:rsid w:val="094D27BD"/>
    <w:rsid w:val="09786796"/>
    <w:rsid w:val="098216A1"/>
    <w:rsid w:val="098E62AB"/>
    <w:rsid w:val="09DC7C58"/>
    <w:rsid w:val="09F91840"/>
    <w:rsid w:val="0A0A622C"/>
    <w:rsid w:val="0A1641A0"/>
    <w:rsid w:val="0B884B16"/>
    <w:rsid w:val="0BB15CFC"/>
    <w:rsid w:val="0BD27BF6"/>
    <w:rsid w:val="0C005F74"/>
    <w:rsid w:val="0C333153"/>
    <w:rsid w:val="0D721094"/>
    <w:rsid w:val="0DDA7292"/>
    <w:rsid w:val="0E110D06"/>
    <w:rsid w:val="0E3966BD"/>
    <w:rsid w:val="0E574D87"/>
    <w:rsid w:val="0E5E2756"/>
    <w:rsid w:val="0F09009D"/>
    <w:rsid w:val="0F13775A"/>
    <w:rsid w:val="0F9A112B"/>
    <w:rsid w:val="0FD52407"/>
    <w:rsid w:val="0FD70CDC"/>
    <w:rsid w:val="10507F87"/>
    <w:rsid w:val="106D2F64"/>
    <w:rsid w:val="10B63710"/>
    <w:rsid w:val="10C95FD0"/>
    <w:rsid w:val="10CD5A54"/>
    <w:rsid w:val="10DB067E"/>
    <w:rsid w:val="111C2F7A"/>
    <w:rsid w:val="113013DE"/>
    <w:rsid w:val="117A7125"/>
    <w:rsid w:val="11A11B19"/>
    <w:rsid w:val="11BB4446"/>
    <w:rsid w:val="11F41927"/>
    <w:rsid w:val="122B06C2"/>
    <w:rsid w:val="12E60488"/>
    <w:rsid w:val="13951726"/>
    <w:rsid w:val="13C8741C"/>
    <w:rsid w:val="14263231"/>
    <w:rsid w:val="14396509"/>
    <w:rsid w:val="1447165C"/>
    <w:rsid w:val="14C962DC"/>
    <w:rsid w:val="157E7309"/>
    <w:rsid w:val="16190B2C"/>
    <w:rsid w:val="164B51D1"/>
    <w:rsid w:val="16747157"/>
    <w:rsid w:val="16777B76"/>
    <w:rsid w:val="171C2B2F"/>
    <w:rsid w:val="17735226"/>
    <w:rsid w:val="17C15ED1"/>
    <w:rsid w:val="18202954"/>
    <w:rsid w:val="183326C1"/>
    <w:rsid w:val="197D7B62"/>
    <w:rsid w:val="1A1C66C0"/>
    <w:rsid w:val="1A42393B"/>
    <w:rsid w:val="1A7910B1"/>
    <w:rsid w:val="1AB2480C"/>
    <w:rsid w:val="1AC61592"/>
    <w:rsid w:val="1AED3FA8"/>
    <w:rsid w:val="1B046F80"/>
    <w:rsid w:val="1B3267B5"/>
    <w:rsid w:val="1B34092A"/>
    <w:rsid w:val="1B4452FE"/>
    <w:rsid w:val="1B763910"/>
    <w:rsid w:val="1BA3380A"/>
    <w:rsid w:val="1BC25DC8"/>
    <w:rsid w:val="1BD0479D"/>
    <w:rsid w:val="1C5E7925"/>
    <w:rsid w:val="1C887FC8"/>
    <w:rsid w:val="1CC8274A"/>
    <w:rsid w:val="1CD557F5"/>
    <w:rsid w:val="1CE16BA4"/>
    <w:rsid w:val="1CF77D89"/>
    <w:rsid w:val="1D5726AE"/>
    <w:rsid w:val="1D5F6196"/>
    <w:rsid w:val="1D6132A5"/>
    <w:rsid w:val="1D8E56D5"/>
    <w:rsid w:val="1DA22697"/>
    <w:rsid w:val="1DE13DA4"/>
    <w:rsid w:val="1E1F19DA"/>
    <w:rsid w:val="1E7A43DA"/>
    <w:rsid w:val="1E7E1EBC"/>
    <w:rsid w:val="1EB277FE"/>
    <w:rsid w:val="1F7D3944"/>
    <w:rsid w:val="1F8171CE"/>
    <w:rsid w:val="1FE7539E"/>
    <w:rsid w:val="20250841"/>
    <w:rsid w:val="20821F7D"/>
    <w:rsid w:val="20963CB8"/>
    <w:rsid w:val="20B07FB6"/>
    <w:rsid w:val="20D109C9"/>
    <w:rsid w:val="213B74B1"/>
    <w:rsid w:val="215A2310"/>
    <w:rsid w:val="219F0AC7"/>
    <w:rsid w:val="21DE318A"/>
    <w:rsid w:val="21EF5B80"/>
    <w:rsid w:val="224C6559"/>
    <w:rsid w:val="22576990"/>
    <w:rsid w:val="229C4EAB"/>
    <w:rsid w:val="22C21C58"/>
    <w:rsid w:val="22D20529"/>
    <w:rsid w:val="22FD3CF7"/>
    <w:rsid w:val="230525AB"/>
    <w:rsid w:val="233D2346"/>
    <w:rsid w:val="2398273F"/>
    <w:rsid w:val="23E65F95"/>
    <w:rsid w:val="23E843D5"/>
    <w:rsid w:val="242A7827"/>
    <w:rsid w:val="24AC3846"/>
    <w:rsid w:val="24AF33D0"/>
    <w:rsid w:val="250A7055"/>
    <w:rsid w:val="252344F4"/>
    <w:rsid w:val="252D53FE"/>
    <w:rsid w:val="25EC2D81"/>
    <w:rsid w:val="261775D3"/>
    <w:rsid w:val="264528BD"/>
    <w:rsid w:val="26D71A03"/>
    <w:rsid w:val="275D5063"/>
    <w:rsid w:val="27A64B40"/>
    <w:rsid w:val="27D15DD1"/>
    <w:rsid w:val="289C6B38"/>
    <w:rsid w:val="28A76295"/>
    <w:rsid w:val="28AA36B8"/>
    <w:rsid w:val="28B21E5C"/>
    <w:rsid w:val="29206EB8"/>
    <w:rsid w:val="29BE3974"/>
    <w:rsid w:val="29E22B8D"/>
    <w:rsid w:val="29E325E0"/>
    <w:rsid w:val="2A452503"/>
    <w:rsid w:val="2A4E308A"/>
    <w:rsid w:val="2A66191A"/>
    <w:rsid w:val="2A6F0572"/>
    <w:rsid w:val="2A8755DC"/>
    <w:rsid w:val="2AB6083D"/>
    <w:rsid w:val="2B057BED"/>
    <w:rsid w:val="2B253DEB"/>
    <w:rsid w:val="2BA5574C"/>
    <w:rsid w:val="2BA936A8"/>
    <w:rsid w:val="2BCE7EB7"/>
    <w:rsid w:val="2C315A5A"/>
    <w:rsid w:val="2C7652CE"/>
    <w:rsid w:val="2C78055C"/>
    <w:rsid w:val="2C971D9E"/>
    <w:rsid w:val="2CBF4252"/>
    <w:rsid w:val="2D081F48"/>
    <w:rsid w:val="2D3602FA"/>
    <w:rsid w:val="2D9E56F5"/>
    <w:rsid w:val="2E187814"/>
    <w:rsid w:val="2E667F96"/>
    <w:rsid w:val="2E8167C1"/>
    <w:rsid w:val="2E8226AB"/>
    <w:rsid w:val="2F2C0D43"/>
    <w:rsid w:val="2F43306A"/>
    <w:rsid w:val="2F6126C0"/>
    <w:rsid w:val="2F832C79"/>
    <w:rsid w:val="2FA40790"/>
    <w:rsid w:val="2FC4426D"/>
    <w:rsid w:val="2FC75471"/>
    <w:rsid w:val="2FEF2D58"/>
    <w:rsid w:val="30086986"/>
    <w:rsid w:val="300F0554"/>
    <w:rsid w:val="302322A1"/>
    <w:rsid w:val="304F36B8"/>
    <w:rsid w:val="30580BC9"/>
    <w:rsid w:val="30C8794F"/>
    <w:rsid w:val="30DD54F2"/>
    <w:rsid w:val="30E71E45"/>
    <w:rsid w:val="311E2ED7"/>
    <w:rsid w:val="315C449C"/>
    <w:rsid w:val="31622551"/>
    <w:rsid w:val="318729DF"/>
    <w:rsid w:val="31B71FE3"/>
    <w:rsid w:val="31B82709"/>
    <w:rsid w:val="3227553A"/>
    <w:rsid w:val="323F582D"/>
    <w:rsid w:val="32400B34"/>
    <w:rsid w:val="324060F9"/>
    <w:rsid w:val="329E6876"/>
    <w:rsid w:val="333D0922"/>
    <w:rsid w:val="336B0B87"/>
    <w:rsid w:val="33B2504C"/>
    <w:rsid w:val="33D934D4"/>
    <w:rsid w:val="33F14659"/>
    <w:rsid w:val="33FE2F6A"/>
    <w:rsid w:val="346239BA"/>
    <w:rsid w:val="34BA4007"/>
    <w:rsid w:val="34C574F9"/>
    <w:rsid w:val="350D7ACA"/>
    <w:rsid w:val="35373099"/>
    <w:rsid w:val="35D22A7A"/>
    <w:rsid w:val="35F47D33"/>
    <w:rsid w:val="36074A7F"/>
    <w:rsid w:val="362921D2"/>
    <w:rsid w:val="3685748E"/>
    <w:rsid w:val="36923549"/>
    <w:rsid w:val="36B75FBF"/>
    <w:rsid w:val="36CA484A"/>
    <w:rsid w:val="36FB4891"/>
    <w:rsid w:val="37D2145B"/>
    <w:rsid w:val="38606463"/>
    <w:rsid w:val="387E080D"/>
    <w:rsid w:val="38F12CD3"/>
    <w:rsid w:val="38F94775"/>
    <w:rsid w:val="390F6C4C"/>
    <w:rsid w:val="392971ED"/>
    <w:rsid w:val="3A1274C3"/>
    <w:rsid w:val="3A394687"/>
    <w:rsid w:val="3A664F0E"/>
    <w:rsid w:val="3AA04DD2"/>
    <w:rsid w:val="3AEB7D25"/>
    <w:rsid w:val="3B25499E"/>
    <w:rsid w:val="3B3763D1"/>
    <w:rsid w:val="3B9B239D"/>
    <w:rsid w:val="3BD86732"/>
    <w:rsid w:val="3BF52EC4"/>
    <w:rsid w:val="3C7D4D54"/>
    <w:rsid w:val="3CB81F7F"/>
    <w:rsid w:val="3CDA245A"/>
    <w:rsid w:val="3CEE0A37"/>
    <w:rsid w:val="3D491BBB"/>
    <w:rsid w:val="3D642A3A"/>
    <w:rsid w:val="3D966989"/>
    <w:rsid w:val="3D980AB7"/>
    <w:rsid w:val="3DD62806"/>
    <w:rsid w:val="3E300685"/>
    <w:rsid w:val="3E3870F8"/>
    <w:rsid w:val="3EE431D2"/>
    <w:rsid w:val="3EE8127A"/>
    <w:rsid w:val="3F660E74"/>
    <w:rsid w:val="3FCE742E"/>
    <w:rsid w:val="3FDC584C"/>
    <w:rsid w:val="401D539C"/>
    <w:rsid w:val="407A6407"/>
    <w:rsid w:val="408C7E2E"/>
    <w:rsid w:val="40CD078D"/>
    <w:rsid w:val="417E4DA6"/>
    <w:rsid w:val="41E51A4C"/>
    <w:rsid w:val="421A1D78"/>
    <w:rsid w:val="423169FA"/>
    <w:rsid w:val="423A3BCC"/>
    <w:rsid w:val="425E4AB3"/>
    <w:rsid w:val="433A6FE6"/>
    <w:rsid w:val="433C47BE"/>
    <w:rsid w:val="434654C8"/>
    <w:rsid w:val="4350713C"/>
    <w:rsid w:val="436653E0"/>
    <w:rsid w:val="43D9659D"/>
    <w:rsid w:val="43E700CB"/>
    <w:rsid w:val="44193644"/>
    <w:rsid w:val="443C2F5F"/>
    <w:rsid w:val="44743421"/>
    <w:rsid w:val="4489078A"/>
    <w:rsid w:val="44CD14E0"/>
    <w:rsid w:val="450E4313"/>
    <w:rsid w:val="458946E9"/>
    <w:rsid w:val="4590404F"/>
    <w:rsid w:val="46064AAB"/>
    <w:rsid w:val="46C872FC"/>
    <w:rsid w:val="46D955A7"/>
    <w:rsid w:val="47133957"/>
    <w:rsid w:val="4779329E"/>
    <w:rsid w:val="47A07E0C"/>
    <w:rsid w:val="47EA64E7"/>
    <w:rsid w:val="482B177D"/>
    <w:rsid w:val="4870272E"/>
    <w:rsid w:val="48A04659"/>
    <w:rsid w:val="48BB2080"/>
    <w:rsid w:val="48C96179"/>
    <w:rsid w:val="48CA787E"/>
    <w:rsid w:val="493D634C"/>
    <w:rsid w:val="49621920"/>
    <w:rsid w:val="49622F1A"/>
    <w:rsid w:val="49B224C2"/>
    <w:rsid w:val="49D27562"/>
    <w:rsid w:val="49DC7715"/>
    <w:rsid w:val="4A023139"/>
    <w:rsid w:val="4A7B576F"/>
    <w:rsid w:val="4ADD78AD"/>
    <w:rsid w:val="4B133808"/>
    <w:rsid w:val="4B2500AE"/>
    <w:rsid w:val="4B3365BE"/>
    <w:rsid w:val="4BF26BEE"/>
    <w:rsid w:val="4C4A0649"/>
    <w:rsid w:val="4C564257"/>
    <w:rsid w:val="4CE470D3"/>
    <w:rsid w:val="4D0E19FF"/>
    <w:rsid w:val="4D2D64AC"/>
    <w:rsid w:val="4D614618"/>
    <w:rsid w:val="4DBA440F"/>
    <w:rsid w:val="4DDD07E8"/>
    <w:rsid w:val="4DDF0669"/>
    <w:rsid w:val="4DEC4FB0"/>
    <w:rsid w:val="4E075D8A"/>
    <w:rsid w:val="4E4A16EB"/>
    <w:rsid w:val="4E6E38ED"/>
    <w:rsid w:val="4E704ACE"/>
    <w:rsid w:val="4EB1704B"/>
    <w:rsid w:val="4F415AAB"/>
    <w:rsid w:val="4FA95530"/>
    <w:rsid w:val="4FC62A8C"/>
    <w:rsid w:val="4FE20F0D"/>
    <w:rsid w:val="4FF972A0"/>
    <w:rsid w:val="50504C4B"/>
    <w:rsid w:val="50800966"/>
    <w:rsid w:val="508036EE"/>
    <w:rsid w:val="50844624"/>
    <w:rsid w:val="509C6E7C"/>
    <w:rsid w:val="50DC2C87"/>
    <w:rsid w:val="5162104E"/>
    <w:rsid w:val="51A76A58"/>
    <w:rsid w:val="51E823D6"/>
    <w:rsid w:val="526A2B73"/>
    <w:rsid w:val="52A101B3"/>
    <w:rsid w:val="52F62BDC"/>
    <w:rsid w:val="531A03E2"/>
    <w:rsid w:val="539451EB"/>
    <w:rsid w:val="53A039CC"/>
    <w:rsid w:val="53A1505A"/>
    <w:rsid w:val="53B735D5"/>
    <w:rsid w:val="54063E08"/>
    <w:rsid w:val="543437E8"/>
    <w:rsid w:val="54BD6EB5"/>
    <w:rsid w:val="55156641"/>
    <w:rsid w:val="55690BF5"/>
    <w:rsid w:val="55845FF0"/>
    <w:rsid w:val="559B174B"/>
    <w:rsid w:val="55A72B1F"/>
    <w:rsid w:val="55AC6D33"/>
    <w:rsid w:val="55CE0CF4"/>
    <w:rsid w:val="56196376"/>
    <w:rsid w:val="565849A2"/>
    <w:rsid w:val="56633896"/>
    <w:rsid w:val="56893619"/>
    <w:rsid w:val="56B22A9C"/>
    <w:rsid w:val="56C639AA"/>
    <w:rsid w:val="56FA587C"/>
    <w:rsid w:val="57590A85"/>
    <w:rsid w:val="579921B7"/>
    <w:rsid w:val="57A339F3"/>
    <w:rsid w:val="57B72A76"/>
    <w:rsid w:val="57BB4C3E"/>
    <w:rsid w:val="589146A9"/>
    <w:rsid w:val="59083801"/>
    <w:rsid w:val="5991071A"/>
    <w:rsid w:val="5A04713E"/>
    <w:rsid w:val="5A3C747D"/>
    <w:rsid w:val="5A473C38"/>
    <w:rsid w:val="5ABE2233"/>
    <w:rsid w:val="5AD90113"/>
    <w:rsid w:val="5B276D18"/>
    <w:rsid w:val="5B397460"/>
    <w:rsid w:val="5BB43CF8"/>
    <w:rsid w:val="5BDF5D95"/>
    <w:rsid w:val="5C4E0CA4"/>
    <w:rsid w:val="5D9A56C3"/>
    <w:rsid w:val="5DA8201A"/>
    <w:rsid w:val="5DBB3FB7"/>
    <w:rsid w:val="5DF87A0F"/>
    <w:rsid w:val="5E8D1F25"/>
    <w:rsid w:val="5F1A2B43"/>
    <w:rsid w:val="5FB2080D"/>
    <w:rsid w:val="5FB837BB"/>
    <w:rsid w:val="5FC6687A"/>
    <w:rsid w:val="60A00303"/>
    <w:rsid w:val="61903112"/>
    <w:rsid w:val="62364782"/>
    <w:rsid w:val="62B32159"/>
    <w:rsid w:val="62C828B6"/>
    <w:rsid w:val="62DD670B"/>
    <w:rsid w:val="6332423A"/>
    <w:rsid w:val="63A728E8"/>
    <w:rsid w:val="63AE3C76"/>
    <w:rsid w:val="63D40BE9"/>
    <w:rsid w:val="63E0211F"/>
    <w:rsid w:val="63E613BF"/>
    <w:rsid w:val="63F7672E"/>
    <w:rsid w:val="643835A9"/>
    <w:rsid w:val="646924C0"/>
    <w:rsid w:val="64FA236A"/>
    <w:rsid w:val="65373578"/>
    <w:rsid w:val="65492C8B"/>
    <w:rsid w:val="65555ED8"/>
    <w:rsid w:val="65755B14"/>
    <w:rsid w:val="657F4D90"/>
    <w:rsid w:val="65EC71C0"/>
    <w:rsid w:val="6618548A"/>
    <w:rsid w:val="6678712C"/>
    <w:rsid w:val="66D435B2"/>
    <w:rsid w:val="66F61BC2"/>
    <w:rsid w:val="66FA7F46"/>
    <w:rsid w:val="67012713"/>
    <w:rsid w:val="673F2C7A"/>
    <w:rsid w:val="67821063"/>
    <w:rsid w:val="681F6961"/>
    <w:rsid w:val="682054F9"/>
    <w:rsid w:val="68597704"/>
    <w:rsid w:val="68610A2F"/>
    <w:rsid w:val="686A4C82"/>
    <w:rsid w:val="68805514"/>
    <w:rsid w:val="68896A60"/>
    <w:rsid w:val="6890477D"/>
    <w:rsid w:val="6935521C"/>
    <w:rsid w:val="693D18BB"/>
    <w:rsid w:val="694E2071"/>
    <w:rsid w:val="697A3B33"/>
    <w:rsid w:val="699E2456"/>
    <w:rsid w:val="69AA611C"/>
    <w:rsid w:val="69FF2B95"/>
    <w:rsid w:val="6A15168F"/>
    <w:rsid w:val="6ABA73A5"/>
    <w:rsid w:val="6B322639"/>
    <w:rsid w:val="6B793CFC"/>
    <w:rsid w:val="6C2D4E92"/>
    <w:rsid w:val="6C636C38"/>
    <w:rsid w:val="6C7812C6"/>
    <w:rsid w:val="6D433682"/>
    <w:rsid w:val="6D6E1CBC"/>
    <w:rsid w:val="6DB34098"/>
    <w:rsid w:val="6DB545B6"/>
    <w:rsid w:val="6DDF52C1"/>
    <w:rsid w:val="6E4375A0"/>
    <w:rsid w:val="6E514CED"/>
    <w:rsid w:val="6E5F57D9"/>
    <w:rsid w:val="6E79491A"/>
    <w:rsid w:val="6EB011EB"/>
    <w:rsid w:val="6EB563D5"/>
    <w:rsid w:val="6ECE134F"/>
    <w:rsid w:val="6F225983"/>
    <w:rsid w:val="6F484EC4"/>
    <w:rsid w:val="6F813E1F"/>
    <w:rsid w:val="6FCD2533"/>
    <w:rsid w:val="6FCF744E"/>
    <w:rsid w:val="6FE74798"/>
    <w:rsid w:val="6FFC5590"/>
    <w:rsid w:val="70301DA3"/>
    <w:rsid w:val="70383246"/>
    <w:rsid w:val="706D1DD0"/>
    <w:rsid w:val="70856B87"/>
    <w:rsid w:val="70D40EEB"/>
    <w:rsid w:val="70D527EE"/>
    <w:rsid w:val="70DD3DED"/>
    <w:rsid w:val="715B5300"/>
    <w:rsid w:val="715F4BD7"/>
    <w:rsid w:val="71C64881"/>
    <w:rsid w:val="71D27F8A"/>
    <w:rsid w:val="71F744C6"/>
    <w:rsid w:val="71F960CF"/>
    <w:rsid w:val="723E2669"/>
    <w:rsid w:val="72A944F1"/>
    <w:rsid w:val="72E37D2C"/>
    <w:rsid w:val="731F5D5E"/>
    <w:rsid w:val="73E6120B"/>
    <w:rsid w:val="74024DA0"/>
    <w:rsid w:val="741E793C"/>
    <w:rsid w:val="74390322"/>
    <w:rsid w:val="746913FE"/>
    <w:rsid w:val="749C1273"/>
    <w:rsid w:val="74CA5F73"/>
    <w:rsid w:val="74E80513"/>
    <w:rsid w:val="753E7016"/>
    <w:rsid w:val="75505E02"/>
    <w:rsid w:val="755B0018"/>
    <w:rsid w:val="758D75E2"/>
    <w:rsid w:val="76403D21"/>
    <w:rsid w:val="769263FA"/>
    <w:rsid w:val="76953127"/>
    <w:rsid w:val="7719019C"/>
    <w:rsid w:val="77762421"/>
    <w:rsid w:val="77AE6A5B"/>
    <w:rsid w:val="77CC5DE1"/>
    <w:rsid w:val="77D93059"/>
    <w:rsid w:val="780F09F4"/>
    <w:rsid w:val="7850571A"/>
    <w:rsid w:val="789C1CFA"/>
    <w:rsid w:val="789C4F47"/>
    <w:rsid w:val="78A90480"/>
    <w:rsid w:val="78C87F3E"/>
    <w:rsid w:val="78CB5CCF"/>
    <w:rsid w:val="78F21413"/>
    <w:rsid w:val="78F306B6"/>
    <w:rsid w:val="790C34C1"/>
    <w:rsid w:val="79811327"/>
    <w:rsid w:val="7A146294"/>
    <w:rsid w:val="7A344A7E"/>
    <w:rsid w:val="7A364017"/>
    <w:rsid w:val="7A8265E1"/>
    <w:rsid w:val="7A9E572A"/>
    <w:rsid w:val="7AE515EC"/>
    <w:rsid w:val="7B223BFA"/>
    <w:rsid w:val="7B437433"/>
    <w:rsid w:val="7B686D42"/>
    <w:rsid w:val="7B841746"/>
    <w:rsid w:val="7B973632"/>
    <w:rsid w:val="7B985D5C"/>
    <w:rsid w:val="7B9A4A9E"/>
    <w:rsid w:val="7BC52BA0"/>
    <w:rsid w:val="7BEA60A1"/>
    <w:rsid w:val="7C4A483E"/>
    <w:rsid w:val="7C9A76A2"/>
    <w:rsid w:val="7CD04806"/>
    <w:rsid w:val="7D0239FF"/>
    <w:rsid w:val="7D5E40CD"/>
    <w:rsid w:val="7D693BED"/>
    <w:rsid w:val="7DC4436B"/>
    <w:rsid w:val="7DDA1987"/>
    <w:rsid w:val="7EA61CC2"/>
    <w:rsid w:val="7F4C67EC"/>
    <w:rsid w:val="7FAE0AB6"/>
    <w:rsid w:val="7FBF4F7F"/>
    <w:rsid w:val="7FD56E3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Cs w:val="21"/>
    </w:rPr>
  </w:style>
  <w:style w:type="paragraph" w:styleId="3">
    <w:name w:val="heading 1"/>
    <w:basedOn w:val="1"/>
    <w:next w:val="1"/>
    <w:link w:val="33"/>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9"/>
    <w:pPr>
      <w:keepNext/>
      <w:keepLines/>
      <w:numPr>
        <w:ilvl w:val="1"/>
        <w:numId w:val="1"/>
      </w:numPr>
      <w:adjustRightInd w:val="0"/>
      <w:snapToGrid w:val="0"/>
      <w:spacing w:beforeLines="25" w:afterLines="25"/>
      <w:jc w:val="left"/>
      <w:outlineLvl w:val="1"/>
    </w:pPr>
    <w:rPr>
      <w:rFonts w:ascii="Cambria Math" w:hAnsi="Cambria Math"/>
      <w:b/>
      <w:bCs/>
      <w:kern w:val="0"/>
      <w:sz w:val="30"/>
      <w:szCs w:val="20"/>
    </w:rPr>
  </w:style>
  <w:style w:type="paragraph" w:styleId="4">
    <w:name w:val="heading 3"/>
    <w:basedOn w:val="1"/>
    <w:next w:val="1"/>
    <w:link w:val="34"/>
    <w:qFormat/>
    <w:locked/>
    <w:uiPriority w:val="0"/>
    <w:pPr>
      <w:keepNext/>
      <w:keepLines/>
      <w:spacing w:before="260" w:after="260" w:line="416" w:lineRule="auto"/>
      <w:outlineLvl w:val="2"/>
    </w:pPr>
    <w:rPr>
      <w:b/>
      <w:bCs/>
      <w:kern w:val="2"/>
      <w:sz w:val="32"/>
      <w:szCs w:val="32"/>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5">
    <w:name w:val="Normal Indent"/>
    <w:basedOn w:val="1"/>
    <w:link w:val="35"/>
    <w:qFormat/>
    <w:uiPriority w:val="0"/>
    <w:pPr>
      <w:adjustRightInd w:val="0"/>
      <w:snapToGrid w:val="0"/>
      <w:spacing w:line="324" w:lineRule="auto"/>
      <w:ind w:firstLine="567"/>
      <w:textAlignment w:val="baseline"/>
    </w:pPr>
    <w:rPr>
      <w:rFonts w:ascii="Calibri" w:hAnsi="Calibri" w:eastAsia="仿宋_GB2312"/>
      <w:sz w:val="30"/>
      <w:szCs w:val="20"/>
    </w:rPr>
  </w:style>
  <w:style w:type="paragraph" w:styleId="6">
    <w:name w:val="Document Map"/>
    <w:basedOn w:val="1"/>
    <w:link w:val="36"/>
    <w:qFormat/>
    <w:uiPriority w:val="0"/>
    <w:rPr>
      <w:rFonts w:ascii="宋体"/>
      <w:kern w:val="2"/>
      <w:sz w:val="18"/>
      <w:szCs w:val="18"/>
    </w:rPr>
  </w:style>
  <w:style w:type="paragraph" w:styleId="7">
    <w:name w:val="annotation text"/>
    <w:basedOn w:val="1"/>
    <w:link w:val="37"/>
    <w:semiHidden/>
    <w:qFormat/>
    <w:uiPriority w:val="0"/>
    <w:pPr>
      <w:jc w:val="left"/>
    </w:pPr>
    <w:rPr>
      <w:sz w:val="24"/>
      <w:szCs w:val="20"/>
    </w:rPr>
  </w:style>
  <w:style w:type="paragraph" w:styleId="8">
    <w:name w:val="Body Text"/>
    <w:basedOn w:val="1"/>
    <w:link w:val="38"/>
    <w:qFormat/>
    <w:uiPriority w:val="0"/>
    <w:pPr>
      <w:widowControl/>
      <w:snapToGrid w:val="0"/>
      <w:spacing w:before="60" w:after="160" w:line="259" w:lineRule="auto"/>
      <w:ind w:right="113"/>
    </w:pPr>
    <w:rPr>
      <w:sz w:val="18"/>
      <w:szCs w:val="20"/>
    </w:rPr>
  </w:style>
  <w:style w:type="paragraph" w:styleId="9">
    <w:name w:val="Body Text Indent"/>
    <w:basedOn w:val="1"/>
    <w:link w:val="39"/>
    <w:qFormat/>
    <w:uiPriority w:val="0"/>
    <w:pPr>
      <w:spacing w:after="120"/>
      <w:ind w:left="420" w:leftChars="200"/>
    </w:pPr>
    <w:rPr>
      <w:sz w:val="24"/>
      <w:szCs w:val="24"/>
    </w:rPr>
  </w:style>
  <w:style w:type="paragraph" w:styleId="10">
    <w:name w:val="Plain Text"/>
    <w:basedOn w:val="1"/>
    <w:link w:val="40"/>
    <w:qFormat/>
    <w:uiPriority w:val="0"/>
    <w:rPr>
      <w:rFonts w:ascii="宋体" w:hAnsi="Courier New"/>
      <w:kern w:val="2"/>
      <w:sz w:val="21"/>
      <w:szCs w:val="24"/>
    </w:rPr>
  </w:style>
  <w:style w:type="paragraph" w:styleId="11">
    <w:name w:val="Date"/>
    <w:basedOn w:val="1"/>
    <w:next w:val="1"/>
    <w:link w:val="41"/>
    <w:qFormat/>
    <w:uiPriority w:val="0"/>
    <w:pPr>
      <w:ind w:left="100" w:leftChars="2500"/>
    </w:pPr>
    <w:rPr>
      <w:sz w:val="24"/>
      <w:szCs w:val="20"/>
    </w:rPr>
  </w:style>
  <w:style w:type="paragraph" w:styleId="12">
    <w:name w:val="Body Text Indent 2"/>
    <w:basedOn w:val="1"/>
    <w:next w:val="13"/>
    <w:link w:val="42"/>
    <w:qFormat/>
    <w:uiPriority w:val="0"/>
    <w:pPr>
      <w:spacing w:after="120" w:line="480" w:lineRule="auto"/>
      <w:ind w:left="420" w:leftChars="200"/>
    </w:pPr>
    <w:rPr>
      <w:kern w:val="2"/>
      <w:sz w:val="21"/>
      <w:szCs w:val="24"/>
    </w:rPr>
  </w:style>
  <w:style w:type="paragraph" w:styleId="13">
    <w:name w:val="Body Text First Indent 2"/>
    <w:basedOn w:val="9"/>
    <w:next w:val="14"/>
    <w:link w:val="43"/>
    <w:qFormat/>
    <w:uiPriority w:val="0"/>
    <w:pPr>
      <w:ind w:firstLine="420" w:firstLineChars="200"/>
    </w:pPr>
    <w:rPr>
      <w:kern w:val="2"/>
      <w:sz w:val="21"/>
      <w:szCs w:val="20"/>
    </w:rPr>
  </w:style>
  <w:style w:type="paragraph" w:styleId="14">
    <w:name w:val="Body Text First Indent"/>
    <w:basedOn w:val="8"/>
    <w:link w:val="44"/>
    <w:qFormat/>
    <w:uiPriority w:val="0"/>
    <w:pPr>
      <w:widowControl w:val="0"/>
      <w:snapToGrid/>
      <w:spacing w:before="0" w:after="120" w:line="240" w:lineRule="auto"/>
      <w:ind w:right="0" w:firstLine="420" w:firstLineChars="100"/>
    </w:pPr>
    <w:rPr>
      <w:kern w:val="2"/>
      <w:sz w:val="21"/>
      <w:szCs w:val="24"/>
    </w:rPr>
  </w:style>
  <w:style w:type="paragraph" w:styleId="15">
    <w:name w:val="Balloon Text"/>
    <w:basedOn w:val="1"/>
    <w:link w:val="45"/>
    <w:semiHidden/>
    <w:qFormat/>
    <w:uiPriority w:val="0"/>
    <w:rPr>
      <w:sz w:val="18"/>
      <w:szCs w:val="18"/>
    </w:rPr>
  </w:style>
  <w:style w:type="paragraph" w:styleId="16">
    <w:name w:val="footer"/>
    <w:basedOn w:val="1"/>
    <w:link w:val="46"/>
    <w:qFormat/>
    <w:uiPriority w:val="99"/>
    <w:pPr>
      <w:tabs>
        <w:tab w:val="center" w:pos="4153"/>
        <w:tab w:val="right" w:pos="8306"/>
      </w:tabs>
      <w:snapToGrid w:val="0"/>
      <w:jc w:val="left"/>
    </w:pPr>
    <w:rPr>
      <w:sz w:val="18"/>
      <w:szCs w:val="18"/>
    </w:rPr>
  </w:style>
  <w:style w:type="paragraph" w:styleId="17">
    <w:name w:val="header"/>
    <w:basedOn w:val="1"/>
    <w:next w:val="18"/>
    <w:link w:val="47"/>
    <w:qFormat/>
    <w:uiPriority w:val="99"/>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9"/>
    <w:qFormat/>
    <w:uiPriority w:val="0"/>
    <w:pPr>
      <w:ind w:firstLine="0"/>
    </w:pPr>
    <w:rPr>
      <w:rFonts w:hAnsi="Times New Roman"/>
      <w:kern w:val="2"/>
    </w:rPr>
  </w:style>
  <w:style w:type="paragraph" w:customStyle="1" w:styleId="19">
    <w:name w:val="正文1"/>
    <w:basedOn w:val="1"/>
    <w:next w:val="1"/>
    <w:qFormat/>
    <w:uiPriority w:val="0"/>
    <w:rPr>
      <w:rFonts w:cs="宋体"/>
      <w:sz w:val="24"/>
    </w:rPr>
  </w:style>
  <w:style w:type="paragraph" w:styleId="20">
    <w:name w:val="toc 1"/>
    <w:basedOn w:val="1"/>
    <w:next w:val="1"/>
    <w:qFormat/>
    <w:locked/>
    <w:uiPriority w:val="0"/>
  </w:style>
  <w:style w:type="paragraph" w:styleId="21">
    <w:name w:val="List"/>
    <w:basedOn w:val="1"/>
    <w:qFormat/>
    <w:uiPriority w:val="0"/>
    <w:pPr>
      <w:ind w:left="200" w:hanging="200" w:hangingChars="200"/>
    </w:pPr>
    <w:rPr>
      <w:rFonts w:ascii="Times New Roman" w:hAnsi="Times New Roman"/>
    </w:rPr>
  </w:style>
  <w:style w:type="paragraph" w:styleId="22">
    <w:name w:val="toc 2"/>
    <w:basedOn w:val="1"/>
    <w:next w:val="1"/>
    <w:qFormat/>
    <w:locked/>
    <w:uiPriority w:val="39"/>
    <w:pPr>
      <w:ind w:left="240"/>
      <w:jc w:val="left"/>
    </w:pPr>
    <w:rPr>
      <w:rFonts w:ascii="Calibri" w:eastAsia="Calibri"/>
      <w:smallCaps/>
      <w:sz w:val="20"/>
    </w:rPr>
  </w:style>
  <w:style w:type="paragraph" w:styleId="23">
    <w:name w:val="toc 9"/>
    <w:basedOn w:val="1"/>
    <w:next w:val="1"/>
    <w:qFormat/>
    <w:locked/>
    <w:uiPriority w:val="0"/>
    <w:pPr>
      <w:ind w:left="3360" w:leftChars="1600"/>
    </w:pPr>
  </w:style>
  <w:style w:type="paragraph" w:styleId="24">
    <w:name w:val="Normal (Web)"/>
    <w:basedOn w:val="1"/>
    <w:link w:val="48"/>
    <w:qFormat/>
    <w:uiPriority w:val="0"/>
    <w:pPr>
      <w:widowControl/>
      <w:spacing w:before="100" w:beforeAutospacing="1" w:after="100" w:afterAutospacing="1"/>
      <w:jc w:val="left"/>
    </w:pPr>
    <w:rPr>
      <w:rFonts w:ascii="宋体" w:hAnsi="宋体"/>
      <w:sz w:val="24"/>
      <w:szCs w:val="20"/>
    </w:rPr>
  </w:style>
  <w:style w:type="paragraph" w:styleId="25">
    <w:name w:val="Title"/>
    <w:basedOn w:val="1"/>
    <w:qFormat/>
    <w:locked/>
    <w:uiPriority w:val="10"/>
    <w:pPr>
      <w:spacing w:before="240" w:after="60" w:line="240" w:lineRule="auto"/>
      <w:jc w:val="center"/>
      <w:outlineLvl w:val="0"/>
    </w:pPr>
    <w:rPr>
      <w:rFonts w:ascii="Arial" w:hAnsi="Arial"/>
      <w:b/>
      <w:bCs/>
      <w:spacing w:val="0"/>
      <w:w w:val="80"/>
      <w:sz w:val="32"/>
      <w:szCs w:val="32"/>
    </w:rPr>
  </w:style>
  <w:style w:type="paragraph" w:styleId="26">
    <w:name w:val="annotation subject"/>
    <w:basedOn w:val="7"/>
    <w:next w:val="1"/>
    <w:link w:val="49"/>
    <w:semiHidden/>
    <w:qFormat/>
    <w:uiPriority w:val="0"/>
    <w:rPr>
      <w:b/>
      <w:bCs/>
      <w:kern w:val="2"/>
      <w:sz w:val="20"/>
      <w:szCs w:val="24"/>
    </w:rPr>
  </w:style>
  <w:style w:type="table" w:styleId="28">
    <w:name w:val="Table Grid"/>
    <w:basedOn w:val="27"/>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Hyperlink"/>
    <w:qFormat/>
    <w:uiPriority w:val="99"/>
    <w:rPr>
      <w:color w:val="000000"/>
      <w:u w:val="none"/>
    </w:rPr>
  </w:style>
  <w:style w:type="character" w:styleId="32">
    <w:name w:val="annotation reference"/>
    <w:semiHidden/>
    <w:qFormat/>
    <w:uiPriority w:val="0"/>
    <w:rPr>
      <w:sz w:val="21"/>
    </w:rPr>
  </w:style>
  <w:style w:type="character" w:customStyle="1" w:styleId="33">
    <w:name w:val="标题 1 Char"/>
    <w:link w:val="3"/>
    <w:qFormat/>
    <w:uiPriority w:val="0"/>
    <w:rPr>
      <w:rFonts w:eastAsia="黑体"/>
      <w:b/>
      <w:bCs/>
      <w:color w:val="000000"/>
      <w:kern w:val="44"/>
      <w:sz w:val="30"/>
      <w:szCs w:val="30"/>
    </w:rPr>
  </w:style>
  <w:style w:type="character" w:customStyle="1" w:styleId="34">
    <w:name w:val="标题 3 Char"/>
    <w:link w:val="4"/>
    <w:semiHidden/>
    <w:qFormat/>
    <w:uiPriority w:val="0"/>
    <w:rPr>
      <w:b/>
      <w:bCs/>
      <w:kern w:val="2"/>
      <w:sz w:val="32"/>
      <w:szCs w:val="32"/>
    </w:rPr>
  </w:style>
  <w:style w:type="character" w:customStyle="1" w:styleId="35">
    <w:name w:val="正文缩进 Char"/>
    <w:link w:val="5"/>
    <w:qFormat/>
    <w:locked/>
    <w:uiPriority w:val="0"/>
    <w:rPr>
      <w:rFonts w:ascii="Calibri" w:hAnsi="Calibri" w:eastAsia="仿宋_GB2312"/>
      <w:sz w:val="30"/>
    </w:rPr>
  </w:style>
  <w:style w:type="character" w:customStyle="1" w:styleId="36">
    <w:name w:val="文档结构图 Char"/>
    <w:link w:val="6"/>
    <w:qFormat/>
    <w:uiPriority w:val="0"/>
    <w:rPr>
      <w:rFonts w:ascii="宋体"/>
      <w:kern w:val="2"/>
      <w:sz w:val="18"/>
      <w:szCs w:val="18"/>
    </w:rPr>
  </w:style>
  <w:style w:type="character" w:customStyle="1" w:styleId="37">
    <w:name w:val="批注文字 Char"/>
    <w:link w:val="7"/>
    <w:qFormat/>
    <w:locked/>
    <w:uiPriority w:val="0"/>
    <w:rPr>
      <w:rFonts w:ascii="Times New Roman" w:hAnsi="Times New Roman" w:eastAsia="宋体"/>
      <w:sz w:val="24"/>
    </w:rPr>
  </w:style>
  <w:style w:type="character" w:customStyle="1" w:styleId="38">
    <w:name w:val="正文文本 Char"/>
    <w:link w:val="8"/>
    <w:qFormat/>
    <w:locked/>
    <w:uiPriority w:val="0"/>
    <w:rPr>
      <w:sz w:val="18"/>
    </w:rPr>
  </w:style>
  <w:style w:type="character" w:customStyle="1" w:styleId="39">
    <w:name w:val="正文文本缩进 Char"/>
    <w:link w:val="9"/>
    <w:semiHidden/>
    <w:qFormat/>
    <w:locked/>
    <w:uiPriority w:val="0"/>
    <w:rPr>
      <w:rFonts w:ascii="Times New Roman" w:hAnsi="Times New Roman" w:eastAsia="宋体" w:cs="Times New Roman"/>
      <w:sz w:val="24"/>
      <w:szCs w:val="24"/>
    </w:rPr>
  </w:style>
  <w:style w:type="character" w:customStyle="1" w:styleId="40">
    <w:name w:val="纯文本 Char1"/>
    <w:link w:val="10"/>
    <w:qFormat/>
    <w:uiPriority w:val="0"/>
    <w:rPr>
      <w:rFonts w:ascii="宋体" w:hAnsi="Courier New"/>
      <w:kern w:val="2"/>
      <w:sz w:val="21"/>
      <w:szCs w:val="24"/>
    </w:rPr>
  </w:style>
  <w:style w:type="character" w:customStyle="1" w:styleId="41">
    <w:name w:val="日期 Char"/>
    <w:link w:val="11"/>
    <w:qFormat/>
    <w:locked/>
    <w:uiPriority w:val="0"/>
    <w:rPr>
      <w:rFonts w:ascii="Times New Roman" w:hAnsi="Times New Roman" w:eastAsia="宋体"/>
      <w:sz w:val="24"/>
    </w:rPr>
  </w:style>
  <w:style w:type="character" w:customStyle="1" w:styleId="42">
    <w:name w:val="正文文本缩进 2 Char"/>
    <w:link w:val="12"/>
    <w:qFormat/>
    <w:uiPriority w:val="0"/>
    <w:rPr>
      <w:kern w:val="2"/>
      <w:sz w:val="21"/>
      <w:szCs w:val="24"/>
    </w:rPr>
  </w:style>
  <w:style w:type="character" w:customStyle="1" w:styleId="43">
    <w:name w:val="正文首行缩进 2 Char"/>
    <w:link w:val="13"/>
    <w:qFormat/>
    <w:uiPriority w:val="0"/>
    <w:rPr>
      <w:kern w:val="2"/>
      <w:sz w:val="21"/>
    </w:rPr>
  </w:style>
  <w:style w:type="character" w:customStyle="1" w:styleId="44">
    <w:name w:val="正文首行缩进 Char"/>
    <w:link w:val="14"/>
    <w:qFormat/>
    <w:uiPriority w:val="0"/>
    <w:rPr>
      <w:kern w:val="2"/>
      <w:sz w:val="21"/>
      <w:szCs w:val="24"/>
    </w:rPr>
  </w:style>
  <w:style w:type="character" w:customStyle="1" w:styleId="45">
    <w:name w:val="批注框文本 Char"/>
    <w:link w:val="15"/>
    <w:semiHidden/>
    <w:qFormat/>
    <w:locked/>
    <w:uiPriority w:val="0"/>
    <w:rPr>
      <w:rFonts w:ascii="Times New Roman" w:hAnsi="Times New Roman" w:eastAsia="宋体" w:cs="Times New Roman"/>
      <w:sz w:val="18"/>
      <w:szCs w:val="18"/>
    </w:rPr>
  </w:style>
  <w:style w:type="character" w:customStyle="1" w:styleId="46">
    <w:name w:val="页脚 Char"/>
    <w:link w:val="16"/>
    <w:qFormat/>
    <w:locked/>
    <w:uiPriority w:val="99"/>
    <w:rPr>
      <w:rFonts w:cs="Times New Roman"/>
      <w:sz w:val="18"/>
      <w:szCs w:val="18"/>
    </w:rPr>
  </w:style>
  <w:style w:type="character" w:customStyle="1" w:styleId="47">
    <w:name w:val="页眉 Char"/>
    <w:link w:val="17"/>
    <w:qFormat/>
    <w:locked/>
    <w:uiPriority w:val="99"/>
    <w:rPr>
      <w:rFonts w:cs="Times New Roman"/>
      <w:sz w:val="18"/>
      <w:szCs w:val="18"/>
    </w:rPr>
  </w:style>
  <w:style w:type="character" w:customStyle="1" w:styleId="48">
    <w:name w:val="普通(网站) Char1"/>
    <w:link w:val="24"/>
    <w:qFormat/>
    <w:locked/>
    <w:uiPriority w:val="0"/>
    <w:rPr>
      <w:rFonts w:ascii="宋体" w:hAnsi="宋体" w:eastAsia="宋体"/>
      <w:sz w:val="24"/>
    </w:rPr>
  </w:style>
  <w:style w:type="character" w:customStyle="1" w:styleId="49">
    <w:name w:val="批注主题 Char"/>
    <w:link w:val="26"/>
    <w:semiHidden/>
    <w:qFormat/>
    <w:locked/>
    <w:uiPriority w:val="0"/>
    <w:rPr>
      <w:rFonts w:cs="Times New Roman"/>
      <w:b/>
      <w:bCs/>
      <w:kern w:val="2"/>
      <w:szCs w:val="24"/>
    </w:rPr>
  </w:style>
  <w:style w:type="paragraph" w:customStyle="1" w:styleId="50">
    <w:name w:val="样式3"/>
    <w:basedOn w:val="21"/>
    <w:next w:val="8"/>
    <w:qFormat/>
    <w:uiPriority w:val="0"/>
    <w:pPr>
      <w:snapToGrid w:val="0"/>
      <w:ind w:firstLine="539"/>
      <w:jc w:val="center"/>
    </w:pPr>
    <w:rPr>
      <w:rFonts w:ascii="黑体" w:hAnsi="宋体" w:eastAsia="黑体" w:cs="宋体"/>
      <w:color w:val="000000"/>
      <w:kern w:val="0"/>
      <w:sz w:val="24"/>
    </w:rPr>
  </w:style>
  <w:style w:type="character" w:customStyle="1" w:styleId="51">
    <w:name w:val="普通(网站) Char"/>
    <w:qFormat/>
    <w:locked/>
    <w:uiPriority w:val="0"/>
    <w:rPr>
      <w:rFonts w:ascii="宋体" w:hAnsi="宋体" w:eastAsia="宋体"/>
      <w:sz w:val="24"/>
    </w:rPr>
  </w:style>
  <w:style w:type="character" w:customStyle="1" w:styleId="52">
    <w:name w:val="正文文本 字符1"/>
    <w:semiHidden/>
    <w:qFormat/>
    <w:uiPriority w:val="0"/>
    <w:rPr>
      <w:rFonts w:ascii="Times New Roman" w:hAnsi="Times New Roman" w:eastAsia="宋体" w:cs="Times New Roman"/>
      <w:sz w:val="24"/>
      <w:szCs w:val="24"/>
    </w:rPr>
  </w:style>
  <w:style w:type="character" w:customStyle="1" w:styleId="53">
    <w:name w:val="font11"/>
    <w:qFormat/>
    <w:uiPriority w:val="0"/>
    <w:rPr>
      <w:rFonts w:hint="eastAsia" w:ascii="宋体" w:hAnsi="宋体" w:eastAsia="宋体" w:cs="宋体"/>
      <w:color w:val="000000"/>
      <w:sz w:val="39"/>
      <w:szCs w:val="39"/>
      <w:u w:val="none"/>
    </w:rPr>
  </w:style>
  <w:style w:type="character" w:customStyle="1" w:styleId="54">
    <w:name w:val="表格 Char"/>
    <w:link w:val="55"/>
    <w:qFormat/>
    <w:locked/>
    <w:uiPriority w:val="0"/>
    <w:rPr>
      <w:rFonts w:ascii="宋体"/>
      <w:sz w:val="21"/>
    </w:rPr>
  </w:style>
  <w:style w:type="paragraph" w:customStyle="1" w:styleId="55">
    <w:name w:val="表格"/>
    <w:basedOn w:val="56"/>
    <w:next w:val="1"/>
    <w:link w:val="54"/>
    <w:qFormat/>
    <w:uiPriority w:val="0"/>
    <w:pPr>
      <w:adjustRightInd w:val="0"/>
      <w:snapToGrid w:val="0"/>
      <w:spacing w:beforeLines="10" w:afterLines="10" w:line="259" w:lineRule="auto"/>
      <w:jc w:val="center"/>
    </w:pPr>
    <w:rPr>
      <w:rFonts w:ascii="宋体"/>
      <w:sz w:val="21"/>
      <w:szCs w:val="20"/>
    </w:rPr>
  </w:style>
  <w:style w:type="paragraph" w:customStyle="1" w:styleId="56">
    <w:name w:val="表格内容"/>
    <w:basedOn w:val="8"/>
    <w:next w:val="1"/>
    <w:qFormat/>
    <w:uiPriority w:val="0"/>
    <w:pPr>
      <w:adjustRightInd w:val="0"/>
      <w:snapToGrid w:val="0"/>
      <w:jc w:val="center"/>
    </w:pPr>
    <w:rPr>
      <w:rFonts w:ascii="Times New Roman" w:hAnsi="Times New Roman" w:eastAsia="宋体" w:cs="Times New Roman"/>
      <w:sz w:val="21"/>
    </w:rPr>
  </w:style>
  <w:style w:type="character" w:customStyle="1" w:styleId="57">
    <w:name w:val="样式1 Char Char"/>
    <w:link w:val="58"/>
    <w:qFormat/>
    <w:uiPriority w:val="0"/>
    <w:rPr>
      <w:rFonts w:ascii="宋体" w:hAnsi="宋体" w:cs="宋体"/>
      <w:color w:val="000000"/>
      <w:sz w:val="24"/>
      <w:szCs w:val="24"/>
    </w:rPr>
  </w:style>
  <w:style w:type="paragraph" w:customStyle="1" w:styleId="58">
    <w:name w:val="样式1"/>
    <w:basedOn w:val="1"/>
    <w:next w:val="26"/>
    <w:link w:val="57"/>
    <w:qFormat/>
    <w:uiPriority w:val="0"/>
    <w:pPr>
      <w:ind w:firstLine="462" w:firstLineChars="200"/>
    </w:pPr>
    <w:rPr>
      <w:rFonts w:ascii="宋体" w:hAnsi="宋体"/>
      <w:color w:val="000000"/>
      <w:sz w:val="24"/>
      <w:szCs w:val="24"/>
    </w:rPr>
  </w:style>
  <w:style w:type="character" w:customStyle="1" w:styleId="59">
    <w:name w:val="纯文本 Char"/>
    <w:qFormat/>
    <w:uiPriority w:val="0"/>
    <w:rPr>
      <w:rFonts w:ascii="宋体" w:hAnsi="Courier New" w:cs="Courier New"/>
      <w:kern w:val="2"/>
      <w:sz w:val="21"/>
      <w:szCs w:val="21"/>
    </w:rPr>
  </w:style>
  <w:style w:type="character" w:customStyle="1" w:styleId="60">
    <w:name w:val="批注文字 字符1"/>
    <w:semiHidden/>
    <w:qFormat/>
    <w:uiPriority w:val="0"/>
    <w:rPr>
      <w:rFonts w:ascii="Times New Roman" w:hAnsi="Times New Roman" w:eastAsia="宋体" w:cs="Times New Roman"/>
      <w:sz w:val="24"/>
      <w:szCs w:val="24"/>
    </w:rPr>
  </w:style>
  <w:style w:type="character" w:customStyle="1" w:styleId="61">
    <w:name w:val="日期 字符"/>
    <w:semiHidden/>
    <w:qFormat/>
    <w:uiPriority w:val="0"/>
    <w:rPr>
      <w:rFonts w:ascii="Times New Roman" w:hAnsi="Times New Roman" w:eastAsia="宋体" w:cs="Times New Roman"/>
      <w:sz w:val="24"/>
      <w:szCs w:val="24"/>
    </w:rPr>
  </w:style>
  <w:style w:type="paragraph" w:customStyle="1" w:styleId="62">
    <w:name w:val="0表头"/>
    <w:basedOn w:val="1"/>
    <w:qFormat/>
    <w:uiPriority w:val="0"/>
    <w:pPr>
      <w:spacing w:line="240" w:lineRule="auto"/>
      <w:ind w:firstLine="0" w:firstLineChars="0"/>
      <w:jc w:val="center"/>
    </w:pPr>
  </w:style>
  <w:style w:type="paragraph" w:customStyle="1" w:styleId="63">
    <w:name w:val="缩进"/>
    <w:basedOn w:val="1"/>
    <w:qFormat/>
    <w:uiPriority w:val="0"/>
    <w:pPr>
      <w:autoSpaceDE w:val="0"/>
      <w:autoSpaceDN w:val="0"/>
      <w:adjustRightInd w:val="0"/>
      <w:spacing w:line="400" w:lineRule="atLeast"/>
      <w:ind w:firstLine="425"/>
      <w:textAlignment w:val="baseline"/>
    </w:pPr>
    <w:rPr>
      <w:rFonts w:ascii="宋体" w:hAnsi="Calibri"/>
      <w:kern w:val="0"/>
      <w:sz w:val="24"/>
      <w:szCs w:val="20"/>
    </w:rPr>
  </w:style>
  <w:style w:type="paragraph" w:customStyle="1" w:styleId="64">
    <w:name w:val="正文 + 宋体"/>
    <w:basedOn w:val="1"/>
    <w:qFormat/>
    <w:uiPriority w:val="0"/>
    <w:pPr>
      <w:widowControl w:val="0"/>
      <w:spacing w:line="400" w:lineRule="exact"/>
      <w:ind w:firstLine="200" w:firstLineChars="200"/>
      <w:jc w:val="both"/>
    </w:pPr>
    <w:rPr>
      <w:rFonts w:ascii="Times New Roman" w:hAnsi="Times New Roman"/>
      <w:kern w:val="0"/>
      <w:sz w:val="24"/>
      <w:szCs w:val="24"/>
      <w:lang w:val="zh-CN"/>
    </w:rPr>
  </w:style>
  <w:style w:type="paragraph" w:customStyle="1" w:styleId="65">
    <w:name w:val="7 表内文字"/>
    <w:basedOn w:val="1"/>
    <w:qFormat/>
    <w:uiPriority w:val="0"/>
    <w:pPr>
      <w:adjustRightInd w:val="0"/>
      <w:snapToGrid w:val="0"/>
      <w:jc w:val="center"/>
    </w:pPr>
    <w:rPr>
      <w:color w:val="0000FF"/>
      <w:szCs w:val="21"/>
    </w:rPr>
  </w:style>
  <w:style w:type="paragraph" w:customStyle="1" w:styleId="66">
    <w:name w:val="_Style 2"/>
    <w:basedOn w:val="1"/>
    <w:next w:val="1"/>
    <w:qFormat/>
    <w:uiPriority w:val="1"/>
    <w:pPr>
      <w:spacing w:line="440" w:lineRule="exact"/>
      <w:ind w:firstLine="420" w:firstLineChars="200"/>
    </w:pPr>
    <w:rPr>
      <w:sz w:val="24"/>
      <w:szCs w:val="20"/>
    </w:rPr>
  </w:style>
  <w:style w:type="paragraph" w:customStyle="1" w:styleId="67">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68">
    <w:name w:val="标准"/>
    <w:basedOn w:val="1"/>
    <w:qFormat/>
    <w:uiPriority w:val="0"/>
    <w:pPr>
      <w:adjustRightInd w:val="0"/>
      <w:spacing w:line="480" w:lineRule="exact"/>
      <w:textAlignment w:val="baseline"/>
    </w:pPr>
    <w:rPr>
      <w:rFonts w:ascii="Calibri" w:hAnsi="Calibri"/>
      <w:spacing w:val="-2"/>
      <w:kern w:val="0"/>
      <w:sz w:val="28"/>
      <w:szCs w:val="20"/>
      <w:lang w:val="en-GB"/>
    </w:rPr>
  </w:style>
  <w:style w:type="paragraph" w:customStyle="1" w:styleId="69">
    <w:name w:val="论文"/>
    <w:basedOn w:val="1"/>
    <w:qFormat/>
    <w:uiPriority w:val="0"/>
    <w:rPr>
      <w:rFonts w:ascii="黑体" w:hAnsi="黑体" w:eastAsia="黑体" w:cs="宋体"/>
      <w:sz w:val="28"/>
      <w:szCs w:val="28"/>
    </w:rPr>
  </w:style>
  <w:style w:type="paragraph" w:customStyle="1" w:styleId="70">
    <w:name w:val="内1"/>
    <w:basedOn w:val="1"/>
    <w:qFormat/>
    <w:uiPriority w:val="0"/>
    <w:pPr>
      <w:ind w:firstLine="200" w:firstLineChars="200"/>
    </w:pPr>
    <w:rPr>
      <w:rFonts w:ascii="宋体" w:hAnsi="宋体"/>
      <w:snapToGrid w:val="0"/>
      <w:sz w:val="24"/>
    </w:rPr>
  </w:style>
  <w:style w:type="paragraph" w:customStyle="1" w:styleId="71">
    <w:name w:val="2011.2.19"/>
    <w:basedOn w:val="22"/>
    <w:qFormat/>
    <w:uiPriority w:val="0"/>
    <w:pPr>
      <w:tabs>
        <w:tab w:val="right" w:leader="dot" w:pos="9060"/>
      </w:tabs>
      <w:ind w:firstLine="200"/>
    </w:pPr>
    <w:rPr>
      <w:rFonts w:hAnsi="宋体" w:cs="宋体"/>
      <w:kern w:val="0"/>
    </w:rPr>
  </w:style>
  <w:style w:type="paragraph" w:customStyle="1" w:styleId="72">
    <w:name w:val="p0"/>
    <w:basedOn w:val="1"/>
    <w:qFormat/>
    <w:uiPriority w:val="0"/>
    <w:pPr>
      <w:widowControl/>
    </w:pPr>
    <w:rPr>
      <w:kern w:val="0"/>
      <w:sz w:val="24"/>
    </w:rPr>
  </w:style>
  <w:style w:type="paragraph" w:customStyle="1" w:styleId="73">
    <w:name w:val="样式4"/>
    <w:basedOn w:val="1"/>
    <w:qFormat/>
    <w:uiPriority w:val="0"/>
    <w:pPr>
      <w:ind w:firstLine="462" w:firstLineChars="200"/>
    </w:pPr>
    <w:rPr>
      <w:rFonts w:hAnsi="宋体"/>
      <w:color w:val="0000FF"/>
      <w:sz w:val="24"/>
    </w:rPr>
  </w:style>
  <w:style w:type="paragraph" w:customStyle="1" w:styleId="74">
    <w:name w:val="三级标题"/>
    <w:basedOn w:val="1"/>
    <w:next w:val="13"/>
    <w:qFormat/>
    <w:uiPriority w:val="0"/>
    <w:pPr>
      <w:adjustRightInd w:val="0"/>
      <w:snapToGrid w:val="0"/>
      <w:jc w:val="center"/>
    </w:pPr>
    <w:rPr>
      <w:rFonts w:ascii="宋体" w:hAnsi="宋体" w:cs="宋体"/>
      <w:szCs w:val="21"/>
    </w:rPr>
  </w:style>
  <w:style w:type="paragraph" w:customStyle="1" w:styleId="75">
    <w:name w:val="Table Paragraph"/>
    <w:basedOn w:val="1"/>
    <w:qFormat/>
    <w:uiPriority w:val="1"/>
    <w:rPr>
      <w:rFonts w:ascii="宋体" w:hAnsi="宋体" w:eastAsia="宋体" w:cs="宋体"/>
      <w:lang w:val="zh-CN" w:eastAsia="zh-CN" w:bidi="zh-CN"/>
    </w:rPr>
  </w:style>
  <w:style w:type="paragraph" w:customStyle="1" w:styleId="76">
    <w:name w:val="Normal"/>
    <w:basedOn w:val="1"/>
    <w:qFormat/>
    <w:uiPriority w:val="0"/>
    <w:pPr>
      <w:widowControl/>
    </w:pPr>
    <w:rPr>
      <w:szCs w:val="21"/>
    </w:rPr>
  </w:style>
  <w:style w:type="paragraph" w:customStyle="1" w:styleId="77">
    <w:name w:val="0正文"/>
    <w:basedOn w:val="1"/>
    <w:qFormat/>
    <w:uiPriority w:val="0"/>
    <w:pPr>
      <w:spacing w:line="360" w:lineRule="auto"/>
      <w:ind w:firstLine="200" w:firstLineChars="200"/>
    </w:pPr>
    <w:rPr>
      <w:color w:val="0000FF"/>
      <w:sz w:val="24"/>
      <w:szCs w:val="24"/>
    </w:rPr>
  </w:style>
  <w:style w:type="paragraph" w:customStyle="1" w:styleId="78">
    <w:name w:val="原则正文"/>
    <w:basedOn w:val="1"/>
    <w:qFormat/>
    <w:uiPriority w:val="0"/>
    <w:pPr>
      <w:ind w:firstLine="560" w:firstLineChars="200"/>
    </w:pPr>
    <w:rPr>
      <w:rFonts w:ascii="仿宋_GB2312" w:hAnsi="宋体" w:eastAsia="仿宋_GB2312"/>
      <w:kern w:val="0"/>
      <w:sz w:val="28"/>
      <w:szCs w:val="28"/>
    </w:rPr>
  </w:style>
  <w:style w:type="paragraph" w:customStyle="1" w:styleId="79">
    <w:name w:val="样式 小四 首行缩进:  1.01 厘米 行距: 1.5 倍行距"/>
    <w:basedOn w:val="1"/>
    <w:qFormat/>
    <w:uiPriority w:val="0"/>
    <w:pPr>
      <w:adjustRightInd w:val="0"/>
      <w:snapToGrid w:val="0"/>
      <w:spacing w:line="360" w:lineRule="auto"/>
      <w:ind w:firstLine="200" w:firstLineChars="200"/>
    </w:pPr>
    <w:rPr>
      <w:rFonts w:ascii="Calibri" w:hAnsi="Calibri"/>
      <w:snapToGrid w:val="0"/>
      <w:kern w:val="24"/>
      <w:sz w:val="24"/>
      <w:szCs w:val="28"/>
    </w:rPr>
  </w:style>
  <w:style w:type="paragraph" w:customStyle="1" w:styleId="8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1">
    <w:name w:val="样式6"/>
    <w:basedOn w:val="1"/>
    <w:qFormat/>
    <w:uiPriority w:val="0"/>
    <w:pPr>
      <w:ind w:firstLine="462" w:firstLineChars="200"/>
    </w:pPr>
    <w:rPr>
      <w:rFonts w:hAnsi="宋体"/>
      <w:color w:val="0000FF"/>
    </w:rPr>
  </w:style>
  <w:style w:type="paragraph" w:customStyle="1" w:styleId="82">
    <w:name w:val="Default"/>
    <w:basedOn w:val="8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83">
    <w:name w:val="纯文本1"/>
    <w:basedOn w:val="1"/>
    <w:qFormat/>
    <w:uiPriority w:val="0"/>
    <w:pPr>
      <w:adjustRightInd w:val="0"/>
    </w:pPr>
    <w:rPr>
      <w:rFonts w:hAnsi="Courier New"/>
    </w:rPr>
  </w:style>
  <w:style w:type="paragraph" w:customStyle="1" w:styleId="84">
    <w:name w:val="正文dh"/>
    <w:basedOn w:val="1"/>
    <w:qFormat/>
    <w:uiPriority w:val="0"/>
    <w:pPr>
      <w:spacing w:line="520" w:lineRule="exact"/>
      <w:ind w:firstLine="482"/>
    </w:pPr>
    <w:rPr>
      <w:spacing w:val="0"/>
    </w:rPr>
  </w:style>
  <w:style w:type="paragraph" w:customStyle="1" w:styleId="85">
    <w:name w:val="样式2"/>
    <w:basedOn w:val="64"/>
    <w:qFormat/>
    <w:uiPriority w:val="0"/>
    <w:pPr>
      <w:ind w:firstLine="533" w:firstLineChars="200"/>
    </w:pPr>
    <w:rPr>
      <w:color w:val="0000FF"/>
      <w:szCs w:val="21"/>
    </w:rPr>
  </w:style>
  <w:style w:type="paragraph" w:customStyle="1" w:styleId="86">
    <w:name w:val="表格文字"/>
    <w:basedOn w:val="1"/>
    <w:next w:val="1"/>
    <w:qFormat/>
    <w:uiPriority w:val="0"/>
    <w:pPr>
      <w:snapToGrid w:val="0"/>
      <w:spacing w:line="360" w:lineRule="exact"/>
      <w:jc w:val="center"/>
    </w:pPr>
    <w:rPr>
      <w:kern w:val="0"/>
      <w:szCs w:val="20"/>
    </w:rPr>
  </w:style>
  <w:style w:type="table" w:customStyle="1" w:styleId="87">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88">
    <w:name w:val="环小四内容"/>
    <w:basedOn w:val="1"/>
    <w:qFormat/>
    <w:uiPriority w:val="0"/>
    <w:pPr>
      <w:ind w:firstLine="200" w:firstLineChars="200"/>
    </w:pPr>
    <w:rPr>
      <w:rFonts w:ascii="宋体" w:hAnsi="宋体"/>
      <w:sz w:val="24"/>
    </w:rPr>
  </w:style>
  <w:style w:type="paragraph" w:customStyle="1" w:styleId="89">
    <w:name w:val="环小四表题"/>
    <w:basedOn w:val="1"/>
    <w:qFormat/>
    <w:uiPriority w:val="0"/>
    <w:pPr>
      <w:wordWrap w:val="0"/>
      <w:jc w:val="right"/>
    </w:pPr>
    <w:rPr>
      <w:rFonts w:ascii="宋体"/>
      <w:b/>
      <w:sz w:val="24"/>
    </w:rPr>
  </w:style>
  <w:style w:type="character" w:customStyle="1" w:styleId="90">
    <w:name w:val="环小四表尾 Char"/>
    <w:link w:val="91"/>
    <w:qFormat/>
    <w:uiPriority w:val="0"/>
    <w:rPr>
      <w:rFonts w:ascii="宋体" w:eastAsia="Times New Roman"/>
      <w:b/>
      <w:bCs/>
      <w:sz w:val="21"/>
      <w:szCs w:val="21"/>
      <w:lang w:val="en-US" w:eastAsia="zh-CN" w:bidi="ar-SA"/>
    </w:rPr>
  </w:style>
  <w:style w:type="paragraph" w:customStyle="1" w:styleId="91">
    <w:name w:val="环小四表尾"/>
    <w:link w:val="90"/>
    <w:qFormat/>
    <w:uiPriority w:val="0"/>
    <w:pPr>
      <w:spacing w:line="560" w:lineRule="exact"/>
      <w:jc w:val="right"/>
    </w:pPr>
    <w:rPr>
      <w:rFonts w:ascii="宋体" w:hAnsi="Times New Roman" w:eastAsia="Times New Roman" w:cs="Times New Roman"/>
      <w:b/>
      <w:bCs/>
      <w:sz w:val="21"/>
      <w:szCs w:val="21"/>
      <w:lang w:val="en-US" w:eastAsia="zh-CN" w:bidi="ar-SA"/>
    </w:rPr>
  </w:style>
  <w:style w:type="paragraph" w:customStyle="1" w:styleId="92">
    <w:name w:val="环小四1.1.1（三级）"/>
    <w:qFormat/>
    <w:uiPriority w:val="0"/>
    <w:pPr>
      <w:widowControl w:val="0"/>
      <w:ind w:firstLine="482" w:firstLineChars="200"/>
      <w:jc w:val="both"/>
    </w:pPr>
    <w:rPr>
      <w:rFonts w:ascii="宋体" w:hAnsi="宋体" w:eastAsia="宋体" w:cs="Times New Roman"/>
      <w:b/>
      <w:kern w:val="2"/>
      <w:sz w:val="24"/>
      <w:szCs w:val="24"/>
      <w:lang w:val="en-US" w:eastAsia="zh-CN" w:bidi="ar-SA"/>
    </w:rPr>
  </w:style>
  <w:style w:type="paragraph" w:customStyle="1" w:styleId="93">
    <w:name w:val="正文部分"/>
    <w:qFormat/>
    <w:uiPriority w:val="0"/>
    <w:pPr>
      <w:widowControl w:val="0"/>
      <w:ind w:firstLine="200" w:firstLineChars="200"/>
      <w:jc w:val="both"/>
    </w:pPr>
    <w:rPr>
      <w:rFonts w:ascii="宋体" w:hAnsi="宋体" w:eastAsia="宋体" w:cs="Times New Roman"/>
      <w:snapToGrid w:val="0"/>
      <w:kern w:val="2"/>
      <w:sz w:val="21"/>
      <w:szCs w:val="28"/>
      <w:lang w:val="en-US" w:eastAsia="zh-CN" w:bidi="ar-SA"/>
    </w:rPr>
  </w:style>
  <w:style w:type="paragraph" w:customStyle="1" w:styleId="94">
    <w:name w:val="环小四12345"/>
    <w:qFormat/>
    <w:uiPriority w:val="0"/>
    <w:pPr>
      <w:widowControl w:val="0"/>
      <w:spacing w:line="500" w:lineRule="exact"/>
      <w:ind w:firstLine="200" w:firstLineChars="200"/>
    </w:pPr>
    <w:rPr>
      <w:rFonts w:ascii="宋体" w:hAnsi="宋体" w:eastAsia="宋体" w:cs="Times New Roman"/>
      <w:b/>
      <w:snapToGrid w:val="0"/>
      <w:sz w:val="24"/>
      <w:szCs w:val="24"/>
      <w:lang w:val="en-US" w:eastAsia="zh-CN" w:bidi="ar-SA"/>
    </w:rPr>
  </w:style>
  <w:style w:type="paragraph" w:customStyle="1" w:styleId="95">
    <w:name w:val="环小四表内容"/>
    <w:basedOn w:val="1"/>
    <w:qFormat/>
    <w:uiPriority w:val="99"/>
    <w:pPr>
      <w:spacing w:line="240" w:lineRule="exact"/>
      <w:jc w:val="center"/>
    </w:pPr>
    <w:rPr>
      <w:rFonts w:ascii="宋体" w:hAnsi="宋体"/>
      <w:sz w:val="18"/>
      <w:szCs w:val="18"/>
    </w:rPr>
  </w:style>
  <w:style w:type="paragraph" w:customStyle="1" w:styleId="96">
    <w:name w:val="环小四文中说明"/>
    <w:qFormat/>
    <w:uiPriority w:val="99"/>
    <w:pPr>
      <w:widowControl w:val="0"/>
      <w:spacing w:line="500" w:lineRule="exact"/>
      <w:ind w:firstLine="200" w:firstLineChars="200"/>
      <w:jc w:val="both"/>
    </w:pPr>
    <w:rPr>
      <w:rFonts w:ascii="宋体" w:hAnsi="宋体" w:eastAsia="宋体" w:cs="Times New Roman"/>
      <w:kern w:val="2"/>
      <w:sz w:val="24"/>
      <w:szCs w:val="24"/>
      <w:lang w:val="en-US" w:eastAsia="zh-CN" w:bidi="ar-SA"/>
    </w:rPr>
  </w:style>
  <w:style w:type="character" w:customStyle="1" w:styleId="97">
    <w:name w:val="表尾 Char"/>
    <w:link w:val="98"/>
    <w:semiHidden/>
    <w:qFormat/>
    <w:uiPriority w:val="0"/>
    <w:rPr>
      <w:rFonts w:ascii="宋体"/>
      <w:kern w:val="2"/>
      <w:lang w:val="en-US" w:eastAsia="zh-CN"/>
    </w:rPr>
  </w:style>
  <w:style w:type="paragraph" w:customStyle="1" w:styleId="98">
    <w:name w:val="表尾"/>
    <w:basedOn w:val="99"/>
    <w:link w:val="97"/>
    <w:semiHidden/>
    <w:qFormat/>
    <w:uiPriority w:val="0"/>
    <w:pPr>
      <w:tabs>
        <w:tab w:val="left" w:pos="4680"/>
      </w:tabs>
      <w:wordWrap w:val="0"/>
      <w:spacing w:after="0" w:afterLines="0" w:line="400" w:lineRule="exact"/>
      <w:jc w:val="right"/>
    </w:pPr>
    <w:rPr>
      <w:rFonts w:ascii="宋体"/>
      <w:b w:val="0"/>
      <w:kern w:val="2"/>
      <w:szCs w:val="20"/>
    </w:rPr>
  </w:style>
  <w:style w:type="paragraph" w:customStyle="1" w:styleId="99">
    <w:name w:val="表题"/>
    <w:basedOn w:val="1"/>
    <w:qFormat/>
    <w:uiPriority w:val="0"/>
    <w:pPr>
      <w:tabs>
        <w:tab w:val="left" w:pos="4680"/>
      </w:tabs>
      <w:spacing w:after="156" w:afterLines="50"/>
      <w:jc w:val="center"/>
    </w:pPr>
    <w:rPr>
      <w:b/>
      <w:kern w:val="0"/>
      <w:szCs w:val="21"/>
    </w:rPr>
  </w:style>
  <w:style w:type="paragraph" w:styleId="100">
    <w:name w:val="List Paragraph"/>
    <w:basedOn w:val="1"/>
    <w:unhideWhenUsed/>
    <w:qFormat/>
    <w:uiPriority w:val="1"/>
    <w:pPr>
      <w:spacing w:beforeLines="0" w:afterLines="0"/>
    </w:pPr>
    <w:rPr>
      <w:rFonts w:hint="default"/>
      <w:sz w:val="24"/>
      <w:szCs w:val="24"/>
    </w:rPr>
  </w:style>
  <w:style w:type="paragraph" w:customStyle="1" w:styleId="101">
    <w:name w:val="WPSOffice手动目录 1"/>
    <w:qFormat/>
    <w:uiPriority w:val="0"/>
    <w:pPr>
      <w:ind w:leftChars="0"/>
    </w:pPr>
    <w:rPr>
      <w:rFonts w:ascii="Times New Roman" w:hAnsi="Times New Roman" w:eastAsia="宋体" w:cs="Times New Roman"/>
      <w:sz w:val="20"/>
      <w:szCs w:val="20"/>
    </w:rPr>
  </w:style>
  <w:style w:type="paragraph" w:customStyle="1" w:styleId="102">
    <w:name w:val="Table Text"/>
    <w:basedOn w:val="1"/>
    <w:semiHidden/>
    <w:qFormat/>
    <w:uiPriority w:val="0"/>
    <w:rPr>
      <w:rFonts w:ascii="宋体" w:hAnsi="宋体" w:eastAsia="宋体" w:cs="宋体"/>
      <w:sz w:val="21"/>
      <w:szCs w:val="21"/>
      <w:lang w:val="en-US" w:eastAsia="en-US" w:bidi="ar-SA"/>
    </w:rPr>
  </w:style>
  <w:style w:type="paragraph" w:customStyle="1" w:styleId="103">
    <w:name w:val="1_正文"/>
    <w:basedOn w:val="1"/>
    <w:qFormat/>
    <w:uiPriority w:val="0"/>
    <w:pPr>
      <w:adjustRightInd w:val="0"/>
      <w:snapToGrid w:val="0"/>
      <w:spacing w:line="360" w:lineRule="auto"/>
      <w:ind w:firstLine="480" w:firstLineChars="200"/>
    </w:pPr>
    <w:rPr>
      <w:color w:val="000000"/>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12005</Words>
  <Characters>12815</Characters>
  <Lines>647</Lines>
  <Paragraphs>182</Paragraphs>
  <TotalTime>9</TotalTime>
  <ScaleCrop>false</ScaleCrop>
  <LinksUpToDate>false</LinksUpToDate>
  <CharactersWithSpaces>12921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小萝卜</cp:lastModifiedBy>
  <cp:lastPrinted>2024-11-29T09:46:00Z</cp:lastPrinted>
  <dcterms:modified xsi:type="dcterms:W3CDTF">2025-04-24T09:36:42Z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D8818E5B7DF6453F93D666FC66B4B934_13</vt:lpwstr>
  </property>
  <property fmtid="{D5CDD505-2E9C-101B-9397-08002B2CF9AE}" pid="4" name="KSOTemplateDocerSaveRecord">
    <vt:lpwstr>eyJoZGlkIjoiYTE3ODliZWE0MWU2OTE4Y2UwZGIxZjc1NzQ0YWQ3MzkiLCJ1c2VySWQiOiIyMTgxNTQxNjYifQ==</vt:lpwstr>
  </property>
</Properties>
</file>