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D21495">
      <w:pPr>
        <w:jc w:val="center"/>
        <w:outlineLvl w:val="0"/>
        <w:rPr>
          <w:rFonts w:hint="eastAsia"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一、建设项目基本情况</w:t>
      </w:r>
    </w:p>
    <w:tbl>
      <w:tblPr>
        <w:tblStyle w:val="24"/>
        <w:tblW w:w="483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996"/>
        <w:gridCol w:w="649"/>
        <w:gridCol w:w="2294"/>
        <w:gridCol w:w="1789"/>
        <w:gridCol w:w="2842"/>
      </w:tblGrid>
      <w:tr w14:paraId="620B83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59" w:type="pct"/>
            <w:gridSpan w:val="2"/>
            <w:noWrap w:val="0"/>
            <w:tcMar>
              <w:top w:w="16" w:type="dxa"/>
              <w:left w:w="16" w:type="dxa"/>
              <w:right w:w="16" w:type="dxa"/>
            </w:tcMar>
            <w:vAlign w:val="center"/>
          </w:tcPr>
          <w:p w14:paraId="012C4E04">
            <w:pPr>
              <w:keepNext w:val="0"/>
              <w:keepLines w:val="0"/>
              <w:pageBreakBefore w:val="0"/>
              <w:kinsoku/>
              <w:wordWrap/>
              <w:overflowPunct/>
              <w:topLinePunct w:val="0"/>
              <w:bidi w:val="0"/>
              <w:adjustRightInd w:val="0"/>
              <w:snapToGrid w:val="0"/>
              <w:spacing w:line="240" w:lineRule="auto"/>
              <w:ind w:leftChars="0" w:firstLine="0" w:firstLineChars="0"/>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rPr>
              <w:t>建设项目名称</w:t>
            </w:r>
          </w:p>
        </w:tc>
        <w:tc>
          <w:tcPr>
            <w:tcW w:w="4040" w:type="pct"/>
            <w:gridSpan w:val="3"/>
            <w:noWrap w:val="0"/>
            <w:vAlign w:val="center"/>
          </w:tcPr>
          <w:p w14:paraId="145F6CC7">
            <w:pPr>
              <w:keepNext w:val="0"/>
              <w:keepLines w:val="0"/>
              <w:pageBreakBefore w:val="0"/>
              <w:kinsoku/>
              <w:wordWrap/>
              <w:overflowPunct/>
              <w:topLinePunct w:val="0"/>
              <w:bidi w:val="0"/>
              <w:adjustRightInd w:val="0"/>
              <w:snapToGrid w:val="0"/>
              <w:spacing w:line="240" w:lineRule="auto"/>
              <w:ind w:leftChars="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6"/>
                <w:sz w:val="24"/>
                <w:szCs w:val="24"/>
                <w:highlight w:val="none"/>
                <w:lang w:val="en-US" w:eastAsia="zh-CN"/>
              </w:rPr>
              <w:t>榆林汇鹏祥源新型能源有限公司100万吨/年固废资源综合利用项目</w:t>
            </w:r>
          </w:p>
        </w:tc>
      </w:tr>
      <w:tr w14:paraId="09CC5E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59" w:type="pct"/>
            <w:gridSpan w:val="2"/>
            <w:noWrap w:val="0"/>
            <w:tcMar>
              <w:top w:w="16" w:type="dxa"/>
              <w:left w:w="16" w:type="dxa"/>
              <w:right w:w="16" w:type="dxa"/>
            </w:tcMar>
            <w:vAlign w:val="center"/>
          </w:tcPr>
          <w:p w14:paraId="25A8393F">
            <w:pPr>
              <w:keepNext w:val="0"/>
              <w:keepLines w:val="0"/>
              <w:pageBreakBefore w:val="0"/>
              <w:kinsoku/>
              <w:wordWrap/>
              <w:overflowPunct/>
              <w:topLinePunct w:val="0"/>
              <w:bidi w:val="0"/>
              <w:adjustRightInd w:val="0"/>
              <w:snapToGrid w:val="0"/>
              <w:spacing w:line="240" w:lineRule="auto"/>
              <w:ind w:leftChars="0" w:firstLine="0" w:firstLineChars="0"/>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rPr>
              <w:t>项目代码</w:t>
            </w:r>
          </w:p>
        </w:tc>
        <w:tc>
          <w:tcPr>
            <w:tcW w:w="4040" w:type="pct"/>
            <w:gridSpan w:val="3"/>
            <w:noWrap w:val="0"/>
            <w:vAlign w:val="center"/>
          </w:tcPr>
          <w:p w14:paraId="63DA74AA">
            <w:pPr>
              <w:keepNext w:val="0"/>
              <w:keepLines w:val="0"/>
              <w:pageBreakBefore w:val="0"/>
              <w:kinsoku/>
              <w:wordWrap/>
              <w:overflowPunct/>
              <w:topLinePunct w:val="0"/>
              <w:bidi w:val="0"/>
              <w:adjustRightInd w:val="0"/>
              <w:snapToGrid w:val="0"/>
              <w:spacing w:line="240" w:lineRule="auto"/>
              <w:ind w:leftChars="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2407-610822-04-01-907109</w:t>
            </w:r>
          </w:p>
        </w:tc>
      </w:tr>
      <w:tr w14:paraId="6F675A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59" w:type="pct"/>
            <w:gridSpan w:val="2"/>
            <w:noWrap w:val="0"/>
            <w:tcMar>
              <w:top w:w="16" w:type="dxa"/>
              <w:left w:w="16" w:type="dxa"/>
              <w:right w:w="16" w:type="dxa"/>
            </w:tcMar>
            <w:vAlign w:val="center"/>
          </w:tcPr>
          <w:p w14:paraId="06E49024">
            <w:pPr>
              <w:keepNext w:val="0"/>
              <w:keepLines w:val="0"/>
              <w:pageBreakBefore w:val="0"/>
              <w:kinsoku/>
              <w:wordWrap/>
              <w:overflowPunct/>
              <w:topLinePunct w:val="0"/>
              <w:bidi w:val="0"/>
              <w:adjustRightInd w:val="0"/>
              <w:snapToGrid w:val="0"/>
              <w:spacing w:line="240" w:lineRule="auto"/>
              <w:ind w:leftChars="0" w:firstLine="0" w:firstLineChars="0"/>
              <w:jc w:val="center"/>
              <w:textAlignment w:val="auto"/>
              <w:rPr>
                <w:rFonts w:hint="eastAsia" w:ascii="宋体" w:hAnsi="宋体" w:cs="宋体"/>
                <w:color w:val="auto"/>
                <w:sz w:val="24"/>
                <w:szCs w:val="24"/>
                <w:highlight w:val="none"/>
              </w:rPr>
            </w:pPr>
            <w:r>
              <w:rPr>
                <w:rFonts w:hint="eastAsia" w:ascii="宋体" w:hAnsi="宋体" w:cs="宋体"/>
                <w:color w:val="auto"/>
                <w:spacing w:val="-6"/>
                <w:sz w:val="24"/>
                <w:szCs w:val="24"/>
                <w:highlight w:val="none"/>
              </w:rPr>
              <w:t>建设单位联系人</w:t>
            </w:r>
          </w:p>
        </w:tc>
        <w:tc>
          <w:tcPr>
            <w:tcW w:w="1338" w:type="pct"/>
            <w:noWrap w:val="0"/>
            <w:vAlign w:val="center"/>
          </w:tcPr>
          <w:p w14:paraId="2BAE96B9">
            <w:pPr>
              <w:keepNext w:val="0"/>
              <w:keepLines w:val="0"/>
              <w:pageBreakBefore w:val="0"/>
              <w:kinsoku/>
              <w:wordWrap/>
              <w:overflowPunct/>
              <w:topLinePunct w:val="0"/>
              <w:bidi w:val="0"/>
              <w:adjustRightInd w:val="0"/>
              <w:snapToGrid w:val="0"/>
              <w:spacing w:line="240" w:lineRule="auto"/>
              <w:ind w:lef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高鹏</w:t>
            </w:r>
          </w:p>
        </w:tc>
        <w:tc>
          <w:tcPr>
            <w:tcW w:w="1043" w:type="pct"/>
            <w:noWrap w:val="0"/>
            <w:vAlign w:val="center"/>
          </w:tcPr>
          <w:p w14:paraId="27807876">
            <w:pPr>
              <w:keepNext w:val="0"/>
              <w:keepLines w:val="0"/>
              <w:pageBreakBefore w:val="0"/>
              <w:kinsoku/>
              <w:wordWrap/>
              <w:overflowPunct/>
              <w:topLinePunct w:val="0"/>
              <w:bidi w:val="0"/>
              <w:adjustRightInd w:val="0"/>
              <w:snapToGrid w:val="0"/>
              <w:spacing w:line="240" w:lineRule="auto"/>
              <w:ind w:leftChars="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联系方式</w:t>
            </w:r>
          </w:p>
        </w:tc>
        <w:tc>
          <w:tcPr>
            <w:tcW w:w="1658" w:type="pct"/>
            <w:noWrap w:val="0"/>
            <w:vAlign w:val="center"/>
          </w:tcPr>
          <w:p w14:paraId="2DD08C2C">
            <w:pPr>
              <w:keepNext w:val="0"/>
              <w:keepLines w:val="0"/>
              <w:pageBreakBefore w:val="0"/>
              <w:kinsoku/>
              <w:wordWrap/>
              <w:overflowPunct/>
              <w:topLinePunct w:val="0"/>
              <w:bidi w:val="0"/>
              <w:adjustRightInd w:val="0"/>
              <w:snapToGrid w:val="0"/>
              <w:spacing w:line="240" w:lineRule="auto"/>
              <w:ind w:lef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15332632888</w:t>
            </w:r>
          </w:p>
        </w:tc>
      </w:tr>
      <w:tr w14:paraId="7F0645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59" w:type="pct"/>
            <w:gridSpan w:val="2"/>
            <w:noWrap w:val="0"/>
            <w:tcMar>
              <w:top w:w="16" w:type="dxa"/>
              <w:left w:w="16" w:type="dxa"/>
              <w:right w:w="16" w:type="dxa"/>
            </w:tcMar>
            <w:vAlign w:val="center"/>
          </w:tcPr>
          <w:p w14:paraId="36C8A98A">
            <w:pPr>
              <w:keepNext w:val="0"/>
              <w:keepLines w:val="0"/>
              <w:pageBreakBefore w:val="0"/>
              <w:kinsoku/>
              <w:wordWrap/>
              <w:overflowPunct/>
              <w:topLinePunct w:val="0"/>
              <w:bidi w:val="0"/>
              <w:adjustRightInd w:val="0"/>
              <w:snapToGrid w:val="0"/>
              <w:spacing w:line="240" w:lineRule="auto"/>
              <w:ind w:leftChars="0" w:firstLine="0" w:firstLineChars="0"/>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rPr>
              <w:t>建设地点</w:t>
            </w:r>
          </w:p>
        </w:tc>
        <w:tc>
          <w:tcPr>
            <w:tcW w:w="4040" w:type="pct"/>
            <w:gridSpan w:val="3"/>
            <w:noWrap w:val="0"/>
            <w:vAlign w:val="center"/>
          </w:tcPr>
          <w:p w14:paraId="13B7FE6D">
            <w:pPr>
              <w:keepNext w:val="0"/>
              <w:keepLines w:val="0"/>
              <w:pageBreakBefore w:val="0"/>
              <w:kinsoku/>
              <w:wordWrap/>
              <w:overflowPunct/>
              <w:topLinePunct w:val="0"/>
              <w:bidi w:val="0"/>
              <w:adjustRightInd w:val="0"/>
              <w:snapToGrid w:val="0"/>
              <w:spacing w:line="240" w:lineRule="auto"/>
              <w:ind w:leftChars="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u w:val="single"/>
              </w:rPr>
              <w:t xml:space="preserve"> </w:t>
            </w:r>
            <w:r>
              <w:rPr>
                <w:rFonts w:hint="eastAsia" w:ascii="Times New Roman" w:hAnsi="Times New Roman" w:cs="Times New Roman"/>
                <w:color w:val="auto"/>
                <w:sz w:val="24"/>
                <w:szCs w:val="24"/>
                <w:highlight w:val="none"/>
                <w:u w:val="single"/>
                <w:lang w:val="en-US" w:eastAsia="zh-CN"/>
              </w:rPr>
              <w:t>陕西</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省（自治区）</w:t>
            </w:r>
            <w:r>
              <w:rPr>
                <w:rFonts w:hint="default" w:ascii="Times New Roman" w:hAnsi="Times New Roman" w:cs="Times New Roman"/>
                <w:color w:val="auto"/>
                <w:sz w:val="24"/>
                <w:szCs w:val="24"/>
                <w:highlight w:val="none"/>
                <w:u w:val="single"/>
              </w:rPr>
              <w:t xml:space="preserve"> </w:t>
            </w:r>
            <w:r>
              <w:rPr>
                <w:rFonts w:hint="eastAsia" w:ascii="Times New Roman" w:hAnsi="Times New Roman" w:cs="Times New Roman"/>
                <w:color w:val="auto"/>
                <w:sz w:val="24"/>
                <w:szCs w:val="24"/>
                <w:highlight w:val="none"/>
                <w:u w:val="single"/>
                <w:lang w:val="en-US" w:eastAsia="zh-CN"/>
              </w:rPr>
              <w:t>榆林</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市</w:t>
            </w:r>
            <w:r>
              <w:rPr>
                <w:rFonts w:hint="default" w:ascii="Times New Roman" w:hAnsi="Times New Roman" w:cs="Times New Roman"/>
                <w:color w:val="auto"/>
                <w:sz w:val="24"/>
                <w:szCs w:val="24"/>
                <w:highlight w:val="none"/>
                <w:u w:val="single"/>
              </w:rPr>
              <w:t xml:space="preserve"> </w:t>
            </w:r>
            <w:r>
              <w:rPr>
                <w:rFonts w:hint="eastAsia" w:ascii="Times New Roman" w:hAnsi="Times New Roman" w:cs="Times New Roman"/>
                <w:color w:val="auto"/>
                <w:sz w:val="24"/>
                <w:szCs w:val="24"/>
                <w:highlight w:val="none"/>
                <w:u w:val="single"/>
                <w:lang w:val="en-US" w:eastAsia="zh-CN"/>
              </w:rPr>
              <w:t>府谷</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县（区）</w:t>
            </w:r>
            <w:r>
              <w:rPr>
                <w:rFonts w:hint="default" w:ascii="Times New Roman" w:hAnsi="Times New Roman" w:cs="Times New Roman"/>
                <w:color w:val="auto"/>
                <w:sz w:val="24"/>
                <w:szCs w:val="24"/>
                <w:highlight w:val="none"/>
                <w:u w:val="single"/>
              </w:rPr>
              <w:t xml:space="preserve"> </w:t>
            </w:r>
            <w:r>
              <w:rPr>
                <w:rFonts w:hint="eastAsia" w:ascii="Times New Roman" w:hAnsi="Times New Roman" w:cs="Times New Roman"/>
                <w:color w:val="auto"/>
                <w:sz w:val="24"/>
                <w:szCs w:val="24"/>
                <w:highlight w:val="none"/>
                <w:u w:val="single"/>
                <w:lang w:val="en-US" w:eastAsia="zh-CN"/>
              </w:rPr>
              <w:t>清水</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乡（街道）</w:t>
            </w:r>
            <w:r>
              <w:rPr>
                <w:rFonts w:hint="default" w:ascii="Times New Roman" w:hAnsi="Times New Roman" w:cs="Times New Roman"/>
                <w:color w:val="auto"/>
                <w:sz w:val="24"/>
                <w:szCs w:val="24"/>
                <w:highlight w:val="none"/>
                <w:u w:val="single"/>
              </w:rPr>
              <w:t xml:space="preserve"> </w:t>
            </w:r>
            <w:r>
              <w:rPr>
                <w:rFonts w:hint="eastAsia" w:ascii="Times New Roman" w:hAnsi="Times New Roman" w:cs="Times New Roman"/>
                <w:color w:val="auto"/>
                <w:sz w:val="24"/>
                <w:szCs w:val="24"/>
                <w:highlight w:val="none"/>
                <w:u w:val="single"/>
                <w:lang w:val="en-US" w:eastAsia="zh-CN"/>
              </w:rPr>
              <w:t>清水川工业园区</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（具体地址）</w:t>
            </w:r>
          </w:p>
        </w:tc>
      </w:tr>
      <w:tr w14:paraId="47912A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59" w:type="pct"/>
            <w:gridSpan w:val="2"/>
            <w:noWrap w:val="0"/>
            <w:tcMar>
              <w:top w:w="16" w:type="dxa"/>
              <w:left w:w="16" w:type="dxa"/>
              <w:right w:w="16" w:type="dxa"/>
            </w:tcMar>
            <w:vAlign w:val="center"/>
          </w:tcPr>
          <w:p w14:paraId="6EEFD256">
            <w:pPr>
              <w:keepNext w:val="0"/>
              <w:keepLines w:val="0"/>
              <w:pageBreakBefore w:val="0"/>
              <w:kinsoku/>
              <w:wordWrap/>
              <w:overflowPunct/>
              <w:topLinePunct w:val="0"/>
              <w:bidi w:val="0"/>
              <w:adjustRightInd w:val="0"/>
              <w:snapToGrid w:val="0"/>
              <w:spacing w:line="240" w:lineRule="auto"/>
              <w:ind w:leftChars="0" w:firstLine="0" w:firstLineChars="0"/>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rPr>
              <w:t>地理坐标</w:t>
            </w:r>
          </w:p>
        </w:tc>
        <w:tc>
          <w:tcPr>
            <w:tcW w:w="4040" w:type="pct"/>
            <w:gridSpan w:val="3"/>
            <w:noWrap w:val="0"/>
            <w:vAlign w:val="center"/>
          </w:tcPr>
          <w:p w14:paraId="2DFF227B">
            <w:pPr>
              <w:keepNext w:val="0"/>
              <w:keepLines w:val="0"/>
              <w:pageBreakBefore w:val="0"/>
              <w:kinsoku/>
              <w:wordWrap/>
              <w:overflowPunct/>
              <w:topLinePunct w:val="0"/>
              <w:bidi w:val="0"/>
              <w:spacing w:line="240" w:lineRule="auto"/>
              <w:ind w:leftChars="0" w:firstLine="0" w:firstLineChars="0"/>
              <w:jc w:val="center"/>
              <w:textAlignment w:val="auto"/>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东经：</w:t>
            </w:r>
            <w:r>
              <w:rPr>
                <w:rFonts w:hint="default" w:ascii="Times New Roman" w:hAnsi="Times New Roman" w:cs="Times New Roman"/>
                <w:color w:val="auto"/>
                <w:sz w:val="24"/>
                <w:szCs w:val="24"/>
                <w:highlight w:val="none"/>
                <w:u w:val="single"/>
              </w:rPr>
              <w:t xml:space="preserve"> </w:t>
            </w:r>
            <w:r>
              <w:rPr>
                <w:rFonts w:hint="eastAsia" w:ascii="Times New Roman" w:hAnsi="Times New Roman" w:cs="Times New Roman"/>
                <w:color w:val="auto"/>
                <w:sz w:val="24"/>
                <w:szCs w:val="24"/>
                <w:highlight w:val="none"/>
                <w:u w:val="single"/>
                <w:lang w:val="en-US" w:eastAsia="zh-CN"/>
              </w:rPr>
              <w:t>111</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度</w:t>
            </w:r>
            <w:r>
              <w:rPr>
                <w:rFonts w:hint="default" w:ascii="Times New Roman" w:hAnsi="Times New Roman" w:cs="Times New Roman"/>
                <w:color w:val="auto"/>
                <w:sz w:val="24"/>
                <w:szCs w:val="24"/>
                <w:highlight w:val="none"/>
                <w:u w:val="single"/>
              </w:rPr>
              <w:t xml:space="preserve"> </w:t>
            </w:r>
            <w:r>
              <w:rPr>
                <w:rFonts w:hint="eastAsia" w:ascii="Times New Roman" w:hAnsi="Times New Roman" w:cs="Times New Roman"/>
                <w:color w:val="auto"/>
                <w:sz w:val="24"/>
                <w:szCs w:val="24"/>
                <w:highlight w:val="none"/>
                <w:u w:val="single"/>
                <w:lang w:val="en-US" w:eastAsia="zh-CN"/>
              </w:rPr>
              <w:t>5</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分</w:t>
            </w:r>
            <w:r>
              <w:rPr>
                <w:rFonts w:hint="default" w:ascii="Times New Roman" w:hAnsi="Times New Roman" w:cs="Times New Roman"/>
                <w:color w:val="auto"/>
                <w:sz w:val="24"/>
                <w:szCs w:val="24"/>
                <w:highlight w:val="none"/>
                <w:u w:val="single"/>
              </w:rPr>
              <w:t xml:space="preserve"> </w:t>
            </w:r>
            <w:r>
              <w:rPr>
                <w:rFonts w:hint="eastAsia" w:ascii="Times New Roman" w:hAnsi="Times New Roman" w:cs="Times New Roman"/>
                <w:color w:val="auto"/>
                <w:sz w:val="24"/>
                <w:szCs w:val="24"/>
                <w:highlight w:val="none"/>
                <w:u w:val="single"/>
                <w:lang w:val="en-US" w:eastAsia="zh-CN"/>
              </w:rPr>
              <w:t>0.006</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秒，</w:t>
            </w:r>
            <w:r>
              <w:rPr>
                <w:rFonts w:hint="eastAsia" w:ascii="Times New Roman" w:hAnsi="Times New Roman" w:cs="Times New Roman"/>
                <w:color w:val="auto"/>
                <w:sz w:val="24"/>
                <w:szCs w:val="24"/>
                <w:highlight w:val="none"/>
                <w:lang w:val="en-US" w:eastAsia="zh-CN"/>
              </w:rPr>
              <w:t>北纬：</w:t>
            </w:r>
            <w:r>
              <w:rPr>
                <w:rFonts w:hint="default" w:ascii="Times New Roman" w:hAnsi="Times New Roman" w:cs="Times New Roman"/>
                <w:color w:val="auto"/>
                <w:sz w:val="24"/>
                <w:szCs w:val="24"/>
                <w:highlight w:val="none"/>
                <w:u w:val="single"/>
              </w:rPr>
              <w:t xml:space="preserve"> </w:t>
            </w:r>
            <w:r>
              <w:rPr>
                <w:rFonts w:hint="eastAsia" w:ascii="Times New Roman" w:hAnsi="Times New Roman" w:cs="Times New Roman"/>
                <w:color w:val="auto"/>
                <w:sz w:val="24"/>
                <w:szCs w:val="24"/>
                <w:highlight w:val="none"/>
                <w:u w:val="single"/>
                <w:lang w:val="en-US" w:eastAsia="zh-CN"/>
              </w:rPr>
              <w:t>39</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度</w:t>
            </w:r>
            <w:r>
              <w:rPr>
                <w:rFonts w:hint="default" w:ascii="Times New Roman" w:hAnsi="Times New Roman" w:cs="Times New Roman"/>
                <w:color w:val="auto"/>
                <w:sz w:val="24"/>
                <w:szCs w:val="24"/>
                <w:highlight w:val="none"/>
                <w:u w:val="single"/>
              </w:rPr>
              <w:t xml:space="preserve"> </w:t>
            </w:r>
            <w:r>
              <w:rPr>
                <w:rFonts w:hint="eastAsia" w:ascii="Times New Roman" w:hAnsi="Times New Roman" w:cs="Times New Roman"/>
                <w:color w:val="auto"/>
                <w:sz w:val="24"/>
                <w:szCs w:val="24"/>
                <w:highlight w:val="none"/>
                <w:u w:val="single"/>
                <w:lang w:val="en-US" w:eastAsia="zh-CN"/>
              </w:rPr>
              <w:t>14</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分</w:t>
            </w:r>
            <w:r>
              <w:rPr>
                <w:rFonts w:hint="default" w:ascii="Times New Roman" w:hAnsi="Times New Roman" w:cs="Times New Roman"/>
                <w:color w:val="auto"/>
                <w:sz w:val="24"/>
                <w:szCs w:val="24"/>
                <w:highlight w:val="none"/>
                <w:u w:val="single"/>
              </w:rPr>
              <w:t xml:space="preserve"> </w:t>
            </w:r>
            <w:r>
              <w:rPr>
                <w:rFonts w:hint="eastAsia" w:ascii="Times New Roman" w:hAnsi="Times New Roman" w:cs="Times New Roman"/>
                <w:color w:val="auto"/>
                <w:sz w:val="24"/>
                <w:szCs w:val="24"/>
                <w:highlight w:val="none"/>
                <w:u w:val="single"/>
                <w:lang w:val="en-US" w:eastAsia="zh-CN"/>
              </w:rPr>
              <w:t>42.499</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秒</w:t>
            </w:r>
          </w:p>
        </w:tc>
      </w:tr>
      <w:tr w14:paraId="042973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959" w:type="pct"/>
            <w:gridSpan w:val="2"/>
            <w:noWrap w:val="0"/>
            <w:tcMar>
              <w:top w:w="16" w:type="dxa"/>
              <w:left w:w="16" w:type="dxa"/>
              <w:right w:w="16" w:type="dxa"/>
            </w:tcMar>
            <w:vAlign w:val="center"/>
          </w:tcPr>
          <w:p w14:paraId="6B6F5012">
            <w:pPr>
              <w:keepNext w:val="0"/>
              <w:keepLines w:val="0"/>
              <w:pageBreakBefore w:val="0"/>
              <w:kinsoku/>
              <w:wordWrap/>
              <w:overflowPunct/>
              <w:topLinePunct w:val="0"/>
              <w:bidi w:val="0"/>
              <w:adjustRightInd w:val="0"/>
              <w:snapToGrid w:val="0"/>
              <w:spacing w:line="240" w:lineRule="auto"/>
              <w:ind w:leftChars="0" w:firstLine="0" w:firstLineChars="0"/>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国民经济</w:t>
            </w:r>
          </w:p>
          <w:p w14:paraId="092DF6A0">
            <w:pPr>
              <w:keepNext w:val="0"/>
              <w:keepLines w:val="0"/>
              <w:pageBreakBefore w:val="0"/>
              <w:kinsoku/>
              <w:wordWrap/>
              <w:overflowPunct/>
              <w:topLinePunct w:val="0"/>
              <w:bidi w:val="0"/>
              <w:adjustRightInd w:val="0"/>
              <w:snapToGrid w:val="0"/>
              <w:spacing w:line="240" w:lineRule="auto"/>
              <w:ind w:leftChars="0" w:firstLine="0" w:firstLineChars="0"/>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rPr>
              <w:t>行业类别</w:t>
            </w:r>
          </w:p>
        </w:tc>
        <w:tc>
          <w:tcPr>
            <w:tcW w:w="1338" w:type="pct"/>
            <w:noWrap w:val="0"/>
            <w:vAlign w:val="center"/>
          </w:tcPr>
          <w:p w14:paraId="3CBAE9E3">
            <w:pPr>
              <w:keepNext w:val="0"/>
              <w:keepLines w:val="0"/>
              <w:pageBreakBefore w:val="0"/>
              <w:kinsoku/>
              <w:wordWrap/>
              <w:overflowPunct/>
              <w:topLinePunct w:val="0"/>
              <w:bidi w:val="0"/>
              <w:adjustRightInd w:val="0"/>
              <w:snapToGrid w:val="0"/>
              <w:spacing w:line="240" w:lineRule="auto"/>
              <w:ind w:leftChars="0" w:firstLine="0" w:firstLineChars="0"/>
              <w:jc w:val="center"/>
              <w:textAlignment w:val="auto"/>
              <w:rPr>
                <w:rFonts w:hint="default" w:ascii="Times New Roman" w:hAnsi="Times New Roman" w:cs="Times New Roman"/>
                <w:color w:val="auto"/>
                <w:spacing w:val="0"/>
                <w:sz w:val="24"/>
                <w:szCs w:val="24"/>
                <w:highlight w:val="none"/>
              </w:rPr>
            </w:pPr>
            <w:r>
              <w:rPr>
                <w:rFonts w:hint="default" w:ascii="Times New Roman" w:hAnsi="Times New Roman" w:cs="Times New Roman"/>
                <w:color w:val="auto"/>
                <w:spacing w:val="0"/>
                <w:sz w:val="24"/>
                <w:szCs w:val="24"/>
                <w:highlight w:val="none"/>
              </w:rPr>
              <w:t>N7723固体废物治理</w:t>
            </w:r>
          </w:p>
          <w:p w14:paraId="40D8584A">
            <w:pPr>
              <w:keepNext w:val="0"/>
              <w:keepLines w:val="0"/>
              <w:pageBreakBefore w:val="0"/>
              <w:kinsoku/>
              <w:wordWrap/>
              <w:overflowPunct/>
              <w:topLinePunct w:val="0"/>
              <w:bidi w:val="0"/>
              <w:adjustRightInd w:val="0"/>
              <w:snapToGrid w:val="0"/>
              <w:spacing w:line="240" w:lineRule="auto"/>
              <w:ind w:leftChars="0" w:firstLine="0" w:firstLineChars="0"/>
              <w:jc w:val="center"/>
              <w:textAlignment w:val="auto"/>
              <w:rPr>
                <w:rFonts w:hint="default" w:ascii="Times New Roman" w:hAnsi="Times New Roman" w:cs="Times New Roman"/>
                <w:color w:val="auto"/>
                <w:spacing w:val="0"/>
                <w:sz w:val="24"/>
                <w:szCs w:val="24"/>
                <w:highlight w:val="none"/>
              </w:rPr>
            </w:pPr>
            <w:r>
              <w:rPr>
                <w:rFonts w:hint="default" w:ascii="Times New Roman" w:hAnsi="Times New Roman" w:cs="Times New Roman"/>
                <w:color w:val="auto"/>
                <w:spacing w:val="0"/>
                <w:sz w:val="24"/>
                <w:szCs w:val="24"/>
                <w:highlight w:val="none"/>
              </w:rPr>
              <w:t>C3024轻质建筑材料制造</w:t>
            </w:r>
          </w:p>
          <w:p w14:paraId="695D2231">
            <w:pPr>
              <w:keepNext w:val="0"/>
              <w:keepLines w:val="0"/>
              <w:pageBreakBefore w:val="0"/>
              <w:kinsoku/>
              <w:wordWrap/>
              <w:overflowPunct/>
              <w:topLinePunct w:val="0"/>
              <w:bidi w:val="0"/>
              <w:adjustRightInd w:val="0"/>
              <w:snapToGrid w:val="0"/>
              <w:spacing w:line="240" w:lineRule="auto"/>
              <w:ind w:leftChars="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0"/>
                <w:sz w:val="24"/>
                <w:szCs w:val="24"/>
                <w:highlight w:val="none"/>
              </w:rPr>
              <w:t>C3021水泥制品制造</w:t>
            </w:r>
          </w:p>
        </w:tc>
        <w:tc>
          <w:tcPr>
            <w:tcW w:w="1043" w:type="pct"/>
            <w:noWrap w:val="0"/>
            <w:vAlign w:val="center"/>
          </w:tcPr>
          <w:p w14:paraId="1DCABAF0">
            <w:pPr>
              <w:keepNext w:val="0"/>
              <w:keepLines w:val="0"/>
              <w:pageBreakBefore w:val="0"/>
              <w:kinsoku/>
              <w:wordWrap/>
              <w:overflowPunct/>
              <w:topLinePunct w:val="0"/>
              <w:bidi w:val="0"/>
              <w:adjustRightInd w:val="0"/>
              <w:snapToGrid w:val="0"/>
              <w:spacing w:line="240" w:lineRule="auto"/>
              <w:ind w:leftChars="0" w:firstLine="0" w:firstLineChars="0"/>
              <w:jc w:val="center"/>
              <w:textAlignment w:val="auto"/>
              <w:rPr>
                <w:rFonts w:hint="default" w:ascii="Times New Roman" w:hAnsi="Times New Roman" w:cs="Times New Roman"/>
                <w:color w:val="auto"/>
                <w:sz w:val="24"/>
                <w:szCs w:val="24"/>
                <w:highlight w:val="none"/>
              </w:rPr>
            </w:pPr>
            <w:bookmarkStart w:id="0" w:name="_Hlk49843745"/>
            <w:r>
              <w:rPr>
                <w:rFonts w:hint="default" w:ascii="Times New Roman" w:hAnsi="Times New Roman" w:cs="Times New Roman"/>
                <w:color w:val="auto"/>
                <w:sz w:val="24"/>
                <w:szCs w:val="24"/>
                <w:highlight w:val="none"/>
              </w:rPr>
              <w:t>建设项目</w:t>
            </w:r>
          </w:p>
          <w:p w14:paraId="5206C500">
            <w:pPr>
              <w:keepNext w:val="0"/>
              <w:keepLines w:val="0"/>
              <w:pageBreakBefore w:val="0"/>
              <w:kinsoku/>
              <w:wordWrap/>
              <w:overflowPunct/>
              <w:topLinePunct w:val="0"/>
              <w:bidi w:val="0"/>
              <w:adjustRightInd w:val="0"/>
              <w:snapToGrid w:val="0"/>
              <w:spacing w:line="240" w:lineRule="auto"/>
              <w:ind w:leftChars="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行业类别</w:t>
            </w:r>
            <w:bookmarkEnd w:id="0"/>
          </w:p>
        </w:tc>
        <w:tc>
          <w:tcPr>
            <w:tcW w:w="1658" w:type="pct"/>
            <w:noWrap w:val="0"/>
            <w:vAlign w:val="center"/>
          </w:tcPr>
          <w:p w14:paraId="1792F9D7">
            <w:pPr>
              <w:keepNext w:val="0"/>
              <w:keepLines w:val="0"/>
              <w:pageBreakBefore w:val="0"/>
              <w:kinsoku/>
              <w:wordWrap/>
              <w:overflowPunct/>
              <w:topLinePunct w:val="0"/>
              <w:bidi w:val="0"/>
              <w:adjustRightInd w:val="0"/>
              <w:snapToGrid w:val="0"/>
              <w:spacing w:line="240" w:lineRule="auto"/>
              <w:ind w:leftChars="0" w:firstLine="0" w:firstLineChars="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四十七、生态保护和环境治理业 103.一般工业固体废物（含污水处理污泥）</w:t>
            </w:r>
          </w:p>
          <w:p w14:paraId="6F957422">
            <w:pPr>
              <w:keepNext w:val="0"/>
              <w:keepLines w:val="0"/>
              <w:pageBreakBefore w:val="0"/>
              <w:kinsoku/>
              <w:wordWrap/>
              <w:overflowPunct/>
              <w:topLinePunct w:val="0"/>
              <w:bidi w:val="0"/>
              <w:adjustRightInd w:val="0"/>
              <w:snapToGrid w:val="0"/>
              <w:spacing w:line="240" w:lineRule="auto"/>
              <w:ind w:leftChars="0" w:firstLine="0" w:firstLineChars="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二十七、非金属矿物制品业 55.石膏、水泥制品及类似制品制造302</w:t>
            </w:r>
          </w:p>
        </w:tc>
      </w:tr>
      <w:tr w14:paraId="691FE6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959" w:type="pct"/>
            <w:gridSpan w:val="2"/>
            <w:noWrap w:val="0"/>
            <w:tcMar>
              <w:top w:w="16" w:type="dxa"/>
              <w:left w:w="16" w:type="dxa"/>
              <w:right w:w="16" w:type="dxa"/>
            </w:tcMar>
            <w:vAlign w:val="center"/>
          </w:tcPr>
          <w:p w14:paraId="3909A1C7">
            <w:pPr>
              <w:keepNext w:val="0"/>
              <w:keepLines w:val="0"/>
              <w:pageBreakBefore w:val="0"/>
              <w:kinsoku/>
              <w:wordWrap/>
              <w:overflowPunct/>
              <w:topLinePunct w:val="0"/>
              <w:bidi w:val="0"/>
              <w:adjustRightInd w:val="0"/>
              <w:snapToGrid w:val="0"/>
              <w:spacing w:line="240" w:lineRule="auto"/>
              <w:ind w:leftChars="0" w:firstLine="0" w:firstLineChars="0"/>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rPr>
              <w:t>建设性质</w:t>
            </w:r>
          </w:p>
        </w:tc>
        <w:tc>
          <w:tcPr>
            <w:tcW w:w="1338" w:type="pct"/>
            <w:noWrap w:val="0"/>
            <w:vAlign w:val="center"/>
          </w:tcPr>
          <w:p w14:paraId="5202CFF7">
            <w:pPr>
              <w:keepNext w:val="0"/>
              <w:keepLines w:val="0"/>
              <w:pageBreakBefore w:val="0"/>
              <w:kinsoku/>
              <w:wordWrap/>
              <w:overflowPunct/>
              <w:topLinePunct w:val="0"/>
              <w:bidi w:val="0"/>
              <w:spacing w:line="240" w:lineRule="auto"/>
              <w:ind w:leftChars="0" w:firstLine="0" w:firstLineChars="0"/>
              <w:jc w:val="left"/>
              <w:textAlignment w:val="auto"/>
              <w:rPr>
                <w:rFonts w:ascii="宋体" w:hAnsi="宋体" w:cs="宋体"/>
                <w:color w:val="auto"/>
                <w:sz w:val="24"/>
                <w:szCs w:val="24"/>
                <w:highlight w:val="none"/>
              </w:rPr>
            </w:pPr>
            <w:r>
              <w:rPr>
                <w:rFonts w:ascii="宋体" w:hAnsi="宋体" w:cs="宋体"/>
                <w:color w:val="auto"/>
                <w:sz w:val="24"/>
                <w:szCs w:val="24"/>
                <w:highlight w:val="none"/>
              </w:rPr>
              <w:sym w:font="Wingdings 2" w:char="0052"/>
            </w:r>
            <w:r>
              <w:rPr>
                <w:rFonts w:ascii="宋体" w:hAnsi="宋体" w:cs="宋体"/>
                <w:color w:val="auto"/>
                <w:sz w:val="24"/>
                <w:szCs w:val="24"/>
                <w:highlight w:val="none"/>
              </w:rPr>
              <w:t>新建（迁建）</w:t>
            </w:r>
          </w:p>
          <w:p w14:paraId="4FDC42C0">
            <w:pPr>
              <w:keepNext w:val="0"/>
              <w:keepLines w:val="0"/>
              <w:pageBreakBefore w:val="0"/>
              <w:kinsoku/>
              <w:wordWrap/>
              <w:overflowPunct/>
              <w:topLinePunct w:val="0"/>
              <w:bidi w:val="0"/>
              <w:spacing w:line="240" w:lineRule="auto"/>
              <w:ind w:leftChars="0" w:firstLine="0" w:firstLineChars="0"/>
              <w:jc w:val="left"/>
              <w:textAlignment w:val="auto"/>
              <w:rPr>
                <w:rFonts w:ascii="宋体" w:hAnsi="宋体" w:cs="宋体"/>
                <w:color w:val="auto"/>
                <w:sz w:val="24"/>
                <w:szCs w:val="24"/>
                <w:highlight w:val="none"/>
              </w:rPr>
            </w:pPr>
            <w:r>
              <w:rPr>
                <w:rFonts w:ascii="宋体" w:hAnsi="宋体" w:cs="宋体"/>
                <w:color w:val="auto"/>
                <w:sz w:val="24"/>
                <w:szCs w:val="24"/>
                <w:highlight w:val="none"/>
              </w:rPr>
              <w:sym w:font="Wingdings 2" w:char="00A3"/>
            </w:r>
            <w:r>
              <w:rPr>
                <w:rFonts w:ascii="宋体" w:hAnsi="宋体" w:cs="宋体"/>
                <w:color w:val="auto"/>
                <w:sz w:val="24"/>
                <w:szCs w:val="24"/>
                <w:highlight w:val="none"/>
              </w:rPr>
              <w:t>改建</w:t>
            </w:r>
          </w:p>
          <w:p w14:paraId="3FB210DF">
            <w:pPr>
              <w:keepNext w:val="0"/>
              <w:keepLines w:val="0"/>
              <w:pageBreakBefore w:val="0"/>
              <w:kinsoku/>
              <w:wordWrap/>
              <w:overflowPunct/>
              <w:topLinePunct w:val="0"/>
              <w:bidi w:val="0"/>
              <w:spacing w:line="240" w:lineRule="auto"/>
              <w:ind w:leftChars="0" w:firstLine="0" w:firstLineChars="0"/>
              <w:jc w:val="left"/>
              <w:textAlignment w:val="auto"/>
              <w:rPr>
                <w:rFonts w:ascii="宋体" w:hAnsi="宋体" w:cs="宋体"/>
                <w:color w:val="auto"/>
                <w:sz w:val="24"/>
                <w:szCs w:val="24"/>
                <w:highlight w:val="none"/>
              </w:rPr>
            </w:pPr>
            <w:r>
              <w:rPr>
                <w:rFonts w:ascii="宋体" w:hAnsi="宋体" w:cs="宋体"/>
                <w:color w:val="auto"/>
                <w:sz w:val="24"/>
                <w:szCs w:val="24"/>
                <w:highlight w:val="none"/>
              </w:rPr>
              <w:sym w:font="Wingdings 2" w:char="00A3"/>
            </w:r>
            <w:r>
              <w:rPr>
                <w:rFonts w:ascii="宋体" w:hAnsi="宋体" w:cs="宋体"/>
                <w:color w:val="auto"/>
                <w:sz w:val="24"/>
                <w:szCs w:val="24"/>
                <w:highlight w:val="none"/>
              </w:rPr>
              <w:t>扩建</w:t>
            </w:r>
          </w:p>
          <w:p w14:paraId="13F377FC">
            <w:pPr>
              <w:keepNext w:val="0"/>
              <w:keepLines w:val="0"/>
              <w:pageBreakBefore w:val="0"/>
              <w:kinsoku/>
              <w:wordWrap/>
              <w:overflowPunct/>
              <w:topLinePunct w:val="0"/>
              <w:bidi w:val="0"/>
              <w:spacing w:line="240" w:lineRule="auto"/>
              <w:ind w:leftChars="0" w:firstLine="0" w:firstLineChars="0"/>
              <w:jc w:val="left"/>
              <w:textAlignment w:val="auto"/>
              <w:rPr>
                <w:rFonts w:ascii="宋体" w:hAnsi="宋体" w:cs="宋体"/>
                <w:color w:val="auto"/>
                <w:sz w:val="24"/>
                <w:szCs w:val="24"/>
                <w:highlight w:val="none"/>
              </w:rPr>
            </w:pPr>
            <w:r>
              <w:rPr>
                <w:rFonts w:ascii="宋体" w:hAnsi="宋体" w:cs="宋体"/>
                <w:color w:val="auto"/>
                <w:sz w:val="24"/>
                <w:szCs w:val="24"/>
                <w:highlight w:val="none"/>
              </w:rPr>
              <w:sym w:font="Wingdings 2" w:char="00A3"/>
            </w:r>
            <w:r>
              <w:rPr>
                <w:rFonts w:ascii="宋体" w:hAnsi="宋体" w:cs="宋体"/>
                <w:color w:val="auto"/>
                <w:sz w:val="24"/>
                <w:szCs w:val="24"/>
                <w:highlight w:val="none"/>
              </w:rPr>
              <w:t>技术改造</w:t>
            </w:r>
          </w:p>
        </w:tc>
        <w:tc>
          <w:tcPr>
            <w:tcW w:w="1043" w:type="pct"/>
            <w:noWrap w:val="0"/>
            <w:vAlign w:val="center"/>
          </w:tcPr>
          <w:p w14:paraId="733C975F">
            <w:pPr>
              <w:keepNext w:val="0"/>
              <w:keepLines w:val="0"/>
              <w:pageBreakBefore w:val="0"/>
              <w:kinsoku/>
              <w:wordWrap/>
              <w:overflowPunct/>
              <w:topLinePunct w:val="0"/>
              <w:bidi w:val="0"/>
              <w:adjustRightInd w:val="0"/>
              <w:snapToGrid w:val="0"/>
              <w:spacing w:line="240" w:lineRule="auto"/>
              <w:ind w:leftChars="0" w:firstLine="0" w:firstLineChars="0"/>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建设项目</w:t>
            </w:r>
          </w:p>
          <w:p w14:paraId="6445E8F9">
            <w:pPr>
              <w:keepNext w:val="0"/>
              <w:keepLines w:val="0"/>
              <w:pageBreakBefore w:val="0"/>
              <w:kinsoku/>
              <w:wordWrap/>
              <w:overflowPunct/>
              <w:topLinePunct w:val="0"/>
              <w:bidi w:val="0"/>
              <w:adjustRightInd w:val="0"/>
              <w:snapToGrid w:val="0"/>
              <w:spacing w:line="240" w:lineRule="auto"/>
              <w:ind w:leftChars="0" w:firstLine="0" w:firstLineChars="0"/>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rPr>
              <w:t>申报情形</w:t>
            </w:r>
          </w:p>
        </w:tc>
        <w:tc>
          <w:tcPr>
            <w:tcW w:w="1658" w:type="pct"/>
            <w:noWrap w:val="0"/>
            <w:vAlign w:val="center"/>
          </w:tcPr>
          <w:p w14:paraId="25E98D7B">
            <w:pPr>
              <w:keepNext w:val="0"/>
              <w:keepLines w:val="0"/>
              <w:pageBreakBefore w:val="0"/>
              <w:kinsoku/>
              <w:wordWrap/>
              <w:overflowPunct/>
              <w:topLinePunct w:val="0"/>
              <w:bidi w:val="0"/>
              <w:spacing w:line="240" w:lineRule="auto"/>
              <w:ind w:leftChars="0" w:firstLine="0" w:firstLineChars="0"/>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sym w:font="Wingdings 2" w:char="0052"/>
            </w:r>
            <w:r>
              <w:rPr>
                <w:rFonts w:hint="eastAsia" w:ascii="宋体" w:hAnsi="宋体" w:cs="宋体"/>
                <w:color w:val="auto"/>
                <w:sz w:val="24"/>
                <w:szCs w:val="24"/>
                <w:highlight w:val="none"/>
              </w:rPr>
              <w:t>首次申报项目</w:t>
            </w:r>
          </w:p>
          <w:p w14:paraId="0430A528">
            <w:pPr>
              <w:keepNext w:val="0"/>
              <w:keepLines w:val="0"/>
              <w:pageBreakBefore w:val="0"/>
              <w:kinsoku/>
              <w:wordWrap/>
              <w:overflowPunct/>
              <w:topLinePunct w:val="0"/>
              <w:bidi w:val="0"/>
              <w:spacing w:line="240" w:lineRule="auto"/>
              <w:ind w:leftChars="0" w:firstLine="0" w:firstLineChars="0"/>
              <w:jc w:val="left"/>
              <w:textAlignment w:val="auto"/>
              <w:rPr>
                <w:rFonts w:ascii="宋体" w:hAnsi="宋体" w:cs="宋体"/>
                <w:color w:val="auto"/>
                <w:spacing w:val="-6"/>
                <w:sz w:val="24"/>
                <w:szCs w:val="24"/>
                <w:highlight w:val="none"/>
              </w:rPr>
            </w:pPr>
            <w:r>
              <w:rPr>
                <w:rFonts w:hint="eastAsia" w:ascii="宋体" w:hAnsi="宋体" w:cs="宋体"/>
                <w:color w:val="auto"/>
                <w:spacing w:val="-6"/>
                <w:sz w:val="24"/>
                <w:szCs w:val="24"/>
                <w:highlight w:val="none"/>
              </w:rPr>
              <w:t>□不予批准后再次申报项目</w:t>
            </w:r>
          </w:p>
          <w:p w14:paraId="0DDB4319">
            <w:pPr>
              <w:keepNext w:val="0"/>
              <w:keepLines w:val="0"/>
              <w:pageBreakBefore w:val="0"/>
              <w:kinsoku/>
              <w:wordWrap/>
              <w:overflowPunct/>
              <w:topLinePunct w:val="0"/>
              <w:bidi w:val="0"/>
              <w:spacing w:line="240" w:lineRule="auto"/>
              <w:ind w:leftChars="0" w:firstLine="0" w:firstLineChars="0"/>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sym w:font="Wingdings 2" w:char="00A3"/>
            </w:r>
            <w:r>
              <w:rPr>
                <w:rFonts w:hint="eastAsia" w:ascii="宋体" w:hAnsi="宋体" w:cs="宋体"/>
                <w:color w:val="auto"/>
                <w:sz w:val="24"/>
                <w:szCs w:val="24"/>
                <w:highlight w:val="none"/>
              </w:rPr>
              <w:t>超五年重新审核项目</w:t>
            </w:r>
          </w:p>
          <w:p w14:paraId="75C5739B">
            <w:pPr>
              <w:keepNext w:val="0"/>
              <w:keepLines w:val="0"/>
              <w:pageBreakBefore w:val="0"/>
              <w:kinsoku/>
              <w:wordWrap/>
              <w:overflowPunct/>
              <w:topLinePunct w:val="0"/>
              <w:bidi w:val="0"/>
              <w:spacing w:line="240" w:lineRule="auto"/>
              <w:ind w:leftChars="0" w:firstLine="0" w:firstLineChars="0"/>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t>□重大变动重新报批项目</w:t>
            </w:r>
          </w:p>
        </w:tc>
      </w:tr>
      <w:tr w14:paraId="38FA4B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959" w:type="pct"/>
            <w:gridSpan w:val="2"/>
            <w:noWrap w:val="0"/>
            <w:tcMar>
              <w:top w:w="16" w:type="dxa"/>
              <w:left w:w="16" w:type="dxa"/>
              <w:right w:w="16" w:type="dxa"/>
            </w:tcMar>
            <w:vAlign w:val="center"/>
          </w:tcPr>
          <w:p w14:paraId="27AAE644">
            <w:pPr>
              <w:keepNext w:val="0"/>
              <w:keepLines w:val="0"/>
              <w:pageBreakBefore w:val="0"/>
              <w:kinsoku/>
              <w:wordWrap/>
              <w:overflowPunct/>
              <w:topLinePunct w:val="0"/>
              <w:bidi w:val="0"/>
              <w:adjustRightInd w:val="0"/>
              <w:snapToGrid w:val="0"/>
              <w:spacing w:line="240" w:lineRule="auto"/>
              <w:ind w:leftChars="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项目审批（核准/备案）部门（选填）</w:t>
            </w:r>
          </w:p>
        </w:tc>
        <w:tc>
          <w:tcPr>
            <w:tcW w:w="1338" w:type="pct"/>
            <w:noWrap w:val="0"/>
            <w:vAlign w:val="center"/>
          </w:tcPr>
          <w:p w14:paraId="0C87E301">
            <w:pPr>
              <w:keepNext w:val="0"/>
              <w:keepLines w:val="0"/>
              <w:pageBreakBefore w:val="0"/>
              <w:kinsoku/>
              <w:wordWrap/>
              <w:overflowPunct/>
              <w:topLinePunct w:val="0"/>
              <w:bidi w:val="0"/>
              <w:adjustRightInd w:val="0"/>
              <w:snapToGrid w:val="0"/>
              <w:spacing w:line="240" w:lineRule="auto"/>
              <w:ind w:lef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府谷县发展改革和科技局</w:t>
            </w:r>
          </w:p>
        </w:tc>
        <w:tc>
          <w:tcPr>
            <w:tcW w:w="1043" w:type="pct"/>
            <w:noWrap w:val="0"/>
            <w:vAlign w:val="center"/>
          </w:tcPr>
          <w:p w14:paraId="0AF5CA9E">
            <w:pPr>
              <w:keepNext w:val="0"/>
              <w:keepLines w:val="0"/>
              <w:pageBreakBefore w:val="0"/>
              <w:kinsoku/>
              <w:wordWrap/>
              <w:overflowPunct/>
              <w:topLinePunct w:val="0"/>
              <w:bidi w:val="0"/>
              <w:adjustRightInd w:val="0"/>
              <w:snapToGrid w:val="0"/>
              <w:spacing w:line="240" w:lineRule="auto"/>
              <w:ind w:leftChars="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项目审批（核准/备案）文号（选填）</w:t>
            </w:r>
          </w:p>
        </w:tc>
        <w:tc>
          <w:tcPr>
            <w:tcW w:w="1658" w:type="pct"/>
            <w:noWrap w:val="0"/>
            <w:vAlign w:val="center"/>
          </w:tcPr>
          <w:p w14:paraId="7660CEEF">
            <w:pPr>
              <w:keepNext w:val="0"/>
              <w:keepLines w:val="0"/>
              <w:pageBreakBefore w:val="0"/>
              <w:kinsoku/>
              <w:wordWrap/>
              <w:overflowPunct/>
              <w:topLinePunct w:val="0"/>
              <w:bidi w:val="0"/>
              <w:adjustRightInd w:val="0"/>
              <w:snapToGrid w:val="0"/>
              <w:spacing w:line="240" w:lineRule="auto"/>
              <w:ind w:leftChars="0" w:firstLine="0" w:firstLineChars="0"/>
              <w:jc w:val="center"/>
              <w:textAlignment w:val="auto"/>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无</w:t>
            </w:r>
          </w:p>
        </w:tc>
      </w:tr>
      <w:tr w14:paraId="193624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59" w:type="pct"/>
            <w:gridSpan w:val="2"/>
            <w:noWrap w:val="0"/>
            <w:tcMar>
              <w:top w:w="16" w:type="dxa"/>
              <w:left w:w="16" w:type="dxa"/>
              <w:right w:w="16" w:type="dxa"/>
            </w:tcMar>
            <w:vAlign w:val="center"/>
          </w:tcPr>
          <w:p w14:paraId="29905B17">
            <w:pPr>
              <w:keepNext w:val="0"/>
              <w:keepLines w:val="0"/>
              <w:pageBreakBefore w:val="0"/>
              <w:kinsoku/>
              <w:wordWrap/>
              <w:overflowPunct/>
              <w:topLinePunct w:val="0"/>
              <w:bidi w:val="0"/>
              <w:adjustRightInd w:val="0"/>
              <w:snapToGrid w:val="0"/>
              <w:spacing w:line="240" w:lineRule="auto"/>
              <w:ind w:leftChars="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总投资（万元）</w:t>
            </w:r>
          </w:p>
        </w:tc>
        <w:tc>
          <w:tcPr>
            <w:tcW w:w="1338" w:type="pct"/>
            <w:noWrap w:val="0"/>
            <w:vAlign w:val="center"/>
          </w:tcPr>
          <w:p w14:paraId="4959A9F5">
            <w:pPr>
              <w:keepNext w:val="0"/>
              <w:keepLines w:val="0"/>
              <w:pageBreakBefore w:val="0"/>
              <w:kinsoku/>
              <w:wordWrap/>
              <w:overflowPunct/>
              <w:topLinePunct w:val="0"/>
              <w:bidi w:val="0"/>
              <w:adjustRightInd w:val="0"/>
              <w:snapToGrid w:val="0"/>
              <w:spacing w:line="240" w:lineRule="auto"/>
              <w:ind w:lef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30470</w:t>
            </w:r>
          </w:p>
        </w:tc>
        <w:tc>
          <w:tcPr>
            <w:tcW w:w="1043" w:type="pct"/>
            <w:noWrap w:val="0"/>
            <w:tcMar>
              <w:top w:w="16" w:type="dxa"/>
              <w:left w:w="16" w:type="dxa"/>
              <w:right w:w="16" w:type="dxa"/>
            </w:tcMar>
            <w:vAlign w:val="center"/>
          </w:tcPr>
          <w:p w14:paraId="6E0C7456">
            <w:pPr>
              <w:keepNext w:val="0"/>
              <w:keepLines w:val="0"/>
              <w:pageBreakBefore w:val="0"/>
              <w:kinsoku/>
              <w:wordWrap/>
              <w:overflowPunct/>
              <w:topLinePunct w:val="0"/>
              <w:bidi w:val="0"/>
              <w:adjustRightInd w:val="0"/>
              <w:snapToGrid w:val="0"/>
              <w:spacing w:line="240" w:lineRule="auto"/>
              <w:ind w:leftChars="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环保投资（万元）</w:t>
            </w:r>
          </w:p>
        </w:tc>
        <w:tc>
          <w:tcPr>
            <w:tcW w:w="1658" w:type="pct"/>
            <w:noWrap w:val="0"/>
            <w:vAlign w:val="center"/>
          </w:tcPr>
          <w:p w14:paraId="52AEF942">
            <w:pPr>
              <w:keepNext w:val="0"/>
              <w:keepLines w:val="0"/>
              <w:pageBreakBefore w:val="0"/>
              <w:kinsoku/>
              <w:wordWrap/>
              <w:overflowPunct/>
              <w:topLinePunct w:val="0"/>
              <w:bidi w:val="0"/>
              <w:adjustRightInd w:val="0"/>
              <w:snapToGrid w:val="0"/>
              <w:spacing w:line="240" w:lineRule="auto"/>
              <w:ind w:lef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882</w:t>
            </w:r>
          </w:p>
        </w:tc>
      </w:tr>
      <w:tr w14:paraId="31306B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59" w:type="pct"/>
            <w:gridSpan w:val="2"/>
            <w:noWrap w:val="0"/>
            <w:tcMar>
              <w:top w:w="16" w:type="dxa"/>
              <w:left w:w="16" w:type="dxa"/>
              <w:right w:w="16" w:type="dxa"/>
            </w:tcMar>
            <w:vAlign w:val="center"/>
          </w:tcPr>
          <w:p w14:paraId="1B1431D7">
            <w:pPr>
              <w:keepNext w:val="0"/>
              <w:keepLines w:val="0"/>
              <w:pageBreakBefore w:val="0"/>
              <w:kinsoku/>
              <w:wordWrap/>
              <w:overflowPunct/>
              <w:topLinePunct w:val="0"/>
              <w:bidi w:val="0"/>
              <w:adjustRightInd w:val="0"/>
              <w:snapToGrid w:val="0"/>
              <w:spacing w:line="240" w:lineRule="auto"/>
              <w:ind w:leftChars="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环保投资占比（%）</w:t>
            </w:r>
          </w:p>
        </w:tc>
        <w:tc>
          <w:tcPr>
            <w:tcW w:w="1338" w:type="pct"/>
            <w:noWrap w:val="0"/>
            <w:vAlign w:val="center"/>
          </w:tcPr>
          <w:p w14:paraId="7B85DE2B">
            <w:pPr>
              <w:keepNext w:val="0"/>
              <w:keepLines w:val="0"/>
              <w:pageBreakBefore w:val="0"/>
              <w:kinsoku/>
              <w:wordWrap/>
              <w:overflowPunct/>
              <w:topLinePunct w:val="0"/>
              <w:bidi w:val="0"/>
              <w:adjustRightInd w:val="0"/>
              <w:snapToGrid w:val="0"/>
              <w:spacing w:line="240" w:lineRule="auto"/>
              <w:ind w:lef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2.89</w:t>
            </w:r>
          </w:p>
        </w:tc>
        <w:tc>
          <w:tcPr>
            <w:tcW w:w="1043" w:type="pct"/>
            <w:noWrap w:val="0"/>
            <w:tcMar>
              <w:top w:w="16" w:type="dxa"/>
              <w:left w:w="16" w:type="dxa"/>
              <w:right w:w="16" w:type="dxa"/>
            </w:tcMar>
            <w:vAlign w:val="center"/>
          </w:tcPr>
          <w:p w14:paraId="2F272A5A">
            <w:pPr>
              <w:keepNext w:val="0"/>
              <w:keepLines w:val="0"/>
              <w:pageBreakBefore w:val="0"/>
              <w:kinsoku/>
              <w:wordWrap/>
              <w:overflowPunct/>
              <w:topLinePunct w:val="0"/>
              <w:bidi w:val="0"/>
              <w:adjustRightInd w:val="0"/>
              <w:snapToGrid w:val="0"/>
              <w:spacing w:line="240" w:lineRule="auto"/>
              <w:ind w:leftChars="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施工工期</w:t>
            </w:r>
          </w:p>
        </w:tc>
        <w:tc>
          <w:tcPr>
            <w:tcW w:w="1658" w:type="pct"/>
            <w:noWrap w:val="0"/>
            <w:vAlign w:val="center"/>
          </w:tcPr>
          <w:p w14:paraId="68BB8178">
            <w:pPr>
              <w:keepNext w:val="0"/>
              <w:keepLines w:val="0"/>
              <w:pageBreakBefore w:val="0"/>
              <w:kinsoku/>
              <w:wordWrap/>
              <w:overflowPunct/>
              <w:topLinePunct w:val="0"/>
              <w:bidi w:val="0"/>
              <w:adjustRightInd w:val="0"/>
              <w:snapToGrid w:val="0"/>
              <w:spacing w:line="240" w:lineRule="auto"/>
              <w:ind w:lef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1年</w:t>
            </w:r>
          </w:p>
        </w:tc>
      </w:tr>
      <w:tr w14:paraId="7B6910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59" w:type="pct"/>
            <w:gridSpan w:val="2"/>
            <w:noWrap w:val="0"/>
            <w:tcMar>
              <w:top w:w="16" w:type="dxa"/>
              <w:left w:w="16" w:type="dxa"/>
              <w:right w:w="16" w:type="dxa"/>
            </w:tcMar>
            <w:vAlign w:val="center"/>
          </w:tcPr>
          <w:p w14:paraId="61D0861E">
            <w:pPr>
              <w:keepNext w:val="0"/>
              <w:keepLines w:val="0"/>
              <w:pageBreakBefore w:val="0"/>
              <w:kinsoku/>
              <w:wordWrap/>
              <w:overflowPunct/>
              <w:topLinePunct w:val="0"/>
              <w:bidi w:val="0"/>
              <w:adjustRightInd w:val="0"/>
              <w:snapToGrid w:val="0"/>
              <w:spacing w:line="240" w:lineRule="auto"/>
              <w:ind w:leftChars="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是否开工建设</w:t>
            </w:r>
          </w:p>
        </w:tc>
        <w:tc>
          <w:tcPr>
            <w:tcW w:w="1338" w:type="pct"/>
            <w:noWrap w:val="0"/>
            <w:vAlign w:val="center"/>
          </w:tcPr>
          <w:p w14:paraId="21CCCE78">
            <w:pPr>
              <w:keepNext w:val="0"/>
              <w:keepLines w:val="0"/>
              <w:pageBreakBefore w:val="0"/>
              <w:kinsoku/>
              <w:wordWrap/>
              <w:overflowPunct/>
              <w:topLinePunct w:val="0"/>
              <w:bidi w:val="0"/>
              <w:adjustRightInd w:val="0"/>
              <w:snapToGrid w:val="0"/>
              <w:spacing w:line="240" w:lineRule="auto"/>
              <w:ind w:leftChars="0" w:firstLine="0" w:firstLineChars="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sym w:font="Wingdings 2" w:char="0052"/>
            </w:r>
            <w:r>
              <w:rPr>
                <w:rFonts w:hint="default" w:ascii="Times New Roman" w:hAnsi="Times New Roman" w:cs="Times New Roman"/>
                <w:color w:val="auto"/>
                <w:sz w:val="24"/>
                <w:szCs w:val="24"/>
                <w:highlight w:val="none"/>
              </w:rPr>
              <w:t>否</w:t>
            </w:r>
          </w:p>
          <w:p w14:paraId="37FC2E93">
            <w:pPr>
              <w:keepNext w:val="0"/>
              <w:keepLines w:val="0"/>
              <w:pageBreakBefore w:val="0"/>
              <w:kinsoku/>
              <w:wordWrap/>
              <w:overflowPunct/>
              <w:topLinePunct w:val="0"/>
              <w:bidi w:val="0"/>
              <w:adjustRightInd w:val="0"/>
              <w:snapToGrid w:val="0"/>
              <w:spacing w:line="240" w:lineRule="auto"/>
              <w:ind w:leftChars="0" w:firstLine="0" w:firstLineChars="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sym w:font="Wingdings 2" w:char="00A3"/>
            </w:r>
            <w:r>
              <w:rPr>
                <w:rFonts w:hint="default" w:ascii="Times New Roman" w:hAnsi="Times New Roman" w:cs="Times New Roman"/>
                <w:color w:val="auto"/>
                <w:sz w:val="24"/>
                <w:szCs w:val="24"/>
                <w:highlight w:val="none"/>
              </w:rPr>
              <w:t>是：</w:t>
            </w:r>
            <w:r>
              <w:rPr>
                <w:rFonts w:hint="default" w:ascii="Times New Roman" w:hAnsi="Times New Roman" w:cs="Times New Roman"/>
                <w:color w:val="auto"/>
                <w:sz w:val="24"/>
                <w:szCs w:val="24"/>
                <w:highlight w:val="none"/>
                <w:u w:val="single"/>
              </w:rPr>
              <w:t xml:space="preserve">             </w:t>
            </w:r>
          </w:p>
        </w:tc>
        <w:tc>
          <w:tcPr>
            <w:tcW w:w="1043" w:type="pct"/>
            <w:noWrap w:val="0"/>
            <w:tcMar>
              <w:top w:w="16" w:type="dxa"/>
              <w:left w:w="16" w:type="dxa"/>
              <w:right w:w="16" w:type="dxa"/>
            </w:tcMar>
            <w:vAlign w:val="center"/>
          </w:tcPr>
          <w:p w14:paraId="5B29FCF3">
            <w:pPr>
              <w:keepNext w:val="0"/>
              <w:keepLines w:val="0"/>
              <w:pageBreakBefore w:val="0"/>
              <w:kinsoku/>
              <w:wordWrap/>
              <w:overflowPunct/>
              <w:topLinePunct w:val="0"/>
              <w:bidi w:val="0"/>
              <w:adjustRightInd w:val="0"/>
              <w:snapToGrid w:val="0"/>
              <w:spacing w:line="240" w:lineRule="auto"/>
              <w:ind w:leftChars="0" w:firstLine="0" w:firstLineChars="0"/>
              <w:jc w:val="center"/>
              <w:textAlignment w:val="auto"/>
              <w:rPr>
                <w:rFonts w:hint="default" w:ascii="Times New Roman" w:hAnsi="Times New Roman" w:cs="Times New Roman"/>
                <w:color w:val="auto"/>
                <w:spacing w:val="-6"/>
                <w:sz w:val="24"/>
                <w:szCs w:val="24"/>
                <w:highlight w:val="none"/>
              </w:rPr>
            </w:pPr>
            <w:r>
              <w:rPr>
                <w:rFonts w:hint="default" w:ascii="Times New Roman" w:hAnsi="Times New Roman" w:cs="Times New Roman"/>
                <w:color w:val="auto"/>
                <w:spacing w:val="-6"/>
                <w:sz w:val="24"/>
                <w:szCs w:val="24"/>
                <w:highlight w:val="none"/>
              </w:rPr>
              <w:t>用地（用海）</w:t>
            </w:r>
          </w:p>
          <w:p w14:paraId="43FADC30">
            <w:pPr>
              <w:keepNext w:val="0"/>
              <w:keepLines w:val="0"/>
              <w:pageBreakBefore w:val="0"/>
              <w:kinsoku/>
              <w:wordWrap/>
              <w:overflowPunct/>
              <w:topLinePunct w:val="0"/>
              <w:bidi w:val="0"/>
              <w:adjustRightInd w:val="0"/>
              <w:snapToGrid w:val="0"/>
              <w:spacing w:line="240" w:lineRule="auto"/>
              <w:ind w:leftChars="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6"/>
                <w:sz w:val="24"/>
                <w:szCs w:val="24"/>
                <w:highlight w:val="none"/>
              </w:rPr>
              <w:t>面积（</w:t>
            </w:r>
            <w:r>
              <w:rPr>
                <w:rFonts w:hint="eastAsia" w:cs="Times New Roman"/>
                <w:color w:val="auto"/>
                <w:spacing w:val="-6"/>
                <w:sz w:val="24"/>
                <w:szCs w:val="24"/>
                <w:highlight w:val="none"/>
                <w:lang w:val="en-US" w:eastAsia="zh-CN"/>
              </w:rPr>
              <w:t>m</w:t>
            </w:r>
            <w:r>
              <w:rPr>
                <w:rFonts w:hint="eastAsia" w:cs="Times New Roman"/>
                <w:color w:val="auto"/>
                <w:spacing w:val="-6"/>
                <w:sz w:val="24"/>
                <w:szCs w:val="24"/>
                <w:highlight w:val="none"/>
                <w:vertAlign w:val="superscript"/>
                <w:lang w:val="en-US" w:eastAsia="zh-CN"/>
              </w:rPr>
              <w:t>2</w:t>
            </w:r>
            <w:r>
              <w:rPr>
                <w:rFonts w:hint="default" w:ascii="Times New Roman" w:hAnsi="Times New Roman" w:cs="Times New Roman"/>
                <w:color w:val="auto"/>
                <w:spacing w:val="-6"/>
                <w:sz w:val="24"/>
                <w:szCs w:val="24"/>
                <w:highlight w:val="none"/>
              </w:rPr>
              <w:t>）</w:t>
            </w:r>
          </w:p>
        </w:tc>
        <w:tc>
          <w:tcPr>
            <w:tcW w:w="1658" w:type="pct"/>
            <w:noWrap w:val="0"/>
            <w:vAlign w:val="center"/>
          </w:tcPr>
          <w:p w14:paraId="7AB520CB">
            <w:pPr>
              <w:keepNext w:val="0"/>
              <w:keepLines w:val="0"/>
              <w:pageBreakBefore w:val="0"/>
              <w:kinsoku/>
              <w:wordWrap/>
              <w:overflowPunct/>
              <w:topLinePunct w:val="0"/>
              <w:bidi w:val="0"/>
              <w:adjustRightInd w:val="0"/>
              <w:snapToGrid w:val="0"/>
              <w:spacing w:line="240" w:lineRule="auto"/>
              <w:ind w:lef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41701</w:t>
            </w:r>
          </w:p>
        </w:tc>
      </w:tr>
      <w:tr w14:paraId="3280F2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959" w:type="pct"/>
            <w:gridSpan w:val="2"/>
            <w:noWrap w:val="0"/>
            <w:vAlign w:val="center"/>
          </w:tcPr>
          <w:p w14:paraId="0E01C725">
            <w:pPr>
              <w:keepNext w:val="0"/>
              <w:keepLines w:val="0"/>
              <w:pageBreakBefore w:val="0"/>
              <w:kinsoku/>
              <w:wordWrap/>
              <w:overflowPunct/>
              <w:topLinePunct w:val="0"/>
              <w:autoSpaceDE w:val="0"/>
              <w:autoSpaceDN w:val="0"/>
              <w:bidi w:val="0"/>
              <w:adjustRightInd w:val="0"/>
              <w:snapToGrid w:val="0"/>
              <w:spacing w:line="240" w:lineRule="auto"/>
              <w:ind w:leftChars="0" w:firstLine="0" w:firstLineChars="0"/>
              <w:jc w:val="center"/>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专项评价设置情况</w:t>
            </w:r>
          </w:p>
        </w:tc>
        <w:tc>
          <w:tcPr>
            <w:tcW w:w="4040" w:type="pct"/>
            <w:gridSpan w:val="3"/>
            <w:noWrap w:val="0"/>
            <w:vAlign w:val="center"/>
          </w:tcPr>
          <w:p w14:paraId="3A1A49FA">
            <w:pPr>
              <w:keepNext w:val="0"/>
              <w:keepLines w:val="0"/>
              <w:pageBreakBefore w:val="0"/>
              <w:kinsoku/>
              <w:wordWrap/>
              <w:overflowPunct/>
              <w:topLinePunct w:val="0"/>
              <w:autoSpaceDE w:val="0"/>
              <w:autoSpaceDN w:val="0"/>
              <w:bidi w:val="0"/>
              <w:adjustRightInd w:val="0"/>
              <w:snapToGrid w:val="0"/>
              <w:spacing w:line="240" w:lineRule="auto"/>
              <w:ind w:leftChars="0" w:firstLine="0" w:firstLineChars="0"/>
              <w:jc w:val="center"/>
              <w:textAlignment w:val="auto"/>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cs="Times New Roman"/>
                <w:color w:val="auto"/>
                <w:kern w:val="0"/>
                <w:sz w:val="24"/>
                <w:szCs w:val="24"/>
                <w:highlight w:val="none"/>
                <w:lang w:val="en-US" w:eastAsia="zh-CN"/>
              </w:rPr>
              <w:t>无</w:t>
            </w:r>
          </w:p>
        </w:tc>
      </w:tr>
      <w:tr w14:paraId="1F7B44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1" w:hRule="atLeast"/>
          <w:jc w:val="center"/>
        </w:trPr>
        <w:tc>
          <w:tcPr>
            <w:tcW w:w="959" w:type="pct"/>
            <w:gridSpan w:val="2"/>
            <w:shd w:val="clear" w:color="auto" w:fill="auto"/>
            <w:noWrap w:val="0"/>
            <w:vAlign w:val="center"/>
          </w:tcPr>
          <w:p w14:paraId="764844C9">
            <w:pPr>
              <w:keepNext w:val="0"/>
              <w:keepLines w:val="0"/>
              <w:pageBreakBefore w:val="0"/>
              <w:kinsoku/>
              <w:wordWrap/>
              <w:overflowPunct/>
              <w:topLinePunct w:val="0"/>
              <w:autoSpaceDE w:val="0"/>
              <w:autoSpaceDN w:val="0"/>
              <w:bidi w:val="0"/>
              <w:adjustRightInd w:val="0"/>
              <w:snapToGrid w:val="0"/>
              <w:spacing w:line="240" w:lineRule="auto"/>
              <w:ind w:leftChars="0" w:firstLine="0" w:firstLineChars="0"/>
              <w:jc w:val="center"/>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sz w:val="24"/>
                <w:szCs w:val="24"/>
                <w:highlight w:val="none"/>
              </w:rPr>
              <w:t>规划情况</w:t>
            </w:r>
          </w:p>
        </w:tc>
        <w:tc>
          <w:tcPr>
            <w:tcW w:w="4040" w:type="pct"/>
            <w:gridSpan w:val="3"/>
            <w:noWrap w:val="0"/>
            <w:vAlign w:val="center"/>
          </w:tcPr>
          <w:p w14:paraId="6A934109">
            <w:pPr>
              <w:bidi w:val="0"/>
              <w:ind w:left="0" w:leftChars="0" w:firstLine="0" w:firstLineChars="0"/>
              <w:rPr>
                <w:rFonts w:hint="default"/>
                <w:color w:val="auto"/>
                <w:highlight w:val="none"/>
                <w:lang w:val="en-US" w:eastAsia="zh-CN"/>
              </w:rPr>
            </w:pPr>
            <w:r>
              <w:rPr>
                <w:rFonts w:hint="eastAsia"/>
                <w:color w:val="auto"/>
                <w:highlight w:val="none"/>
              </w:rPr>
              <w:t>规划名称：</w:t>
            </w:r>
            <w:r>
              <w:rPr>
                <w:rFonts w:hint="eastAsia"/>
                <w:color w:val="auto"/>
                <w:highlight w:val="none"/>
                <w:lang w:eastAsia="zh-CN"/>
              </w:rPr>
              <w:t>《</w:t>
            </w:r>
            <w:r>
              <w:rPr>
                <w:rFonts w:hint="eastAsia"/>
                <w:color w:val="auto"/>
                <w:highlight w:val="none"/>
              </w:rPr>
              <w:t>府谷高新技术产业开发区总体规划（修编）（2018</w:t>
            </w:r>
            <w:r>
              <w:rPr>
                <w:rFonts w:hint="eastAsia"/>
                <w:color w:val="auto"/>
                <w:highlight w:val="none"/>
                <w:lang w:val="en-US" w:eastAsia="zh-CN"/>
              </w:rPr>
              <w:t>-</w:t>
            </w:r>
            <w:r>
              <w:rPr>
                <w:rFonts w:hint="eastAsia"/>
                <w:color w:val="auto"/>
                <w:highlight w:val="none"/>
              </w:rPr>
              <w:t>2035）</w:t>
            </w:r>
            <w:r>
              <w:rPr>
                <w:rFonts w:hint="eastAsia"/>
                <w:color w:val="auto"/>
                <w:highlight w:val="none"/>
                <w:lang w:eastAsia="zh-CN"/>
              </w:rPr>
              <w:t>》</w:t>
            </w:r>
          </w:p>
          <w:p w14:paraId="78702EBF">
            <w:pPr>
              <w:pStyle w:val="35"/>
              <w:keepNext w:val="0"/>
              <w:keepLines w:val="0"/>
              <w:pageBreakBefore w:val="0"/>
              <w:widowControl w:val="0"/>
              <w:kinsoku/>
              <w:wordWrap/>
              <w:overflowPunct/>
              <w:topLinePunct w:val="0"/>
              <w:autoSpaceDE w:val="0"/>
              <w:autoSpaceDN w:val="0"/>
              <w:bidi w:val="0"/>
              <w:adjustRightInd w:val="0"/>
              <w:snapToGrid w:val="0"/>
              <w:spacing w:line="360" w:lineRule="auto"/>
              <w:ind w:leftChars="0" w:firstLine="0" w:firstLineChars="0"/>
              <w:textAlignment w:val="auto"/>
              <w:rPr>
                <w:rFonts w:hint="eastAsia" w:eastAsia="宋体"/>
                <w:color w:val="auto"/>
                <w:kern w:val="2"/>
                <w:sz w:val="24"/>
                <w:szCs w:val="24"/>
                <w:highlight w:val="none"/>
                <w:lang w:eastAsia="zh-CN"/>
              </w:rPr>
            </w:pPr>
            <w:r>
              <w:rPr>
                <w:rFonts w:hint="eastAsia"/>
                <w:color w:val="auto"/>
                <w:kern w:val="2"/>
                <w:sz w:val="24"/>
                <w:szCs w:val="24"/>
                <w:highlight w:val="none"/>
                <w:lang w:val="en-US" w:eastAsia="zh-CN"/>
              </w:rPr>
              <w:t>审批机关</w:t>
            </w:r>
            <w:r>
              <w:rPr>
                <w:color w:val="auto"/>
                <w:kern w:val="2"/>
                <w:sz w:val="24"/>
                <w:szCs w:val="24"/>
                <w:highlight w:val="none"/>
              </w:rPr>
              <w:t>：</w:t>
            </w:r>
            <w:r>
              <w:rPr>
                <w:rFonts w:hint="eastAsia"/>
                <w:color w:val="auto"/>
                <w:kern w:val="2"/>
                <w:sz w:val="24"/>
                <w:szCs w:val="24"/>
                <w:highlight w:val="none"/>
              </w:rPr>
              <w:t>榆林市</w:t>
            </w:r>
            <w:r>
              <w:rPr>
                <w:color w:val="auto"/>
                <w:kern w:val="2"/>
                <w:sz w:val="24"/>
                <w:szCs w:val="24"/>
                <w:highlight w:val="none"/>
              </w:rPr>
              <w:t>人民政府</w:t>
            </w:r>
            <w:r>
              <w:rPr>
                <w:rFonts w:hint="eastAsia"/>
                <w:color w:val="auto"/>
                <w:kern w:val="2"/>
                <w:sz w:val="24"/>
                <w:szCs w:val="24"/>
                <w:highlight w:val="none"/>
                <w:lang w:eastAsia="zh-CN"/>
              </w:rPr>
              <w:t>；</w:t>
            </w:r>
          </w:p>
          <w:p w14:paraId="0D1D8156">
            <w:pPr>
              <w:keepNext w:val="0"/>
              <w:keepLines w:val="0"/>
              <w:pageBreakBefore w:val="0"/>
              <w:widowControl w:val="0"/>
              <w:kinsoku/>
              <w:wordWrap/>
              <w:overflowPunct/>
              <w:topLinePunct w:val="0"/>
              <w:autoSpaceDE w:val="0"/>
              <w:autoSpaceDN w:val="0"/>
              <w:bidi w:val="0"/>
              <w:adjustRightInd w:val="0"/>
              <w:snapToGrid w:val="0"/>
              <w:spacing w:line="360" w:lineRule="auto"/>
              <w:ind w:leftChars="0" w:firstLine="0" w:firstLineChars="0"/>
              <w:jc w:val="both"/>
              <w:textAlignment w:val="auto"/>
              <w:rPr>
                <w:rFonts w:hint="default"/>
                <w:color w:val="auto"/>
                <w:highlight w:val="none"/>
              </w:rPr>
            </w:pPr>
            <w:r>
              <w:rPr>
                <w:rFonts w:hint="eastAsia"/>
                <w:color w:val="auto"/>
                <w:highlight w:val="none"/>
                <w:lang w:val="en-US" w:eastAsia="zh-CN"/>
              </w:rPr>
              <w:t>审批</w:t>
            </w:r>
            <w:r>
              <w:rPr>
                <w:rFonts w:hint="eastAsia"/>
                <w:color w:val="auto"/>
                <w:highlight w:val="none"/>
              </w:rPr>
              <w:t>文件名称及文号：</w:t>
            </w:r>
            <w:r>
              <w:rPr>
                <w:color w:val="auto"/>
                <w:sz w:val="24"/>
                <w:szCs w:val="24"/>
                <w:highlight w:val="none"/>
              </w:rPr>
              <w:t>榆林市人民政府</w:t>
            </w:r>
            <w:r>
              <w:rPr>
                <w:rFonts w:hint="eastAsia"/>
                <w:color w:val="auto"/>
                <w:sz w:val="24"/>
                <w:szCs w:val="24"/>
                <w:highlight w:val="none"/>
                <w:lang w:eastAsia="zh-CN"/>
              </w:rPr>
              <w:t>《</w:t>
            </w:r>
            <w:r>
              <w:rPr>
                <w:color w:val="auto"/>
                <w:sz w:val="24"/>
                <w:szCs w:val="24"/>
                <w:highlight w:val="none"/>
              </w:rPr>
              <w:t>关于府谷高新技术产业开发区总体规划（修编）的批复</w:t>
            </w:r>
            <w:r>
              <w:rPr>
                <w:rFonts w:hint="eastAsia"/>
                <w:color w:val="auto"/>
                <w:sz w:val="24"/>
                <w:szCs w:val="24"/>
                <w:highlight w:val="none"/>
              </w:rPr>
              <w:t>》</w:t>
            </w:r>
            <w:r>
              <w:rPr>
                <w:color w:val="auto"/>
                <w:sz w:val="24"/>
                <w:szCs w:val="24"/>
                <w:highlight w:val="none"/>
              </w:rPr>
              <w:t>（榆政函〔</w:t>
            </w:r>
            <w:r>
              <w:rPr>
                <w:rFonts w:hint="eastAsia"/>
                <w:color w:val="auto"/>
                <w:sz w:val="24"/>
                <w:szCs w:val="24"/>
                <w:highlight w:val="none"/>
                <w:lang w:val="en-US" w:eastAsia="zh-CN"/>
              </w:rPr>
              <w:t>2019</w:t>
            </w:r>
            <w:r>
              <w:rPr>
                <w:color w:val="auto"/>
                <w:sz w:val="24"/>
                <w:szCs w:val="24"/>
                <w:highlight w:val="none"/>
              </w:rPr>
              <w:t>〕55号）</w:t>
            </w:r>
          </w:p>
        </w:tc>
      </w:tr>
      <w:tr w14:paraId="522862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581" w:type="pct"/>
            <w:shd w:val="clear" w:color="auto" w:fill="auto"/>
            <w:noWrap w:val="0"/>
            <w:vAlign w:val="center"/>
          </w:tcPr>
          <w:p w14:paraId="784D6C15">
            <w:pPr>
              <w:keepNext w:val="0"/>
              <w:keepLines w:val="0"/>
              <w:pageBreakBefore w:val="0"/>
              <w:kinsoku/>
              <w:wordWrap/>
              <w:overflowPunct/>
              <w:topLinePunct w:val="0"/>
              <w:bidi w:val="0"/>
              <w:adjustRightInd w:val="0"/>
              <w:snapToGrid w:val="0"/>
              <w:spacing w:line="240" w:lineRule="auto"/>
              <w:ind w:leftChars="0" w:firstLine="0" w:firstLineChars="0"/>
              <w:jc w:val="center"/>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sz w:val="24"/>
                <w:szCs w:val="24"/>
                <w:highlight w:val="none"/>
              </w:rPr>
              <w:t>规划环境影响评价情况</w:t>
            </w:r>
          </w:p>
        </w:tc>
        <w:tc>
          <w:tcPr>
            <w:tcW w:w="4418" w:type="pct"/>
            <w:gridSpan w:val="4"/>
            <w:noWrap w:val="0"/>
            <w:vAlign w:val="center"/>
          </w:tcPr>
          <w:p w14:paraId="4F1566E9">
            <w:pPr>
              <w:bidi w:val="0"/>
              <w:ind w:left="0" w:leftChars="0" w:firstLine="0" w:firstLineChars="0"/>
              <w:rPr>
                <w:rFonts w:hint="eastAsia"/>
                <w:color w:val="auto"/>
                <w:highlight w:val="none"/>
              </w:rPr>
            </w:pPr>
            <w:r>
              <w:rPr>
                <w:rFonts w:hint="eastAsia"/>
                <w:color w:val="auto"/>
                <w:highlight w:val="none"/>
              </w:rPr>
              <w:t>规划环境影响评价文件名称：</w:t>
            </w:r>
            <w:r>
              <w:rPr>
                <w:rFonts w:hint="eastAsia"/>
                <w:color w:val="auto"/>
                <w:highlight w:val="none"/>
                <w:lang w:eastAsia="zh-CN"/>
              </w:rPr>
              <w:t>《</w:t>
            </w:r>
            <w:r>
              <w:rPr>
                <w:rFonts w:hint="eastAsia"/>
                <w:color w:val="auto"/>
                <w:highlight w:val="none"/>
              </w:rPr>
              <w:t>府谷高新技术产业开发区总体规划修编（</w:t>
            </w:r>
            <w:r>
              <w:rPr>
                <w:color w:val="auto"/>
                <w:highlight w:val="none"/>
              </w:rPr>
              <w:t>201</w:t>
            </w:r>
            <w:r>
              <w:rPr>
                <w:rFonts w:hint="eastAsia"/>
                <w:color w:val="auto"/>
                <w:highlight w:val="none"/>
              </w:rPr>
              <w:t>8</w:t>
            </w:r>
            <w:r>
              <w:rPr>
                <w:rFonts w:hint="eastAsia"/>
                <w:color w:val="auto"/>
                <w:highlight w:val="none"/>
                <w:lang w:val="en-US" w:eastAsia="zh-CN"/>
              </w:rPr>
              <w:t>-</w:t>
            </w:r>
            <w:r>
              <w:rPr>
                <w:color w:val="auto"/>
                <w:highlight w:val="none"/>
              </w:rPr>
              <w:t>203</w:t>
            </w:r>
            <w:r>
              <w:rPr>
                <w:rFonts w:hint="eastAsia"/>
                <w:color w:val="auto"/>
                <w:highlight w:val="none"/>
              </w:rPr>
              <w:t>5）环境影响报告书</w:t>
            </w:r>
            <w:r>
              <w:rPr>
                <w:rFonts w:hint="eastAsia"/>
                <w:color w:val="auto"/>
                <w:highlight w:val="none"/>
                <w:lang w:eastAsia="zh-CN"/>
              </w:rPr>
              <w:t>》</w:t>
            </w:r>
            <w:r>
              <w:rPr>
                <w:rFonts w:hint="eastAsia"/>
                <w:color w:val="auto"/>
                <w:highlight w:val="none"/>
              </w:rPr>
              <w:t>；</w:t>
            </w:r>
          </w:p>
          <w:p w14:paraId="02F84AEC">
            <w:pPr>
              <w:bidi w:val="0"/>
              <w:ind w:left="0" w:leftChars="0" w:firstLine="0" w:firstLineChars="0"/>
              <w:rPr>
                <w:color w:val="auto"/>
                <w:highlight w:val="none"/>
              </w:rPr>
            </w:pPr>
            <w:r>
              <w:rPr>
                <w:rFonts w:hint="eastAsia"/>
                <w:color w:val="auto"/>
                <w:highlight w:val="none"/>
              </w:rPr>
              <w:t>召集审查机关：榆林市生态环境局；</w:t>
            </w:r>
          </w:p>
          <w:p w14:paraId="6BAB70EC">
            <w:pPr>
              <w:bidi w:val="0"/>
              <w:ind w:left="0" w:leftChars="0" w:firstLine="0" w:firstLineChars="0"/>
              <w:rPr>
                <w:rFonts w:hint="default"/>
                <w:color w:val="auto"/>
                <w:highlight w:val="none"/>
              </w:rPr>
            </w:pPr>
            <w:r>
              <w:rPr>
                <w:rFonts w:hint="eastAsia"/>
                <w:color w:val="auto"/>
                <w:highlight w:val="none"/>
              </w:rPr>
              <w:t>审查文件名称及文号：</w:t>
            </w:r>
            <w:r>
              <w:rPr>
                <w:rFonts w:hint="eastAsia"/>
                <w:color w:val="auto"/>
                <w:highlight w:val="none"/>
                <w:lang w:eastAsia="zh-CN"/>
              </w:rPr>
              <w:t>《</w:t>
            </w:r>
            <w:r>
              <w:rPr>
                <w:rFonts w:hint="eastAsia"/>
                <w:color w:val="auto"/>
                <w:highlight w:val="none"/>
              </w:rPr>
              <w:t>榆林市生态环境局关于府谷高新技术产业开发区总体规划修编（</w:t>
            </w:r>
            <w:r>
              <w:rPr>
                <w:color w:val="auto"/>
                <w:highlight w:val="none"/>
              </w:rPr>
              <w:t>2018-2035</w:t>
            </w:r>
            <w:r>
              <w:rPr>
                <w:rFonts w:hint="eastAsia"/>
                <w:color w:val="auto"/>
                <w:highlight w:val="none"/>
              </w:rPr>
              <w:t>）环境影响报告书审查意见的函</w:t>
            </w:r>
            <w:r>
              <w:rPr>
                <w:rFonts w:hint="eastAsia"/>
                <w:color w:val="auto"/>
                <w:highlight w:val="none"/>
                <w:lang w:eastAsia="zh-CN"/>
              </w:rPr>
              <w:t>》</w:t>
            </w:r>
            <w:r>
              <w:rPr>
                <w:rFonts w:hint="eastAsia"/>
                <w:color w:val="auto"/>
                <w:highlight w:val="none"/>
              </w:rPr>
              <w:t>，榆政环函〔2019〕164号</w:t>
            </w:r>
          </w:p>
        </w:tc>
      </w:tr>
      <w:tr w14:paraId="26A9E2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1" w:hRule="atLeast"/>
          <w:jc w:val="center"/>
        </w:trPr>
        <w:tc>
          <w:tcPr>
            <w:tcW w:w="581" w:type="pct"/>
            <w:shd w:val="clear" w:color="auto" w:fill="auto"/>
            <w:noWrap w:val="0"/>
            <w:vAlign w:val="center"/>
          </w:tcPr>
          <w:p w14:paraId="1C5B6CAC">
            <w:pPr>
              <w:keepNext w:val="0"/>
              <w:keepLines w:val="0"/>
              <w:pageBreakBefore w:val="0"/>
              <w:kinsoku/>
              <w:wordWrap/>
              <w:overflowPunct/>
              <w:topLinePunct w:val="0"/>
              <w:autoSpaceDE w:val="0"/>
              <w:autoSpaceDN w:val="0"/>
              <w:bidi w:val="0"/>
              <w:adjustRightInd w:val="0"/>
              <w:snapToGrid w:val="0"/>
              <w:spacing w:line="240" w:lineRule="auto"/>
              <w:ind w:leftChars="0" w:firstLine="0" w:firstLineChars="0"/>
              <w:jc w:val="center"/>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规划及规划环境影响评价符合性分析</w:t>
            </w:r>
          </w:p>
        </w:tc>
        <w:tc>
          <w:tcPr>
            <w:tcW w:w="4418" w:type="pct"/>
            <w:gridSpan w:val="4"/>
            <w:noWrap w:val="0"/>
            <w:vAlign w:val="center"/>
          </w:tcPr>
          <w:p w14:paraId="228ED0EC">
            <w:pPr>
              <w:bidi w:val="0"/>
              <w:rPr>
                <w:color w:val="auto"/>
                <w:highlight w:val="none"/>
              </w:rPr>
            </w:pPr>
            <w:r>
              <w:rPr>
                <w:rFonts w:hint="eastAsia"/>
                <w:color w:val="auto"/>
                <w:highlight w:val="none"/>
              </w:rPr>
              <w:t>本次评价按照《府谷高新技术产业开发区总体规划（修编）（2018</w:t>
            </w:r>
            <w:r>
              <w:rPr>
                <w:rFonts w:hint="eastAsia"/>
                <w:color w:val="auto"/>
                <w:highlight w:val="none"/>
                <w:lang w:val="en-US" w:eastAsia="zh-CN"/>
              </w:rPr>
              <w:t>-</w:t>
            </w:r>
            <w:r>
              <w:rPr>
                <w:rFonts w:hint="eastAsia"/>
                <w:color w:val="auto"/>
                <w:highlight w:val="none"/>
              </w:rPr>
              <w:t>2035）》、《府谷高新技术产业开发区总体规划修编（2018</w:t>
            </w:r>
            <w:r>
              <w:rPr>
                <w:rFonts w:hint="eastAsia"/>
                <w:color w:val="auto"/>
                <w:highlight w:val="none"/>
                <w:lang w:val="en-US" w:eastAsia="zh-CN"/>
              </w:rPr>
              <w:t>-</w:t>
            </w:r>
            <w:r>
              <w:rPr>
                <w:rFonts w:hint="eastAsia"/>
                <w:color w:val="auto"/>
                <w:highlight w:val="none"/>
              </w:rPr>
              <w:t>2035）环境影响报告书》及其审查意见（榆政环函〔2019〕164号），对园区规划范围、规划定位、规划结构、规划产业空间布局、规划环评及审查意见进行相关介绍和符合性分析。项目的建设与园区规划、规划环评及审查意见符合性分析见</w:t>
            </w:r>
            <w:r>
              <w:rPr>
                <w:rFonts w:hint="eastAsia"/>
                <w:color w:val="auto"/>
                <w:highlight w:val="none"/>
              </w:rPr>
              <w:fldChar w:fldCharType="begin"/>
            </w:r>
            <w:r>
              <w:rPr>
                <w:rFonts w:hint="eastAsia"/>
                <w:color w:val="auto"/>
                <w:highlight w:val="none"/>
              </w:rPr>
              <w:instrText xml:space="preserve"> REF _Ref4336 \h </w:instrText>
            </w:r>
            <w:r>
              <w:rPr>
                <w:rFonts w:hint="eastAsia"/>
                <w:color w:val="auto"/>
                <w:highlight w:val="none"/>
              </w:rPr>
              <w:fldChar w:fldCharType="separate"/>
            </w:r>
            <w:r>
              <w:rPr>
                <w:color w:val="auto"/>
                <w:highlight w:val="none"/>
              </w:rPr>
              <w:t>表1-1</w:t>
            </w:r>
            <w:r>
              <w:rPr>
                <w:rFonts w:hint="eastAsia"/>
                <w:color w:val="auto"/>
                <w:highlight w:val="none"/>
              </w:rPr>
              <w:fldChar w:fldCharType="end"/>
            </w:r>
            <w:r>
              <w:rPr>
                <w:rFonts w:hint="eastAsia"/>
                <w:color w:val="auto"/>
                <w:highlight w:val="none"/>
                <w:lang w:val="en-US" w:eastAsia="zh-CN"/>
              </w:rPr>
              <w:t>至</w:t>
            </w:r>
            <w:r>
              <w:rPr>
                <w:rFonts w:hint="eastAsia"/>
                <w:color w:val="auto"/>
                <w:highlight w:val="none"/>
              </w:rPr>
              <w:fldChar w:fldCharType="begin"/>
            </w:r>
            <w:r>
              <w:rPr>
                <w:rFonts w:hint="eastAsia"/>
                <w:color w:val="auto"/>
                <w:highlight w:val="none"/>
              </w:rPr>
              <w:instrText xml:space="preserve"> REF _Ref7490 \h </w:instrText>
            </w:r>
            <w:r>
              <w:rPr>
                <w:rFonts w:hint="eastAsia"/>
                <w:color w:val="auto"/>
                <w:highlight w:val="none"/>
              </w:rPr>
              <w:fldChar w:fldCharType="separate"/>
            </w:r>
            <w:r>
              <w:rPr>
                <w:color w:val="auto"/>
                <w:highlight w:val="none"/>
              </w:rPr>
              <w:t>表1-3</w:t>
            </w:r>
            <w:r>
              <w:rPr>
                <w:rFonts w:hint="eastAsia"/>
                <w:color w:val="auto"/>
                <w:highlight w:val="none"/>
              </w:rPr>
              <w:fldChar w:fldCharType="end"/>
            </w:r>
            <w:r>
              <w:rPr>
                <w:rFonts w:hint="eastAsia"/>
                <w:color w:val="auto"/>
                <w:highlight w:val="none"/>
              </w:rPr>
              <w:t>。</w:t>
            </w:r>
          </w:p>
          <w:p w14:paraId="6135051B">
            <w:pPr>
              <w:pStyle w:val="7"/>
              <w:rPr>
                <w:rFonts w:hint="default"/>
                <w:color w:val="auto"/>
                <w:highlight w:val="none"/>
                <w:lang w:val="en-US" w:eastAsia="zh-CN"/>
              </w:rPr>
            </w:pPr>
            <w:bookmarkStart w:id="1" w:name="_Ref4336"/>
            <w:r>
              <w:rPr>
                <w:color w:val="auto"/>
                <w:highlight w:val="none"/>
              </w:rPr>
              <w:t>表1-</w:t>
            </w:r>
            <w:r>
              <w:rPr>
                <w:color w:val="auto"/>
                <w:highlight w:val="none"/>
              </w:rPr>
              <w:fldChar w:fldCharType="begin"/>
            </w:r>
            <w:r>
              <w:rPr>
                <w:color w:val="auto"/>
                <w:highlight w:val="none"/>
              </w:rPr>
              <w:instrText xml:space="preserve"> SEQ 表1- \* ARABIC </w:instrText>
            </w:r>
            <w:r>
              <w:rPr>
                <w:color w:val="auto"/>
                <w:highlight w:val="none"/>
              </w:rPr>
              <w:fldChar w:fldCharType="separate"/>
            </w:r>
            <w:r>
              <w:rPr>
                <w:color w:val="auto"/>
                <w:highlight w:val="none"/>
              </w:rPr>
              <w:t>1</w:t>
            </w:r>
            <w:r>
              <w:rPr>
                <w:color w:val="auto"/>
                <w:highlight w:val="none"/>
              </w:rPr>
              <w:fldChar w:fldCharType="end"/>
            </w:r>
            <w:bookmarkEnd w:id="1"/>
            <w:r>
              <w:rPr>
                <w:rFonts w:hint="eastAsia"/>
                <w:color w:val="auto"/>
                <w:highlight w:val="none"/>
                <w:lang w:val="en-US" w:eastAsia="zh-CN"/>
              </w:rPr>
              <w:t xml:space="preserve">  </w:t>
            </w:r>
            <w:r>
              <w:rPr>
                <w:rFonts w:hint="eastAsia"/>
                <w:color w:val="auto"/>
                <w:highlight w:val="none"/>
                <w:lang w:val="zh-CN" w:eastAsia="zh-CN"/>
              </w:rPr>
              <w:t>项目与《府谷高新技术产业开发区总体规划》的符合性分析</w:t>
            </w:r>
          </w:p>
          <w:tbl>
            <w:tblPr>
              <w:tblStyle w:val="24"/>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643"/>
              <w:gridCol w:w="1860"/>
              <w:gridCol w:w="821"/>
            </w:tblGrid>
            <w:tr w14:paraId="14CDE4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66" w:type="pct"/>
                  <w:tcBorders>
                    <w:tl2br w:val="nil"/>
                    <w:tr2bl w:val="nil"/>
                  </w:tcBorders>
                  <w:noWrap w:val="0"/>
                  <w:vAlign w:val="center"/>
                </w:tcPr>
                <w:p w14:paraId="623DC2B4">
                  <w:pPr>
                    <w:pStyle w:val="40"/>
                    <w:bidi w:val="0"/>
                    <w:rPr>
                      <w:color w:val="auto"/>
                      <w:highlight w:val="none"/>
                      <w:lang w:val="zh-CN"/>
                    </w:rPr>
                  </w:pPr>
                  <w:r>
                    <w:rPr>
                      <w:color w:val="auto"/>
                      <w:highlight w:val="none"/>
                      <w:lang w:val="zh-CN"/>
                    </w:rPr>
                    <w:t>与本项目有关的要求</w:t>
                  </w:r>
                </w:p>
              </w:tc>
              <w:tc>
                <w:tcPr>
                  <w:tcW w:w="1271" w:type="pct"/>
                  <w:tcBorders>
                    <w:tl2br w:val="nil"/>
                    <w:tr2bl w:val="nil"/>
                  </w:tcBorders>
                  <w:noWrap w:val="0"/>
                  <w:vAlign w:val="center"/>
                </w:tcPr>
                <w:p w14:paraId="4B3701AB">
                  <w:pPr>
                    <w:pStyle w:val="40"/>
                    <w:bidi w:val="0"/>
                    <w:rPr>
                      <w:color w:val="auto"/>
                      <w:highlight w:val="none"/>
                      <w:lang w:val="zh-CN"/>
                    </w:rPr>
                  </w:pPr>
                  <w:r>
                    <w:rPr>
                      <w:color w:val="auto"/>
                      <w:highlight w:val="none"/>
                      <w:lang w:val="zh-CN"/>
                    </w:rPr>
                    <w:t>本项目实施情况</w:t>
                  </w:r>
                </w:p>
              </w:tc>
              <w:tc>
                <w:tcPr>
                  <w:tcW w:w="562" w:type="pct"/>
                  <w:tcBorders>
                    <w:tl2br w:val="nil"/>
                    <w:tr2bl w:val="nil"/>
                  </w:tcBorders>
                  <w:noWrap w:val="0"/>
                  <w:vAlign w:val="center"/>
                </w:tcPr>
                <w:p w14:paraId="4154BF20">
                  <w:pPr>
                    <w:pStyle w:val="40"/>
                    <w:bidi w:val="0"/>
                    <w:rPr>
                      <w:color w:val="auto"/>
                      <w:highlight w:val="none"/>
                      <w:lang w:val="zh-CN"/>
                    </w:rPr>
                  </w:pPr>
                  <w:r>
                    <w:rPr>
                      <w:color w:val="auto"/>
                      <w:spacing w:val="-6"/>
                      <w:sz w:val="21"/>
                      <w:highlight w:val="none"/>
                      <w:lang w:val="zh-CN"/>
                    </w:rPr>
                    <w:t>符合性</w:t>
                  </w:r>
                </w:p>
              </w:tc>
            </w:tr>
            <w:tr w14:paraId="059A0A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73" w:hRule="atLeast"/>
                <w:jc w:val="center"/>
              </w:trPr>
              <w:tc>
                <w:tcPr>
                  <w:tcW w:w="3166" w:type="pct"/>
                  <w:tcBorders>
                    <w:tl2br w:val="nil"/>
                    <w:tr2bl w:val="nil"/>
                  </w:tcBorders>
                  <w:noWrap w:val="0"/>
                  <w:vAlign w:val="center"/>
                </w:tcPr>
                <w:p w14:paraId="4EB20EED">
                  <w:pPr>
                    <w:pStyle w:val="40"/>
                    <w:bidi w:val="0"/>
                    <w:jc w:val="both"/>
                    <w:rPr>
                      <w:rFonts w:hint="eastAsia"/>
                      <w:color w:val="auto"/>
                      <w:highlight w:val="none"/>
                    </w:rPr>
                  </w:pPr>
                  <w:r>
                    <w:rPr>
                      <w:rFonts w:hint="eastAsia"/>
                      <w:color w:val="auto"/>
                      <w:highlight w:val="none"/>
                    </w:rPr>
                    <w:t>规划范围：</w:t>
                  </w:r>
                  <w:r>
                    <w:rPr>
                      <w:rFonts w:hint="eastAsia"/>
                      <w:color w:val="auto"/>
                      <w:highlight w:val="none"/>
                      <w:lang w:val="zh-CN"/>
                    </w:rPr>
                    <w:t>府谷高新技术产业开发区由</w:t>
                  </w:r>
                  <w:r>
                    <w:rPr>
                      <w:rFonts w:hint="eastAsia"/>
                      <w:color w:val="auto"/>
                      <w:highlight w:val="none"/>
                    </w:rPr>
                    <w:t>府谷新区、皇甫川产业园及清水川产业园</w:t>
                  </w:r>
                  <w:r>
                    <w:rPr>
                      <w:rFonts w:hint="eastAsia"/>
                      <w:color w:val="auto"/>
                      <w:highlight w:val="none"/>
                      <w:lang w:val="en-US" w:eastAsia="zh-CN"/>
                    </w:rPr>
                    <w:t>三</w:t>
                  </w:r>
                  <w:r>
                    <w:rPr>
                      <w:rFonts w:hint="eastAsia"/>
                      <w:color w:val="auto"/>
                      <w:highlight w:val="none"/>
                      <w:lang w:val="zh-CN"/>
                    </w:rPr>
                    <w:t>个工业区组成。</w:t>
                  </w:r>
                  <w:r>
                    <w:rPr>
                      <w:rFonts w:hint="eastAsia"/>
                      <w:color w:val="auto"/>
                      <w:highlight w:val="none"/>
                    </w:rPr>
                    <w:t>府谷高新技术产业开发区规划面积48.87平方公里，其中：府谷新区规划区面积约16.20平方公里；皇甫川规划区面积约15.87平方公里；清水川产业园规划区面积约16.8平方公里。</w:t>
                  </w:r>
                </w:p>
                <w:p w14:paraId="626435B0">
                  <w:pPr>
                    <w:pStyle w:val="40"/>
                    <w:bidi w:val="0"/>
                    <w:jc w:val="both"/>
                    <w:rPr>
                      <w:rFonts w:hint="eastAsia"/>
                      <w:color w:val="auto"/>
                      <w:highlight w:val="none"/>
                      <w:lang w:val="zh-CN"/>
                    </w:rPr>
                  </w:pPr>
                  <w:r>
                    <w:rPr>
                      <w:rFonts w:hint="eastAsia"/>
                      <w:color w:val="auto"/>
                      <w:highlight w:val="none"/>
                    </w:rPr>
                    <w:t>规划定位：</w:t>
                  </w:r>
                  <w:r>
                    <w:rPr>
                      <w:rFonts w:hint="eastAsia"/>
                      <w:color w:val="auto"/>
                      <w:highlight w:val="none"/>
                      <w:lang w:val="en-US" w:eastAsia="zh-CN"/>
                    </w:rPr>
                    <w:t>清</w:t>
                  </w:r>
                  <w:r>
                    <w:rPr>
                      <w:rFonts w:hint="eastAsia"/>
                      <w:color w:val="auto"/>
                      <w:highlight w:val="none"/>
                    </w:rPr>
                    <w:t>水川产业开发区以清洁煤电、新材料为主导产业，新型煤化工、装备制造业为辅，建设地方企业整合发展的现代化循环经济产业开发区。产业布局为构建</w:t>
                  </w:r>
                  <w:r>
                    <w:rPr>
                      <w:rFonts w:hint="eastAsia"/>
                      <w:color w:val="auto"/>
                      <w:highlight w:val="none"/>
                      <w:lang w:eastAsia="zh-CN"/>
                    </w:rPr>
                    <w:t>“</w:t>
                  </w:r>
                  <w:r>
                    <w:rPr>
                      <w:rFonts w:hint="eastAsia"/>
                      <w:color w:val="auto"/>
                      <w:highlight w:val="none"/>
                    </w:rPr>
                    <w:t>2+2</w:t>
                  </w:r>
                  <w:r>
                    <w:rPr>
                      <w:rFonts w:hint="eastAsia"/>
                      <w:color w:val="auto"/>
                      <w:highlight w:val="none"/>
                      <w:lang w:eastAsia="zh-CN"/>
                    </w:rPr>
                    <w:t>”</w:t>
                  </w:r>
                  <w:r>
                    <w:rPr>
                      <w:rFonts w:hint="eastAsia"/>
                      <w:color w:val="auto"/>
                      <w:highlight w:val="none"/>
                    </w:rPr>
                    <w:t>的循环经济产业体系，以煤电一体化发展作为清洁煤电产业的发展重点，同时积极培育以镁基新材料、硅材料、耐火材料、新型建材为重点的新材料产业</w:t>
                  </w:r>
                  <w:r>
                    <w:rPr>
                      <w:rFonts w:hint="eastAsia"/>
                      <w:color w:val="auto"/>
                      <w:highlight w:val="none"/>
                      <w:lang w:val="zh-CN"/>
                    </w:rPr>
                    <w:t>。</w:t>
                  </w:r>
                </w:p>
                <w:p w14:paraId="2C132073">
                  <w:pPr>
                    <w:pStyle w:val="40"/>
                    <w:bidi w:val="0"/>
                    <w:jc w:val="both"/>
                    <w:rPr>
                      <w:rFonts w:hint="eastAsia"/>
                      <w:color w:val="auto"/>
                      <w:highlight w:val="none"/>
                    </w:rPr>
                  </w:pPr>
                  <w:r>
                    <w:rPr>
                      <w:rFonts w:hint="eastAsia"/>
                      <w:color w:val="auto"/>
                      <w:highlight w:val="none"/>
                    </w:rPr>
                    <w:t>产业布局：</w:t>
                  </w:r>
                  <w:r>
                    <w:rPr>
                      <w:rFonts w:hint="eastAsia"/>
                      <w:color w:val="auto"/>
                      <w:highlight w:val="none"/>
                      <w:lang w:val="zh-CN"/>
                    </w:rPr>
                    <w:t>规划将位于清水川的冯家塔煤矿作为工业集中区的主原料供给企业，其它以煤为直接或间接原料的近期企业就近布置在其周围。</w:t>
                  </w:r>
                </w:p>
                <w:p w14:paraId="2A0DACC9">
                  <w:pPr>
                    <w:pStyle w:val="40"/>
                    <w:bidi w:val="0"/>
                    <w:jc w:val="both"/>
                    <w:rPr>
                      <w:rFonts w:hint="eastAsia"/>
                      <w:color w:val="auto"/>
                      <w:highlight w:val="none"/>
                      <w:lang w:val="zh-CN"/>
                    </w:rPr>
                  </w:pPr>
                  <w:r>
                    <w:rPr>
                      <w:rFonts w:hint="eastAsia"/>
                      <w:color w:val="auto"/>
                      <w:highlight w:val="none"/>
                    </w:rPr>
                    <w:t>规划结构：</w:t>
                  </w:r>
                  <w:r>
                    <w:rPr>
                      <w:rFonts w:hint="eastAsia"/>
                      <w:color w:val="auto"/>
                      <w:highlight w:val="none"/>
                      <w:lang w:val="zh-CN"/>
                    </w:rPr>
                    <w:t>以正在建设的冯家塔煤矿和清水电厂为依托，重点发展聚氯乙烯（PVC）产业链，布置电石、硅铁等高耗能企业，远期发展以铝为主体的</w:t>
                  </w:r>
                  <w:r>
                    <w:rPr>
                      <w:color w:val="auto"/>
                      <w:highlight w:val="none"/>
                      <w:lang w:val="zh-CN"/>
                    </w:rPr>
                    <w:t>氧化铝、电解铝、铝材、铝件</w:t>
                  </w:r>
                  <w:r>
                    <w:rPr>
                      <w:rFonts w:hint="eastAsia"/>
                      <w:color w:val="auto"/>
                      <w:highlight w:val="none"/>
                      <w:lang w:val="zh-CN"/>
                    </w:rPr>
                    <w:t>及</w:t>
                  </w:r>
                  <w:r>
                    <w:rPr>
                      <w:color w:val="auto"/>
                      <w:highlight w:val="none"/>
                      <w:lang w:val="zh-CN"/>
                    </w:rPr>
                    <w:t>铝产业深加工</w:t>
                  </w:r>
                  <w:r>
                    <w:rPr>
                      <w:rFonts w:hint="eastAsia"/>
                      <w:color w:val="auto"/>
                      <w:highlight w:val="none"/>
                      <w:lang w:val="zh-CN"/>
                    </w:rPr>
                    <w:t>的产业链项目。形成煤炭开采、煤炭深加工、载能工业及废渣综合利用的循环经济产业链。</w:t>
                  </w:r>
                  <w:r>
                    <w:rPr>
                      <w:color w:val="auto"/>
                      <w:highlight w:val="none"/>
                      <w:lang w:val="zh-CN"/>
                    </w:rPr>
                    <w:t>推进粉煤灰、煤矸石、冶金和化工废渣及尾矿等工业废物利用</w:t>
                  </w:r>
                  <w:r>
                    <w:rPr>
                      <w:rFonts w:hint="eastAsia"/>
                      <w:color w:val="auto"/>
                      <w:highlight w:val="none"/>
                      <w:lang w:val="zh-CN"/>
                    </w:rPr>
                    <w:t>，实现减量化、再利用、再循环的</w:t>
                  </w:r>
                  <w:r>
                    <w:rPr>
                      <w:color w:val="auto"/>
                      <w:highlight w:val="none"/>
                      <w:lang w:val="zh-CN"/>
                    </w:rPr>
                    <w:t>3R</w:t>
                  </w:r>
                  <w:r>
                    <w:rPr>
                      <w:rFonts w:hint="eastAsia"/>
                      <w:color w:val="auto"/>
                      <w:highlight w:val="none"/>
                      <w:lang w:val="zh-CN"/>
                    </w:rPr>
                    <w:t>原则。</w:t>
                  </w:r>
                </w:p>
              </w:tc>
              <w:tc>
                <w:tcPr>
                  <w:tcW w:w="1271" w:type="pct"/>
                  <w:tcBorders>
                    <w:tl2br w:val="nil"/>
                    <w:tr2bl w:val="nil"/>
                  </w:tcBorders>
                  <w:noWrap w:val="0"/>
                  <w:vAlign w:val="center"/>
                </w:tcPr>
                <w:p w14:paraId="2AD771BC">
                  <w:pPr>
                    <w:pStyle w:val="40"/>
                    <w:bidi w:val="0"/>
                    <w:jc w:val="both"/>
                    <w:rPr>
                      <w:rFonts w:hint="eastAsia"/>
                      <w:color w:val="auto"/>
                      <w:highlight w:val="none"/>
                      <w:lang w:val="zh-CN"/>
                    </w:rPr>
                  </w:pPr>
                  <w:r>
                    <w:rPr>
                      <w:rFonts w:hint="eastAsia"/>
                      <w:color w:val="auto"/>
                      <w:highlight w:val="none"/>
                    </w:rPr>
                    <w:t>本项目位于</w:t>
                  </w:r>
                  <w:r>
                    <w:rPr>
                      <w:rFonts w:hint="eastAsia"/>
                      <w:color w:val="auto"/>
                      <w:highlight w:val="none"/>
                      <w:lang w:val="zh-CN"/>
                    </w:rPr>
                    <w:t>清水川工业</w:t>
                  </w:r>
                  <w:r>
                    <w:rPr>
                      <w:rFonts w:hint="eastAsia"/>
                      <w:color w:val="auto"/>
                      <w:highlight w:val="none"/>
                      <w:lang w:val="en-US" w:eastAsia="zh-CN"/>
                    </w:rPr>
                    <w:t>园</w:t>
                  </w:r>
                  <w:r>
                    <w:rPr>
                      <w:rFonts w:hint="eastAsia"/>
                      <w:color w:val="auto"/>
                      <w:highlight w:val="none"/>
                      <w:lang w:val="zh-CN"/>
                    </w:rPr>
                    <w:t>区</w:t>
                  </w:r>
                  <w:r>
                    <w:rPr>
                      <w:rFonts w:hint="eastAsia"/>
                      <w:color w:val="auto"/>
                      <w:highlight w:val="none"/>
                    </w:rPr>
                    <w:t>内</w:t>
                  </w:r>
                  <w:r>
                    <w:rPr>
                      <w:rFonts w:hint="eastAsia"/>
                      <w:color w:val="auto"/>
                      <w:highlight w:val="none"/>
                      <w:lang w:val="en-US" w:eastAsia="zh-CN"/>
                    </w:rPr>
                    <w:t>，用地类型为三类工业用地，与规划相对位置关系图见附图1；本项目</w:t>
                  </w:r>
                  <w:r>
                    <w:rPr>
                      <w:rFonts w:hint="default"/>
                      <w:color w:val="auto"/>
                      <w:highlight w:val="none"/>
                      <w:lang w:val="en-US" w:eastAsia="zh-CN"/>
                    </w:rPr>
                    <w:t>以陕投集团清水川发电有限公司、陕煤电力集团新元洁能发电有限公司产生的粉煤灰、炉渣</w:t>
                  </w:r>
                  <w:r>
                    <w:rPr>
                      <w:rFonts w:hint="eastAsia"/>
                      <w:color w:val="auto"/>
                      <w:highlight w:val="none"/>
                      <w:lang w:val="en-US" w:eastAsia="zh-CN"/>
                    </w:rPr>
                    <w:t>，陕煤新建电厂烟气脱硫副产石膏，</w:t>
                  </w:r>
                  <w:r>
                    <w:rPr>
                      <w:rFonts w:hint="default"/>
                      <w:color w:val="auto"/>
                      <w:highlight w:val="none"/>
                      <w:lang w:val="en-US" w:eastAsia="zh-CN"/>
                    </w:rPr>
                    <w:t>府谷县镁业集团有限责任公司</w:t>
                  </w:r>
                  <w:r>
                    <w:rPr>
                      <w:rFonts w:hint="eastAsia"/>
                      <w:color w:val="auto"/>
                      <w:highlight w:val="none"/>
                      <w:lang w:val="en-US" w:eastAsia="zh-CN"/>
                    </w:rPr>
                    <w:t>和府谷县泰达煤化有限责任公司</w:t>
                  </w:r>
                  <w:r>
                    <w:rPr>
                      <w:rFonts w:hint="default"/>
                      <w:color w:val="auto"/>
                      <w:highlight w:val="none"/>
                      <w:lang w:val="en-US" w:eastAsia="zh-CN"/>
                    </w:rPr>
                    <w:t>产生的镁渣为主要原料</w:t>
                  </w:r>
                  <w:r>
                    <w:rPr>
                      <w:rFonts w:hint="eastAsia"/>
                      <w:color w:val="auto"/>
                      <w:highlight w:val="none"/>
                      <w:lang w:val="en-US" w:eastAsia="zh-CN"/>
                    </w:rPr>
                    <w:t>，均来源于园区内项目产生的固废；两条生产线的产品外售，推进园区实现工业废物的减量化、再利用、再循环。</w:t>
                  </w:r>
                </w:p>
              </w:tc>
              <w:tc>
                <w:tcPr>
                  <w:tcW w:w="562" w:type="pct"/>
                  <w:tcBorders>
                    <w:tl2br w:val="nil"/>
                    <w:tr2bl w:val="nil"/>
                  </w:tcBorders>
                  <w:noWrap w:val="0"/>
                  <w:vAlign w:val="center"/>
                </w:tcPr>
                <w:p w14:paraId="5CCAD225">
                  <w:pPr>
                    <w:pStyle w:val="40"/>
                    <w:bidi w:val="0"/>
                    <w:rPr>
                      <w:rFonts w:hint="eastAsia"/>
                      <w:color w:val="auto"/>
                      <w:highlight w:val="none"/>
                      <w:lang w:val="zh-CN"/>
                    </w:rPr>
                  </w:pPr>
                  <w:r>
                    <w:rPr>
                      <w:rFonts w:hint="eastAsia"/>
                      <w:color w:val="auto"/>
                      <w:highlight w:val="none"/>
                      <w:lang w:val="zh-CN"/>
                    </w:rPr>
                    <w:t>符合</w:t>
                  </w:r>
                </w:p>
              </w:tc>
            </w:tr>
          </w:tbl>
          <w:p w14:paraId="062044DC">
            <w:pPr>
              <w:pStyle w:val="7"/>
              <w:keepNext w:val="0"/>
              <w:keepLines w:val="0"/>
              <w:pageBreakBefore w:val="0"/>
              <w:widowControl w:val="0"/>
              <w:kinsoku/>
              <w:wordWrap/>
              <w:overflowPunct/>
              <w:topLinePunct w:val="0"/>
              <w:autoSpaceDE/>
              <w:autoSpaceDN/>
              <w:bidi w:val="0"/>
              <w:adjustRightInd/>
              <w:snapToGrid/>
              <w:textAlignment w:val="auto"/>
              <w:rPr>
                <w:rFonts w:hint="default"/>
                <w:color w:val="auto"/>
                <w:highlight w:val="none"/>
              </w:rPr>
            </w:pPr>
            <w:r>
              <w:rPr>
                <w:color w:val="auto"/>
                <w:highlight w:val="none"/>
              </w:rPr>
              <w:t>表1-</w:t>
            </w:r>
            <w:r>
              <w:rPr>
                <w:color w:val="auto"/>
                <w:highlight w:val="none"/>
              </w:rPr>
              <w:fldChar w:fldCharType="begin"/>
            </w:r>
            <w:r>
              <w:rPr>
                <w:color w:val="auto"/>
                <w:highlight w:val="none"/>
              </w:rPr>
              <w:instrText xml:space="preserve"> SEQ 表1- \* ARABIC </w:instrText>
            </w:r>
            <w:r>
              <w:rPr>
                <w:color w:val="auto"/>
                <w:highlight w:val="none"/>
              </w:rPr>
              <w:fldChar w:fldCharType="separate"/>
            </w:r>
            <w:r>
              <w:rPr>
                <w:color w:val="auto"/>
                <w:highlight w:val="none"/>
              </w:rPr>
              <w:t>2</w:t>
            </w:r>
            <w:r>
              <w:rPr>
                <w:color w:val="auto"/>
                <w:highlight w:val="none"/>
              </w:rPr>
              <w:fldChar w:fldCharType="end"/>
            </w:r>
            <w:r>
              <w:rPr>
                <w:rFonts w:hint="eastAsia"/>
                <w:color w:val="auto"/>
                <w:highlight w:val="none"/>
                <w:lang w:val="en-US" w:eastAsia="zh-CN"/>
              </w:rPr>
              <w:t xml:space="preserve">  </w:t>
            </w:r>
            <w:r>
              <w:rPr>
                <w:rFonts w:hint="eastAsia"/>
                <w:b/>
                <w:color w:val="auto"/>
                <w:spacing w:val="-6"/>
                <w:sz w:val="21"/>
                <w:highlight w:val="none"/>
                <w:lang w:val="zh-CN" w:eastAsia="zh-CN"/>
              </w:rPr>
              <w:t>项目与《</w:t>
            </w:r>
            <w:r>
              <w:rPr>
                <w:rFonts w:hint="eastAsia"/>
                <w:b/>
                <w:color w:val="auto"/>
                <w:spacing w:val="-6"/>
                <w:sz w:val="21"/>
                <w:highlight w:val="none"/>
                <w:lang w:val="en-US" w:eastAsia="zh-CN"/>
              </w:rPr>
              <w:t>府谷高新技术产业开发区总体规划环境影响报告书</w:t>
            </w:r>
            <w:r>
              <w:rPr>
                <w:rFonts w:hint="eastAsia"/>
                <w:b/>
                <w:color w:val="auto"/>
                <w:spacing w:val="-6"/>
                <w:sz w:val="21"/>
                <w:highlight w:val="none"/>
                <w:lang w:val="zh-CN" w:eastAsia="zh-CN"/>
              </w:rPr>
              <w:t>》符合性分析</w:t>
            </w:r>
          </w:p>
          <w:tbl>
            <w:tblPr>
              <w:tblStyle w:val="24"/>
              <w:tblW w:w="731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169"/>
              <w:gridCol w:w="3486"/>
              <w:gridCol w:w="664"/>
            </w:tblGrid>
            <w:tr w14:paraId="33FD3A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4" w:type="pct"/>
                  <w:tcBorders>
                    <w:tl2br w:val="nil"/>
                    <w:tr2bl w:val="nil"/>
                  </w:tcBorders>
                  <w:noWrap w:val="0"/>
                  <w:vAlign w:val="center"/>
                </w:tcPr>
                <w:p w14:paraId="418C7055">
                  <w:pPr>
                    <w:pStyle w:val="40"/>
                    <w:bidi w:val="0"/>
                    <w:rPr>
                      <w:rFonts w:hint="eastAsia"/>
                      <w:color w:val="auto"/>
                      <w:spacing w:val="0"/>
                      <w:highlight w:val="none"/>
                      <w:lang w:val="zh-CN"/>
                    </w:rPr>
                  </w:pPr>
                  <w:r>
                    <w:rPr>
                      <w:rFonts w:hint="eastAsia"/>
                      <w:color w:val="auto"/>
                      <w:spacing w:val="0"/>
                      <w:highlight w:val="none"/>
                      <w:lang w:val="zh-CN"/>
                    </w:rPr>
                    <w:t>与本项目有关的要求</w:t>
                  </w:r>
                </w:p>
              </w:tc>
              <w:tc>
                <w:tcPr>
                  <w:tcW w:w="2381" w:type="pct"/>
                  <w:tcBorders>
                    <w:tl2br w:val="nil"/>
                    <w:tr2bl w:val="nil"/>
                  </w:tcBorders>
                  <w:noWrap w:val="0"/>
                  <w:vAlign w:val="center"/>
                </w:tcPr>
                <w:p w14:paraId="0DC586C3">
                  <w:pPr>
                    <w:pStyle w:val="40"/>
                    <w:bidi w:val="0"/>
                    <w:rPr>
                      <w:rFonts w:hint="eastAsia"/>
                      <w:color w:val="auto"/>
                      <w:spacing w:val="0"/>
                      <w:highlight w:val="none"/>
                      <w:lang w:val="zh-CN"/>
                    </w:rPr>
                  </w:pPr>
                  <w:r>
                    <w:rPr>
                      <w:rFonts w:hint="eastAsia"/>
                      <w:color w:val="auto"/>
                      <w:spacing w:val="0"/>
                      <w:highlight w:val="none"/>
                      <w:lang w:val="zh-CN"/>
                    </w:rPr>
                    <w:t>本项目实施情况</w:t>
                  </w:r>
                </w:p>
              </w:tc>
              <w:tc>
                <w:tcPr>
                  <w:tcW w:w="453" w:type="pct"/>
                  <w:tcBorders>
                    <w:tl2br w:val="nil"/>
                    <w:tr2bl w:val="nil"/>
                  </w:tcBorders>
                  <w:noWrap w:val="0"/>
                  <w:vAlign w:val="center"/>
                </w:tcPr>
                <w:p w14:paraId="31990F81">
                  <w:pPr>
                    <w:pStyle w:val="40"/>
                    <w:bidi w:val="0"/>
                    <w:rPr>
                      <w:rFonts w:hint="eastAsia"/>
                      <w:color w:val="auto"/>
                      <w:spacing w:val="0"/>
                      <w:highlight w:val="none"/>
                      <w:lang w:val="zh-CN"/>
                    </w:rPr>
                  </w:pPr>
                  <w:r>
                    <w:rPr>
                      <w:rFonts w:hint="eastAsia"/>
                      <w:color w:val="auto"/>
                      <w:spacing w:val="0"/>
                      <w:highlight w:val="none"/>
                      <w:lang w:val="zh-CN"/>
                    </w:rPr>
                    <w:t>符合性</w:t>
                  </w:r>
                </w:p>
              </w:tc>
            </w:tr>
            <w:tr w14:paraId="4A7B9E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8" w:hRule="atLeast"/>
                <w:jc w:val="center"/>
              </w:trPr>
              <w:tc>
                <w:tcPr>
                  <w:tcW w:w="2164" w:type="pct"/>
                  <w:tcBorders>
                    <w:tl2br w:val="nil"/>
                    <w:tr2bl w:val="nil"/>
                  </w:tcBorders>
                  <w:noWrap w:val="0"/>
                  <w:vAlign w:val="center"/>
                </w:tcPr>
                <w:p w14:paraId="7953D9F4">
                  <w:pPr>
                    <w:pStyle w:val="40"/>
                    <w:bidi w:val="0"/>
                    <w:rPr>
                      <w:rFonts w:hint="eastAsia"/>
                      <w:color w:val="auto"/>
                      <w:spacing w:val="0"/>
                      <w:highlight w:val="none"/>
                      <w:lang w:val="zh-CN" w:eastAsia="zh-CN"/>
                    </w:rPr>
                  </w:pPr>
                  <w:r>
                    <w:rPr>
                      <w:rFonts w:hint="eastAsia"/>
                      <w:color w:val="auto"/>
                      <w:spacing w:val="0"/>
                      <w:highlight w:val="none"/>
                    </w:rPr>
                    <w:t>大气污染防治措施</w:t>
                  </w:r>
                  <w:r>
                    <w:rPr>
                      <w:rFonts w:hint="eastAsia"/>
                      <w:color w:val="auto"/>
                      <w:spacing w:val="0"/>
                      <w:highlight w:val="none"/>
                      <w:lang w:eastAsia="zh-CN"/>
                    </w:rPr>
                    <w:t>：</w:t>
                  </w:r>
                  <w:r>
                    <w:rPr>
                      <w:rFonts w:hint="eastAsia"/>
                      <w:color w:val="auto"/>
                      <w:spacing w:val="0"/>
                      <w:highlight w:val="none"/>
                    </w:rPr>
                    <w:t>各堆场尽量采取封闭措施，如筒仓、封闭库房等，防止大风引起扬尘污染空气；设备、车间做好密闭措施，减少无组织排放；尽可能使无组织转为有组织排放；对有组织粉尘、烟尘采取高效除尘器，并定期对除尘器进行检修，确保处于正常运转状态。</w:t>
                  </w:r>
                </w:p>
              </w:tc>
              <w:tc>
                <w:tcPr>
                  <w:tcW w:w="2381" w:type="pct"/>
                  <w:tcBorders>
                    <w:tl2br w:val="nil"/>
                    <w:tr2bl w:val="nil"/>
                  </w:tcBorders>
                  <w:noWrap w:val="0"/>
                  <w:vAlign w:val="center"/>
                </w:tcPr>
                <w:p w14:paraId="2962F4BC">
                  <w:pPr>
                    <w:pStyle w:val="40"/>
                    <w:bidi w:val="0"/>
                    <w:jc w:val="center"/>
                    <w:rPr>
                      <w:rFonts w:hint="default" w:eastAsia="宋体"/>
                      <w:color w:val="auto"/>
                      <w:spacing w:val="0"/>
                      <w:highlight w:val="none"/>
                      <w:lang w:val="en-US" w:eastAsia="zh-CN"/>
                    </w:rPr>
                  </w:pPr>
                  <w:r>
                    <w:rPr>
                      <w:rFonts w:hint="eastAsia"/>
                      <w:color w:val="auto"/>
                      <w:spacing w:val="-6"/>
                      <w:sz w:val="21"/>
                      <w:highlight w:val="none"/>
                      <w:lang w:val="en-US" w:eastAsia="zh-CN"/>
                    </w:rPr>
                    <w:t>本项目两条生产线的生产车间和原料堆存区全封闭，并配套喷雾降尘设施；原料筒仓仓顶设脉冲式布袋除尘器，粉尘处理后经各除尘器出口无组织排放；生产设备的固定排放口直接与风管连接，封闭负压，末端设置脉冲式布袋除尘器，除尘后分别经各自排气筒有组织排放；</w:t>
                  </w:r>
                  <w:r>
                    <w:rPr>
                      <w:rFonts w:hint="eastAsia" w:eastAsia="宋体"/>
                      <w:color w:val="auto"/>
                      <w:spacing w:val="-6"/>
                      <w:sz w:val="21"/>
                      <w:highlight w:val="none"/>
                      <w:lang w:val="en-US" w:eastAsia="zh-CN"/>
                    </w:rPr>
                    <w:t>锅炉采用低氮燃烧技术及多管除尘器+脉冲式布袋除尘器处理，除尘后经排气筒</w:t>
                  </w:r>
                  <w:r>
                    <w:rPr>
                      <w:rFonts w:hint="eastAsia"/>
                      <w:color w:val="auto"/>
                      <w:spacing w:val="-6"/>
                      <w:sz w:val="21"/>
                      <w:highlight w:val="none"/>
                      <w:lang w:val="en-US" w:eastAsia="zh-CN"/>
                    </w:rPr>
                    <w:t>有组织</w:t>
                  </w:r>
                  <w:r>
                    <w:rPr>
                      <w:rFonts w:hint="eastAsia" w:eastAsia="宋体"/>
                      <w:color w:val="auto"/>
                      <w:spacing w:val="-6"/>
                      <w:sz w:val="21"/>
                      <w:highlight w:val="none"/>
                      <w:lang w:val="en-US" w:eastAsia="zh-CN"/>
                    </w:rPr>
                    <w:t>排放。</w:t>
                  </w:r>
                  <w:r>
                    <w:rPr>
                      <w:rFonts w:hint="eastAsia"/>
                      <w:color w:val="auto"/>
                      <w:spacing w:val="-6"/>
                      <w:sz w:val="21"/>
                      <w:highlight w:val="none"/>
                      <w:lang w:val="en-US" w:eastAsia="zh-CN"/>
                    </w:rPr>
                    <w:t>本项目使用的除尘器均为高效除尘器，并定期对除尘器进行检修，确保处于正常运转状态。</w:t>
                  </w:r>
                </w:p>
              </w:tc>
              <w:tc>
                <w:tcPr>
                  <w:tcW w:w="453" w:type="pct"/>
                  <w:tcBorders>
                    <w:tl2br w:val="nil"/>
                    <w:tr2bl w:val="nil"/>
                  </w:tcBorders>
                  <w:noWrap w:val="0"/>
                  <w:vAlign w:val="center"/>
                </w:tcPr>
                <w:p w14:paraId="2C8ECCBA">
                  <w:pPr>
                    <w:pStyle w:val="40"/>
                    <w:bidi w:val="0"/>
                    <w:rPr>
                      <w:rFonts w:hint="eastAsia"/>
                      <w:color w:val="auto"/>
                      <w:spacing w:val="0"/>
                      <w:highlight w:val="none"/>
                      <w:lang w:val="zh-CN"/>
                    </w:rPr>
                  </w:pPr>
                  <w:r>
                    <w:rPr>
                      <w:rFonts w:hint="eastAsia"/>
                      <w:color w:val="auto"/>
                      <w:spacing w:val="0"/>
                      <w:highlight w:val="none"/>
                      <w:lang w:val="zh-CN"/>
                    </w:rPr>
                    <w:t>符合</w:t>
                  </w:r>
                </w:p>
              </w:tc>
            </w:tr>
            <w:tr w14:paraId="14A65A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5" w:hRule="atLeast"/>
                <w:jc w:val="center"/>
              </w:trPr>
              <w:tc>
                <w:tcPr>
                  <w:tcW w:w="2164" w:type="pct"/>
                  <w:tcBorders>
                    <w:tl2br w:val="nil"/>
                    <w:tr2bl w:val="nil"/>
                  </w:tcBorders>
                  <w:noWrap w:val="0"/>
                  <w:vAlign w:val="center"/>
                </w:tcPr>
                <w:p w14:paraId="54DBA33E">
                  <w:pPr>
                    <w:pStyle w:val="40"/>
                    <w:bidi w:val="0"/>
                    <w:rPr>
                      <w:rFonts w:hint="eastAsia"/>
                      <w:color w:val="auto"/>
                      <w:spacing w:val="0"/>
                      <w:highlight w:val="none"/>
                      <w:lang w:val="en-US" w:eastAsia="zh-CN"/>
                    </w:rPr>
                  </w:pPr>
                  <w:r>
                    <w:rPr>
                      <w:rFonts w:hint="eastAsia"/>
                      <w:color w:val="auto"/>
                      <w:spacing w:val="0"/>
                      <w:highlight w:val="none"/>
                    </w:rPr>
                    <w:t>地表水污染防治措施：各企业堆场严禁露天堆放，防止雨淋后进入地表水体。</w:t>
                  </w:r>
                </w:p>
              </w:tc>
              <w:tc>
                <w:tcPr>
                  <w:tcW w:w="2381" w:type="pct"/>
                  <w:tcBorders>
                    <w:tl2br w:val="nil"/>
                    <w:tr2bl w:val="nil"/>
                  </w:tcBorders>
                  <w:noWrap w:val="0"/>
                  <w:vAlign w:val="center"/>
                </w:tcPr>
                <w:p w14:paraId="35316F53">
                  <w:pPr>
                    <w:pStyle w:val="40"/>
                    <w:bidi w:val="0"/>
                    <w:rPr>
                      <w:color w:val="auto"/>
                      <w:spacing w:val="-6"/>
                      <w:sz w:val="21"/>
                      <w:highlight w:val="none"/>
                    </w:rPr>
                  </w:pPr>
                  <w:r>
                    <w:rPr>
                      <w:rFonts w:hint="eastAsia"/>
                      <w:color w:val="auto"/>
                      <w:spacing w:val="-6"/>
                      <w:sz w:val="21"/>
                      <w:highlight w:val="none"/>
                    </w:rPr>
                    <w:t>项目原料和产品采用封闭棚储存，</w:t>
                  </w:r>
                  <w:r>
                    <w:rPr>
                      <w:rFonts w:hint="eastAsia"/>
                      <w:color w:val="auto"/>
                      <w:spacing w:val="-6"/>
                      <w:sz w:val="21"/>
                      <w:highlight w:val="none"/>
                      <w:lang w:val="en-US" w:eastAsia="zh-CN"/>
                    </w:rPr>
                    <w:t>厂区建设1座容积为600m</w:t>
                  </w:r>
                  <w:r>
                    <w:rPr>
                      <w:rFonts w:hint="eastAsia"/>
                      <w:color w:val="auto"/>
                      <w:spacing w:val="-6"/>
                      <w:sz w:val="21"/>
                      <w:highlight w:val="none"/>
                      <w:vertAlign w:val="superscript"/>
                      <w:lang w:val="en-US" w:eastAsia="zh-CN"/>
                    </w:rPr>
                    <w:t>3</w:t>
                  </w:r>
                  <w:r>
                    <w:rPr>
                      <w:rFonts w:hint="eastAsia"/>
                      <w:color w:val="auto"/>
                      <w:spacing w:val="-6"/>
                      <w:sz w:val="21"/>
                      <w:highlight w:val="none"/>
                      <w:lang w:val="en-US" w:eastAsia="zh-CN"/>
                    </w:rPr>
                    <w:t>初期雨水收集池；设置</w:t>
                  </w:r>
                  <w:r>
                    <w:rPr>
                      <w:rFonts w:hint="eastAsia"/>
                      <w:color w:val="auto"/>
                      <w:spacing w:val="-6"/>
                      <w:sz w:val="21"/>
                      <w:highlight w:val="none"/>
                    </w:rPr>
                    <w:t>卫生防渗旱厕，</w:t>
                  </w:r>
                  <w:r>
                    <w:rPr>
                      <w:color w:val="auto"/>
                      <w:spacing w:val="-6"/>
                      <w:sz w:val="21"/>
                      <w:highlight w:val="none"/>
                    </w:rPr>
                    <w:t>定期清掏外运用作农肥</w:t>
                  </w:r>
                  <w:r>
                    <w:rPr>
                      <w:rFonts w:hint="eastAsia"/>
                      <w:color w:val="auto"/>
                      <w:spacing w:val="-6"/>
                      <w:sz w:val="21"/>
                      <w:highlight w:val="none"/>
                    </w:rPr>
                    <w:t>；</w:t>
                  </w:r>
                  <w:r>
                    <w:rPr>
                      <w:color w:val="auto"/>
                      <w:spacing w:val="-6"/>
                      <w:sz w:val="21"/>
                      <w:highlight w:val="none"/>
                    </w:rPr>
                    <w:t>生活污水</w:t>
                  </w:r>
                  <w:r>
                    <w:rPr>
                      <w:rFonts w:hint="eastAsia"/>
                      <w:color w:val="auto"/>
                      <w:spacing w:val="-6"/>
                      <w:sz w:val="21"/>
                      <w:highlight w:val="none"/>
                    </w:rPr>
                    <w:t>主要为生活盥洗废水和食堂废水，经沉淀池（</w:t>
                  </w:r>
                  <w:r>
                    <w:rPr>
                      <w:rFonts w:hint="eastAsia"/>
                      <w:color w:val="auto"/>
                      <w:spacing w:val="-6"/>
                      <w:sz w:val="21"/>
                      <w:highlight w:val="none"/>
                      <w:lang w:val="en-US" w:eastAsia="zh-CN"/>
                    </w:rPr>
                    <w:t>2</w:t>
                  </w:r>
                  <w:r>
                    <w:rPr>
                      <w:rFonts w:hint="eastAsia"/>
                      <w:color w:val="auto"/>
                      <w:spacing w:val="-6"/>
                      <w:sz w:val="21"/>
                      <w:highlight w:val="none"/>
                    </w:rPr>
                    <w:t>m</w:t>
                  </w:r>
                  <w:r>
                    <w:rPr>
                      <w:rFonts w:hint="eastAsia"/>
                      <w:color w:val="auto"/>
                      <w:spacing w:val="-6"/>
                      <w:sz w:val="21"/>
                      <w:highlight w:val="none"/>
                      <w:vertAlign w:val="superscript"/>
                    </w:rPr>
                    <w:t>3</w:t>
                  </w:r>
                  <w:r>
                    <w:rPr>
                      <w:rFonts w:hint="eastAsia"/>
                      <w:color w:val="auto"/>
                      <w:spacing w:val="-6"/>
                      <w:sz w:val="21"/>
                      <w:highlight w:val="none"/>
                    </w:rPr>
                    <w:t>）处理后用于厂区洒水抑尘</w:t>
                  </w:r>
                  <w:r>
                    <w:rPr>
                      <w:rFonts w:hint="eastAsia"/>
                      <w:color w:val="auto"/>
                      <w:spacing w:val="-6"/>
                      <w:sz w:val="21"/>
                      <w:highlight w:val="none"/>
                      <w:lang w:eastAsia="zh-CN"/>
                    </w:rPr>
                    <w:t>；</w:t>
                  </w:r>
                  <w:r>
                    <w:rPr>
                      <w:rFonts w:hint="eastAsia"/>
                      <w:color w:val="auto"/>
                      <w:highlight w:val="none"/>
                      <w:lang w:val="en-US" w:eastAsia="zh-CN"/>
                    </w:rPr>
                    <w:t>锅炉定排水、蒸汽凝结水和离子交换树脂再生废水</w:t>
                  </w:r>
                  <w:r>
                    <w:rPr>
                      <w:rFonts w:hint="eastAsia"/>
                      <w:color w:val="auto"/>
                      <w:spacing w:val="-6"/>
                      <w:sz w:val="21"/>
                      <w:highlight w:val="none"/>
                      <w:lang w:val="en-US" w:eastAsia="zh-CN"/>
                    </w:rPr>
                    <w:t>经暂存池</w:t>
                  </w:r>
                  <w:r>
                    <w:rPr>
                      <w:rFonts w:hint="eastAsia"/>
                      <w:color w:val="auto"/>
                      <w:spacing w:val="-6"/>
                      <w:sz w:val="21"/>
                      <w:highlight w:val="none"/>
                      <w:lang w:eastAsia="zh-CN"/>
                    </w:rPr>
                    <w:t>（</w:t>
                  </w:r>
                  <w:r>
                    <w:rPr>
                      <w:rFonts w:hint="eastAsia"/>
                      <w:color w:val="auto"/>
                      <w:spacing w:val="-6"/>
                      <w:sz w:val="21"/>
                      <w:highlight w:val="none"/>
                      <w:lang w:val="en-US" w:eastAsia="zh-CN"/>
                    </w:rPr>
                    <w:t>10</w:t>
                  </w:r>
                  <w:r>
                    <w:rPr>
                      <w:rFonts w:hint="eastAsia"/>
                      <w:color w:val="auto"/>
                      <w:spacing w:val="-6"/>
                      <w:sz w:val="21"/>
                      <w:highlight w:val="none"/>
                    </w:rPr>
                    <w:t>m</w:t>
                  </w:r>
                  <w:r>
                    <w:rPr>
                      <w:rFonts w:hint="eastAsia"/>
                      <w:color w:val="auto"/>
                      <w:spacing w:val="-6"/>
                      <w:sz w:val="21"/>
                      <w:highlight w:val="none"/>
                      <w:vertAlign w:val="superscript"/>
                    </w:rPr>
                    <w:t>3</w:t>
                  </w:r>
                  <w:r>
                    <w:rPr>
                      <w:rFonts w:hint="eastAsia"/>
                      <w:color w:val="auto"/>
                      <w:spacing w:val="-6"/>
                      <w:sz w:val="21"/>
                      <w:highlight w:val="none"/>
                      <w:lang w:eastAsia="zh-CN"/>
                    </w:rPr>
                    <w:t>）</w:t>
                  </w:r>
                  <w:r>
                    <w:rPr>
                      <w:rFonts w:hint="eastAsia"/>
                      <w:color w:val="auto"/>
                      <w:spacing w:val="-6"/>
                      <w:sz w:val="21"/>
                      <w:highlight w:val="none"/>
                      <w:lang w:val="en-US" w:eastAsia="zh-CN"/>
                    </w:rPr>
                    <w:t>收集后回用于混凝土搅拌工序</w:t>
                  </w:r>
                  <w:r>
                    <w:rPr>
                      <w:rFonts w:hint="eastAsia"/>
                      <w:color w:val="auto"/>
                      <w:spacing w:val="-6"/>
                      <w:sz w:val="21"/>
                      <w:highlight w:val="none"/>
                      <w:lang w:eastAsia="zh-CN"/>
                    </w:rPr>
                    <w:t>；</w:t>
                  </w:r>
                  <w:r>
                    <w:rPr>
                      <w:rFonts w:hint="eastAsia"/>
                      <w:color w:val="auto"/>
                      <w:spacing w:val="-6"/>
                      <w:sz w:val="21"/>
                      <w:highlight w:val="none"/>
                      <w:lang w:val="en-US" w:eastAsia="zh-CN"/>
                    </w:rPr>
                    <w:t>设备清洗废水回用于搅拌工序，车辆冲洗废水循环使用，生产废水不外排。上述防治措施可有效防止污染物料排入地表水体。</w:t>
                  </w:r>
                </w:p>
              </w:tc>
              <w:tc>
                <w:tcPr>
                  <w:tcW w:w="453" w:type="pct"/>
                  <w:tcBorders>
                    <w:tl2br w:val="nil"/>
                    <w:tr2bl w:val="nil"/>
                  </w:tcBorders>
                  <w:noWrap w:val="0"/>
                  <w:vAlign w:val="center"/>
                </w:tcPr>
                <w:p w14:paraId="43C3EFDB">
                  <w:pPr>
                    <w:pStyle w:val="40"/>
                    <w:bidi w:val="0"/>
                    <w:rPr>
                      <w:rFonts w:hint="eastAsia"/>
                      <w:color w:val="auto"/>
                      <w:spacing w:val="0"/>
                      <w:highlight w:val="none"/>
                      <w:lang w:val="zh-CN"/>
                    </w:rPr>
                  </w:pPr>
                  <w:r>
                    <w:rPr>
                      <w:rFonts w:hint="eastAsia"/>
                      <w:color w:val="auto"/>
                      <w:spacing w:val="0"/>
                      <w:highlight w:val="none"/>
                      <w:lang w:val="zh-CN"/>
                    </w:rPr>
                    <w:t>符合</w:t>
                  </w:r>
                </w:p>
              </w:tc>
            </w:tr>
            <w:tr w14:paraId="2AD6BE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8" w:hRule="atLeast"/>
                <w:jc w:val="center"/>
              </w:trPr>
              <w:tc>
                <w:tcPr>
                  <w:tcW w:w="2164" w:type="pct"/>
                  <w:tcBorders>
                    <w:tl2br w:val="nil"/>
                    <w:tr2bl w:val="nil"/>
                  </w:tcBorders>
                  <w:noWrap w:val="0"/>
                  <w:vAlign w:val="center"/>
                </w:tcPr>
                <w:p w14:paraId="606BA5A8">
                  <w:pPr>
                    <w:pStyle w:val="40"/>
                    <w:bidi w:val="0"/>
                    <w:rPr>
                      <w:rFonts w:hint="eastAsia" w:eastAsia="宋体"/>
                      <w:color w:val="auto"/>
                      <w:spacing w:val="0"/>
                      <w:highlight w:val="none"/>
                      <w:lang w:val="zh-CN" w:eastAsia="zh-CN"/>
                    </w:rPr>
                  </w:pPr>
                  <w:r>
                    <w:rPr>
                      <w:rFonts w:hint="eastAsia"/>
                      <w:color w:val="auto"/>
                      <w:spacing w:val="0"/>
                      <w:highlight w:val="none"/>
                    </w:rPr>
                    <w:t>地下水污染防治措施：严格按照国家相关规范要求，对工艺、管道、设备、污水储存及处理构筑物采取相应的措施，以防止和降低污染物的跑、冒、滴、漏，将污染物泄漏的环境风险事故降低到最低程度</w:t>
                  </w:r>
                  <w:r>
                    <w:rPr>
                      <w:rFonts w:hint="eastAsia"/>
                      <w:color w:val="auto"/>
                      <w:spacing w:val="0"/>
                      <w:highlight w:val="none"/>
                      <w:lang w:eastAsia="zh-CN"/>
                    </w:rPr>
                    <w:t>。</w:t>
                  </w:r>
                </w:p>
              </w:tc>
              <w:tc>
                <w:tcPr>
                  <w:tcW w:w="2381" w:type="pct"/>
                  <w:tcBorders>
                    <w:tl2br w:val="nil"/>
                    <w:tr2bl w:val="nil"/>
                  </w:tcBorders>
                  <w:noWrap w:val="0"/>
                  <w:vAlign w:val="center"/>
                </w:tcPr>
                <w:p w14:paraId="0D576A87">
                  <w:pPr>
                    <w:pStyle w:val="40"/>
                    <w:bidi w:val="0"/>
                    <w:jc w:val="center"/>
                    <w:rPr>
                      <w:rFonts w:hint="eastAsia"/>
                      <w:color w:val="auto"/>
                      <w:spacing w:val="0"/>
                      <w:highlight w:val="none"/>
                      <w:lang w:val="en-US" w:eastAsia="zh-CN"/>
                    </w:rPr>
                  </w:pPr>
                  <w:r>
                    <w:rPr>
                      <w:rFonts w:hint="eastAsia"/>
                      <w:color w:val="auto"/>
                      <w:spacing w:val="-6"/>
                      <w:sz w:val="21"/>
                      <w:highlight w:val="none"/>
                      <w:lang w:val="zh-TW"/>
                    </w:rPr>
                    <w:t>项目</w:t>
                  </w:r>
                  <w:r>
                    <w:rPr>
                      <w:rFonts w:hint="eastAsia"/>
                      <w:color w:val="auto"/>
                      <w:spacing w:val="-6"/>
                      <w:sz w:val="21"/>
                      <w:highlight w:val="none"/>
                      <w:lang w:val="zh-TW" w:eastAsia="zh-CN"/>
                    </w:rPr>
                    <w:t>采取分区防控措施：</w:t>
                  </w:r>
                  <w:r>
                    <w:rPr>
                      <w:rFonts w:hint="eastAsia"/>
                      <w:color w:val="auto"/>
                      <w:spacing w:val="-6"/>
                      <w:sz w:val="21"/>
                      <w:highlight w:val="none"/>
                      <w:lang w:val="zh-TW"/>
                    </w:rPr>
                    <w:t>危废</w:t>
                  </w:r>
                  <w:r>
                    <w:rPr>
                      <w:rFonts w:hint="eastAsia"/>
                      <w:color w:val="auto"/>
                      <w:spacing w:val="-6"/>
                      <w:sz w:val="21"/>
                      <w:highlight w:val="none"/>
                      <w:lang w:val="zh-TW" w:eastAsia="zh-CN"/>
                    </w:rPr>
                    <w:t>贮存点</w:t>
                  </w:r>
                  <w:r>
                    <w:rPr>
                      <w:rFonts w:hint="eastAsia"/>
                      <w:color w:val="auto"/>
                      <w:spacing w:val="-6"/>
                      <w:sz w:val="21"/>
                      <w:highlight w:val="none"/>
                      <w:lang w:val="en-US" w:eastAsia="zh-CN"/>
                    </w:rPr>
                    <w:t>的</w:t>
                  </w:r>
                  <w:r>
                    <w:rPr>
                      <w:rFonts w:hint="default"/>
                      <w:color w:val="auto"/>
                      <w:spacing w:val="-6"/>
                      <w:sz w:val="21"/>
                      <w:highlight w:val="none"/>
                      <w:lang w:val="en-US" w:eastAsia="zh-CN"/>
                    </w:rPr>
                    <w:t>防渗层为至少1m厚黏土层（渗透系数</w:t>
                  </w:r>
                  <w:r>
                    <w:rPr>
                      <w:color w:val="auto"/>
                      <w:spacing w:val="-6"/>
                      <w:sz w:val="21"/>
                      <w:highlight w:val="none"/>
                    </w:rPr>
                    <w:t>≤</w:t>
                  </w:r>
                  <w:r>
                    <w:rPr>
                      <w:rFonts w:hint="default"/>
                      <w:color w:val="auto"/>
                      <w:spacing w:val="-6"/>
                      <w:sz w:val="21"/>
                      <w:highlight w:val="none"/>
                      <w:lang w:val="en-US" w:eastAsia="zh-CN"/>
                    </w:rPr>
                    <w:t>10</w:t>
                  </w:r>
                  <w:r>
                    <w:rPr>
                      <w:rFonts w:hint="default"/>
                      <w:color w:val="auto"/>
                      <w:spacing w:val="-6"/>
                      <w:sz w:val="21"/>
                      <w:highlight w:val="none"/>
                      <w:vertAlign w:val="superscript"/>
                      <w:lang w:val="en-US" w:eastAsia="zh-CN"/>
                    </w:rPr>
                    <w:t>-7</w:t>
                  </w:r>
                  <w:r>
                    <w:rPr>
                      <w:rFonts w:hint="default"/>
                      <w:color w:val="auto"/>
                      <w:spacing w:val="-6"/>
                      <w:sz w:val="21"/>
                      <w:highlight w:val="none"/>
                      <w:lang w:val="en-US" w:eastAsia="zh-CN"/>
                    </w:rPr>
                    <w:t>cm/s），或至少2mm厚高密度聚乙烯膜等人工防渗材料（渗透系数</w:t>
                  </w:r>
                  <w:r>
                    <w:rPr>
                      <w:color w:val="auto"/>
                      <w:spacing w:val="-6"/>
                      <w:sz w:val="21"/>
                      <w:highlight w:val="none"/>
                    </w:rPr>
                    <w:t>≤</w:t>
                  </w:r>
                  <w:r>
                    <w:rPr>
                      <w:rFonts w:hint="default"/>
                      <w:color w:val="auto"/>
                      <w:spacing w:val="-6"/>
                      <w:sz w:val="21"/>
                      <w:highlight w:val="none"/>
                      <w:lang w:val="en-US" w:eastAsia="zh-CN"/>
                    </w:rPr>
                    <w:t>10</w:t>
                  </w:r>
                  <w:r>
                    <w:rPr>
                      <w:rFonts w:hint="default"/>
                      <w:color w:val="auto"/>
                      <w:spacing w:val="-6"/>
                      <w:sz w:val="21"/>
                      <w:highlight w:val="none"/>
                      <w:vertAlign w:val="superscript"/>
                      <w:lang w:val="en-US" w:eastAsia="zh-CN"/>
                    </w:rPr>
                    <w:t>-10</w:t>
                  </w:r>
                  <w:r>
                    <w:rPr>
                      <w:rFonts w:hint="default"/>
                      <w:color w:val="auto"/>
                      <w:spacing w:val="-6"/>
                      <w:sz w:val="21"/>
                      <w:highlight w:val="none"/>
                      <w:lang w:val="en-US" w:eastAsia="zh-CN"/>
                    </w:rPr>
                    <w:t>cm/s）；生产车间、原料棚、添加剂储罐区、初期雨水收集池、沉淀池、三级沉淀池、暂存池、洗车台、机修间、灰渣储库、生物质颗粒储库</w:t>
                  </w:r>
                  <w:r>
                    <w:rPr>
                      <w:rFonts w:hint="eastAsia"/>
                      <w:color w:val="auto"/>
                      <w:spacing w:val="-6"/>
                      <w:sz w:val="21"/>
                      <w:highlight w:val="none"/>
                      <w:lang w:val="zh-TW"/>
                    </w:rPr>
                    <w:t>为一般防渗区</w:t>
                  </w:r>
                  <w:r>
                    <w:rPr>
                      <w:rFonts w:hint="eastAsia"/>
                      <w:color w:val="auto"/>
                      <w:spacing w:val="-6"/>
                      <w:sz w:val="21"/>
                      <w:highlight w:val="none"/>
                      <w:lang w:val="zh-TW" w:eastAsia="zh-CN"/>
                    </w:rPr>
                    <w:t>，防渗要求为</w:t>
                  </w:r>
                  <w:r>
                    <w:rPr>
                      <w:rFonts w:hint="eastAsia"/>
                      <w:color w:val="auto"/>
                      <w:spacing w:val="-6"/>
                      <w:sz w:val="21"/>
                      <w:highlight w:val="none"/>
                    </w:rPr>
                    <w:t>等效黏土防渗层</w:t>
                  </w:r>
                  <w:r>
                    <w:rPr>
                      <w:color w:val="auto"/>
                      <w:spacing w:val="-6"/>
                      <w:sz w:val="21"/>
                      <w:highlight w:val="none"/>
                    </w:rPr>
                    <w:t>M</w:t>
                  </w:r>
                  <w:r>
                    <w:rPr>
                      <w:color w:val="auto"/>
                      <w:spacing w:val="-6"/>
                      <w:sz w:val="21"/>
                      <w:highlight w:val="none"/>
                      <w:vertAlign w:val="subscript"/>
                    </w:rPr>
                    <w:t>b</w:t>
                  </w:r>
                  <w:r>
                    <w:rPr>
                      <w:color w:val="auto"/>
                      <w:spacing w:val="-6"/>
                      <w:sz w:val="21"/>
                      <w:highlight w:val="none"/>
                    </w:rPr>
                    <w:t>≥1.5m，K≤1×10</w:t>
                  </w:r>
                  <w:r>
                    <w:rPr>
                      <w:color w:val="auto"/>
                      <w:spacing w:val="-6"/>
                      <w:sz w:val="21"/>
                      <w:highlight w:val="none"/>
                      <w:vertAlign w:val="superscript"/>
                    </w:rPr>
                    <w:t>-7</w:t>
                  </w:r>
                  <w:r>
                    <w:rPr>
                      <w:color w:val="auto"/>
                      <w:spacing w:val="-6"/>
                      <w:sz w:val="21"/>
                      <w:highlight w:val="none"/>
                    </w:rPr>
                    <w:t>cm/s</w:t>
                  </w:r>
                  <w:r>
                    <w:rPr>
                      <w:rFonts w:hint="eastAsia"/>
                      <w:color w:val="auto"/>
                      <w:spacing w:val="-6"/>
                      <w:sz w:val="21"/>
                      <w:highlight w:val="none"/>
                      <w:lang w:val="zh-TW" w:eastAsia="zh-CN"/>
                    </w:rPr>
                    <w:t>；</w:t>
                  </w:r>
                  <w:r>
                    <w:rPr>
                      <w:rFonts w:hint="eastAsia"/>
                      <w:color w:val="auto"/>
                      <w:spacing w:val="-6"/>
                      <w:sz w:val="21"/>
                      <w:highlight w:val="none"/>
                      <w:lang w:val="en-US" w:eastAsia="zh-CN"/>
                    </w:rPr>
                    <w:t>其他区域</w:t>
                  </w:r>
                  <w:r>
                    <w:rPr>
                      <w:rFonts w:hint="eastAsia"/>
                      <w:color w:val="auto"/>
                      <w:spacing w:val="-6"/>
                      <w:sz w:val="21"/>
                      <w:highlight w:val="none"/>
                      <w:lang w:val="zh-TW"/>
                    </w:rPr>
                    <w:t>为简单防渗区，</w:t>
                  </w:r>
                  <w:r>
                    <w:rPr>
                      <w:rFonts w:hint="eastAsia"/>
                      <w:color w:val="auto"/>
                      <w:spacing w:val="-6"/>
                      <w:sz w:val="21"/>
                      <w:highlight w:val="none"/>
                      <w:lang w:val="zh-TW" w:eastAsia="zh-CN"/>
                    </w:rPr>
                    <w:t>做一般地面硬化。</w:t>
                  </w:r>
                </w:p>
              </w:tc>
              <w:tc>
                <w:tcPr>
                  <w:tcW w:w="453" w:type="pct"/>
                  <w:tcBorders>
                    <w:tl2br w:val="nil"/>
                    <w:tr2bl w:val="nil"/>
                  </w:tcBorders>
                  <w:noWrap w:val="0"/>
                  <w:vAlign w:val="center"/>
                </w:tcPr>
                <w:p w14:paraId="4AF0B850">
                  <w:pPr>
                    <w:pStyle w:val="40"/>
                    <w:bidi w:val="0"/>
                    <w:rPr>
                      <w:rFonts w:hint="eastAsia"/>
                      <w:color w:val="auto"/>
                      <w:spacing w:val="0"/>
                      <w:highlight w:val="none"/>
                      <w:lang w:val="zh-CN"/>
                    </w:rPr>
                  </w:pPr>
                  <w:r>
                    <w:rPr>
                      <w:rFonts w:hint="eastAsia"/>
                      <w:color w:val="auto"/>
                      <w:spacing w:val="0"/>
                      <w:highlight w:val="none"/>
                      <w:lang w:val="zh-CN"/>
                    </w:rPr>
                    <w:t>符合</w:t>
                  </w:r>
                </w:p>
              </w:tc>
            </w:tr>
            <w:tr w14:paraId="5302FD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164" w:type="pct"/>
                  <w:tcBorders>
                    <w:tl2br w:val="nil"/>
                    <w:tr2bl w:val="nil"/>
                  </w:tcBorders>
                  <w:noWrap w:val="0"/>
                  <w:vAlign w:val="center"/>
                </w:tcPr>
                <w:p w14:paraId="3F90C933">
                  <w:pPr>
                    <w:pStyle w:val="40"/>
                    <w:bidi w:val="0"/>
                    <w:rPr>
                      <w:rFonts w:hint="eastAsia"/>
                      <w:color w:val="auto"/>
                      <w:spacing w:val="0"/>
                      <w:highlight w:val="none"/>
                      <w:lang w:val="en-US" w:eastAsia="zh-CN"/>
                    </w:rPr>
                  </w:pPr>
                  <w:r>
                    <w:rPr>
                      <w:rFonts w:hint="eastAsia"/>
                      <w:color w:val="auto"/>
                      <w:spacing w:val="0"/>
                      <w:highlight w:val="none"/>
                    </w:rPr>
                    <w:t>生活垃圾：对园区生活垃圾进行分类收集，可回用的回收利用，不可回用的送至生活垃圾转运站，在转运站集中后送至规划区生活垃圾填埋场填埋处置。</w:t>
                  </w:r>
                </w:p>
              </w:tc>
              <w:tc>
                <w:tcPr>
                  <w:tcW w:w="2381" w:type="pct"/>
                  <w:tcBorders>
                    <w:tl2br w:val="nil"/>
                    <w:tr2bl w:val="nil"/>
                  </w:tcBorders>
                  <w:noWrap w:val="0"/>
                  <w:vAlign w:val="center"/>
                </w:tcPr>
                <w:p w14:paraId="3AE101D9">
                  <w:pPr>
                    <w:pStyle w:val="40"/>
                    <w:bidi w:val="0"/>
                    <w:rPr>
                      <w:rFonts w:hint="default" w:eastAsia="宋体"/>
                      <w:color w:val="auto"/>
                      <w:spacing w:val="0"/>
                      <w:highlight w:val="none"/>
                      <w:lang w:val="en-US" w:eastAsia="zh-CN"/>
                    </w:rPr>
                  </w:pPr>
                  <w:r>
                    <w:rPr>
                      <w:rFonts w:hint="eastAsia"/>
                      <w:color w:val="auto"/>
                      <w:spacing w:val="0"/>
                      <w:highlight w:val="none"/>
                      <w:lang w:val="en-US" w:eastAsia="zh-CN"/>
                    </w:rPr>
                    <w:t>厂区设垃圾桶，</w:t>
                  </w:r>
                  <w:r>
                    <w:rPr>
                      <w:rFonts w:hint="eastAsia"/>
                      <w:color w:val="auto"/>
                      <w:spacing w:val="0"/>
                      <w:highlight w:val="none"/>
                    </w:rPr>
                    <w:t>生活垃圾</w:t>
                  </w:r>
                  <w:r>
                    <w:rPr>
                      <w:rFonts w:hint="eastAsia"/>
                      <w:color w:val="auto"/>
                      <w:spacing w:val="0"/>
                      <w:highlight w:val="none"/>
                      <w:lang w:val="en-US" w:eastAsia="zh-CN"/>
                    </w:rPr>
                    <w:t>分类</w:t>
                  </w:r>
                  <w:r>
                    <w:rPr>
                      <w:color w:val="auto"/>
                      <w:spacing w:val="0"/>
                      <w:highlight w:val="none"/>
                    </w:rPr>
                    <w:t>收集后</w:t>
                  </w:r>
                  <w:r>
                    <w:rPr>
                      <w:rFonts w:hint="eastAsia"/>
                      <w:color w:val="auto"/>
                      <w:spacing w:val="0"/>
                      <w:highlight w:val="none"/>
                      <w:lang w:val="en-US" w:eastAsia="zh-CN"/>
                    </w:rPr>
                    <w:t>交由环卫部门处置。</w:t>
                  </w:r>
                </w:p>
              </w:tc>
              <w:tc>
                <w:tcPr>
                  <w:tcW w:w="453" w:type="pct"/>
                  <w:tcBorders>
                    <w:tl2br w:val="nil"/>
                    <w:tr2bl w:val="nil"/>
                  </w:tcBorders>
                  <w:noWrap w:val="0"/>
                  <w:vAlign w:val="center"/>
                </w:tcPr>
                <w:p w14:paraId="26E55DAD">
                  <w:pPr>
                    <w:pStyle w:val="40"/>
                    <w:bidi w:val="0"/>
                    <w:rPr>
                      <w:rFonts w:hint="eastAsia"/>
                      <w:color w:val="auto"/>
                      <w:spacing w:val="0"/>
                      <w:highlight w:val="none"/>
                    </w:rPr>
                  </w:pPr>
                  <w:r>
                    <w:rPr>
                      <w:rFonts w:hint="eastAsia"/>
                      <w:color w:val="auto"/>
                      <w:spacing w:val="0"/>
                      <w:highlight w:val="none"/>
                      <w:lang w:val="zh-CN"/>
                    </w:rPr>
                    <w:t>符合</w:t>
                  </w:r>
                </w:p>
              </w:tc>
            </w:tr>
            <w:tr w14:paraId="0D004B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164" w:type="pct"/>
                  <w:tcBorders>
                    <w:tl2br w:val="nil"/>
                    <w:tr2bl w:val="nil"/>
                  </w:tcBorders>
                  <w:noWrap w:val="0"/>
                  <w:vAlign w:val="center"/>
                </w:tcPr>
                <w:p w14:paraId="562539A1">
                  <w:pPr>
                    <w:pStyle w:val="40"/>
                    <w:bidi w:val="0"/>
                    <w:rPr>
                      <w:rFonts w:hint="eastAsia"/>
                      <w:color w:val="auto"/>
                      <w:spacing w:val="0"/>
                      <w:highlight w:val="none"/>
                      <w:lang w:val="zh-CN" w:eastAsia="zh-CN"/>
                    </w:rPr>
                  </w:pPr>
                  <w:r>
                    <w:rPr>
                      <w:rFonts w:hint="eastAsia"/>
                      <w:color w:val="auto"/>
                      <w:spacing w:val="-6"/>
                      <w:sz w:val="21"/>
                      <w:highlight w:val="none"/>
                    </w:rPr>
                    <w:t>噪声污染防治措施：通过合理布局，根据工业类型，划定不同声环境功能区，在工业区外围设置绿化带，并与居民区划定合理的防护距离；要求入驻企业厂界噪声达标。</w:t>
                  </w:r>
                </w:p>
              </w:tc>
              <w:tc>
                <w:tcPr>
                  <w:tcW w:w="2381" w:type="pct"/>
                  <w:tcBorders>
                    <w:tl2br w:val="nil"/>
                    <w:tr2bl w:val="nil"/>
                  </w:tcBorders>
                  <w:noWrap w:val="0"/>
                  <w:vAlign w:val="center"/>
                </w:tcPr>
                <w:p w14:paraId="4352BC93">
                  <w:pPr>
                    <w:pStyle w:val="40"/>
                    <w:bidi w:val="0"/>
                    <w:rPr>
                      <w:rFonts w:hint="eastAsia" w:eastAsia="宋体"/>
                      <w:color w:val="auto"/>
                      <w:spacing w:val="0"/>
                      <w:highlight w:val="none"/>
                      <w:lang w:eastAsia="zh-CN"/>
                    </w:rPr>
                  </w:pPr>
                  <w:r>
                    <w:rPr>
                      <w:color w:val="auto"/>
                      <w:spacing w:val="0"/>
                      <w:sz w:val="21"/>
                      <w:szCs w:val="21"/>
                      <w:highlight w:val="none"/>
                    </w:rPr>
                    <w:t>本项目主要为设备噪声</w:t>
                  </w:r>
                  <w:r>
                    <w:rPr>
                      <w:rFonts w:hint="eastAsia"/>
                      <w:color w:val="auto"/>
                      <w:spacing w:val="0"/>
                      <w:sz w:val="21"/>
                      <w:szCs w:val="21"/>
                      <w:highlight w:val="none"/>
                      <w:lang w:eastAsia="zh-CN"/>
                    </w:rPr>
                    <w:t>，</w:t>
                  </w:r>
                  <w:r>
                    <w:rPr>
                      <w:rFonts w:hint="eastAsia"/>
                      <w:color w:val="auto"/>
                      <w:spacing w:val="0"/>
                      <w:sz w:val="21"/>
                      <w:szCs w:val="21"/>
                      <w:highlight w:val="none"/>
                      <w:lang w:val="en-US" w:eastAsia="zh-CN"/>
                    </w:rPr>
                    <w:t>在选取</w:t>
                  </w:r>
                  <w:r>
                    <w:rPr>
                      <w:color w:val="auto"/>
                      <w:spacing w:val="0"/>
                      <w:highlight w:val="none"/>
                    </w:rPr>
                    <w:t>低噪声设备</w:t>
                  </w:r>
                  <w:r>
                    <w:rPr>
                      <w:rFonts w:hint="eastAsia"/>
                      <w:color w:val="auto"/>
                      <w:spacing w:val="0"/>
                      <w:highlight w:val="none"/>
                      <w:lang w:eastAsia="zh-CN"/>
                    </w:rPr>
                    <w:t>、</w:t>
                  </w:r>
                  <w:r>
                    <w:rPr>
                      <w:color w:val="auto"/>
                      <w:spacing w:val="0"/>
                      <w:highlight w:val="none"/>
                    </w:rPr>
                    <w:t>基础</w:t>
                  </w:r>
                  <w:r>
                    <w:rPr>
                      <w:rFonts w:hint="eastAsia"/>
                      <w:color w:val="auto"/>
                      <w:spacing w:val="0"/>
                      <w:highlight w:val="none"/>
                      <w:lang w:eastAsia="zh-CN"/>
                    </w:rPr>
                    <w:t>减振、</w:t>
                  </w:r>
                  <w:r>
                    <w:rPr>
                      <w:rFonts w:hint="eastAsia"/>
                      <w:color w:val="auto"/>
                      <w:spacing w:val="0"/>
                      <w:highlight w:val="none"/>
                      <w:lang w:val="en-US" w:eastAsia="zh-CN"/>
                    </w:rPr>
                    <w:t>厂房</w:t>
                  </w:r>
                  <w:r>
                    <w:rPr>
                      <w:color w:val="auto"/>
                      <w:spacing w:val="0"/>
                      <w:highlight w:val="none"/>
                    </w:rPr>
                    <w:t>隔声</w:t>
                  </w:r>
                  <w:r>
                    <w:rPr>
                      <w:rFonts w:hint="eastAsia"/>
                      <w:color w:val="auto"/>
                      <w:spacing w:val="0"/>
                      <w:highlight w:val="none"/>
                      <w:lang w:eastAsia="zh-CN"/>
                    </w:rPr>
                    <w:t>、</w:t>
                  </w:r>
                  <w:r>
                    <w:rPr>
                      <w:rFonts w:hint="eastAsia"/>
                      <w:color w:val="auto"/>
                      <w:spacing w:val="0"/>
                      <w:highlight w:val="none"/>
                      <w:lang w:val="en-US" w:eastAsia="zh-CN"/>
                    </w:rPr>
                    <w:t>合理布局等措施后</w:t>
                  </w:r>
                  <w:r>
                    <w:rPr>
                      <w:color w:val="auto"/>
                      <w:spacing w:val="0"/>
                      <w:highlight w:val="none"/>
                    </w:rPr>
                    <w:t>，</w:t>
                  </w:r>
                  <w:r>
                    <w:rPr>
                      <w:rFonts w:hint="eastAsia"/>
                      <w:color w:val="auto"/>
                      <w:spacing w:val="0"/>
                      <w:highlight w:val="none"/>
                      <w:lang w:val="en-US" w:eastAsia="zh-CN"/>
                    </w:rPr>
                    <w:t>经预测</w:t>
                  </w:r>
                  <w:r>
                    <w:rPr>
                      <w:color w:val="auto"/>
                      <w:spacing w:val="0"/>
                      <w:highlight w:val="none"/>
                    </w:rPr>
                    <w:t>厂界噪声</w:t>
                  </w:r>
                  <w:r>
                    <w:rPr>
                      <w:rFonts w:hint="eastAsia"/>
                      <w:color w:val="auto"/>
                      <w:spacing w:val="0"/>
                      <w:highlight w:val="none"/>
                      <w:lang w:val="en-US" w:eastAsia="zh-CN"/>
                    </w:rPr>
                    <w:t>可</w:t>
                  </w:r>
                  <w:r>
                    <w:rPr>
                      <w:color w:val="auto"/>
                      <w:spacing w:val="0"/>
                      <w:highlight w:val="none"/>
                    </w:rPr>
                    <w:t>满足3类标准限值要求</w:t>
                  </w:r>
                  <w:r>
                    <w:rPr>
                      <w:rFonts w:hint="eastAsia"/>
                      <w:color w:val="auto"/>
                      <w:spacing w:val="0"/>
                      <w:highlight w:val="none"/>
                      <w:lang w:eastAsia="zh-CN"/>
                    </w:rPr>
                    <w:t>。</w:t>
                  </w:r>
                </w:p>
              </w:tc>
              <w:tc>
                <w:tcPr>
                  <w:tcW w:w="453" w:type="pct"/>
                  <w:tcBorders>
                    <w:tl2br w:val="nil"/>
                    <w:tr2bl w:val="nil"/>
                  </w:tcBorders>
                  <w:noWrap w:val="0"/>
                  <w:vAlign w:val="center"/>
                </w:tcPr>
                <w:p w14:paraId="28D8C917">
                  <w:pPr>
                    <w:pStyle w:val="40"/>
                    <w:bidi w:val="0"/>
                    <w:rPr>
                      <w:rFonts w:hint="eastAsia"/>
                      <w:color w:val="auto"/>
                      <w:spacing w:val="0"/>
                      <w:highlight w:val="none"/>
                      <w:lang w:val="zh-CN"/>
                    </w:rPr>
                  </w:pPr>
                  <w:r>
                    <w:rPr>
                      <w:rFonts w:hint="eastAsia"/>
                      <w:color w:val="auto"/>
                      <w:spacing w:val="0"/>
                      <w:highlight w:val="none"/>
                      <w:lang w:val="zh-CN"/>
                    </w:rPr>
                    <w:t>符合</w:t>
                  </w:r>
                </w:p>
              </w:tc>
            </w:tr>
            <w:tr w14:paraId="305EF8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2164" w:type="pct"/>
                  <w:tcBorders>
                    <w:tl2br w:val="nil"/>
                    <w:tr2bl w:val="nil"/>
                  </w:tcBorders>
                  <w:noWrap w:val="0"/>
                  <w:vAlign w:val="center"/>
                </w:tcPr>
                <w:p w14:paraId="594C29EC">
                  <w:pPr>
                    <w:pStyle w:val="40"/>
                    <w:bidi w:val="0"/>
                    <w:rPr>
                      <w:rFonts w:hint="eastAsia"/>
                      <w:color w:val="auto"/>
                      <w:spacing w:val="0"/>
                      <w:highlight w:val="none"/>
                      <w:lang w:val="zh-CN"/>
                    </w:rPr>
                  </w:pPr>
                  <w:r>
                    <w:rPr>
                      <w:color w:val="auto"/>
                      <w:spacing w:val="0"/>
                      <w:highlight w:val="none"/>
                    </w:rPr>
                    <w:t>危险废物在规划区内临时堆放时，必须做好防渗、防水等措施，临时堆放场所建设应满足《危险废物贮存污染控制标准》（GB</w:t>
                  </w:r>
                  <w:r>
                    <w:rPr>
                      <w:rFonts w:hint="eastAsia"/>
                      <w:color w:val="auto"/>
                      <w:spacing w:val="0"/>
                      <w:highlight w:val="none"/>
                      <w:lang w:val="en-US" w:eastAsia="zh-CN"/>
                    </w:rPr>
                    <w:t xml:space="preserve"> </w:t>
                  </w:r>
                  <w:r>
                    <w:rPr>
                      <w:color w:val="auto"/>
                      <w:spacing w:val="0"/>
                      <w:highlight w:val="none"/>
                    </w:rPr>
                    <w:t>18597-2001）等有关要求。</w:t>
                  </w:r>
                </w:p>
              </w:tc>
              <w:tc>
                <w:tcPr>
                  <w:tcW w:w="2381" w:type="pct"/>
                  <w:tcBorders>
                    <w:tl2br w:val="nil"/>
                    <w:tr2bl w:val="nil"/>
                  </w:tcBorders>
                  <w:noWrap w:val="0"/>
                  <w:vAlign w:val="center"/>
                </w:tcPr>
                <w:p w14:paraId="0DFD5C68">
                  <w:pPr>
                    <w:pStyle w:val="40"/>
                    <w:bidi w:val="0"/>
                    <w:rPr>
                      <w:rFonts w:hint="eastAsia" w:eastAsia="宋体"/>
                      <w:color w:val="auto"/>
                      <w:spacing w:val="0"/>
                      <w:highlight w:val="none"/>
                      <w:lang w:eastAsia="zh-CN"/>
                    </w:rPr>
                  </w:pPr>
                  <w:r>
                    <w:rPr>
                      <w:rFonts w:hint="eastAsia"/>
                      <w:color w:val="auto"/>
                      <w:spacing w:val="0"/>
                      <w:sz w:val="21"/>
                      <w:highlight w:val="none"/>
                    </w:rPr>
                    <w:t>本</w:t>
                  </w:r>
                  <w:r>
                    <w:rPr>
                      <w:color w:val="auto"/>
                      <w:spacing w:val="0"/>
                      <w:sz w:val="21"/>
                      <w:highlight w:val="none"/>
                    </w:rPr>
                    <w:t>项目拟建</w:t>
                  </w:r>
                  <w:r>
                    <w:rPr>
                      <w:rFonts w:hint="eastAsia"/>
                      <w:color w:val="auto"/>
                      <w:spacing w:val="0"/>
                      <w:sz w:val="21"/>
                      <w:highlight w:val="none"/>
                      <w:lang w:val="en-US" w:eastAsia="zh-CN"/>
                    </w:rPr>
                    <w:t>1处危废贮存点</w:t>
                  </w:r>
                  <w:r>
                    <w:rPr>
                      <w:color w:val="auto"/>
                      <w:spacing w:val="0"/>
                      <w:sz w:val="21"/>
                      <w:highlight w:val="none"/>
                    </w:rPr>
                    <w:t>，</w:t>
                  </w:r>
                  <w:r>
                    <w:rPr>
                      <w:rFonts w:hint="eastAsia"/>
                      <w:color w:val="auto"/>
                      <w:spacing w:val="0"/>
                      <w:sz w:val="21"/>
                      <w:highlight w:val="none"/>
                      <w:lang w:val="en-US" w:eastAsia="zh-CN"/>
                    </w:rPr>
                    <w:t>贮存点</w:t>
                  </w:r>
                  <w:r>
                    <w:rPr>
                      <w:color w:val="auto"/>
                      <w:spacing w:val="0"/>
                      <w:sz w:val="21"/>
                      <w:highlight w:val="none"/>
                    </w:rPr>
                    <w:t>建设满足《危险废物贮存污染控制标准》</w:t>
                  </w:r>
                  <w:r>
                    <w:rPr>
                      <w:color w:val="auto"/>
                      <w:spacing w:val="-6"/>
                      <w:sz w:val="21"/>
                      <w:highlight w:val="none"/>
                    </w:rPr>
                    <w:t>（GB</w:t>
                  </w:r>
                  <w:r>
                    <w:rPr>
                      <w:rFonts w:hint="eastAsia"/>
                      <w:color w:val="auto"/>
                      <w:spacing w:val="-6"/>
                      <w:sz w:val="21"/>
                      <w:highlight w:val="none"/>
                      <w:lang w:val="en-US" w:eastAsia="zh-CN"/>
                    </w:rPr>
                    <w:t xml:space="preserve"> </w:t>
                  </w:r>
                  <w:r>
                    <w:rPr>
                      <w:color w:val="auto"/>
                      <w:spacing w:val="-6"/>
                      <w:sz w:val="21"/>
                      <w:highlight w:val="none"/>
                    </w:rPr>
                    <w:t>18597-20</w:t>
                  </w:r>
                  <w:r>
                    <w:rPr>
                      <w:rFonts w:hint="eastAsia"/>
                      <w:color w:val="auto"/>
                      <w:spacing w:val="-6"/>
                      <w:sz w:val="21"/>
                      <w:highlight w:val="none"/>
                    </w:rPr>
                    <w:t>23</w:t>
                  </w:r>
                  <w:r>
                    <w:rPr>
                      <w:color w:val="auto"/>
                      <w:spacing w:val="-6"/>
                      <w:sz w:val="21"/>
                      <w:highlight w:val="none"/>
                    </w:rPr>
                    <w:t>）要求，废机油由专用收集容器收集后暂存</w:t>
                  </w:r>
                  <w:r>
                    <w:rPr>
                      <w:rFonts w:hint="eastAsia"/>
                      <w:color w:val="auto"/>
                      <w:spacing w:val="-6"/>
                      <w:sz w:val="21"/>
                      <w:highlight w:val="none"/>
                      <w:lang w:val="en-US" w:eastAsia="zh-CN"/>
                    </w:rPr>
                    <w:t>在贮存点</w:t>
                  </w:r>
                  <w:r>
                    <w:rPr>
                      <w:color w:val="auto"/>
                      <w:spacing w:val="-6"/>
                      <w:sz w:val="21"/>
                      <w:highlight w:val="none"/>
                    </w:rPr>
                    <w:t>，委托有资质单位处置，处置率100%</w:t>
                  </w:r>
                  <w:r>
                    <w:rPr>
                      <w:rFonts w:hint="eastAsia"/>
                      <w:color w:val="auto"/>
                      <w:spacing w:val="-6"/>
                      <w:sz w:val="21"/>
                      <w:highlight w:val="none"/>
                      <w:lang w:eastAsia="zh-CN"/>
                    </w:rPr>
                    <w:t>。</w:t>
                  </w:r>
                </w:p>
              </w:tc>
              <w:tc>
                <w:tcPr>
                  <w:tcW w:w="453" w:type="pct"/>
                  <w:tcBorders>
                    <w:tl2br w:val="nil"/>
                    <w:tr2bl w:val="nil"/>
                  </w:tcBorders>
                  <w:noWrap w:val="0"/>
                  <w:vAlign w:val="center"/>
                </w:tcPr>
                <w:p w14:paraId="00D2B0EF">
                  <w:pPr>
                    <w:pStyle w:val="40"/>
                    <w:bidi w:val="0"/>
                    <w:rPr>
                      <w:rFonts w:hint="eastAsia"/>
                      <w:color w:val="auto"/>
                      <w:spacing w:val="0"/>
                      <w:highlight w:val="none"/>
                      <w:lang w:val="zh-CN"/>
                    </w:rPr>
                  </w:pPr>
                  <w:r>
                    <w:rPr>
                      <w:rFonts w:hint="eastAsia"/>
                      <w:color w:val="auto"/>
                      <w:spacing w:val="0"/>
                      <w:highlight w:val="none"/>
                      <w:lang w:val="zh-CN"/>
                    </w:rPr>
                    <w:t>符合</w:t>
                  </w:r>
                </w:p>
              </w:tc>
            </w:tr>
            <w:tr w14:paraId="720D79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5" w:hRule="atLeast"/>
                <w:jc w:val="center"/>
              </w:trPr>
              <w:tc>
                <w:tcPr>
                  <w:tcW w:w="2164" w:type="pct"/>
                  <w:tcBorders>
                    <w:tl2br w:val="nil"/>
                    <w:tr2bl w:val="nil"/>
                  </w:tcBorders>
                  <w:noWrap w:val="0"/>
                  <w:vAlign w:val="center"/>
                </w:tcPr>
                <w:p w14:paraId="5BF38AFE">
                  <w:pPr>
                    <w:pStyle w:val="40"/>
                    <w:bidi w:val="0"/>
                    <w:rPr>
                      <w:color w:val="auto"/>
                      <w:spacing w:val="0"/>
                      <w:highlight w:val="none"/>
                    </w:rPr>
                  </w:pPr>
                  <w:r>
                    <w:rPr>
                      <w:rFonts w:hint="default" w:ascii="Times New Roman" w:hAnsi="Times New Roman" w:cs="Times New Roman"/>
                      <w:color w:val="auto"/>
                      <w:spacing w:val="0"/>
                      <w:highlight w:val="none"/>
                    </w:rPr>
                    <w:t>环境准入负面清单如下：①不符合国家和地方产业政策的项目禁止进入园区；②国家明令淘汰的落后生产能力、工艺和产品禁止进入园区；③不符合规划区及各产业园区产业定位、污染排放较大的行业禁止进入园区；④存在严重污染，且不能达标排放的项目禁止进入园区；⑤不满足本次规划环评评价指标体系的项目禁止进入园区。</w:t>
                  </w:r>
                </w:p>
              </w:tc>
              <w:tc>
                <w:tcPr>
                  <w:tcW w:w="2381" w:type="pct"/>
                  <w:tcBorders>
                    <w:tl2br w:val="nil"/>
                    <w:tr2bl w:val="nil"/>
                  </w:tcBorders>
                  <w:noWrap w:val="0"/>
                  <w:vAlign w:val="center"/>
                </w:tcPr>
                <w:p w14:paraId="1252D655">
                  <w:pPr>
                    <w:pStyle w:val="40"/>
                    <w:bidi w:val="0"/>
                    <w:rPr>
                      <w:rFonts w:hint="eastAsia"/>
                      <w:color w:val="auto"/>
                      <w:spacing w:val="-6"/>
                      <w:sz w:val="21"/>
                      <w:highlight w:val="none"/>
                      <w:lang w:val="en-US" w:eastAsia="zh-CN"/>
                    </w:rPr>
                  </w:pPr>
                  <w:r>
                    <w:rPr>
                      <w:rFonts w:hint="eastAsia"/>
                      <w:color w:val="auto"/>
                      <w:spacing w:val="0"/>
                      <w:highlight w:val="none"/>
                      <w:lang w:eastAsia="zh-CN"/>
                    </w:rPr>
                    <w:t>项目建设符合</w:t>
                  </w:r>
                  <w:r>
                    <w:rPr>
                      <w:rFonts w:hint="eastAsia"/>
                      <w:color w:val="auto"/>
                      <w:spacing w:val="0"/>
                      <w:highlight w:val="none"/>
                    </w:rPr>
                    <w:t>国家和地方产业政策</w:t>
                  </w:r>
                  <w:r>
                    <w:rPr>
                      <w:rFonts w:hint="eastAsia"/>
                      <w:color w:val="auto"/>
                      <w:spacing w:val="0"/>
                      <w:highlight w:val="none"/>
                      <w:lang w:eastAsia="zh-CN"/>
                    </w:rPr>
                    <w:t>；</w:t>
                  </w:r>
                  <w:r>
                    <w:rPr>
                      <w:rFonts w:hint="eastAsia"/>
                      <w:color w:val="auto"/>
                      <w:spacing w:val="0"/>
                      <w:highlight w:val="none"/>
                      <w:lang w:val="en-US" w:eastAsia="zh-CN"/>
                    </w:rPr>
                    <w:t>不属于</w:t>
                  </w:r>
                  <w:r>
                    <w:rPr>
                      <w:rFonts w:hint="eastAsia"/>
                      <w:color w:val="auto"/>
                      <w:spacing w:val="0"/>
                      <w:highlight w:val="none"/>
                    </w:rPr>
                    <w:t>淘汰的落后生产能力、工艺和产品</w:t>
                  </w:r>
                  <w:r>
                    <w:rPr>
                      <w:rFonts w:hint="eastAsia"/>
                      <w:color w:val="auto"/>
                      <w:spacing w:val="0"/>
                      <w:highlight w:val="none"/>
                      <w:lang w:eastAsia="zh-CN"/>
                    </w:rPr>
                    <w:t>；</w:t>
                  </w:r>
                  <w:r>
                    <w:rPr>
                      <w:rFonts w:hint="eastAsia"/>
                      <w:color w:val="auto"/>
                      <w:highlight w:val="none"/>
                      <w:lang w:val="en-US" w:eastAsia="zh-CN"/>
                    </w:rPr>
                    <w:t>府谷高新技术产业开发区管理委员会已出具准予入园的函，明确该项目符合府谷高新技术产业开发区总体规划要求</w:t>
                  </w:r>
                  <w:r>
                    <w:rPr>
                      <w:rFonts w:hint="eastAsia"/>
                      <w:color w:val="auto"/>
                      <w:spacing w:val="0"/>
                      <w:highlight w:val="none"/>
                      <w:lang w:eastAsia="zh-CN"/>
                    </w:rPr>
                    <w:t>（</w:t>
                  </w:r>
                  <w:r>
                    <w:rPr>
                      <w:rFonts w:hint="eastAsia"/>
                      <w:color w:val="auto"/>
                      <w:spacing w:val="0"/>
                      <w:highlight w:val="none"/>
                      <w:lang w:val="en-US" w:eastAsia="zh-CN"/>
                    </w:rPr>
                    <w:t>附件2）</w:t>
                  </w:r>
                  <w:r>
                    <w:rPr>
                      <w:rFonts w:hint="eastAsia"/>
                      <w:color w:val="auto"/>
                      <w:spacing w:val="0"/>
                      <w:highlight w:val="none"/>
                      <w:lang w:eastAsia="zh-CN"/>
                    </w:rPr>
                    <w:t>；项目采取评价提出的环保措施后各项污染物可达标排放；</w:t>
                  </w:r>
                  <w:r>
                    <w:rPr>
                      <w:rFonts w:hint="eastAsia"/>
                      <w:color w:val="auto"/>
                      <w:spacing w:val="0"/>
                      <w:highlight w:val="none"/>
                      <w:lang w:val="en-US" w:eastAsia="zh-CN"/>
                    </w:rPr>
                    <w:t>本项目粉煤灰、炉渣、镁渣、脱硫石膏等原料均来源于园区内项目产生的固废，两条生产线的产品外售，有利于园区实现工业固废的减量化、再利</w:t>
                  </w:r>
                  <w:r>
                    <w:rPr>
                      <w:rFonts w:hint="eastAsia"/>
                      <w:color w:val="auto"/>
                      <w:spacing w:val="-6"/>
                      <w:sz w:val="21"/>
                      <w:highlight w:val="none"/>
                      <w:lang w:val="en-US" w:eastAsia="zh-CN"/>
                    </w:rPr>
                    <w:t>用、再循环</w:t>
                  </w:r>
                  <w:r>
                    <w:rPr>
                      <w:rFonts w:hint="eastAsia"/>
                      <w:color w:val="auto"/>
                      <w:spacing w:val="-6"/>
                      <w:sz w:val="21"/>
                      <w:highlight w:val="none"/>
                      <w:lang w:val="zh-CN"/>
                    </w:rPr>
                    <w:t>；</w:t>
                  </w:r>
                  <w:r>
                    <w:rPr>
                      <w:color w:val="auto"/>
                      <w:spacing w:val="-6"/>
                      <w:sz w:val="21"/>
                      <w:highlight w:val="none"/>
                    </w:rPr>
                    <w:t>不涉及环境准入负面清单</w:t>
                  </w:r>
                  <w:r>
                    <w:rPr>
                      <w:rFonts w:hint="eastAsia"/>
                      <w:color w:val="auto"/>
                      <w:spacing w:val="-6"/>
                      <w:sz w:val="21"/>
                      <w:highlight w:val="none"/>
                      <w:lang w:val="en-US" w:eastAsia="zh-CN"/>
                    </w:rPr>
                    <w:t>。</w:t>
                  </w:r>
                </w:p>
              </w:tc>
              <w:tc>
                <w:tcPr>
                  <w:tcW w:w="453" w:type="pct"/>
                  <w:tcBorders>
                    <w:tl2br w:val="nil"/>
                    <w:tr2bl w:val="nil"/>
                  </w:tcBorders>
                  <w:noWrap w:val="0"/>
                  <w:vAlign w:val="center"/>
                </w:tcPr>
                <w:p w14:paraId="6C791254">
                  <w:pPr>
                    <w:pStyle w:val="40"/>
                    <w:bidi w:val="0"/>
                    <w:rPr>
                      <w:rFonts w:hint="eastAsia"/>
                      <w:color w:val="auto"/>
                      <w:spacing w:val="0"/>
                      <w:highlight w:val="none"/>
                      <w:lang w:val="zh-CN"/>
                    </w:rPr>
                  </w:pPr>
                  <w:r>
                    <w:rPr>
                      <w:rFonts w:hint="eastAsia"/>
                      <w:color w:val="auto"/>
                      <w:spacing w:val="0"/>
                      <w:highlight w:val="none"/>
                      <w:lang w:val="zh-CN"/>
                    </w:rPr>
                    <w:t>符合</w:t>
                  </w:r>
                </w:p>
              </w:tc>
            </w:tr>
          </w:tbl>
          <w:p w14:paraId="6A35823D">
            <w:pPr>
              <w:pStyle w:val="7"/>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color w:val="auto"/>
                <w:highlight w:val="none"/>
                <w:lang w:val="en-US" w:eastAsia="zh-CN"/>
              </w:rPr>
            </w:pPr>
            <w:bookmarkStart w:id="2" w:name="_Ref7490"/>
            <w:r>
              <w:rPr>
                <w:color w:val="auto"/>
                <w:highlight w:val="none"/>
              </w:rPr>
              <w:t>表1-</w:t>
            </w:r>
            <w:r>
              <w:rPr>
                <w:color w:val="auto"/>
                <w:highlight w:val="none"/>
              </w:rPr>
              <w:fldChar w:fldCharType="begin"/>
            </w:r>
            <w:r>
              <w:rPr>
                <w:color w:val="auto"/>
                <w:highlight w:val="none"/>
              </w:rPr>
              <w:instrText xml:space="preserve"> SEQ 表1- \* ARABIC </w:instrText>
            </w:r>
            <w:r>
              <w:rPr>
                <w:color w:val="auto"/>
                <w:highlight w:val="none"/>
              </w:rPr>
              <w:fldChar w:fldCharType="separate"/>
            </w:r>
            <w:r>
              <w:rPr>
                <w:color w:val="auto"/>
                <w:highlight w:val="none"/>
              </w:rPr>
              <w:t>3</w:t>
            </w:r>
            <w:r>
              <w:rPr>
                <w:color w:val="auto"/>
                <w:highlight w:val="none"/>
              </w:rPr>
              <w:fldChar w:fldCharType="end"/>
            </w:r>
            <w:bookmarkEnd w:id="2"/>
            <w:r>
              <w:rPr>
                <w:rFonts w:hint="eastAsia"/>
                <w:color w:val="auto"/>
                <w:highlight w:val="none"/>
                <w:lang w:val="en-US" w:eastAsia="zh-CN"/>
              </w:rPr>
              <w:t xml:space="preserve">  </w:t>
            </w:r>
            <w:r>
              <w:rPr>
                <w:rFonts w:hint="eastAsia"/>
                <w:color w:val="auto"/>
                <w:highlight w:val="none"/>
                <w:lang w:val="zh-CN" w:eastAsia="zh-CN"/>
              </w:rPr>
              <w:t>项目与《</w:t>
            </w:r>
            <w:r>
              <w:rPr>
                <w:rFonts w:hint="eastAsia"/>
                <w:color w:val="auto"/>
                <w:highlight w:val="none"/>
                <w:lang w:val="en-US" w:eastAsia="zh-CN"/>
              </w:rPr>
              <w:t>府谷高新技术产业开发区总体规划环境影响报告书</w:t>
            </w:r>
            <w:r>
              <w:rPr>
                <w:rFonts w:hint="eastAsia"/>
                <w:color w:val="auto"/>
                <w:highlight w:val="none"/>
                <w:lang w:val="zh-CN" w:eastAsia="zh-CN"/>
              </w:rPr>
              <w:t>》</w:t>
            </w:r>
            <w:r>
              <w:rPr>
                <w:rFonts w:hint="eastAsia"/>
                <w:color w:val="auto"/>
                <w:highlight w:val="none"/>
                <w:lang w:val="en-US" w:eastAsia="zh-CN"/>
              </w:rPr>
              <w:t>审查意见</w:t>
            </w:r>
            <w:r>
              <w:rPr>
                <w:rFonts w:hint="eastAsia"/>
                <w:color w:val="auto"/>
                <w:highlight w:val="none"/>
                <w:lang w:val="zh-CN" w:eastAsia="zh-CN"/>
              </w:rPr>
              <w:t>的符合性分析</w:t>
            </w:r>
          </w:p>
          <w:tbl>
            <w:tblPr>
              <w:tblStyle w:val="24"/>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555"/>
              <w:gridCol w:w="3106"/>
              <w:gridCol w:w="663"/>
            </w:tblGrid>
            <w:tr w14:paraId="04B791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26" w:type="pct"/>
                  <w:tcBorders>
                    <w:tl2br w:val="nil"/>
                    <w:tr2bl w:val="nil"/>
                  </w:tcBorders>
                  <w:noWrap w:val="0"/>
                  <w:vAlign w:val="center"/>
                </w:tcPr>
                <w:p w14:paraId="15A5C1A0">
                  <w:pPr>
                    <w:pStyle w:val="40"/>
                    <w:bidi w:val="0"/>
                    <w:rPr>
                      <w:rFonts w:hint="eastAsia"/>
                      <w:color w:val="auto"/>
                      <w:highlight w:val="none"/>
                      <w:lang w:val="zh-CN"/>
                    </w:rPr>
                  </w:pPr>
                  <w:r>
                    <w:rPr>
                      <w:rFonts w:hint="eastAsia"/>
                      <w:color w:val="auto"/>
                      <w:highlight w:val="none"/>
                      <w:lang w:val="zh-CN"/>
                    </w:rPr>
                    <w:t>与本项目有关的要求</w:t>
                  </w:r>
                </w:p>
              </w:tc>
              <w:tc>
                <w:tcPr>
                  <w:tcW w:w="2120" w:type="pct"/>
                  <w:tcBorders>
                    <w:tl2br w:val="nil"/>
                    <w:tr2bl w:val="nil"/>
                  </w:tcBorders>
                  <w:noWrap w:val="0"/>
                  <w:vAlign w:val="center"/>
                </w:tcPr>
                <w:p w14:paraId="641E4FC9">
                  <w:pPr>
                    <w:pStyle w:val="40"/>
                    <w:bidi w:val="0"/>
                    <w:rPr>
                      <w:rFonts w:hint="eastAsia"/>
                      <w:color w:val="auto"/>
                      <w:highlight w:val="none"/>
                      <w:lang w:val="zh-CN"/>
                    </w:rPr>
                  </w:pPr>
                  <w:r>
                    <w:rPr>
                      <w:rFonts w:hint="eastAsia"/>
                      <w:color w:val="auto"/>
                      <w:highlight w:val="none"/>
                      <w:lang w:val="zh-CN"/>
                    </w:rPr>
                    <w:t>本项目实施情况</w:t>
                  </w:r>
                </w:p>
              </w:tc>
              <w:tc>
                <w:tcPr>
                  <w:tcW w:w="452" w:type="pct"/>
                  <w:tcBorders>
                    <w:tl2br w:val="nil"/>
                    <w:tr2bl w:val="nil"/>
                  </w:tcBorders>
                  <w:noWrap w:val="0"/>
                  <w:vAlign w:val="center"/>
                </w:tcPr>
                <w:p w14:paraId="0B5229E3">
                  <w:pPr>
                    <w:pStyle w:val="40"/>
                    <w:bidi w:val="0"/>
                    <w:rPr>
                      <w:rFonts w:hint="eastAsia"/>
                      <w:color w:val="auto"/>
                      <w:highlight w:val="none"/>
                      <w:lang w:val="zh-CN"/>
                    </w:rPr>
                  </w:pPr>
                  <w:r>
                    <w:rPr>
                      <w:rFonts w:hint="eastAsia"/>
                      <w:color w:val="auto"/>
                      <w:highlight w:val="none"/>
                      <w:lang w:val="zh-CN"/>
                    </w:rPr>
                    <w:t>符合性</w:t>
                  </w:r>
                </w:p>
              </w:tc>
            </w:tr>
            <w:tr w14:paraId="48C1BD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426" w:type="pct"/>
                  <w:tcBorders>
                    <w:tl2br w:val="nil"/>
                    <w:tr2bl w:val="nil"/>
                  </w:tcBorders>
                  <w:noWrap w:val="0"/>
                  <w:vAlign w:val="center"/>
                </w:tcPr>
                <w:p w14:paraId="07B4FD0C">
                  <w:pPr>
                    <w:pStyle w:val="40"/>
                    <w:bidi w:val="0"/>
                    <w:rPr>
                      <w:rFonts w:hint="eastAsia"/>
                      <w:color w:val="auto"/>
                      <w:highlight w:val="none"/>
                      <w:lang w:val="zh-CN"/>
                    </w:rPr>
                  </w:pPr>
                  <w:r>
                    <w:rPr>
                      <w:rFonts w:hint="eastAsia"/>
                      <w:color w:val="auto"/>
                      <w:highlight w:val="none"/>
                      <w:lang w:val="zh-CN"/>
                    </w:rPr>
                    <w:t>优化循环经济产业链，提高固废综合利用率。</w:t>
                  </w:r>
                </w:p>
              </w:tc>
              <w:tc>
                <w:tcPr>
                  <w:tcW w:w="2120" w:type="pct"/>
                  <w:tcBorders>
                    <w:tl2br w:val="nil"/>
                    <w:tr2bl w:val="nil"/>
                  </w:tcBorders>
                  <w:noWrap w:val="0"/>
                  <w:vAlign w:val="center"/>
                </w:tcPr>
                <w:p w14:paraId="07CF7E62">
                  <w:pPr>
                    <w:pStyle w:val="40"/>
                    <w:bidi w:val="0"/>
                    <w:rPr>
                      <w:rFonts w:hint="eastAsia"/>
                      <w:color w:val="auto"/>
                      <w:highlight w:val="none"/>
                      <w:lang w:val="zh-CN"/>
                    </w:rPr>
                  </w:pPr>
                  <w:r>
                    <w:rPr>
                      <w:rFonts w:hint="eastAsia"/>
                      <w:color w:val="auto"/>
                      <w:highlight w:val="none"/>
                    </w:rPr>
                    <w:t>本项目属于</w:t>
                  </w:r>
                  <w:r>
                    <w:rPr>
                      <w:rFonts w:hint="eastAsia"/>
                      <w:color w:val="auto"/>
                      <w:highlight w:val="none"/>
                      <w:lang w:val="zh-CN"/>
                    </w:rPr>
                    <w:t>固废综合利用</w:t>
                  </w:r>
                  <w:r>
                    <w:rPr>
                      <w:rFonts w:hint="eastAsia"/>
                      <w:color w:val="auto"/>
                      <w:highlight w:val="none"/>
                    </w:rPr>
                    <w:t>类项目，可</w:t>
                  </w:r>
                  <w:r>
                    <w:rPr>
                      <w:rFonts w:hint="eastAsia"/>
                      <w:color w:val="auto"/>
                      <w:highlight w:val="none"/>
                      <w:lang w:val="zh-CN"/>
                    </w:rPr>
                    <w:t>优化循环经济产业链，提高了固废综合利用率。</w:t>
                  </w:r>
                </w:p>
              </w:tc>
              <w:tc>
                <w:tcPr>
                  <w:tcW w:w="452" w:type="pct"/>
                  <w:tcBorders>
                    <w:tl2br w:val="nil"/>
                    <w:tr2bl w:val="nil"/>
                  </w:tcBorders>
                  <w:noWrap w:val="0"/>
                  <w:vAlign w:val="center"/>
                </w:tcPr>
                <w:p w14:paraId="2613E1E1">
                  <w:pPr>
                    <w:pStyle w:val="40"/>
                    <w:bidi w:val="0"/>
                    <w:rPr>
                      <w:rFonts w:hint="eastAsia"/>
                      <w:color w:val="auto"/>
                      <w:highlight w:val="none"/>
                      <w:lang w:val="zh-CN"/>
                    </w:rPr>
                  </w:pPr>
                  <w:r>
                    <w:rPr>
                      <w:rFonts w:hint="eastAsia"/>
                      <w:color w:val="auto"/>
                      <w:highlight w:val="none"/>
                      <w:lang w:val="zh-CN"/>
                    </w:rPr>
                    <w:t>符合</w:t>
                  </w:r>
                </w:p>
              </w:tc>
            </w:tr>
            <w:tr w14:paraId="38ABD0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2426" w:type="pct"/>
                  <w:tcBorders>
                    <w:tl2br w:val="nil"/>
                    <w:tr2bl w:val="nil"/>
                  </w:tcBorders>
                  <w:noWrap w:val="0"/>
                  <w:vAlign w:val="center"/>
                </w:tcPr>
                <w:p w14:paraId="4D560EC3">
                  <w:pPr>
                    <w:pStyle w:val="40"/>
                    <w:bidi w:val="0"/>
                    <w:rPr>
                      <w:rFonts w:hint="eastAsia"/>
                      <w:color w:val="auto"/>
                      <w:highlight w:val="none"/>
                      <w:lang w:val="zh-CN"/>
                    </w:rPr>
                  </w:pPr>
                  <w:r>
                    <w:rPr>
                      <w:rFonts w:hint="eastAsia"/>
                      <w:color w:val="auto"/>
                      <w:spacing w:val="0"/>
                      <w:sz w:val="21"/>
                      <w:highlight w:val="none"/>
                      <w:lang w:val="zh-CN"/>
                    </w:rPr>
                    <w:t>实施节水工程，优化规划区取水方案。按照“以水定产”原则引进项目，采取先进节水工艺，实施规划区中水回用工程，减少地下水取用量，严禁煤化工和煤电项目取用地下水。</w:t>
                  </w:r>
                </w:p>
              </w:tc>
              <w:tc>
                <w:tcPr>
                  <w:tcW w:w="2120" w:type="pct"/>
                  <w:tcBorders>
                    <w:tl2br w:val="nil"/>
                    <w:tr2bl w:val="nil"/>
                  </w:tcBorders>
                  <w:noWrap w:val="0"/>
                  <w:vAlign w:val="center"/>
                </w:tcPr>
                <w:p w14:paraId="45D499E0">
                  <w:pPr>
                    <w:pStyle w:val="40"/>
                    <w:bidi w:val="0"/>
                    <w:rPr>
                      <w:rFonts w:hint="default"/>
                      <w:color w:val="auto"/>
                      <w:highlight w:val="none"/>
                      <w:lang w:val="en-US"/>
                    </w:rPr>
                  </w:pPr>
                  <w:r>
                    <w:rPr>
                      <w:rFonts w:hint="eastAsia"/>
                      <w:color w:val="auto"/>
                      <w:highlight w:val="none"/>
                    </w:rPr>
                    <w:t>项目</w:t>
                  </w:r>
                  <w:r>
                    <w:rPr>
                      <w:rFonts w:hint="eastAsia"/>
                      <w:color w:val="auto"/>
                      <w:highlight w:val="none"/>
                      <w:lang w:val="en-US" w:eastAsia="zh-CN"/>
                    </w:rPr>
                    <w:t>水源引自清水川工业园区供水管网，设备清洗废水回用于搅拌工序，车辆冲洗废水循环使用，生产废水不外排；项目不取用地下水。</w:t>
                  </w:r>
                </w:p>
              </w:tc>
              <w:tc>
                <w:tcPr>
                  <w:tcW w:w="452" w:type="pct"/>
                  <w:tcBorders>
                    <w:tl2br w:val="nil"/>
                    <w:tr2bl w:val="nil"/>
                  </w:tcBorders>
                  <w:noWrap w:val="0"/>
                  <w:vAlign w:val="center"/>
                </w:tcPr>
                <w:p w14:paraId="0097D204">
                  <w:pPr>
                    <w:pStyle w:val="40"/>
                    <w:bidi w:val="0"/>
                    <w:rPr>
                      <w:rFonts w:hint="eastAsia"/>
                      <w:color w:val="auto"/>
                      <w:highlight w:val="none"/>
                      <w:lang w:val="zh-CN"/>
                    </w:rPr>
                  </w:pPr>
                  <w:r>
                    <w:rPr>
                      <w:rFonts w:hint="eastAsia"/>
                      <w:color w:val="auto"/>
                      <w:highlight w:val="none"/>
                      <w:lang w:val="zh-CN"/>
                    </w:rPr>
                    <w:t>符合</w:t>
                  </w:r>
                </w:p>
              </w:tc>
            </w:tr>
          </w:tbl>
          <w:p w14:paraId="54559C5E">
            <w:pPr>
              <w:bidi w:val="0"/>
              <w:ind w:left="0" w:leftChars="0" w:firstLine="0" w:firstLineChars="0"/>
              <w:rPr>
                <w:rFonts w:hint="default"/>
                <w:color w:val="auto"/>
                <w:highlight w:val="none"/>
              </w:rPr>
            </w:pPr>
          </w:p>
        </w:tc>
      </w:tr>
      <w:tr w14:paraId="5B6C80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1" w:type="pct"/>
            <w:shd w:val="clear" w:color="auto" w:fill="auto"/>
            <w:noWrap w:val="0"/>
            <w:vAlign w:val="center"/>
          </w:tcPr>
          <w:p w14:paraId="0C082806">
            <w:pPr>
              <w:keepNext w:val="0"/>
              <w:keepLines w:val="0"/>
              <w:pageBreakBefore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rPr>
              <w:t>其他符合性分析</w:t>
            </w:r>
          </w:p>
        </w:tc>
        <w:tc>
          <w:tcPr>
            <w:tcW w:w="4418" w:type="pct"/>
            <w:gridSpan w:val="4"/>
            <w:shd w:val="clear" w:color="auto" w:fill="auto"/>
            <w:noWrap w:val="0"/>
            <w:vAlign w:val="center"/>
          </w:tcPr>
          <w:p w14:paraId="48761EB0">
            <w:pPr>
              <w:pStyle w:val="41"/>
              <w:bidi w:val="0"/>
              <w:rPr>
                <w:rFonts w:hint="default"/>
                <w:color w:val="auto"/>
                <w:highlight w:val="none"/>
                <w:lang w:val="en-US" w:eastAsia="zh-CN"/>
              </w:rPr>
            </w:pPr>
            <w:r>
              <w:rPr>
                <w:rFonts w:hint="eastAsia"/>
                <w:color w:val="auto"/>
                <w:highlight w:val="none"/>
                <w:lang w:val="en-US" w:eastAsia="zh-CN"/>
              </w:rPr>
              <w:t>一、分析判定情况</w:t>
            </w:r>
          </w:p>
          <w:p w14:paraId="39B3C61B">
            <w:pPr>
              <w:pStyle w:val="41"/>
              <w:bidi w:val="0"/>
              <w:rPr>
                <w:rFonts w:hint="eastAsia"/>
                <w:color w:val="auto"/>
                <w:highlight w:val="none"/>
              </w:rPr>
            </w:pPr>
            <w:r>
              <w:rPr>
                <w:rFonts w:hint="eastAsia"/>
                <w:color w:val="auto"/>
                <w:highlight w:val="none"/>
                <w:lang w:val="en-US" w:eastAsia="zh-CN"/>
              </w:rPr>
              <w:t>1、</w:t>
            </w:r>
            <w:r>
              <w:rPr>
                <w:rFonts w:hint="eastAsia"/>
                <w:color w:val="auto"/>
                <w:highlight w:val="none"/>
              </w:rPr>
              <w:t>产业政策符合性分析</w:t>
            </w:r>
          </w:p>
          <w:p w14:paraId="3D7F0CF4">
            <w:pPr>
              <w:bidi w:val="0"/>
              <w:rPr>
                <w:rFonts w:hint="default"/>
                <w:color w:val="auto"/>
                <w:highlight w:val="none"/>
                <w:lang w:val="en-US" w:eastAsia="zh-CN"/>
              </w:rPr>
            </w:pPr>
            <w:r>
              <w:rPr>
                <w:rFonts w:hint="eastAsia"/>
                <w:color w:val="auto"/>
                <w:highlight w:val="none"/>
                <w:lang w:val="en-US" w:eastAsia="zh-CN"/>
              </w:rPr>
              <w:t>根据《产业结构调整指导目录（2024年本）》（国家发展和改革委员会令第7号），本项目属于“鼓励类”中“四十二、环境保护与资源节约综合利用—8.废弃物循环利用”“十二、建材—11.具备消纳工业和城市固废能力的绿色智能化预拌混凝土生产线”。2024年7月16日，府谷县发展改革和科技局审核通过了项目</w:t>
            </w:r>
            <w:r>
              <w:rPr>
                <w:rFonts w:hint="default"/>
                <w:color w:val="auto"/>
                <w:highlight w:val="none"/>
                <w:lang w:val="en-US" w:eastAsia="zh-CN"/>
              </w:rPr>
              <w:t>备案</w:t>
            </w:r>
            <w:r>
              <w:rPr>
                <w:rFonts w:hint="eastAsia"/>
                <w:color w:val="auto"/>
                <w:highlight w:val="none"/>
                <w:lang w:val="en-US" w:eastAsia="zh-CN"/>
              </w:rPr>
              <w:t>（附件3）</w:t>
            </w:r>
            <w:r>
              <w:rPr>
                <w:rFonts w:hint="default"/>
                <w:color w:val="auto"/>
                <w:highlight w:val="none"/>
                <w:lang w:val="en-US" w:eastAsia="zh-CN"/>
              </w:rPr>
              <w:t>，项目代码</w:t>
            </w:r>
            <w:r>
              <w:rPr>
                <w:rFonts w:hint="eastAsia"/>
                <w:color w:val="auto"/>
                <w:highlight w:val="none"/>
                <w:lang w:val="en-US" w:eastAsia="zh-CN"/>
              </w:rPr>
              <w:t>：2407-610822-04-01-907109</w:t>
            </w:r>
            <w:r>
              <w:rPr>
                <w:rFonts w:hint="default"/>
                <w:color w:val="auto"/>
                <w:highlight w:val="none"/>
                <w:lang w:val="en-US" w:eastAsia="zh-CN"/>
              </w:rPr>
              <w:t>。因此，项目符合国家和地方产业政策。</w:t>
            </w:r>
          </w:p>
          <w:p w14:paraId="5C3143EB">
            <w:pPr>
              <w:pStyle w:val="41"/>
              <w:bidi w:val="0"/>
              <w:rPr>
                <w:rFonts w:hint="eastAsia"/>
                <w:color w:val="auto"/>
                <w:highlight w:val="none"/>
                <w:lang w:val="en-US" w:eastAsia="zh-CN"/>
              </w:rPr>
            </w:pPr>
            <w:r>
              <w:rPr>
                <w:rFonts w:hint="eastAsia"/>
                <w:color w:val="auto"/>
                <w:highlight w:val="none"/>
                <w:lang w:val="en-US" w:eastAsia="zh-CN"/>
              </w:rPr>
              <w:t>2、</w:t>
            </w:r>
            <w:r>
              <w:rPr>
                <w:color w:val="auto"/>
                <w:highlight w:val="none"/>
              </w:rPr>
              <w:t>项目</w:t>
            </w:r>
            <w:r>
              <w:rPr>
                <w:rFonts w:hint="eastAsia"/>
                <w:color w:val="auto"/>
                <w:highlight w:val="none"/>
              </w:rPr>
              <w:t>与</w:t>
            </w:r>
            <w:r>
              <w:rPr>
                <w:rFonts w:hint="eastAsia"/>
                <w:color w:val="auto"/>
                <w:highlight w:val="none"/>
                <w:lang w:eastAsia="zh-CN"/>
              </w:rPr>
              <w:t>“</w:t>
            </w:r>
            <w:r>
              <w:rPr>
                <w:color w:val="auto"/>
                <w:highlight w:val="none"/>
              </w:rPr>
              <w:t>三线一单</w:t>
            </w:r>
            <w:r>
              <w:rPr>
                <w:rFonts w:hint="eastAsia"/>
                <w:color w:val="auto"/>
                <w:highlight w:val="none"/>
                <w:lang w:eastAsia="zh-CN"/>
              </w:rPr>
              <w:t>”</w:t>
            </w:r>
            <w:r>
              <w:rPr>
                <w:color w:val="auto"/>
                <w:highlight w:val="none"/>
              </w:rPr>
              <w:t>的符合性分析</w:t>
            </w:r>
          </w:p>
          <w:p w14:paraId="2B4E8493">
            <w:pPr>
              <w:keepNext w:val="0"/>
              <w:keepLines w:val="0"/>
              <w:pageBreakBefore w:val="0"/>
              <w:kinsoku/>
              <w:wordWrap/>
              <w:overflowPunct/>
              <w:topLinePunct w:val="0"/>
              <w:autoSpaceDE/>
              <w:autoSpaceDN/>
              <w:bidi w:val="0"/>
              <w:adjustRightInd/>
              <w:spacing w:line="360" w:lineRule="auto"/>
              <w:textAlignment w:val="auto"/>
              <w:rPr>
                <w:rFonts w:hint="eastAsia"/>
                <w:b/>
                <w:bCs/>
                <w:color w:val="auto"/>
                <w:highlight w:val="none"/>
                <w:lang w:val="en-US" w:eastAsia="zh-CN"/>
              </w:rPr>
            </w:pPr>
            <w:r>
              <w:rPr>
                <w:rFonts w:hint="eastAsia"/>
                <w:b/>
                <w:bCs/>
                <w:color w:val="auto"/>
                <w:highlight w:val="none"/>
                <w:lang w:eastAsia="zh-CN"/>
              </w:rPr>
              <w:t>（</w:t>
            </w:r>
            <w:r>
              <w:rPr>
                <w:rFonts w:hint="eastAsia"/>
                <w:b/>
                <w:bCs/>
                <w:color w:val="auto"/>
                <w:highlight w:val="none"/>
                <w:lang w:val="en-US" w:eastAsia="zh-CN"/>
              </w:rPr>
              <w:t>1）与“三线一单”符合性分析</w:t>
            </w:r>
          </w:p>
          <w:p w14:paraId="37C3787B">
            <w:pPr>
              <w:keepNext w:val="0"/>
              <w:keepLines w:val="0"/>
              <w:pageBreakBefore w:val="0"/>
              <w:kinsoku/>
              <w:wordWrap/>
              <w:overflowPunct/>
              <w:topLinePunct w:val="0"/>
              <w:autoSpaceDE/>
              <w:autoSpaceDN/>
              <w:bidi w:val="0"/>
              <w:adjustRightInd/>
              <w:spacing w:line="360" w:lineRule="auto"/>
              <w:textAlignment w:val="auto"/>
              <w:rPr>
                <w:rFonts w:hint="eastAsia"/>
                <w:color w:val="auto"/>
                <w:highlight w:val="none"/>
                <w:lang w:val="en-US" w:eastAsia="zh-CN"/>
              </w:rPr>
            </w:pPr>
            <w:r>
              <w:rPr>
                <w:rFonts w:hint="eastAsia"/>
                <w:color w:val="auto"/>
                <w:highlight w:val="none"/>
                <w:lang w:val="en-US" w:eastAsia="zh-CN"/>
              </w:rPr>
              <w:t>本项目与“三线一单”符合性分析见</w:t>
            </w:r>
            <w:r>
              <w:rPr>
                <w:rFonts w:hint="eastAsia"/>
                <w:color w:val="auto"/>
                <w:highlight w:val="none"/>
                <w:lang w:val="en-US" w:eastAsia="zh-CN"/>
              </w:rPr>
              <w:fldChar w:fldCharType="begin"/>
            </w:r>
            <w:r>
              <w:rPr>
                <w:rFonts w:hint="eastAsia"/>
                <w:color w:val="auto"/>
                <w:highlight w:val="none"/>
                <w:lang w:val="en-US" w:eastAsia="zh-CN"/>
              </w:rPr>
              <w:instrText xml:space="preserve"> REF _Ref17536 \h </w:instrText>
            </w:r>
            <w:r>
              <w:rPr>
                <w:rFonts w:hint="eastAsia"/>
                <w:color w:val="auto"/>
                <w:highlight w:val="none"/>
                <w:lang w:val="en-US" w:eastAsia="zh-CN"/>
              </w:rPr>
              <w:fldChar w:fldCharType="separate"/>
            </w:r>
            <w:r>
              <w:rPr>
                <w:rFonts w:hint="default"/>
                <w:color w:val="auto"/>
                <w:highlight w:val="none"/>
                <w:lang w:val="en-US" w:eastAsia="zh-CN"/>
              </w:rPr>
              <w:t>表1-4</w:t>
            </w:r>
            <w:r>
              <w:rPr>
                <w:rFonts w:hint="eastAsia"/>
                <w:color w:val="auto"/>
                <w:highlight w:val="none"/>
                <w:lang w:val="en-US" w:eastAsia="zh-CN"/>
              </w:rPr>
              <w:fldChar w:fldCharType="end"/>
            </w:r>
            <w:r>
              <w:rPr>
                <w:rFonts w:hint="eastAsia"/>
                <w:color w:val="auto"/>
                <w:highlight w:val="none"/>
                <w:lang w:val="en-US" w:eastAsia="zh-CN"/>
              </w:rPr>
              <w:t>。</w:t>
            </w:r>
          </w:p>
          <w:p w14:paraId="2BE4F491">
            <w:pPr>
              <w:pStyle w:val="7"/>
              <w:bidi w:val="0"/>
              <w:rPr>
                <w:rFonts w:hint="default"/>
                <w:color w:val="auto"/>
                <w:highlight w:val="none"/>
                <w:lang w:val="en-US" w:eastAsia="zh-CN"/>
              </w:rPr>
            </w:pPr>
            <w:bookmarkStart w:id="3" w:name="_Ref17536"/>
            <w:r>
              <w:rPr>
                <w:rFonts w:hint="default"/>
                <w:color w:val="auto"/>
                <w:highlight w:val="none"/>
                <w:lang w:val="en-US" w:eastAsia="zh-CN"/>
              </w:rPr>
              <w:t>表1-</w:t>
            </w:r>
            <w:r>
              <w:rPr>
                <w:rFonts w:hint="default"/>
                <w:color w:val="auto"/>
                <w:highlight w:val="none"/>
                <w:lang w:val="en-US" w:eastAsia="zh-CN"/>
              </w:rPr>
              <w:fldChar w:fldCharType="begin"/>
            </w:r>
            <w:r>
              <w:rPr>
                <w:rFonts w:hint="default"/>
                <w:color w:val="auto"/>
                <w:highlight w:val="none"/>
                <w:lang w:val="en-US" w:eastAsia="zh-CN"/>
              </w:rPr>
              <w:instrText xml:space="preserve"> SEQ 表1- \* ARABIC </w:instrText>
            </w:r>
            <w:r>
              <w:rPr>
                <w:rFonts w:hint="default"/>
                <w:color w:val="auto"/>
                <w:highlight w:val="none"/>
                <w:lang w:val="en-US" w:eastAsia="zh-CN"/>
              </w:rPr>
              <w:fldChar w:fldCharType="separate"/>
            </w:r>
            <w:r>
              <w:rPr>
                <w:rFonts w:hint="default"/>
                <w:color w:val="auto"/>
                <w:highlight w:val="none"/>
                <w:lang w:val="en-US" w:eastAsia="zh-CN"/>
              </w:rPr>
              <w:t>4</w:t>
            </w:r>
            <w:r>
              <w:rPr>
                <w:rFonts w:hint="default"/>
                <w:color w:val="auto"/>
                <w:highlight w:val="none"/>
                <w:lang w:val="en-US" w:eastAsia="zh-CN"/>
              </w:rPr>
              <w:fldChar w:fldCharType="end"/>
            </w:r>
            <w:bookmarkEnd w:id="3"/>
            <w:r>
              <w:rPr>
                <w:rFonts w:hint="default"/>
                <w:color w:val="auto"/>
                <w:highlight w:val="none"/>
                <w:lang w:val="en-US" w:eastAsia="zh-CN"/>
              </w:rPr>
              <w:t xml:space="preserve">  本项目与</w:t>
            </w:r>
            <w:r>
              <w:rPr>
                <w:rFonts w:hint="eastAsia"/>
                <w:color w:val="auto"/>
                <w:highlight w:val="none"/>
                <w:lang w:val="en-US" w:eastAsia="zh-CN"/>
              </w:rPr>
              <w:t>“</w:t>
            </w:r>
            <w:r>
              <w:rPr>
                <w:rFonts w:hint="default"/>
                <w:color w:val="auto"/>
                <w:highlight w:val="none"/>
                <w:lang w:val="en-US" w:eastAsia="zh-CN"/>
              </w:rPr>
              <w:t>三线一单</w:t>
            </w:r>
            <w:r>
              <w:rPr>
                <w:rFonts w:hint="eastAsia"/>
                <w:color w:val="auto"/>
                <w:highlight w:val="none"/>
                <w:lang w:val="en-US" w:eastAsia="zh-CN"/>
              </w:rPr>
              <w:t>”</w:t>
            </w:r>
            <w:r>
              <w:rPr>
                <w:rFonts w:hint="default"/>
                <w:color w:val="auto"/>
                <w:highlight w:val="none"/>
                <w:lang w:val="en-US" w:eastAsia="zh-CN"/>
              </w:rPr>
              <w:t>符合性分析</w:t>
            </w:r>
          </w:p>
          <w:tbl>
            <w:tblPr>
              <w:tblStyle w:val="25"/>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510"/>
              <w:gridCol w:w="4595"/>
              <w:gridCol w:w="592"/>
            </w:tblGrid>
            <w:tr w14:paraId="0A51ED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6" w:type="pct"/>
                  <w:tcBorders>
                    <w:tl2br w:val="nil"/>
                    <w:tr2bl w:val="nil"/>
                  </w:tcBorders>
                  <w:vAlign w:val="center"/>
                </w:tcPr>
                <w:p w14:paraId="3AA89480">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序号</w:t>
                  </w:r>
                </w:p>
              </w:tc>
              <w:tc>
                <w:tcPr>
                  <w:tcW w:w="1031" w:type="pct"/>
                  <w:tcBorders>
                    <w:tl2br w:val="nil"/>
                    <w:tr2bl w:val="nil"/>
                  </w:tcBorders>
                  <w:vAlign w:val="center"/>
                </w:tcPr>
                <w:p w14:paraId="5D4AE3AB">
                  <w:pPr>
                    <w:pStyle w:val="40"/>
                    <w:bidi w:val="0"/>
                    <w:rPr>
                      <w:rFonts w:hint="eastAsia"/>
                      <w:color w:val="auto"/>
                      <w:spacing w:val="-11"/>
                      <w:sz w:val="21"/>
                      <w:highlight w:val="none"/>
                      <w:lang w:val="en-US" w:eastAsia="zh-CN"/>
                    </w:rPr>
                  </w:pPr>
                  <w:r>
                    <w:rPr>
                      <w:rFonts w:hint="eastAsia"/>
                      <w:color w:val="auto"/>
                      <w:spacing w:val="-11"/>
                      <w:sz w:val="21"/>
                      <w:highlight w:val="none"/>
                      <w:lang w:val="en-US" w:eastAsia="zh-CN"/>
                    </w:rPr>
                    <w:t>“三线一单”</w:t>
                  </w:r>
                </w:p>
                <w:p w14:paraId="7F99F63F">
                  <w:pPr>
                    <w:pStyle w:val="40"/>
                    <w:bidi w:val="0"/>
                    <w:rPr>
                      <w:rFonts w:hint="default"/>
                      <w:color w:val="auto"/>
                      <w:highlight w:val="none"/>
                      <w:lang w:val="en-US" w:eastAsia="zh-CN"/>
                    </w:rPr>
                  </w:pPr>
                  <w:r>
                    <w:rPr>
                      <w:rFonts w:hint="eastAsia"/>
                      <w:color w:val="auto"/>
                      <w:spacing w:val="-11"/>
                      <w:sz w:val="21"/>
                      <w:highlight w:val="none"/>
                      <w:lang w:val="en-US" w:eastAsia="zh-CN"/>
                    </w:rPr>
                    <w:t>内容</w:t>
                  </w:r>
                </w:p>
              </w:tc>
              <w:tc>
                <w:tcPr>
                  <w:tcW w:w="3138" w:type="pct"/>
                  <w:tcBorders>
                    <w:tl2br w:val="nil"/>
                    <w:tr2bl w:val="nil"/>
                  </w:tcBorders>
                  <w:vAlign w:val="center"/>
                </w:tcPr>
                <w:p w14:paraId="2C010766">
                  <w:pPr>
                    <w:pStyle w:val="40"/>
                    <w:bidi w:val="0"/>
                    <w:rPr>
                      <w:rFonts w:hint="default"/>
                      <w:color w:val="auto"/>
                      <w:highlight w:val="none"/>
                      <w:lang w:val="en-US" w:eastAsia="zh-CN"/>
                    </w:rPr>
                  </w:pPr>
                  <w:r>
                    <w:rPr>
                      <w:rFonts w:hint="eastAsia"/>
                      <w:color w:val="auto"/>
                      <w:highlight w:val="none"/>
                      <w:lang w:val="en-US" w:eastAsia="zh-CN"/>
                    </w:rPr>
                    <w:t>本项目情况</w:t>
                  </w:r>
                </w:p>
              </w:tc>
              <w:tc>
                <w:tcPr>
                  <w:tcW w:w="404" w:type="pct"/>
                  <w:tcBorders>
                    <w:tl2br w:val="nil"/>
                    <w:tr2bl w:val="nil"/>
                  </w:tcBorders>
                  <w:vAlign w:val="center"/>
                </w:tcPr>
                <w:p w14:paraId="77D4C5EA">
                  <w:pPr>
                    <w:pStyle w:val="40"/>
                    <w:bidi w:val="0"/>
                    <w:rPr>
                      <w:rFonts w:hint="default"/>
                      <w:color w:val="auto"/>
                      <w:spacing w:val="-11"/>
                      <w:sz w:val="21"/>
                      <w:highlight w:val="none"/>
                      <w:lang w:val="en-US" w:eastAsia="zh-CN"/>
                    </w:rPr>
                  </w:pPr>
                  <w:r>
                    <w:rPr>
                      <w:rFonts w:hint="eastAsia"/>
                      <w:color w:val="auto"/>
                      <w:spacing w:val="-11"/>
                      <w:sz w:val="21"/>
                      <w:highlight w:val="none"/>
                      <w:lang w:val="en-US" w:eastAsia="zh-CN"/>
                    </w:rPr>
                    <w:t>符合性</w:t>
                  </w:r>
                </w:p>
              </w:tc>
            </w:tr>
            <w:tr w14:paraId="38E4A6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6" w:type="pct"/>
                  <w:tcBorders>
                    <w:tl2br w:val="nil"/>
                    <w:tr2bl w:val="nil"/>
                  </w:tcBorders>
                  <w:vAlign w:val="center"/>
                </w:tcPr>
                <w:p w14:paraId="6E275E05">
                  <w:pPr>
                    <w:pStyle w:val="40"/>
                    <w:bidi w:val="0"/>
                    <w:rPr>
                      <w:rFonts w:hint="eastAsia"/>
                      <w:color w:val="auto"/>
                      <w:spacing w:val="-6"/>
                      <w:sz w:val="21"/>
                      <w:highlight w:val="none"/>
                      <w:lang w:val="en-US" w:eastAsia="zh-CN"/>
                    </w:rPr>
                  </w:pPr>
                  <w:r>
                    <w:rPr>
                      <w:rFonts w:hint="eastAsia"/>
                      <w:color w:val="auto"/>
                      <w:spacing w:val="-6"/>
                      <w:sz w:val="21"/>
                      <w:highlight w:val="none"/>
                      <w:lang w:val="en-US" w:eastAsia="zh-CN"/>
                    </w:rPr>
                    <w:t>1</w:t>
                  </w:r>
                </w:p>
              </w:tc>
              <w:tc>
                <w:tcPr>
                  <w:tcW w:w="1031" w:type="pct"/>
                  <w:tcBorders>
                    <w:tl2br w:val="nil"/>
                    <w:tr2bl w:val="nil"/>
                  </w:tcBorders>
                  <w:vAlign w:val="center"/>
                </w:tcPr>
                <w:p w14:paraId="1B722B63">
                  <w:pPr>
                    <w:pStyle w:val="40"/>
                    <w:bidi w:val="0"/>
                    <w:rPr>
                      <w:rFonts w:hint="default"/>
                      <w:color w:val="auto"/>
                      <w:highlight w:val="none"/>
                      <w:lang w:val="en-US" w:eastAsia="zh-CN"/>
                    </w:rPr>
                  </w:pPr>
                  <w:r>
                    <w:rPr>
                      <w:rFonts w:hint="eastAsia"/>
                      <w:color w:val="auto"/>
                      <w:highlight w:val="none"/>
                      <w:lang w:val="en-US" w:eastAsia="zh-CN"/>
                    </w:rPr>
                    <w:t>生态保护红线</w:t>
                  </w:r>
                </w:p>
              </w:tc>
              <w:tc>
                <w:tcPr>
                  <w:tcW w:w="3138" w:type="pct"/>
                  <w:tcBorders>
                    <w:tl2br w:val="nil"/>
                    <w:tr2bl w:val="nil"/>
                  </w:tcBorders>
                  <w:vAlign w:val="center"/>
                </w:tcPr>
                <w:p w14:paraId="28FB5C6A">
                  <w:pPr>
                    <w:pStyle w:val="40"/>
                    <w:bidi w:val="0"/>
                    <w:rPr>
                      <w:rFonts w:hint="eastAsia"/>
                      <w:color w:val="auto"/>
                      <w:sz w:val="21"/>
                      <w:highlight w:val="none"/>
                      <w:lang w:val="en-US" w:eastAsia="zh-CN"/>
                    </w:rPr>
                  </w:pPr>
                  <w:r>
                    <w:rPr>
                      <w:rFonts w:hint="default"/>
                      <w:color w:val="auto"/>
                      <w:sz w:val="21"/>
                      <w:highlight w:val="none"/>
                      <w:lang w:val="en-US"/>
                    </w:rPr>
                    <w:t>项目所在地位于</w:t>
                  </w:r>
                  <w:r>
                    <w:rPr>
                      <w:rFonts w:hint="eastAsia"/>
                      <w:color w:val="auto"/>
                      <w:sz w:val="21"/>
                      <w:highlight w:val="none"/>
                      <w:lang w:val="en-US" w:eastAsia="zh-CN"/>
                    </w:rPr>
                    <w:t>榆林市府谷县清水川工业园区</w:t>
                  </w:r>
                  <w:r>
                    <w:rPr>
                      <w:rFonts w:hint="default"/>
                      <w:color w:val="auto"/>
                      <w:sz w:val="21"/>
                      <w:highlight w:val="none"/>
                      <w:lang w:val="en-US"/>
                    </w:rPr>
                    <w:t>，根据《榆林市投资项目选址</w:t>
                  </w:r>
                  <w:r>
                    <w:rPr>
                      <w:rFonts w:hint="eastAsia"/>
                      <w:color w:val="auto"/>
                      <w:sz w:val="21"/>
                      <w:highlight w:val="none"/>
                      <w:lang w:val="en-US"/>
                    </w:rPr>
                    <w:t>“一张图”</w:t>
                  </w:r>
                  <w:r>
                    <w:rPr>
                      <w:rFonts w:hint="default"/>
                      <w:color w:val="auto"/>
                      <w:sz w:val="21"/>
                      <w:highlight w:val="none"/>
                      <w:lang w:val="en-US"/>
                    </w:rPr>
                    <w:t>控制线检测报告》（2024（4099）号），项目不触及生态保护红线</w:t>
                  </w:r>
                </w:p>
              </w:tc>
              <w:tc>
                <w:tcPr>
                  <w:tcW w:w="404" w:type="pct"/>
                  <w:tcBorders>
                    <w:tl2br w:val="nil"/>
                    <w:tr2bl w:val="nil"/>
                  </w:tcBorders>
                  <w:vAlign w:val="center"/>
                </w:tcPr>
                <w:p w14:paraId="274C254E">
                  <w:pPr>
                    <w:pStyle w:val="40"/>
                    <w:bidi w:val="0"/>
                    <w:rPr>
                      <w:rFonts w:hint="eastAsia"/>
                      <w:color w:val="auto"/>
                      <w:spacing w:val="-11"/>
                      <w:sz w:val="21"/>
                      <w:highlight w:val="none"/>
                      <w:lang w:val="en-US" w:eastAsia="zh-CN"/>
                    </w:rPr>
                  </w:pPr>
                  <w:r>
                    <w:rPr>
                      <w:rFonts w:hint="eastAsia"/>
                      <w:color w:val="auto"/>
                      <w:spacing w:val="-11"/>
                      <w:sz w:val="21"/>
                      <w:highlight w:val="none"/>
                      <w:lang w:val="en-US" w:eastAsia="zh-CN"/>
                    </w:rPr>
                    <w:t>符合</w:t>
                  </w:r>
                </w:p>
              </w:tc>
            </w:tr>
            <w:tr w14:paraId="15DD50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6" w:type="pct"/>
                  <w:tcBorders>
                    <w:tl2br w:val="nil"/>
                    <w:tr2bl w:val="nil"/>
                  </w:tcBorders>
                  <w:vAlign w:val="center"/>
                </w:tcPr>
                <w:p w14:paraId="43ED911A">
                  <w:pPr>
                    <w:pStyle w:val="40"/>
                    <w:bidi w:val="0"/>
                    <w:rPr>
                      <w:rFonts w:hint="eastAsia"/>
                      <w:color w:val="auto"/>
                      <w:spacing w:val="-6"/>
                      <w:sz w:val="21"/>
                      <w:highlight w:val="none"/>
                      <w:lang w:val="en-US" w:eastAsia="zh-CN"/>
                    </w:rPr>
                  </w:pPr>
                  <w:r>
                    <w:rPr>
                      <w:rFonts w:hint="eastAsia"/>
                      <w:color w:val="auto"/>
                      <w:spacing w:val="-6"/>
                      <w:sz w:val="21"/>
                      <w:highlight w:val="none"/>
                      <w:lang w:val="en-US" w:eastAsia="zh-CN"/>
                    </w:rPr>
                    <w:t>2</w:t>
                  </w:r>
                </w:p>
              </w:tc>
              <w:tc>
                <w:tcPr>
                  <w:tcW w:w="1031" w:type="pct"/>
                  <w:tcBorders>
                    <w:tl2br w:val="nil"/>
                    <w:tr2bl w:val="nil"/>
                  </w:tcBorders>
                  <w:vAlign w:val="center"/>
                </w:tcPr>
                <w:p w14:paraId="11B81B0B">
                  <w:pPr>
                    <w:pStyle w:val="40"/>
                    <w:bidi w:val="0"/>
                    <w:rPr>
                      <w:rFonts w:hint="default"/>
                      <w:color w:val="auto"/>
                      <w:highlight w:val="none"/>
                      <w:lang w:val="en-US" w:eastAsia="zh-CN"/>
                    </w:rPr>
                  </w:pPr>
                  <w:r>
                    <w:rPr>
                      <w:rFonts w:hint="eastAsia"/>
                      <w:color w:val="auto"/>
                      <w:highlight w:val="none"/>
                      <w:lang w:val="en-US" w:eastAsia="zh-CN"/>
                    </w:rPr>
                    <w:t>环境质量底线</w:t>
                  </w:r>
                </w:p>
              </w:tc>
              <w:tc>
                <w:tcPr>
                  <w:tcW w:w="3138" w:type="pct"/>
                  <w:tcBorders>
                    <w:tl2br w:val="nil"/>
                    <w:tr2bl w:val="nil"/>
                  </w:tcBorders>
                  <w:vAlign w:val="center"/>
                </w:tcPr>
                <w:p w14:paraId="2929CE42">
                  <w:pPr>
                    <w:pStyle w:val="40"/>
                    <w:bidi w:val="0"/>
                    <w:rPr>
                      <w:rFonts w:hint="eastAsia"/>
                      <w:color w:val="auto"/>
                      <w:sz w:val="21"/>
                      <w:highlight w:val="none"/>
                      <w:lang w:val="en-US" w:eastAsia="zh-CN"/>
                    </w:rPr>
                  </w:pPr>
                  <w:r>
                    <w:rPr>
                      <w:color w:val="auto"/>
                      <w:sz w:val="21"/>
                      <w:highlight w:val="none"/>
                    </w:rPr>
                    <w:t>根据</w:t>
                  </w:r>
                  <w:r>
                    <w:rPr>
                      <w:rFonts w:hint="eastAsia"/>
                      <w:color w:val="auto"/>
                      <w:sz w:val="21"/>
                      <w:highlight w:val="none"/>
                    </w:rPr>
                    <w:t>2023年陕西省环保快报区域常规数据</w:t>
                  </w:r>
                  <w:r>
                    <w:rPr>
                      <w:color w:val="auto"/>
                      <w:sz w:val="21"/>
                      <w:highlight w:val="none"/>
                    </w:rPr>
                    <w:t>及补充监测数据，项目区域环境质量现状良好</w:t>
                  </w:r>
                  <w:r>
                    <w:rPr>
                      <w:rFonts w:hint="eastAsia"/>
                      <w:color w:val="auto"/>
                      <w:sz w:val="21"/>
                      <w:highlight w:val="none"/>
                      <w:lang w:eastAsia="zh-CN"/>
                    </w:rPr>
                    <w:t>。</w:t>
                  </w:r>
                  <w:r>
                    <w:rPr>
                      <w:rFonts w:hint="eastAsia"/>
                      <w:color w:val="auto"/>
                      <w:sz w:val="21"/>
                      <w:highlight w:val="none"/>
                      <w:lang w:val="en-US" w:eastAsia="zh-CN"/>
                    </w:rPr>
                    <w:t>通过环境影响分析，项目施工及运营过程中，采取防尘布覆盖、洒水降尘、设置除尘器等措施，使得扬尘对区域大气环境质量影响较小；</w:t>
                  </w:r>
                  <w:r>
                    <w:rPr>
                      <w:rFonts w:hint="eastAsia"/>
                      <w:color w:val="auto"/>
                      <w:sz w:val="21"/>
                      <w:highlight w:val="none"/>
                    </w:rPr>
                    <w:t>生产废水不外排，回用率达到100%，</w:t>
                  </w:r>
                  <w:r>
                    <w:rPr>
                      <w:rFonts w:hint="eastAsia"/>
                      <w:color w:val="auto"/>
                      <w:highlight w:val="none"/>
                      <w:lang w:val="en-US" w:eastAsia="zh-CN"/>
                    </w:rPr>
                    <w:t>锅炉定排水、蒸汽凝结水和离子交换树脂再生废水</w:t>
                  </w:r>
                  <w:r>
                    <w:rPr>
                      <w:rFonts w:hint="eastAsia"/>
                      <w:color w:val="auto"/>
                      <w:spacing w:val="0"/>
                      <w:sz w:val="21"/>
                      <w:highlight w:val="none"/>
                      <w:lang w:val="en-US" w:eastAsia="zh-CN"/>
                    </w:rPr>
                    <w:t>经暂存池</w:t>
                  </w:r>
                  <w:r>
                    <w:rPr>
                      <w:rFonts w:hint="eastAsia"/>
                      <w:color w:val="auto"/>
                      <w:highlight w:val="none"/>
                      <w:lang w:eastAsia="zh-CN"/>
                    </w:rPr>
                    <w:t>（</w:t>
                  </w:r>
                  <w:r>
                    <w:rPr>
                      <w:rFonts w:hint="eastAsia"/>
                      <w:color w:val="auto"/>
                      <w:highlight w:val="none"/>
                      <w:lang w:val="en-US" w:eastAsia="zh-CN"/>
                    </w:rPr>
                    <w:t>10</w:t>
                  </w:r>
                  <w:r>
                    <w:rPr>
                      <w:rFonts w:hint="eastAsia"/>
                      <w:color w:val="auto"/>
                      <w:highlight w:val="none"/>
                    </w:rPr>
                    <w:t>m</w:t>
                  </w:r>
                  <w:r>
                    <w:rPr>
                      <w:rFonts w:hint="eastAsia"/>
                      <w:color w:val="auto"/>
                      <w:highlight w:val="none"/>
                      <w:vertAlign w:val="superscript"/>
                    </w:rPr>
                    <w:t>3</w:t>
                  </w:r>
                  <w:r>
                    <w:rPr>
                      <w:rFonts w:hint="eastAsia"/>
                      <w:color w:val="auto"/>
                      <w:highlight w:val="none"/>
                      <w:lang w:eastAsia="zh-CN"/>
                    </w:rPr>
                    <w:t>）</w:t>
                  </w:r>
                  <w:r>
                    <w:rPr>
                      <w:rFonts w:hint="eastAsia"/>
                      <w:color w:val="auto"/>
                      <w:spacing w:val="0"/>
                      <w:sz w:val="21"/>
                      <w:highlight w:val="none"/>
                      <w:lang w:val="en-US" w:eastAsia="zh-CN"/>
                    </w:rPr>
                    <w:t>收集后回用于混凝土搅拌工序；</w:t>
                  </w:r>
                  <w:r>
                    <w:rPr>
                      <w:rFonts w:hint="eastAsia"/>
                      <w:color w:val="auto"/>
                      <w:highlight w:val="none"/>
                      <w:lang w:val="en-US" w:eastAsia="zh-CN"/>
                    </w:rPr>
                    <w:t>设置</w:t>
                  </w:r>
                  <w:r>
                    <w:rPr>
                      <w:rFonts w:hint="eastAsia"/>
                      <w:color w:val="auto"/>
                      <w:highlight w:val="none"/>
                    </w:rPr>
                    <w:t>卫生防渗旱厕，</w:t>
                  </w:r>
                  <w:r>
                    <w:rPr>
                      <w:color w:val="auto"/>
                      <w:highlight w:val="none"/>
                    </w:rPr>
                    <w:t>定期清掏外运用作农肥</w:t>
                  </w:r>
                  <w:r>
                    <w:rPr>
                      <w:rFonts w:hint="eastAsia"/>
                      <w:color w:val="auto"/>
                      <w:highlight w:val="none"/>
                    </w:rPr>
                    <w:t>，</w:t>
                  </w:r>
                  <w:r>
                    <w:rPr>
                      <w:color w:val="auto"/>
                      <w:highlight w:val="none"/>
                    </w:rPr>
                    <w:t>不外排</w:t>
                  </w:r>
                  <w:r>
                    <w:rPr>
                      <w:rFonts w:hint="eastAsia"/>
                      <w:color w:val="auto"/>
                      <w:highlight w:val="none"/>
                    </w:rPr>
                    <w:t>；</w:t>
                  </w:r>
                  <w:r>
                    <w:rPr>
                      <w:color w:val="auto"/>
                      <w:highlight w:val="none"/>
                    </w:rPr>
                    <w:t>生活污水</w:t>
                  </w:r>
                  <w:r>
                    <w:rPr>
                      <w:rFonts w:hint="eastAsia"/>
                      <w:color w:val="auto"/>
                      <w:highlight w:val="none"/>
                    </w:rPr>
                    <w:t>主要为生活盥洗废水和食堂废水，经沉淀池（</w:t>
                  </w:r>
                  <w:r>
                    <w:rPr>
                      <w:rFonts w:hint="eastAsia"/>
                      <w:color w:val="auto"/>
                      <w:highlight w:val="none"/>
                      <w:lang w:val="en-US" w:eastAsia="zh-CN"/>
                    </w:rPr>
                    <w:t>2</w:t>
                  </w:r>
                  <w:r>
                    <w:rPr>
                      <w:rFonts w:hint="eastAsia"/>
                      <w:color w:val="auto"/>
                      <w:highlight w:val="none"/>
                    </w:rPr>
                    <w:t>m</w:t>
                  </w:r>
                  <w:r>
                    <w:rPr>
                      <w:rFonts w:hint="eastAsia"/>
                      <w:color w:val="auto"/>
                      <w:highlight w:val="none"/>
                      <w:vertAlign w:val="superscript"/>
                    </w:rPr>
                    <w:t>3</w:t>
                  </w:r>
                  <w:r>
                    <w:rPr>
                      <w:rFonts w:hint="eastAsia"/>
                      <w:color w:val="auto"/>
                      <w:highlight w:val="none"/>
                    </w:rPr>
                    <w:t>）处理后用于厂区洒水抑尘，不外排</w:t>
                  </w:r>
                  <w:r>
                    <w:rPr>
                      <w:rFonts w:hint="eastAsia"/>
                      <w:color w:val="auto"/>
                      <w:highlight w:val="none"/>
                      <w:lang w:eastAsia="zh-CN"/>
                    </w:rPr>
                    <w:t>；</w:t>
                  </w:r>
                  <w:r>
                    <w:rPr>
                      <w:rFonts w:hint="eastAsia"/>
                      <w:color w:val="auto"/>
                      <w:sz w:val="21"/>
                      <w:highlight w:val="none"/>
                    </w:rPr>
                    <w:t>通过选用低噪声设备，加装消音设施及采取防振措施后，</w:t>
                  </w:r>
                  <w:r>
                    <w:rPr>
                      <w:rFonts w:hint="eastAsia"/>
                      <w:color w:val="auto"/>
                      <w:sz w:val="21"/>
                      <w:highlight w:val="none"/>
                      <w:lang w:val="en-US" w:eastAsia="zh-CN"/>
                    </w:rPr>
                    <w:t>对周边环境影响较小；固体废物均得到合理处置，处置率为100%。项目的建设不会对</w:t>
                  </w:r>
                  <w:r>
                    <w:rPr>
                      <w:rFonts w:hint="eastAsia"/>
                      <w:color w:val="auto"/>
                      <w:spacing w:val="-6"/>
                      <w:sz w:val="21"/>
                      <w:highlight w:val="none"/>
                      <w:lang w:val="en-US" w:eastAsia="zh-CN"/>
                    </w:rPr>
                    <w:t>区域环境质量产生明显影响，不触及环境质量底线</w:t>
                  </w:r>
                </w:p>
              </w:tc>
              <w:tc>
                <w:tcPr>
                  <w:tcW w:w="404" w:type="pct"/>
                  <w:tcBorders>
                    <w:tl2br w:val="nil"/>
                    <w:tr2bl w:val="nil"/>
                  </w:tcBorders>
                  <w:vAlign w:val="center"/>
                </w:tcPr>
                <w:p w14:paraId="2327443E">
                  <w:pPr>
                    <w:pStyle w:val="40"/>
                    <w:bidi w:val="0"/>
                    <w:rPr>
                      <w:rFonts w:hint="default"/>
                      <w:color w:val="auto"/>
                      <w:spacing w:val="-11"/>
                      <w:sz w:val="21"/>
                      <w:highlight w:val="none"/>
                      <w:lang w:val="en-US"/>
                    </w:rPr>
                  </w:pPr>
                  <w:r>
                    <w:rPr>
                      <w:rFonts w:hint="eastAsia"/>
                      <w:color w:val="auto"/>
                      <w:spacing w:val="-11"/>
                      <w:sz w:val="21"/>
                      <w:highlight w:val="none"/>
                      <w:lang w:val="en-US" w:eastAsia="zh-CN"/>
                    </w:rPr>
                    <w:t>符合</w:t>
                  </w:r>
                </w:p>
              </w:tc>
            </w:tr>
            <w:tr w14:paraId="3A65E0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6" w:type="pct"/>
                  <w:tcBorders>
                    <w:tl2br w:val="nil"/>
                    <w:tr2bl w:val="nil"/>
                  </w:tcBorders>
                  <w:vAlign w:val="center"/>
                </w:tcPr>
                <w:p w14:paraId="4BBEB8A4">
                  <w:pPr>
                    <w:pStyle w:val="40"/>
                    <w:bidi w:val="0"/>
                    <w:rPr>
                      <w:rFonts w:hint="eastAsia"/>
                      <w:color w:val="auto"/>
                      <w:spacing w:val="-6"/>
                      <w:sz w:val="21"/>
                      <w:highlight w:val="none"/>
                      <w:lang w:val="en-US" w:eastAsia="zh-CN"/>
                    </w:rPr>
                  </w:pPr>
                  <w:r>
                    <w:rPr>
                      <w:rFonts w:hint="eastAsia"/>
                      <w:color w:val="auto"/>
                      <w:spacing w:val="-6"/>
                      <w:sz w:val="21"/>
                      <w:highlight w:val="none"/>
                      <w:lang w:val="en-US" w:eastAsia="zh-CN"/>
                    </w:rPr>
                    <w:t>3</w:t>
                  </w:r>
                </w:p>
              </w:tc>
              <w:tc>
                <w:tcPr>
                  <w:tcW w:w="1031" w:type="pct"/>
                  <w:tcBorders>
                    <w:tl2br w:val="nil"/>
                    <w:tr2bl w:val="nil"/>
                  </w:tcBorders>
                  <w:vAlign w:val="center"/>
                </w:tcPr>
                <w:p w14:paraId="3B84DFAF">
                  <w:pPr>
                    <w:pStyle w:val="40"/>
                    <w:bidi w:val="0"/>
                    <w:rPr>
                      <w:rFonts w:hint="eastAsia"/>
                      <w:color w:val="auto"/>
                      <w:highlight w:val="none"/>
                      <w:lang w:val="en-US" w:eastAsia="zh-CN"/>
                    </w:rPr>
                  </w:pPr>
                  <w:r>
                    <w:rPr>
                      <w:rFonts w:hint="eastAsia"/>
                      <w:color w:val="auto"/>
                      <w:highlight w:val="none"/>
                      <w:lang w:val="en-US" w:eastAsia="zh-CN"/>
                    </w:rPr>
                    <w:t>资源利用上线</w:t>
                  </w:r>
                </w:p>
              </w:tc>
              <w:tc>
                <w:tcPr>
                  <w:tcW w:w="3138" w:type="pct"/>
                  <w:tcBorders>
                    <w:tl2br w:val="nil"/>
                    <w:tr2bl w:val="nil"/>
                  </w:tcBorders>
                  <w:vAlign w:val="center"/>
                </w:tcPr>
                <w:p w14:paraId="2141D130">
                  <w:pPr>
                    <w:pStyle w:val="40"/>
                    <w:bidi w:val="0"/>
                    <w:rPr>
                      <w:rFonts w:hint="default"/>
                      <w:color w:val="auto"/>
                      <w:sz w:val="21"/>
                      <w:highlight w:val="none"/>
                      <w:lang w:val="en-US" w:eastAsia="zh-CN"/>
                    </w:rPr>
                  </w:pPr>
                  <w:r>
                    <w:rPr>
                      <w:rFonts w:hint="default"/>
                      <w:color w:val="auto"/>
                      <w:sz w:val="21"/>
                      <w:highlight w:val="none"/>
                      <w:lang w:val="en-US" w:eastAsia="zh-CN"/>
                    </w:rPr>
                    <w:t>本项目</w:t>
                  </w:r>
                  <w:r>
                    <w:rPr>
                      <w:rFonts w:hint="eastAsia"/>
                      <w:color w:val="auto"/>
                      <w:sz w:val="21"/>
                      <w:highlight w:val="none"/>
                      <w:lang w:val="en-US" w:eastAsia="zh-CN"/>
                    </w:rPr>
                    <w:t>为</w:t>
                  </w:r>
                  <w:r>
                    <w:rPr>
                      <w:color w:val="auto"/>
                      <w:sz w:val="21"/>
                      <w:highlight w:val="none"/>
                    </w:rPr>
                    <w:t>固废综合利用项目，不属于</w:t>
                  </w:r>
                  <w:r>
                    <w:rPr>
                      <w:rFonts w:hint="eastAsia"/>
                      <w:color w:val="auto"/>
                      <w:sz w:val="21"/>
                      <w:highlight w:val="none"/>
                      <w:lang w:eastAsia="zh-CN"/>
                    </w:rPr>
                    <w:t>“</w:t>
                  </w:r>
                  <w:r>
                    <w:rPr>
                      <w:color w:val="auto"/>
                      <w:sz w:val="21"/>
                      <w:highlight w:val="none"/>
                    </w:rPr>
                    <w:t>两高</w:t>
                  </w:r>
                  <w:r>
                    <w:rPr>
                      <w:rFonts w:hint="eastAsia"/>
                      <w:color w:val="auto"/>
                      <w:sz w:val="21"/>
                      <w:highlight w:val="none"/>
                      <w:lang w:eastAsia="zh-CN"/>
                    </w:rPr>
                    <w:t>”</w:t>
                  </w:r>
                  <w:r>
                    <w:rPr>
                      <w:color w:val="auto"/>
                      <w:sz w:val="21"/>
                      <w:highlight w:val="none"/>
                    </w:rPr>
                    <w:t>项目；</w:t>
                  </w:r>
                  <w:r>
                    <w:rPr>
                      <w:rFonts w:hint="eastAsia"/>
                      <w:color w:val="auto"/>
                      <w:sz w:val="21"/>
                      <w:highlight w:val="none"/>
                      <w:lang w:val="en-US" w:eastAsia="zh-CN"/>
                    </w:rPr>
                    <w:t>本项目</w:t>
                  </w:r>
                  <w:r>
                    <w:rPr>
                      <w:rFonts w:hint="default"/>
                      <w:color w:val="auto"/>
                      <w:sz w:val="21"/>
                      <w:highlight w:val="none"/>
                      <w:lang w:val="en-US" w:eastAsia="zh-CN"/>
                    </w:rPr>
                    <w:t>以陕投集团清水川发电有限公司、陕煤电力集团新元洁能发电有限公司产生的粉煤灰、炉渣</w:t>
                  </w:r>
                  <w:r>
                    <w:rPr>
                      <w:rFonts w:hint="eastAsia"/>
                      <w:color w:val="auto"/>
                      <w:sz w:val="21"/>
                      <w:highlight w:val="none"/>
                      <w:lang w:val="en-US" w:eastAsia="zh-CN"/>
                    </w:rPr>
                    <w:t>，陕煤新建电厂烟气脱硫副产</w:t>
                  </w:r>
                  <w:r>
                    <w:rPr>
                      <w:rFonts w:hint="eastAsia"/>
                      <w:color w:val="auto"/>
                      <w:spacing w:val="-6"/>
                      <w:sz w:val="21"/>
                      <w:highlight w:val="none"/>
                      <w:lang w:val="en-US" w:eastAsia="zh-CN"/>
                    </w:rPr>
                    <w:t>石膏，</w:t>
                  </w:r>
                  <w:r>
                    <w:rPr>
                      <w:rFonts w:hint="default"/>
                      <w:color w:val="auto"/>
                      <w:highlight w:val="none"/>
                      <w:lang w:val="en-US" w:eastAsia="zh-CN"/>
                    </w:rPr>
                    <w:t>府谷县镁业集团有限责任公司</w:t>
                  </w:r>
                  <w:r>
                    <w:rPr>
                      <w:rFonts w:hint="eastAsia"/>
                      <w:color w:val="auto"/>
                      <w:highlight w:val="none"/>
                      <w:lang w:val="en-US" w:eastAsia="zh-CN"/>
                    </w:rPr>
                    <w:t>和府谷县泰达煤化有限责任公司</w:t>
                  </w:r>
                  <w:r>
                    <w:rPr>
                      <w:rFonts w:hint="default"/>
                      <w:color w:val="auto"/>
                      <w:highlight w:val="none"/>
                      <w:lang w:val="en-US" w:eastAsia="zh-CN"/>
                    </w:rPr>
                    <w:t>产生的镁渣</w:t>
                  </w:r>
                  <w:r>
                    <w:rPr>
                      <w:rFonts w:hint="default"/>
                      <w:color w:val="auto"/>
                      <w:spacing w:val="-6"/>
                      <w:sz w:val="21"/>
                      <w:highlight w:val="none"/>
                      <w:lang w:val="en-US" w:eastAsia="zh-CN"/>
                    </w:rPr>
                    <w:t>为主要原料</w:t>
                  </w:r>
                  <w:r>
                    <w:rPr>
                      <w:rFonts w:hint="eastAsia"/>
                      <w:color w:val="auto"/>
                      <w:spacing w:val="-6"/>
                      <w:sz w:val="21"/>
                      <w:highlight w:val="none"/>
                      <w:lang w:val="en-US" w:eastAsia="zh-CN"/>
                    </w:rPr>
                    <w:t>，原辅料及能源消耗合理分配，运营过程消耗一定的水、电和蒸汽，不触及资源利用上线</w:t>
                  </w:r>
                </w:p>
              </w:tc>
              <w:tc>
                <w:tcPr>
                  <w:tcW w:w="404" w:type="pct"/>
                  <w:tcBorders>
                    <w:tl2br w:val="nil"/>
                    <w:tr2bl w:val="nil"/>
                  </w:tcBorders>
                  <w:vAlign w:val="center"/>
                </w:tcPr>
                <w:p w14:paraId="1900D280">
                  <w:pPr>
                    <w:pStyle w:val="40"/>
                    <w:bidi w:val="0"/>
                    <w:rPr>
                      <w:rFonts w:hint="default"/>
                      <w:color w:val="auto"/>
                      <w:spacing w:val="-11"/>
                      <w:sz w:val="21"/>
                      <w:highlight w:val="none"/>
                      <w:lang w:val="en-US"/>
                    </w:rPr>
                  </w:pPr>
                  <w:r>
                    <w:rPr>
                      <w:rFonts w:hint="eastAsia"/>
                      <w:color w:val="auto"/>
                      <w:spacing w:val="-11"/>
                      <w:sz w:val="21"/>
                      <w:highlight w:val="none"/>
                      <w:lang w:val="en-US" w:eastAsia="zh-CN"/>
                    </w:rPr>
                    <w:t>符合</w:t>
                  </w:r>
                </w:p>
              </w:tc>
            </w:tr>
            <w:tr w14:paraId="4766F6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6" w:type="pct"/>
                  <w:tcBorders>
                    <w:tl2br w:val="nil"/>
                    <w:tr2bl w:val="nil"/>
                  </w:tcBorders>
                  <w:vAlign w:val="center"/>
                </w:tcPr>
                <w:p w14:paraId="4A71BA52">
                  <w:pPr>
                    <w:pStyle w:val="40"/>
                    <w:bidi w:val="0"/>
                    <w:rPr>
                      <w:rFonts w:hint="eastAsia"/>
                      <w:color w:val="auto"/>
                      <w:spacing w:val="-6"/>
                      <w:sz w:val="21"/>
                      <w:highlight w:val="none"/>
                      <w:lang w:val="en-US" w:eastAsia="zh-CN"/>
                    </w:rPr>
                  </w:pPr>
                  <w:r>
                    <w:rPr>
                      <w:rFonts w:hint="eastAsia"/>
                      <w:color w:val="auto"/>
                      <w:spacing w:val="-6"/>
                      <w:sz w:val="21"/>
                      <w:highlight w:val="none"/>
                      <w:lang w:val="en-US" w:eastAsia="zh-CN"/>
                    </w:rPr>
                    <w:t>4</w:t>
                  </w:r>
                </w:p>
              </w:tc>
              <w:tc>
                <w:tcPr>
                  <w:tcW w:w="1031" w:type="pct"/>
                  <w:tcBorders>
                    <w:tl2br w:val="nil"/>
                    <w:tr2bl w:val="nil"/>
                  </w:tcBorders>
                  <w:vAlign w:val="center"/>
                </w:tcPr>
                <w:p w14:paraId="49BD78FE">
                  <w:pPr>
                    <w:pStyle w:val="40"/>
                    <w:bidi w:val="0"/>
                    <w:rPr>
                      <w:rFonts w:hint="eastAsia"/>
                      <w:color w:val="auto"/>
                      <w:spacing w:val="0"/>
                      <w:sz w:val="21"/>
                      <w:highlight w:val="none"/>
                      <w:lang w:val="en-US" w:eastAsia="zh-CN"/>
                    </w:rPr>
                  </w:pPr>
                  <w:r>
                    <w:rPr>
                      <w:rFonts w:hint="eastAsia"/>
                      <w:color w:val="auto"/>
                      <w:spacing w:val="0"/>
                      <w:sz w:val="21"/>
                      <w:highlight w:val="none"/>
                      <w:lang w:val="en-US" w:eastAsia="zh-CN"/>
                    </w:rPr>
                    <w:t>生态环境准入</w:t>
                  </w:r>
                </w:p>
                <w:p w14:paraId="4B52905D">
                  <w:pPr>
                    <w:pStyle w:val="40"/>
                    <w:bidi w:val="0"/>
                    <w:rPr>
                      <w:rFonts w:hint="eastAsia"/>
                      <w:color w:val="auto"/>
                      <w:highlight w:val="none"/>
                      <w:lang w:val="en-US" w:eastAsia="zh-CN"/>
                    </w:rPr>
                  </w:pPr>
                  <w:r>
                    <w:rPr>
                      <w:rFonts w:hint="eastAsia"/>
                      <w:color w:val="auto"/>
                      <w:spacing w:val="0"/>
                      <w:sz w:val="21"/>
                      <w:highlight w:val="none"/>
                      <w:lang w:val="en-US" w:eastAsia="zh-CN"/>
                    </w:rPr>
                    <w:t>清单</w:t>
                  </w:r>
                </w:p>
              </w:tc>
              <w:tc>
                <w:tcPr>
                  <w:tcW w:w="3138" w:type="pct"/>
                  <w:tcBorders>
                    <w:tl2br w:val="nil"/>
                    <w:tr2bl w:val="nil"/>
                  </w:tcBorders>
                  <w:vAlign w:val="center"/>
                </w:tcPr>
                <w:p w14:paraId="7A281717">
                  <w:pPr>
                    <w:pStyle w:val="40"/>
                    <w:bidi w:val="0"/>
                    <w:rPr>
                      <w:rFonts w:hint="default"/>
                      <w:color w:val="auto"/>
                      <w:sz w:val="21"/>
                      <w:highlight w:val="none"/>
                      <w:lang w:val="en-US"/>
                    </w:rPr>
                  </w:pPr>
                  <w:r>
                    <w:rPr>
                      <w:color w:val="auto"/>
                      <w:sz w:val="21"/>
                      <w:highlight w:val="none"/>
                    </w:rPr>
                    <w:t>依据《产业结构调整指导目录（</w:t>
                  </w:r>
                  <w:r>
                    <w:rPr>
                      <w:rFonts w:hint="eastAsia"/>
                      <w:color w:val="auto"/>
                      <w:sz w:val="21"/>
                      <w:highlight w:val="none"/>
                      <w:lang w:val="en-US" w:eastAsia="zh-CN"/>
                    </w:rPr>
                    <w:t>2024</w:t>
                  </w:r>
                  <w:r>
                    <w:rPr>
                      <w:color w:val="auto"/>
                      <w:sz w:val="21"/>
                      <w:highlight w:val="none"/>
                    </w:rPr>
                    <w:t>年本）》分析，本项目属鼓励类项目，符合国家产业政策。</w:t>
                  </w:r>
                  <w:r>
                    <w:rPr>
                      <w:rFonts w:hint="eastAsia"/>
                      <w:color w:val="auto"/>
                      <w:sz w:val="21"/>
                      <w:highlight w:val="none"/>
                    </w:rPr>
                    <w:t>占地不属于榆林市经济社会发展总体规划（2016-2030）中的《榆林市空间开发负面清单》中列出的各类空间，符合《榆林市生态保护红线环境准入特别管理办法（负面清单）》和</w:t>
                  </w:r>
                  <w:r>
                    <w:rPr>
                      <w:color w:val="auto"/>
                      <w:sz w:val="21"/>
                      <w:highlight w:val="none"/>
                    </w:rPr>
                    <w:t>《榆林市生态环境准入清单》</w:t>
                  </w:r>
                </w:p>
              </w:tc>
              <w:tc>
                <w:tcPr>
                  <w:tcW w:w="404" w:type="pct"/>
                  <w:tcBorders>
                    <w:tl2br w:val="nil"/>
                    <w:tr2bl w:val="nil"/>
                  </w:tcBorders>
                  <w:vAlign w:val="center"/>
                </w:tcPr>
                <w:p w14:paraId="29620AE8">
                  <w:pPr>
                    <w:pStyle w:val="40"/>
                    <w:bidi w:val="0"/>
                    <w:rPr>
                      <w:rFonts w:hint="default"/>
                      <w:color w:val="auto"/>
                      <w:spacing w:val="-11"/>
                      <w:sz w:val="21"/>
                      <w:highlight w:val="none"/>
                      <w:lang w:val="en-US"/>
                    </w:rPr>
                  </w:pPr>
                  <w:r>
                    <w:rPr>
                      <w:rFonts w:hint="eastAsia"/>
                      <w:color w:val="auto"/>
                      <w:spacing w:val="-11"/>
                      <w:sz w:val="21"/>
                      <w:highlight w:val="none"/>
                      <w:lang w:val="en-US" w:eastAsia="zh-CN"/>
                    </w:rPr>
                    <w:t>符合</w:t>
                  </w:r>
                </w:p>
              </w:tc>
            </w:tr>
          </w:tbl>
          <w:p w14:paraId="2BFE3495">
            <w:pPr>
              <w:keepNext w:val="0"/>
              <w:keepLines w:val="0"/>
              <w:pageBreakBefore w:val="0"/>
              <w:widowControl/>
              <w:kinsoku/>
              <w:wordWrap/>
              <w:overflowPunct/>
              <w:topLinePunct w:val="0"/>
              <w:autoSpaceDE/>
              <w:autoSpaceDN/>
              <w:bidi w:val="0"/>
              <w:adjustRightInd/>
              <w:snapToGrid w:val="0"/>
              <w:spacing w:before="157" w:beforeLines="50" w:after="0" w:line="360" w:lineRule="auto"/>
              <w:ind w:left="0" w:leftChars="0" w:right="0" w:firstLine="480" w:firstLineChars="200"/>
              <w:textAlignment w:val="auto"/>
              <w:rPr>
                <w:rFonts w:hint="eastAsia"/>
                <w:b w:val="0"/>
                <w:bCs w:val="0"/>
                <w:color w:val="auto"/>
                <w:sz w:val="24"/>
                <w:szCs w:val="24"/>
                <w:highlight w:val="none"/>
                <w:lang w:eastAsia="zh-CN"/>
              </w:rPr>
            </w:pPr>
            <w:r>
              <w:rPr>
                <w:rFonts w:hint="eastAsia"/>
                <w:b w:val="0"/>
                <w:bCs w:val="0"/>
                <w:color w:val="auto"/>
                <w:sz w:val="24"/>
                <w:szCs w:val="24"/>
                <w:highlight w:val="none"/>
                <w:lang w:eastAsia="zh-CN"/>
              </w:rPr>
              <w:t>综上，本项目符合“三线一单”相关要求。</w:t>
            </w:r>
          </w:p>
          <w:p w14:paraId="59D113F7">
            <w:pPr>
              <w:bidi w:val="0"/>
              <w:rPr>
                <w:rFonts w:hint="eastAsia"/>
                <w:b/>
                <w:bCs/>
                <w:color w:val="auto"/>
                <w:highlight w:val="none"/>
                <w:lang w:val="en-US" w:eastAsia="zh-CN"/>
              </w:rPr>
            </w:pPr>
            <w:r>
              <w:rPr>
                <w:rFonts w:hint="eastAsia"/>
                <w:b/>
                <w:bCs/>
                <w:color w:val="auto"/>
                <w:highlight w:val="none"/>
                <w:lang w:val="en-US" w:eastAsia="zh-CN"/>
              </w:rPr>
              <w:t>（2）项目与《榆林市“三线一单”生态环境分区管控方案》的符合性分析</w:t>
            </w:r>
          </w:p>
          <w:p w14:paraId="6FCE8C4D">
            <w:pPr>
              <w:widowControl/>
              <w:adjustRightInd w:val="0"/>
              <w:snapToGrid w:val="0"/>
              <w:spacing w:line="360" w:lineRule="auto"/>
              <w:ind w:firstLine="480" w:firstLineChars="200"/>
              <w:rPr>
                <w:rFonts w:hint="eastAsia"/>
                <w:color w:val="auto"/>
                <w:sz w:val="24"/>
                <w:highlight w:val="none"/>
              </w:rPr>
            </w:pPr>
            <w:r>
              <w:rPr>
                <w:rFonts w:hint="eastAsia"/>
                <w:color w:val="auto"/>
                <w:sz w:val="24"/>
                <w:highlight w:val="none"/>
              </w:rPr>
              <w:t>在“陕西省“三线一单”数据应用系统”调取了本项目“陕西省‘三线一单’生态环境管控单元对照分析报告”（</w:t>
            </w:r>
            <w:r>
              <w:rPr>
                <w:rFonts w:hint="eastAsia"/>
                <w:color w:val="auto"/>
                <w:sz w:val="24"/>
                <w:highlight w:val="none"/>
                <w:lang w:val="en-US" w:eastAsia="zh-CN"/>
              </w:rPr>
              <w:t>见附件4</w:t>
            </w:r>
            <w:r>
              <w:rPr>
                <w:rFonts w:hint="eastAsia"/>
                <w:color w:val="auto"/>
                <w:sz w:val="24"/>
                <w:highlight w:val="none"/>
              </w:rPr>
              <w:t>），项目在陕西省“三线一单”生态环境管控单元分布示意见</w:t>
            </w:r>
            <w:r>
              <w:rPr>
                <w:rFonts w:hint="eastAsia"/>
                <w:color w:val="auto"/>
                <w:sz w:val="24"/>
                <w:highlight w:val="none"/>
                <w:lang w:val="en-US" w:eastAsia="zh-CN"/>
              </w:rPr>
              <w:fldChar w:fldCharType="begin"/>
            </w:r>
            <w:r>
              <w:rPr>
                <w:rFonts w:hint="eastAsia"/>
                <w:color w:val="auto"/>
                <w:sz w:val="24"/>
                <w:highlight w:val="none"/>
                <w:lang w:val="en-US" w:eastAsia="zh-CN"/>
              </w:rPr>
              <w:instrText xml:space="preserve"> REF _Ref17618 \h </w:instrText>
            </w:r>
            <w:r>
              <w:rPr>
                <w:rFonts w:hint="eastAsia"/>
                <w:color w:val="auto"/>
                <w:sz w:val="24"/>
                <w:highlight w:val="none"/>
                <w:lang w:val="en-US" w:eastAsia="zh-CN"/>
              </w:rPr>
              <w:fldChar w:fldCharType="separate"/>
            </w:r>
            <w:r>
              <w:rPr>
                <w:color w:val="auto"/>
                <w:highlight w:val="none"/>
              </w:rPr>
              <w:t>图1-1</w:t>
            </w:r>
            <w:r>
              <w:rPr>
                <w:rFonts w:hint="eastAsia"/>
                <w:color w:val="auto"/>
                <w:sz w:val="24"/>
                <w:highlight w:val="none"/>
                <w:lang w:val="en-US" w:eastAsia="zh-CN"/>
              </w:rPr>
              <w:fldChar w:fldCharType="end"/>
            </w:r>
            <w:r>
              <w:rPr>
                <w:rFonts w:hint="eastAsia"/>
                <w:color w:val="auto"/>
                <w:sz w:val="24"/>
                <w:highlight w:val="none"/>
              </w:rPr>
              <w:t>，环境管控单元比对成果见</w:t>
            </w:r>
            <w:r>
              <w:rPr>
                <w:rFonts w:hint="eastAsia"/>
                <w:color w:val="auto"/>
                <w:sz w:val="24"/>
                <w:highlight w:val="none"/>
                <w:lang w:val="en-US" w:eastAsia="zh-CN"/>
              </w:rPr>
              <w:fldChar w:fldCharType="begin"/>
            </w:r>
            <w:r>
              <w:rPr>
                <w:rFonts w:hint="eastAsia"/>
                <w:color w:val="auto"/>
                <w:sz w:val="24"/>
                <w:highlight w:val="none"/>
                <w:lang w:val="en-US" w:eastAsia="zh-CN"/>
              </w:rPr>
              <w:instrText xml:space="preserve"> REF _Ref17680 \h </w:instrText>
            </w:r>
            <w:r>
              <w:rPr>
                <w:rFonts w:hint="eastAsia"/>
                <w:color w:val="auto"/>
                <w:sz w:val="24"/>
                <w:highlight w:val="none"/>
                <w:lang w:val="en-US" w:eastAsia="zh-CN"/>
              </w:rPr>
              <w:fldChar w:fldCharType="separate"/>
            </w:r>
            <w:r>
              <w:rPr>
                <w:color w:val="auto"/>
                <w:highlight w:val="none"/>
              </w:rPr>
              <w:t>表1-5</w:t>
            </w:r>
            <w:r>
              <w:rPr>
                <w:rFonts w:hint="eastAsia"/>
                <w:color w:val="auto"/>
                <w:sz w:val="24"/>
                <w:highlight w:val="none"/>
                <w:lang w:val="en-US" w:eastAsia="zh-CN"/>
              </w:rPr>
              <w:fldChar w:fldCharType="end"/>
            </w:r>
            <w:r>
              <w:rPr>
                <w:rFonts w:hint="eastAsia"/>
                <w:color w:val="auto"/>
                <w:sz w:val="24"/>
                <w:highlight w:val="none"/>
              </w:rPr>
              <w:t>，</w:t>
            </w:r>
            <w:r>
              <w:rPr>
                <w:rFonts w:hint="eastAsia"/>
                <w:color w:val="auto"/>
                <w:szCs w:val="22"/>
                <w:highlight w:val="none"/>
              </w:rPr>
              <w:t>本项目涉及重点管控单元。</w:t>
            </w:r>
          </w:p>
          <w:p w14:paraId="0CFA3DA1">
            <w:pPr>
              <w:pStyle w:val="42"/>
              <w:bidi w:val="0"/>
              <w:rPr>
                <w:color w:val="auto"/>
                <w:highlight w:val="none"/>
              </w:rPr>
            </w:pPr>
            <w:r>
              <w:rPr>
                <w:color w:val="auto"/>
                <w:highlight w:val="none"/>
              </w:rPr>
              <w:drawing>
                <wp:inline distT="0" distB="0" distL="114300" distR="114300">
                  <wp:extent cx="3312160" cy="5403215"/>
                  <wp:effectExtent l="0" t="0" r="254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3312160" cy="5403215"/>
                          </a:xfrm>
                          <a:prstGeom prst="rect">
                            <a:avLst/>
                          </a:prstGeom>
                          <a:noFill/>
                          <a:ln>
                            <a:noFill/>
                          </a:ln>
                        </pic:spPr>
                      </pic:pic>
                    </a:graphicData>
                  </a:graphic>
                </wp:inline>
              </w:drawing>
            </w:r>
          </w:p>
          <w:p w14:paraId="2FF6CBC7">
            <w:pPr>
              <w:pStyle w:val="51"/>
              <w:bidi w:val="0"/>
              <w:rPr>
                <w:rFonts w:hint="default"/>
                <w:color w:val="auto"/>
                <w:highlight w:val="none"/>
                <w:lang w:val="en-US" w:eastAsia="zh-CN"/>
              </w:rPr>
            </w:pPr>
            <w:bookmarkStart w:id="4" w:name="_Ref17618"/>
            <w:r>
              <w:rPr>
                <w:color w:val="auto"/>
                <w:highlight w:val="none"/>
              </w:rPr>
              <w:t>图1-</w:t>
            </w:r>
            <w:r>
              <w:rPr>
                <w:color w:val="auto"/>
                <w:highlight w:val="none"/>
              </w:rPr>
              <w:fldChar w:fldCharType="begin"/>
            </w:r>
            <w:r>
              <w:rPr>
                <w:color w:val="auto"/>
                <w:highlight w:val="none"/>
              </w:rPr>
              <w:instrText xml:space="preserve"> SEQ 图1- \* ARABIC </w:instrText>
            </w:r>
            <w:r>
              <w:rPr>
                <w:color w:val="auto"/>
                <w:highlight w:val="none"/>
              </w:rPr>
              <w:fldChar w:fldCharType="separate"/>
            </w:r>
            <w:r>
              <w:rPr>
                <w:color w:val="auto"/>
                <w:highlight w:val="none"/>
              </w:rPr>
              <w:t>1</w:t>
            </w:r>
            <w:r>
              <w:rPr>
                <w:color w:val="auto"/>
                <w:highlight w:val="none"/>
              </w:rPr>
              <w:fldChar w:fldCharType="end"/>
            </w:r>
            <w:bookmarkEnd w:id="4"/>
            <w:r>
              <w:rPr>
                <w:rFonts w:hint="eastAsia"/>
                <w:color w:val="auto"/>
                <w:highlight w:val="none"/>
                <w:lang w:val="en-US" w:eastAsia="zh-CN"/>
              </w:rPr>
              <w:t xml:space="preserve">  三线一单空间冲突图</w:t>
            </w:r>
          </w:p>
          <w:p w14:paraId="3BD4B251">
            <w:pPr>
              <w:pStyle w:val="7"/>
              <w:rPr>
                <w:rFonts w:hint="default"/>
                <w:color w:val="auto"/>
                <w:highlight w:val="none"/>
                <w:lang w:val="en-US" w:eastAsia="zh-CN"/>
              </w:rPr>
            </w:pPr>
            <w:bookmarkStart w:id="5" w:name="_Ref17680"/>
            <w:r>
              <w:rPr>
                <w:color w:val="auto"/>
                <w:highlight w:val="none"/>
              </w:rPr>
              <w:t>表1-</w:t>
            </w:r>
            <w:r>
              <w:rPr>
                <w:color w:val="auto"/>
                <w:highlight w:val="none"/>
              </w:rPr>
              <w:fldChar w:fldCharType="begin"/>
            </w:r>
            <w:r>
              <w:rPr>
                <w:color w:val="auto"/>
                <w:highlight w:val="none"/>
              </w:rPr>
              <w:instrText xml:space="preserve"> SEQ 表1- \* ARABIC </w:instrText>
            </w:r>
            <w:r>
              <w:rPr>
                <w:color w:val="auto"/>
                <w:highlight w:val="none"/>
              </w:rPr>
              <w:fldChar w:fldCharType="separate"/>
            </w:r>
            <w:r>
              <w:rPr>
                <w:color w:val="auto"/>
                <w:highlight w:val="none"/>
              </w:rPr>
              <w:t>5</w:t>
            </w:r>
            <w:r>
              <w:rPr>
                <w:color w:val="auto"/>
                <w:highlight w:val="none"/>
              </w:rPr>
              <w:fldChar w:fldCharType="end"/>
            </w:r>
            <w:bookmarkEnd w:id="5"/>
            <w:r>
              <w:rPr>
                <w:rFonts w:hint="eastAsia"/>
                <w:color w:val="auto"/>
                <w:highlight w:val="none"/>
                <w:lang w:val="en-US" w:eastAsia="zh-CN"/>
              </w:rPr>
              <w:t xml:space="preserve">  </w:t>
            </w:r>
            <w:r>
              <w:rPr>
                <w:rFonts w:hint="eastAsia"/>
                <w:color w:val="auto"/>
                <w:highlight w:val="none"/>
              </w:rPr>
              <w:t>项目与榆林市“三线一单”数据应用系统比对成果一览表</w:t>
            </w:r>
          </w:p>
          <w:tbl>
            <w:tblPr>
              <w:tblStyle w:val="24"/>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73"/>
              <w:gridCol w:w="1939"/>
              <w:gridCol w:w="1224"/>
              <w:gridCol w:w="2088"/>
            </w:tblGrid>
            <w:tr w14:paraId="031EF7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4" w:type="pct"/>
                  <w:tcBorders>
                    <w:tl2br w:val="nil"/>
                    <w:tr2bl w:val="nil"/>
                  </w:tcBorders>
                  <w:noWrap w:val="0"/>
                  <w:vAlign w:val="center"/>
                </w:tcPr>
                <w:p w14:paraId="0B733F8E">
                  <w:pPr>
                    <w:pStyle w:val="40"/>
                    <w:bidi w:val="0"/>
                    <w:rPr>
                      <w:color w:val="auto"/>
                      <w:highlight w:val="none"/>
                    </w:rPr>
                  </w:pPr>
                  <w:r>
                    <w:rPr>
                      <w:rFonts w:hint="eastAsia"/>
                      <w:color w:val="auto"/>
                      <w:highlight w:val="none"/>
                    </w:rPr>
                    <w:t>项目名称</w:t>
                  </w:r>
                </w:p>
              </w:tc>
              <w:tc>
                <w:tcPr>
                  <w:tcW w:w="1323" w:type="pct"/>
                  <w:tcBorders>
                    <w:tl2br w:val="nil"/>
                    <w:tr2bl w:val="nil"/>
                  </w:tcBorders>
                  <w:noWrap w:val="0"/>
                  <w:vAlign w:val="center"/>
                </w:tcPr>
                <w:p w14:paraId="55E395E2">
                  <w:pPr>
                    <w:pStyle w:val="40"/>
                    <w:bidi w:val="0"/>
                    <w:rPr>
                      <w:color w:val="auto"/>
                      <w:highlight w:val="none"/>
                    </w:rPr>
                  </w:pPr>
                  <w:r>
                    <w:rPr>
                      <w:color w:val="auto"/>
                      <w:highlight w:val="none"/>
                    </w:rPr>
                    <w:t>管控单元分类</w:t>
                  </w:r>
                </w:p>
              </w:tc>
              <w:tc>
                <w:tcPr>
                  <w:tcW w:w="836" w:type="pct"/>
                  <w:tcBorders>
                    <w:tl2br w:val="nil"/>
                    <w:tr2bl w:val="nil"/>
                  </w:tcBorders>
                  <w:noWrap w:val="0"/>
                  <w:vAlign w:val="center"/>
                </w:tcPr>
                <w:p w14:paraId="73334507">
                  <w:pPr>
                    <w:pStyle w:val="40"/>
                    <w:bidi w:val="0"/>
                    <w:rPr>
                      <w:color w:val="auto"/>
                      <w:highlight w:val="none"/>
                    </w:rPr>
                  </w:pPr>
                  <w:r>
                    <w:rPr>
                      <w:color w:val="auto"/>
                      <w:highlight w:val="none"/>
                    </w:rPr>
                    <w:t>是否涉及</w:t>
                  </w:r>
                </w:p>
              </w:tc>
              <w:tc>
                <w:tcPr>
                  <w:tcW w:w="1425" w:type="pct"/>
                  <w:tcBorders>
                    <w:tl2br w:val="nil"/>
                    <w:tr2bl w:val="nil"/>
                  </w:tcBorders>
                  <w:noWrap w:val="0"/>
                  <w:vAlign w:val="center"/>
                </w:tcPr>
                <w:p w14:paraId="2B392035">
                  <w:pPr>
                    <w:pStyle w:val="40"/>
                    <w:bidi w:val="0"/>
                    <w:rPr>
                      <w:color w:val="auto"/>
                      <w:highlight w:val="none"/>
                    </w:rPr>
                  </w:pPr>
                  <w:r>
                    <w:rPr>
                      <w:color w:val="auto"/>
                      <w:highlight w:val="none"/>
                    </w:rPr>
                    <w:t>管控单元名称</w:t>
                  </w:r>
                </w:p>
              </w:tc>
            </w:tr>
            <w:tr w14:paraId="5D1052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4" w:type="pct"/>
                  <w:vMerge w:val="restart"/>
                  <w:tcBorders>
                    <w:tl2br w:val="nil"/>
                    <w:tr2bl w:val="nil"/>
                  </w:tcBorders>
                  <w:noWrap w:val="0"/>
                  <w:vAlign w:val="center"/>
                </w:tcPr>
                <w:p w14:paraId="13DB8238">
                  <w:pPr>
                    <w:pStyle w:val="40"/>
                    <w:bidi w:val="0"/>
                    <w:rPr>
                      <w:color w:val="auto"/>
                      <w:highlight w:val="none"/>
                    </w:rPr>
                  </w:pPr>
                  <w:r>
                    <w:rPr>
                      <w:rFonts w:hint="default"/>
                      <w:color w:val="auto"/>
                      <w:highlight w:val="none"/>
                      <w:lang w:val="en-US" w:eastAsia="zh-CN"/>
                    </w:rPr>
                    <w:t>榆林汇鹏祥源新型能源有限公司100万吨/年固废资源综合利用项目</w:t>
                  </w:r>
                </w:p>
              </w:tc>
              <w:tc>
                <w:tcPr>
                  <w:tcW w:w="1323" w:type="pct"/>
                  <w:tcBorders>
                    <w:tl2br w:val="nil"/>
                    <w:tr2bl w:val="nil"/>
                  </w:tcBorders>
                  <w:noWrap w:val="0"/>
                  <w:vAlign w:val="center"/>
                </w:tcPr>
                <w:p w14:paraId="2CC4DD2D">
                  <w:pPr>
                    <w:pStyle w:val="40"/>
                    <w:bidi w:val="0"/>
                    <w:rPr>
                      <w:color w:val="auto"/>
                      <w:highlight w:val="none"/>
                    </w:rPr>
                  </w:pPr>
                  <w:r>
                    <w:rPr>
                      <w:color w:val="auto"/>
                      <w:highlight w:val="none"/>
                    </w:rPr>
                    <w:t>优先保护单元</w:t>
                  </w:r>
                </w:p>
              </w:tc>
              <w:tc>
                <w:tcPr>
                  <w:tcW w:w="836" w:type="pct"/>
                  <w:tcBorders>
                    <w:tl2br w:val="nil"/>
                    <w:tr2bl w:val="nil"/>
                  </w:tcBorders>
                  <w:noWrap w:val="0"/>
                  <w:vAlign w:val="center"/>
                </w:tcPr>
                <w:p w14:paraId="495A6B3C">
                  <w:pPr>
                    <w:pStyle w:val="40"/>
                    <w:bidi w:val="0"/>
                    <w:rPr>
                      <w:color w:val="auto"/>
                      <w:highlight w:val="none"/>
                    </w:rPr>
                  </w:pPr>
                  <w:r>
                    <w:rPr>
                      <w:color w:val="auto"/>
                      <w:highlight w:val="none"/>
                    </w:rPr>
                    <w:t>否</w:t>
                  </w:r>
                </w:p>
              </w:tc>
              <w:tc>
                <w:tcPr>
                  <w:tcW w:w="1425" w:type="pct"/>
                  <w:tcBorders>
                    <w:tl2br w:val="nil"/>
                    <w:tr2bl w:val="nil"/>
                  </w:tcBorders>
                  <w:noWrap w:val="0"/>
                  <w:vAlign w:val="center"/>
                </w:tcPr>
                <w:p w14:paraId="2FBAC47C">
                  <w:pPr>
                    <w:pStyle w:val="40"/>
                    <w:bidi w:val="0"/>
                    <w:rPr>
                      <w:rFonts w:hint="eastAsia"/>
                      <w:color w:val="auto"/>
                      <w:highlight w:val="none"/>
                    </w:rPr>
                  </w:pPr>
                  <w:r>
                    <w:rPr>
                      <w:rFonts w:hint="eastAsia"/>
                      <w:color w:val="auto"/>
                      <w:highlight w:val="none"/>
                    </w:rPr>
                    <w:t>/</w:t>
                  </w:r>
                </w:p>
              </w:tc>
            </w:tr>
            <w:tr w14:paraId="276C31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4" w:type="pct"/>
                  <w:vMerge w:val="continue"/>
                  <w:tcBorders>
                    <w:tl2br w:val="nil"/>
                    <w:tr2bl w:val="nil"/>
                  </w:tcBorders>
                  <w:noWrap w:val="0"/>
                  <w:vAlign w:val="center"/>
                </w:tcPr>
                <w:p w14:paraId="3F2FA6D4">
                  <w:pPr>
                    <w:pStyle w:val="40"/>
                    <w:bidi w:val="0"/>
                    <w:rPr>
                      <w:color w:val="auto"/>
                      <w:highlight w:val="none"/>
                    </w:rPr>
                  </w:pPr>
                </w:p>
              </w:tc>
              <w:tc>
                <w:tcPr>
                  <w:tcW w:w="1323" w:type="pct"/>
                  <w:tcBorders>
                    <w:tl2br w:val="nil"/>
                    <w:tr2bl w:val="nil"/>
                  </w:tcBorders>
                  <w:noWrap w:val="0"/>
                  <w:vAlign w:val="center"/>
                </w:tcPr>
                <w:p w14:paraId="5522ED12">
                  <w:pPr>
                    <w:pStyle w:val="40"/>
                    <w:bidi w:val="0"/>
                    <w:rPr>
                      <w:color w:val="auto"/>
                      <w:highlight w:val="none"/>
                    </w:rPr>
                  </w:pPr>
                  <w:r>
                    <w:rPr>
                      <w:color w:val="auto"/>
                      <w:highlight w:val="none"/>
                    </w:rPr>
                    <w:t>重点管控单元</w:t>
                  </w:r>
                </w:p>
              </w:tc>
              <w:tc>
                <w:tcPr>
                  <w:tcW w:w="836" w:type="pct"/>
                  <w:tcBorders>
                    <w:tl2br w:val="nil"/>
                    <w:tr2bl w:val="nil"/>
                  </w:tcBorders>
                  <w:noWrap w:val="0"/>
                  <w:vAlign w:val="center"/>
                </w:tcPr>
                <w:p w14:paraId="2C81612D">
                  <w:pPr>
                    <w:pStyle w:val="40"/>
                    <w:bidi w:val="0"/>
                    <w:rPr>
                      <w:color w:val="auto"/>
                      <w:highlight w:val="none"/>
                    </w:rPr>
                  </w:pPr>
                  <w:r>
                    <w:rPr>
                      <w:color w:val="auto"/>
                      <w:highlight w:val="none"/>
                    </w:rPr>
                    <w:t>是</w:t>
                  </w:r>
                </w:p>
              </w:tc>
              <w:tc>
                <w:tcPr>
                  <w:tcW w:w="1425" w:type="pct"/>
                  <w:tcBorders>
                    <w:tl2br w:val="nil"/>
                    <w:tr2bl w:val="nil"/>
                  </w:tcBorders>
                  <w:noWrap w:val="0"/>
                  <w:vAlign w:val="center"/>
                </w:tcPr>
                <w:p w14:paraId="3DA51298">
                  <w:pPr>
                    <w:pStyle w:val="40"/>
                    <w:bidi w:val="0"/>
                    <w:rPr>
                      <w:color w:val="auto"/>
                      <w:highlight w:val="none"/>
                    </w:rPr>
                  </w:pPr>
                  <w:r>
                    <w:rPr>
                      <w:rFonts w:hint="eastAsia"/>
                      <w:color w:val="auto"/>
                      <w:highlight w:val="none"/>
                    </w:rPr>
                    <w:t>陕西省榆林市府谷县重点管控单元2</w:t>
                  </w:r>
                </w:p>
              </w:tc>
            </w:tr>
            <w:tr w14:paraId="6A0ADF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4" w:type="pct"/>
                  <w:vMerge w:val="continue"/>
                  <w:tcBorders>
                    <w:tl2br w:val="nil"/>
                    <w:tr2bl w:val="nil"/>
                  </w:tcBorders>
                  <w:noWrap w:val="0"/>
                  <w:vAlign w:val="center"/>
                </w:tcPr>
                <w:p w14:paraId="0603A10F">
                  <w:pPr>
                    <w:pStyle w:val="40"/>
                    <w:bidi w:val="0"/>
                    <w:rPr>
                      <w:rFonts w:hint="eastAsia"/>
                      <w:color w:val="auto"/>
                      <w:highlight w:val="none"/>
                    </w:rPr>
                  </w:pPr>
                </w:p>
              </w:tc>
              <w:tc>
                <w:tcPr>
                  <w:tcW w:w="1323" w:type="pct"/>
                  <w:tcBorders>
                    <w:tl2br w:val="nil"/>
                    <w:tr2bl w:val="nil"/>
                  </w:tcBorders>
                  <w:noWrap w:val="0"/>
                  <w:vAlign w:val="center"/>
                </w:tcPr>
                <w:p w14:paraId="53F9BAEC">
                  <w:pPr>
                    <w:pStyle w:val="40"/>
                    <w:bidi w:val="0"/>
                    <w:rPr>
                      <w:color w:val="auto"/>
                      <w:highlight w:val="none"/>
                    </w:rPr>
                  </w:pPr>
                  <w:r>
                    <w:rPr>
                      <w:rFonts w:hint="eastAsia"/>
                      <w:color w:val="auto"/>
                      <w:highlight w:val="none"/>
                    </w:rPr>
                    <w:t>一</w:t>
                  </w:r>
                  <w:r>
                    <w:rPr>
                      <w:color w:val="auto"/>
                      <w:highlight w:val="none"/>
                    </w:rPr>
                    <w:t>般管控单元</w:t>
                  </w:r>
                </w:p>
              </w:tc>
              <w:tc>
                <w:tcPr>
                  <w:tcW w:w="836" w:type="pct"/>
                  <w:tcBorders>
                    <w:tl2br w:val="nil"/>
                    <w:tr2bl w:val="nil"/>
                  </w:tcBorders>
                  <w:noWrap w:val="0"/>
                  <w:vAlign w:val="center"/>
                </w:tcPr>
                <w:p w14:paraId="15D50F36">
                  <w:pPr>
                    <w:pStyle w:val="40"/>
                    <w:bidi w:val="0"/>
                    <w:rPr>
                      <w:color w:val="auto"/>
                      <w:highlight w:val="none"/>
                    </w:rPr>
                  </w:pPr>
                  <w:r>
                    <w:rPr>
                      <w:color w:val="auto"/>
                      <w:highlight w:val="none"/>
                    </w:rPr>
                    <w:t>否</w:t>
                  </w:r>
                </w:p>
              </w:tc>
              <w:tc>
                <w:tcPr>
                  <w:tcW w:w="1425" w:type="pct"/>
                  <w:tcBorders>
                    <w:tl2br w:val="nil"/>
                    <w:tr2bl w:val="nil"/>
                  </w:tcBorders>
                  <w:noWrap w:val="0"/>
                  <w:vAlign w:val="center"/>
                </w:tcPr>
                <w:p w14:paraId="5AD99F25">
                  <w:pPr>
                    <w:pStyle w:val="40"/>
                    <w:bidi w:val="0"/>
                    <w:rPr>
                      <w:color w:val="auto"/>
                      <w:highlight w:val="none"/>
                    </w:rPr>
                  </w:pPr>
                  <w:r>
                    <w:rPr>
                      <w:rFonts w:hint="eastAsia"/>
                      <w:color w:val="auto"/>
                      <w:highlight w:val="none"/>
                    </w:rPr>
                    <w:t>/</w:t>
                  </w:r>
                </w:p>
              </w:tc>
            </w:tr>
          </w:tbl>
          <w:p w14:paraId="37853F13">
            <w:pPr>
              <w:keepNext w:val="0"/>
              <w:keepLines w:val="0"/>
              <w:pageBreakBefore w:val="0"/>
              <w:widowControl/>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color w:val="auto"/>
                <w:sz w:val="24"/>
                <w:highlight w:val="none"/>
              </w:rPr>
            </w:pPr>
            <w:r>
              <w:rPr>
                <w:rFonts w:hint="eastAsia"/>
                <w:color w:val="auto"/>
                <w:sz w:val="24"/>
                <w:highlight w:val="none"/>
              </w:rPr>
              <w:t>项目与《榆林市人民政府关于印发榆林市“三线一单”生态环境分区管控方案的通知》（榆政发〔2021〕17号）符合性分析见</w:t>
            </w:r>
            <w:r>
              <w:rPr>
                <w:rFonts w:hint="eastAsia"/>
                <w:color w:val="auto"/>
                <w:sz w:val="24"/>
                <w:highlight w:val="none"/>
                <w:lang w:val="en-US" w:eastAsia="zh-CN"/>
              </w:rPr>
              <w:fldChar w:fldCharType="begin"/>
            </w:r>
            <w:r>
              <w:rPr>
                <w:rFonts w:hint="eastAsia"/>
                <w:color w:val="auto"/>
                <w:sz w:val="24"/>
                <w:highlight w:val="none"/>
                <w:lang w:val="en-US" w:eastAsia="zh-CN"/>
              </w:rPr>
              <w:instrText xml:space="preserve"> REF _Ref17716 \h </w:instrText>
            </w:r>
            <w:r>
              <w:rPr>
                <w:rFonts w:hint="eastAsia"/>
                <w:color w:val="auto"/>
                <w:sz w:val="24"/>
                <w:highlight w:val="none"/>
                <w:lang w:val="en-US" w:eastAsia="zh-CN"/>
              </w:rPr>
              <w:fldChar w:fldCharType="separate"/>
            </w:r>
            <w:r>
              <w:rPr>
                <w:color w:val="auto"/>
                <w:highlight w:val="none"/>
              </w:rPr>
              <w:t>表1-6</w:t>
            </w:r>
            <w:r>
              <w:rPr>
                <w:rFonts w:hint="eastAsia"/>
                <w:color w:val="auto"/>
                <w:sz w:val="24"/>
                <w:highlight w:val="none"/>
                <w:lang w:val="en-US" w:eastAsia="zh-CN"/>
              </w:rPr>
              <w:fldChar w:fldCharType="end"/>
            </w:r>
            <w:r>
              <w:rPr>
                <w:rFonts w:hint="eastAsia"/>
                <w:color w:val="auto"/>
                <w:sz w:val="24"/>
                <w:highlight w:val="none"/>
              </w:rPr>
              <w:t>。</w:t>
            </w:r>
          </w:p>
          <w:p w14:paraId="34E5B79D">
            <w:pPr>
              <w:pStyle w:val="7"/>
              <w:keepNext w:val="0"/>
              <w:keepLines w:val="0"/>
              <w:pageBreakBefore w:val="0"/>
              <w:widowControl w:val="0"/>
              <w:kinsoku/>
              <w:wordWrap/>
              <w:overflowPunct/>
              <w:topLinePunct w:val="0"/>
              <w:autoSpaceDE/>
              <w:autoSpaceDN/>
              <w:bidi w:val="0"/>
              <w:adjustRightInd/>
              <w:snapToGrid/>
              <w:textAlignment w:val="auto"/>
              <w:rPr>
                <w:color w:val="auto"/>
                <w:highlight w:val="none"/>
              </w:rPr>
            </w:pPr>
            <w:bookmarkStart w:id="6" w:name="_Ref17716"/>
          </w:p>
          <w:p w14:paraId="5DECF5CF">
            <w:pPr>
              <w:pStyle w:val="7"/>
              <w:keepNext w:val="0"/>
              <w:keepLines w:val="0"/>
              <w:pageBreakBefore w:val="0"/>
              <w:widowControl w:val="0"/>
              <w:kinsoku/>
              <w:wordWrap/>
              <w:overflowPunct/>
              <w:topLinePunct w:val="0"/>
              <w:autoSpaceDE/>
              <w:autoSpaceDN/>
              <w:bidi w:val="0"/>
              <w:adjustRightInd/>
              <w:snapToGrid/>
              <w:textAlignment w:val="auto"/>
              <w:rPr>
                <w:color w:val="auto"/>
                <w:highlight w:val="none"/>
              </w:rPr>
            </w:pPr>
          </w:p>
          <w:p w14:paraId="36078322">
            <w:pPr>
              <w:pStyle w:val="7"/>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lang w:val="zh-CN"/>
              </w:rPr>
            </w:pPr>
            <w:r>
              <w:rPr>
                <w:color w:val="auto"/>
                <w:highlight w:val="none"/>
              </w:rPr>
              <w:t>表1-</w:t>
            </w:r>
            <w:r>
              <w:rPr>
                <w:color w:val="auto"/>
                <w:highlight w:val="none"/>
              </w:rPr>
              <w:fldChar w:fldCharType="begin"/>
            </w:r>
            <w:r>
              <w:rPr>
                <w:color w:val="auto"/>
                <w:highlight w:val="none"/>
              </w:rPr>
              <w:instrText xml:space="preserve"> SEQ 表1- \* ARABIC </w:instrText>
            </w:r>
            <w:r>
              <w:rPr>
                <w:color w:val="auto"/>
                <w:highlight w:val="none"/>
              </w:rPr>
              <w:fldChar w:fldCharType="separate"/>
            </w:r>
            <w:r>
              <w:rPr>
                <w:color w:val="auto"/>
                <w:highlight w:val="none"/>
              </w:rPr>
              <w:t>6</w:t>
            </w:r>
            <w:r>
              <w:rPr>
                <w:color w:val="auto"/>
                <w:highlight w:val="none"/>
              </w:rPr>
              <w:fldChar w:fldCharType="end"/>
            </w:r>
            <w:bookmarkEnd w:id="6"/>
            <w:r>
              <w:rPr>
                <w:rFonts w:hint="eastAsia"/>
                <w:color w:val="auto"/>
                <w:highlight w:val="none"/>
                <w:lang w:val="zh-CN"/>
              </w:rPr>
              <w:t xml:space="preserve">  项目与榆林市“三线一单”分区管控方案符合性分析</w:t>
            </w:r>
          </w:p>
          <w:tbl>
            <w:tblPr>
              <w:tblStyle w:val="24"/>
              <w:tblW w:w="4995"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97"/>
              <w:gridCol w:w="641"/>
              <w:gridCol w:w="2772"/>
              <w:gridCol w:w="2773"/>
              <w:gridCol w:w="639"/>
            </w:tblGrid>
            <w:tr w14:paraId="7A7FC6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77" w:type="pct"/>
                  <w:gridSpan w:val="2"/>
                  <w:tcBorders>
                    <w:tl2br w:val="nil"/>
                    <w:tr2bl w:val="nil"/>
                  </w:tcBorders>
                  <w:vAlign w:val="center"/>
                </w:tcPr>
                <w:p w14:paraId="0D4980CA">
                  <w:pPr>
                    <w:pStyle w:val="40"/>
                    <w:bidi w:val="0"/>
                    <w:rPr>
                      <w:color w:val="auto"/>
                      <w:spacing w:val="-6"/>
                      <w:sz w:val="21"/>
                      <w:highlight w:val="none"/>
                    </w:rPr>
                  </w:pPr>
                  <w:r>
                    <w:rPr>
                      <w:color w:val="auto"/>
                      <w:spacing w:val="-6"/>
                      <w:sz w:val="21"/>
                      <w:highlight w:val="none"/>
                    </w:rPr>
                    <w:t>管控维度</w:t>
                  </w:r>
                </w:p>
              </w:tc>
              <w:tc>
                <w:tcPr>
                  <w:tcW w:w="1892" w:type="pct"/>
                  <w:tcBorders>
                    <w:tl2br w:val="nil"/>
                    <w:tr2bl w:val="nil"/>
                  </w:tcBorders>
                  <w:vAlign w:val="center"/>
                </w:tcPr>
                <w:p w14:paraId="6899978C">
                  <w:pPr>
                    <w:pStyle w:val="40"/>
                    <w:bidi w:val="0"/>
                    <w:rPr>
                      <w:color w:val="auto"/>
                      <w:highlight w:val="none"/>
                    </w:rPr>
                  </w:pPr>
                  <w:r>
                    <w:rPr>
                      <w:color w:val="auto"/>
                      <w:highlight w:val="none"/>
                    </w:rPr>
                    <w:t>管控要求</w:t>
                  </w:r>
                </w:p>
              </w:tc>
              <w:tc>
                <w:tcPr>
                  <w:tcW w:w="1893" w:type="pct"/>
                  <w:tcBorders>
                    <w:tl2br w:val="nil"/>
                    <w:tr2bl w:val="nil"/>
                  </w:tcBorders>
                  <w:vAlign w:val="center"/>
                </w:tcPr>
                <w:p w14:paraId="42C32F10">
                  <w:pPr>
                    <w:pStyle w:val="40"/>
                    <w:bidi w:val="0"/>
                    <w:rPr>
                      <w:color w:val="auto"/>
                      <w:highlight w:val="none"/>
                    </w:rPr>
                  </w:pPr>
                  <w:r>
                    <w:rPr>
                      <w:color w:val="auto"/>
                      <w:highlight w:val="none"/>
                    </w:rPr>
                    <w:t>本项目情况</w:t>
                  </w:r>
                </w:p>
              </w:tc>
              <w:tc>
                <w:tcPr>
                  <w:tcW w:w="436" w:type="pct"/>
                  <w:tcBorders>
                    <w:tl2br w:val="nil"/>
                    <w:tr2bl w:val="nil"/>
                  </w:tcBorders>
                  <w:vAlign w:val="center"/>
                </w:tcPr>
                <w:p w14:paraId="0A0EC5BC">
                  <w:pPr>
                    <w:pStyle w:val="40"/>
                    <w:bidi w:val="0"/>
                    <w:rPr>
                      <w:rFonts w:hint="eastAsia" w:eastAsia="宋体"/>
                      <w:color w:val="auto"/>
                      <w:spacing w:val="-6"/>
                      <w:sz w:val="21"/>
                      <w:highlight w:val="none"/>
                      <w:lang w:eastAsia="zh-CN"/>
                    </w:rPr>
                  </w:pPr>
                  <w:r>
                    <w:rPr>
                      <w:rFonts w:hint="eastAsia"/>
                      <w:color w:val="auto"/>
                      <w:spacing w:val="-6"/>
                      <w:sz w:val="21"/>
                      <w:highlight w:val="none"/>
                      <w:lang w:val="en-US" w:eastAsia="zh-CN"/>
                    </w:rPr>
                    <w:t>符合性</w:t>
                  </w:r>
                </w:p>
              </w:tc>
            </w:tr>
            <w:tr w14:paraId="08407D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339" w:type="pct"/>
                  <w:vMerge w:val="restart"/>
                  <w:tcBorders>
                    <w:tl2br w:val="nil"/>
                    <w:tr2bl w:val="nil"/>
                  </w:tcBorders>
                  <w:vAlign w:val="center"/>
                </w:tcPr>
                <w:p w14:paraId="44191F7D">
                  <w:pPr>
                    <w:pStyle w:val="40"/>
                    <w:bidi w:val="0"/>
                    <w:rPr>
                      <w:color w:val="auto"/>
                      <w:spacing w:val="-6"/>
                      <w:sz w:val="21"/>
                      <w:highlight w:val="none"/>
                    </w:rPr>
                  </w:pPr>
                  <w:r>
                    <w:rPr>
                      <w:color w:val="auto"/>
                      <w:spacing w:val="-6"/>
                      <w:sz w:val="21"/>
                      <w:highlight w:val="none"/>
                    </w:rPr>
                    <w:t>4.2水环境工业污染重点管控区</w:t>
                  </w:r>
                </w:p>
              </w:tc>
              <w:tc>
                <w:tcPr>
                  <w:tcW w:w="437" w:type="pct"/>
                  <w:tcBorders>
                    <w:tl2br w:val="nil"/>
                    <w:tr2bl w:val="nil"/>
                  </w:tcBorders>
                  <w:vAlign w:val="center"/>
                </w:tcPr>
                <w:p w14:paraId="4B37A5C3">
                  <w:pPr>
                    <w:pStyle w:val="40"/>
                    <w:bidi w:val="0"/>
                    <w:rPr>
                      <w:color w:val="auto"/>
                      <w:spacing w:val="-6"/>
                      <w:sz w:val="21"/>
                      <w:highlight w:val="none"/>
                    </w:rPr>
                  </w:pPr>
                  <w:r>
                    <w:rPr>
                      <w:color w:val="auto"/>
                      <w:spacing w:val="-6"/>
                      <w:sz w:val="21"/>
                      <w:highlight w:val="none"/>
                    </w:rPr>
                    <w:t>空间布置约束</w:t>
                  </w:r>
                </w:p>
              </w:tc>
              <w:tc>
                <w:tcPr>
                  <w:tcW w:w="1892" w:type="pct"/>
                  <w:tcBorders>
                    <w:tl2br w:val="nil"/>
                    <w:tr2bl w:val="nil"/>
                  </w:tcBorders>
                  <w:vAlign w:val="center"/>
                </w:tcPr>
                <w:p w14:paraId="480FF4F0">
                  <w:pPr>
                    <w:pStyle w:val="40"/>
                    <w:bidi w:val="0"/>
                    <w:jc w:val="both"/>
                    <w:rPr>
                      <w:color w:val="auto"/>
                      <w:highlight w:val="none"/>
                    </w:rPr>
                  </w:pPr>
                  <w:r>
                    <w:rPr>
                      <w:color w:val="auto"/>
                      <w:highlight w:val="none"/>
                      <w:lang w:val="en-US" w:eastAsia="zh-CN"/>
                    </w:rPr>
                    <w:t>充分考虑水环境承载能力和水资源开发利用效率，合理确定产业发展布局、结构和规模。</w:t>
                  </w:r>
                </w:p>
              </w:tc>
              <w:tc>
                <w:tcPr>
                  <w:tcW w:w="1893" w:type="pct"/>
                  <w:tcBorders>
                    <w:tl2br w:val="nil"/>
                    <w:tr2bl w:val="nil"/>
                  </w:tcBorders>
                  <w:vAlign w:val="center"/>
                </w:tcPr>
                <w:p w14:paraId="02E5EE98">
                  <w:pPr>
                    <w:pStyle w:val="40"/>
                    <w:bidi w:val="0"/>
                    <w:jc w:val="both"/>
                    <w:rPr>
                      <w:rFonts w:hint="eastAsia" w:eastAsia="宋体"/>
                      <w:color w:val="auto"/>
                      <w:highlight w:val="none"/>
                      <w:lang w:val="en-US" w:eastAsia="zh-CN"/>
                    </w:rPr>
                  </w:pPr>
                  <w:r>
                    <w:rPr>
                      <w:rFonts w:hint="eastAsia"/>
                      <w:color w:val="auto"/>
                      <w:highlight w:val="none"/>
                      <w:lang w:val="en-US" w:eastAsia="zh-CN"/>
                    </w:rPr>
                    <w:t>本项目供水引用清水川工业园区的管路，</w:t>
                  </w:r>
                  <w:r>
                    <w:rPr>
                      <w:rFonts w:hint="eastAsia"/>
                      <w:color w:val="auto"/>
                      <w:highlight w:val="none"/>
                    </w:rPr>
                    <w:t>水源利用合理</w:t>
                  </w:r>
                  <w:r>
                    <w:rPr>
                      <w:rFonts w:hint="eastAsia"/>
                      <w:color w:val="auto"/>
                      <w:highlight w:val="none"/>
                      <w:lang w:eastAsia="zh-CN"/>
                    </w:rPr>
                    <w:t>。</w:t>
                  </w:r>
                </w:p>
              </w:tc>
              <w:tc>
                <w:tcPr>
                  <w:tcW w:w="436" w:type="pct"/>
                  <w:tcBorders>
                    <w:tl2br w:val="nil"/>
                    <w:tr2bl w:val="nil"/>
                  </w:tcBorders>
                  <w:vAlign w:val="center"/>
                </w:tcPr>
                <w:p w14:paraId="12BD324B">
                  <w:pPr>
                    <w:pStyle w:val="40"/>
                    <w:bidi w:val="0"/>
                    <w:rPr>
                      <w:color w:val="auto"/>
                      <w:spacing w:val="-6"/>
                      <w:sz w:val="21"/>
                      <w:highlight w:val="none"/>
                    </w:rPr>
                  </w:pPr>
                  <w:r>
                    <w:rPr>
                      <w:color w:val="auto"/>
                      <w:spacing w:val="-6"/>
                      <w:sz w:val="21"/>
                      <w:highlight w:val="none"/>
                    </w:rPr>
                    <w:t>符合</w:t>
                  </w:r>
                </w:p>
              </w:tc>
            </w:tr>
            <w:tr w14:paraId="2FAFA5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78" w:hRule="atLeast"/>
                <w:jc w:val="center"/>
              </w:trPr>
              <w:tc>
                <w:tcPr>
                  <w:tcW w:w="339" w:type="pct"/>
                  <w:vMerge w:val="continue"/>
                  <w:tcBorders>
                    <w:tl2br w:val="nil"/>
                    <w:tr2bl w:val="nil"/>
                  </w:tcBorders>
                  <w:vAlign w:val="center"/>
                </w:tcPr>
                <w:p w14:paraId="565C4EE5">
                  <w:pPr>
                    <w:pStyle w:val="40"/>
                    <w:bidi w:val="0"/>
                    <w:rPr>
                      <w:color w:val="auto"/>
                      <w:spacing w:val="-6"/>
                      <w:sz w:val="21"/>
                      <w:highlight w:val="none"/>
                    </w:rPr>
                  </w:pPr>
                </w:p>
              </w:tc>
              <w:tc>
                <w:tcPr>
                  <w:tcW w:w="437" w:type="pct"/>
                  <w:tcBorders>
                    <w:tl2br w:val="nil"/>
                    <w:tr2bl w:val="nil"/>
                  </w:tcBorders>
                  <w:vAlign w:val="center"/>
                </w:tcPr>
                <w:p w14:paraId="28D1FE07">
                  <w:pPr>
                    <w:pStyle w:val="40"/>
                    <w:bidi w:val="0"/>
                    <w:rPr>
                      <w:color w:val="auto"/>
                      <w:spacing w:val="-6"/>
                      <w:sz w:val="21"/>
                      <w:highlight w:val="none"/>
                    </w:rPr>
                  </w:pPr>
                  <w:r>
                    <w:rPr>
                      <w:color w:val="auto"/>
                      <w:spacing w:val="-6"/>
                      <w:sz w:val="21"/>
                      <w:highlight w:val="none"/>
                    </w:rPr>
                    <w:t>污染物排放管控</w:t>
                  </w:r>
                </w:p>
              </w:tc>
              <w:tc>
                <w:tcPr>
                  <w:tcW w:w="1892" w:type="pct"/>
                  <w:tcBorders>
                    <w:tl2br w:val="nil"/>
                    <w:tr2bl w:val="nil"/>
                  </w:tcBorders>
                  <w:vAlign w:val="center"/>
                </w:tcPr>
                <w:p w14:paraId="0B6DF486">
                  <w:pPr>
                    <w:pStyle w:val="40"/>
                    <w:numPr>
                      <w:ilvl w:val="0"/>
                      <w:numId w:val="0"/>
                    </w:numPr>
                    <w:bidi w:val="0"/>
                    <w:ind w:firstLine="0" w:firstLineChars="0"/>
                    <w:jc w:val="both"/>
                    <w:rPr>
                      <w:color w:val="auto"/>
                      <w:highlight w:val="none"/>
                    </w:rPr>
                  </w:pPr>
                  <w:r>
                    <w:rPr>
                      <w:rFonts w:ascii="Times New Roman" w:hAnsi="Times New Roman" w:eastAsia="宋体" w:cs="Times New Roman"/>
                      <w:b w:val="0"/>
                      <w:bCs w:val="0"/>
                      <w:color w:val="auto"/>
                      <w:kern w:val="2"/>
                      <w:sz w:val="21"/>
                      <w:szCs w:val="21"/>
                      <w:highlight w:val="none"/>
                      <w:lang w:val="en-US" w:eastAsia="zh-CN" w:bidi="ar-SA"/>
                    </w:rPr>
                    <w:t>1</w:t>
                  </w:r>
                  <w:r>
                    <w:rPr>
                      <w:rFonts w:hint="eastAsia" w:cs="Times New Roman"/>
                      <w:b w:val="0"/>
                      <w:bCs w:val="0"/>
                      <w:color w:val="auto"/>
                      <w:kern w:val="2"/>
                      <w:sz w:val="21"/>
                      <w:szCs w:val="21"/>
                      <w:highlight w:val="none"/>
                      <w:lang w:val="en-US" w:eastAsia="zh-CN" w:bidi="ar-SA"/>
                    </w:rPr>
                    <w:t>、</w:t>
                  </w:r>
                  <w:r>
                    <w:rPr>
                      <w:color w:val="auto"/>
                      <w:highlight w:val="none"/>
                    </w:rPr>
                    <w:t>所有排污单位必须依法实现全面达标排放。集聚区内工业废水必须进行经预处理达到集中处理要求后，方可进入污水集中处理设施。</w:t>
                  </w:r>
                </w:p>
                <w:p w14:paraId="65FF9BFA">
                  <w:pPr>
                    <w:pStyle w:val="40"/>
                    <w:numPr>
                      <w:ilvl w:val="0"/>
                      <w:numId w:val="0"/>
                    </w:numPr>
                    <w:bidi w:val="0"/>
                    <w:ind w:firstLine="0" w:firstLineChars="0"/>
                    <w:jc w:val="both"/>
                    <w:rPr>
                      <w:color w:val="auto"/>
                      <w:highlight w:val="none"/>
                    </w:rPr>
                  </w:pPr>
                  <w:r>
                    <w:rPr>
                      <w:color w:val="auto"/>
                      <w:highlight w:val="none"/>
                    </w:rPr>
                    <w:t>2</w:t>
                  </w:r>
                  <w:r>
                    <w:rPr>
                      <w:rFonts w:hint="eastAsia"/>
                      <w:color w:val="auto"/>
                      <w:highlight w:val="none"/>
                      <w:lang w:eastAsia="zh-CN"/>
                    </w:rPr>
                    <w:t>、</w:t>
                  </w:r>
                  <w:r>
                    <w:rPr>
                      <w:color w:val="auto"/>
                      <w:highlight w:val="none"/>
                    </w:rPr>
                    <w:t>建设项目所在水环境单元或断面存在污染物超标的，应严格控制相应污染物的排放量。</w:t>
                  </w:r>
                </w:p>
                <w:p w14:paraId="5B5EBF97">
                  <w:pPr>
                    <w:pStyle w:val="40"/>
                    <w:numPr>
                      <w:ilvl w:val="0"/>
                      <w:numId w:val="0"/>
                    </w:numPr>
                    <w:bidi w:val="0"/>
                    <w:ind w:firstLine="0" w:firstLineChars="0"/>
                    <w:jc w:val="both"/>
                    <w:rPr>
                      <w:color w:val="auto"/>
                      <w:highlight w:val="none"/>
                    </w:rPr>
                  </w:pPr>
                  <w:r>
                    <w:rPr>
                      <w:color w:val="auto"/>
                      <w:highlight w:val="none"/>
                    </w:rPr>
                    <w:t>3</w:t>
                  </w:r>
                  <w:r>
                    <w:rPr>
                      <w:rFonts w:hint="eastAsia"/>
                      <w:color w:val="auto"/>
                      <w:highlight w:val="none"/>
                      <w:lang w:eastAsia="zh-CN"/>
                    </w:rPr>
                    <w:t>、</w:t>
                  </w:r>
                  <w:r>
                    <w:rPr>
                      <w:color w:val="auto"/>
                      <w:highlight w:val="none"/>
                    </w:rPr>
                    <w:t>严控高含盐废水排放。</w:t>
                  </w:r>
                </w:p>
              </w:tc>
              <w:tc>
                <w:tcPr>
                  <w:tcW w:w="1893" w:type="pct"/>
                  <w:tcBorders>
                    <w:tl2br w:val="nil"/>
                    <w:tr2bl w:val="nil"/>
                  </w:tcBorders>
                  <w:vAlign w:val="center"/>
                </w:tcPr>
                <w:p w14:paraId="7BE0C235">
                  <w:pPr>
                    <w:pStyle w:val="40"/>
                    <w:bidi w:val="0"/>
                    <w:jc w:val="both"/>
                    <w:rPr>
                      <w:color w:val="auto"/>
                      <w:highlight w:val="none"/>
                    </w:rPr>
                  </w:pPr>
                  <w:r>
                    <w:rPr>
                      <w:rFonts w:hint="eastAsia"/>
                      <w:bCs/>
                      <w:color w:val="auto"/>
                      <w:sz w:val="21"/>
                      <w:szCs w:val="21"/>
                      <w:highlight w:val="none"/>
                      <w:lang w:val="en-US" w:eastAsia="zh-CN"/>
                    </w:rPr>
                    <w:t>设备清洗</w:t>
                  </w:r>
                  <w:r>
                    <w:rPr>
                      <w:bCs/>
                      <w:color w:val="auto"/>
                      <w:sz w:val="21"/>
                      <w:szCs w:val="21"/>
                      <w:highlight w:val="none"/>
                      <w:lang w:val="en-US" w:eastAsia="zh-CN"/>
                    </w:rPr>
                    <w:t>废水</w:t>
                  </w:r>
                  <w:r>
                    <w:rPr>
                      <w:rFonts w:hint="eastAsia"/>
                      <w:bCs/>
                      <w:color w:val="auto"/>
                      <w:sz w:val="21"/>
                      <w:szCs w:val="21"/>
                      <w:highlight w:val="none"/>
                      <w:lang w:val="en-US" w:eastAsia="zh-CN"/>
                    </w:rPr>
                    <w:t>回</w:t>
                  </w:r>
                  <w:r>
                    <w:rPr>
                      <w:bCs/>
                      <w:color w:val="auto"/>
                      <w:sz w:val="21"/>
                      <w:szCs w:val="21"/>
                      <w:highlight w:val="none"/>
                      <w:lang w:val="en-US" w:eastAsia="zh-CN"/>
                    </w:rPr>
                    <w:t>用于搅拌工序</w:t>
                  </w:r>
                  <w:r>
                    <w:rPr>
                      <w:rFonts w:hint="eastAsia"/>
                      <w:bCs/>
                      <w:color w:val="auto"/>
                      <w:sz w:val="21"/>
                      <w:szCs w:val="21"/>
                      <w:highlight w:val="none"/>
                      <w:lang w:val="en-US" w:eastAsia="zh-CN"/>
                    </w:rPr>
                    <w:t>，</w:t>
                  </w:r>
                  <w:r>
                    <w:rPr>
                      <w:bCs/>
                      <w:color w:val="auto"/>
                      <w:sz w:val="21"/>
                      <w:szCs w:val="21"/>
                      <w:highlight w:val="none"/>
                      <w:lang w:val="en-US" w:eastAsia="zh-CN"/>
                    </w:rPr>
                    <w:t>车辆冲洗废水</w:t>
                  </w:r>
                  <w:r>
                    <w:rPr>
                      <w:rFonts w:hint="eastAsia"/>
                      <w:bCs/>
                      <w:color w:val="auto"/>
                      <w:sz w:val="21"/>
                      <w:szCs w:val="21"/>
                      <w:highlight w:val="none"/>
                      <w:lang w:val="en-US" w:eastAsia="zh-CN"/>
                    </w:rPr>
                    <w:t>循环使用，</w:t>
                  </w:r>
                  <w:r>
                    <w:rPr>
                      <w:rFonts w:hint="eastAsia"/>
                      <w:color w:val="auto"/>
                      <w:highlight w:val="none"/>
                      <w:lang w:val="en-US" w:eastAsia="zh-CN"/>
                    </w:rPr>
                    <w:t>锅炉定排水、蒸汽凝结水和离子交换树脂再生废水</w:t>
                  </w:r>
                  <w:r>
                    <w:rPr>
                      <w:rFonts w:hint="eastAsia"/>
                      <w:color w:val="auto"/>
                      <w:spacing w:val="0"/>
                      <w:sz w:val="21"/>
                      <w:highlight w:val="none"/>
                      <w:lang w:val="en-US" w:eastAsia="zh-CN"/>
                    </w:rPr>
                    <w:t>经暂存池</w:t>
                  </w:r>
                  <w:r>
                    <w:rPr>
                      <w:rFonts w:hint="eastAsia"/>
                      <w:color w:val="auto"/>
                      <w:highlight w:val="none"/>
                      <w:lang w:eastAsia="zh-CN"/>
                    </w:rPr>
                    <w:t>（</w:t>
                  </w:r>
                  <w:r>
                    <w:rPr>
                      <w:rFonts w:hint="eastAsia"/>
                      <w:color w:val="auto"/>
                      <w:highlight w:val="none"/>
                      <w:lang w:val="en-US" w:eastAsia="zh-CN"/>
                    </w:rPr>
                    <w:t>10</w:t>
                  </w:r>
                  <w:r>
                    <w:rPr>
                      <w:rFonts w:hint="eastAsia"/>
                      <w:color w:val="auto"/>
                      <w:highlight w:val="none"/>
                    </w:rPr>
                    <w:t>m</w:t>
                  </w:r>
                  <w:r>
                    <w:rPr>
                      <w:rFonts w:hint="eastAsia"/>
                      <w:color w:val="auto"/>
                      <w:highlight w:val="none"/>
                      <w:vertAlign w:val="superscript"/>
                    </w:rPr>
                    <w:t>3</w:t>
                  </w:r>
                  <w:r>
                    <w:rPr>
                      <w:rFonts w:hint="eastAsia"/>
                      <w:color w:val="auto"/>
                      <w:highlight w:val="none"/>
                      <w:lang w:eastAsia="zh-CN"/>
                    </w:rPr>
                    <w:t>）</w:t>
                  </w:r>
                  <w:r>
                    <w:rPr>
                      <w:rFonts w:hint="eastAsia"/>
                      <w:color w:val="auto"/>
                      <w:spacing w:val="0"/>
                      <w:sz w:val="21"/>
                      <w:highlight w:val="none"/>
                      <w:lang w:val="en-US" w:eastAsia="zh-CN"/>
                    </w:rPr>
                    <w:t>收集后回用于混凝土搅拌工序</w:t>
                  </w:r>
                  <w:r>
                    <w:rPr>
                      <w:rFonts w:hint="eastAsia"/>
                      <w:color w:val="auto"/>
                      <w:highlight w:val="none"/>
                      <w:lang w:val="en-US" w:eastAsia="zh-CN"/>
                    </w:rPr>
                    <w:t>，</w:t>
                  </w:r>
                  <w:r>
                    <w:rPr>
                      <w:rFonts w:hint="eastAsia"/>
                      <w:bCs/>
                      <w:color w:val="auto"/>
                      <w:sz w:val="21"/>
                      <w:szCs w:val="21"/>
                      <w:highlight w:val="none"/>
                      <w:lang w:val="en-US" w:eastAsia="zh-CN"/>
                    </w:rPr>
                    <w:t>运营期产生的生产废水不外排；项目不涉及高含盐废水排放。</w:t>
                  </w:r>
                </w:p>
              </w:tc>
              <w:tc>
                <w:tcPr>
                  <w:tcW w:w="436" w:type="pct"/>
                  <w:tcBorders>
                    <w:tl2br w:val="nil"/>
                    <w:tr2bl w:val="nil"/>
                  </w:tcBorders>
                  <w:vAlign w:val="center"/>
                </w:tcPr>
                <w:p w14:paraId="5F4FFCCF">
                  <w:pPr>
                    <w:pStyle w:val="40"/>
                    <w:bidi w:val="0"/>
                    <w:rPr>
                      <w:color w:val="auto"/>
                      <w:spacing w:val="-6"/>
                      <w:sz w:val="21"/>
                      <w:highlight w:val="none"/>
                    </w:rPr>
                  </w:pPr>
                  <w:r>
                    <w:rPr>
                      <w:color w:val="auto"/>
                      <w:spacing w:val="-6"/>
                      <w:sz w:val="21"/>
                      <w:highlight w:val="none"/>
                    </w:rPr>
                    <w:t>符合</w:t>
                  </w:r>
                </w:p>
              </w:tc>
            </w:tr>
            <w:tr w14:paraId="52CC3F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45" w:hRule="atLeast"/>
                <w:jc w:val="center"/>
              </w:trPr>
              <w:tc>
                <w:tcPr>
                  <w:tcW w:w="339" w:type="pct"/>
                  <w:vMerge w:val="continue"/>
                  <w:tcBorders>
                    <w:tl2br w:val="nil"/>
                    <w:tr2bl w:val="nil"/>
                  </w:tcBorders>
                  <w:vAlign w:val="center"/>
                </w:tcPr>
                <w:p w14:paraId="29E5C6E6">
                  <w:pPr>
                    <w:pStyle w:val="40"/>
                    <w:bidi w:val="0"/>
                    <w:rPr>
                      <w:color w:val="auto"/>
                      <w:spacing w:val="-6"/>
                      <w:sz w:val="21"/>
                      <w:highlight w:val="none"/>
                    </w:rPr>
                  </w:pPr>
                </w:p>
              </w:tc>
              <w:tc>
                <w:tcPr>
                  <w:tcW w:w="437" w:type="pct"/>
                  <w:tcBorders>
                    <w:tl2br w:val="nil"/>
                    <w:tr2bl w:val="nil"/>
                  </w:tcBorders>
                  <w:vAlign w:val="center"/>
                </w:tcPr>
                <w:p w14:paraId="24652948">
                  <w:pPr>
                    <w:pStyle w:val="40"/>
                    <w:bidi w:val="0"/>
                    <w:rPr>
                      <w:color w:val="auto"/>
                      <w:spacing w:val="-6"/>
                      <w:sz w:val="21"/>
                      <w:highlight w:val="none"/>
                    </w:rPr>
                  </w:pPr>
                  <w:r>
                    <w:rPr>
                      <w:color w:val="auto"/>
                      <w:spacing w:val="-6"/>
                      <w:sz w:val="21"/>
                      <w:highlight w:val="none"/>
                    </w:rPr>
                    <w:t>环境风险防控</w:t>
                  </w:r>
                </w:p>
              </w:tc>
              <w:tc>
                <w:tcPr>
                  <w:tcW w:w="1892" w:type="pct"/>
                  <w:tcBorders>
                    <w:tl2br w:val="nil"/>
                    <w:tr2bl w:val="nil"/>
                  </w:tcBorders>
                  <w:vAlign w:val="center"/>
                </w:tcPr>
                <w:p w14:paraId="2EC7E7E5">
                  <w:pPr>
                    <w:pStyle w:val="40"/>
                    <w:numPr>
                      <w:ilvl w:val="0"/>
                      <w:numId w:val="0"/>
                    </w:numPr>
                    <w:bidi w:val="0"/>
                    <w:ind w:firstLine="0" w:firstLineChars="0"/>
                    <w:jc w:val="both"/>
                    <w:rPr>
                      <w:color w:val="auto"/>
                      <w:highlight w:val="none"/>
                    </w:rPr>
                  </w:pPr>
                  <w:r>
                    <w:rPr>
                      <w:rFonts w:ascii="Times New Roman" w:hAnsi="Times New Roman" w:eastAsia="宋体" w:cs="Times New Roman"/>
                      <w:b w:val="0"/>
                      <w:bCs w:val="0"/>
                      <w:color w:val="auto"/>
                      <w:kern w:val="2"/>
                      <w:sz w:val="21"/>
                      <w:szCs w:val="21"/>
                      <w:highlight w:val="none"/>
                      <w:lang w:val="en-US" w:eastAsia="zh-CN" w:bidi="ar-SA"/>
                    </w:rPr>
                    <w:t>1</w:t>
                  </w:r>
                  <w:r>
                    <w:rPr>
                      <w:rFonts w:hint="eastAsia" w:cs="Times New Roman"/>
                      <w:b w:val="0"/>
                      <w:bCs w:val="0"/>
                      <w:color w:val="auto"/>
                      <w:kern w:val="2"/>
                      <w:sz w:val="21"/>
                      <w:szCs w:val="21"/>
                      <w:highlight w:val="none"/>
                      <w:lang w:val="en-US" w:eastAsia="zh-CN" w:bidi="ar-SA"/>
                    </w:rPr>
                    <w:t>、</w:t>
                  </w:r>
                  <w:r>
                    <w:rPr>
                      <w:color w:val="auto"/>
                      <w:highlight w:val="none"/>
                    </w:rPr>
                    <w:t>深入开展重点企业环境风险评估，摸清危险废物产生、贮存、利用和处置情况，推动突发环境事件应急预案编制与修编，严格新（改、扩）建生产有毒有害化学品项目的审批，强化工业园区环境风险管控。</w:t>
                  </w:r>
                </w:p>
                <w:p w14:paraId="395CB295">
                  <w:pPr>
                    <w:pStyle w:val="40"/>
                    <w:numPr>
                      <w:ilvl w:val="0"/>
                      <w:numId w:val="0"/>
                    </w:numPr>
                    <w:bidi w:val="0"/>
                    <w:ind w:firstLine="0" w:firstLineChars="0"/>
                    <w:jc w:val="both"/>
                    <w:rPr>
                      <w:rFonts w:hint="eastAsia" w:eastAsia="宋体"/>
                      <w:color w:val="auto"/>
                      <w:highlight w:val="none"/>
                      <w:lang w:eastAsia="zh-CN"/>
                    </w:rPr>
                  </w:pPr>
                  <w:r>
                    <w:rPr>
                      <w:color w:val="auto"/>
                      <w:highlight w:val="none"/>
                    </w:rPr>
                    <w:t>2</w:t>
                  </w:r>
                  <w:r>
                    <w:rPr>
                      <w:rFonts w:hint="eastAsia"/>
                      <w:color w:val="auto"/>
                      <w:highlight w:val="none"/>
                      <w:lang w:eastAsia="zh-CN"/>
                    </w:rPr>
                    <w:t>、</w:t>
                  </w:r>
                  <w:r>
                    <w:rPr>
                      <w:color w:val="auto"/>
                      <w:highlight w:val="none"/>
                    </w:rPr>
                    <w:t>加强涉水涉重企业和危险化学品输运等环境风险源的系统治理，降低突发环境事故发生水平</w:t>
                  </w:r>
                  <w:r>
                    <w:rPr>
                      <w:rFonts w:hint="eastAsia"/>
                      <w:color w:val="auto"/>
                      <w:highlight w:val="none"/>
                      <w:lang w:eastAsia="zh-CN"/>
                    </w:rPr>
                    <w:t>。</w:t>
                  </w:r>
                </w:p>
              </w:tc>
              <w:tc>
                <w:tcPr>
                  <w:tcW w:w="1893" w:type="pct"/>
                  <w:tcBorders>
                    <w:tl2br w:val="nil"/>
                    <w:tr2bl w:val="nil"/>
                  </w:tcBorders>
                  <w:vAlign w:val="center"/>
                </w:tcPr>
                <w:p w14:paraId="2C3B87B1">
                  <w:pPr>
                    <w:pStyle w:val="40"/>
                    <w:bidi w:val="0"/>
                    <w:jc w:val="both"/>
                    <w:rPr>
                      <w:rFonts w:hint="eastAsia" w:eastAsia="宋体"/>
                      <w:color w:val="auto"/>
                      <w:highlight w:val="none"/>
                      <w:lang w:val="en-US" w:eastAsia="zh-CN"/>
                    </w:rPr>
                  </w:pPr>
                  <w:r>
                    <w:rPr>
                      <w:rFonts w:hint="eastAsia"/>
                      <w:color w:val="auto"/>
                      <w:highlight w:val="none"/>
                      <w:lang w:val="en-US" w:eastAsia="zh-CN"/>
                    </w:rPr>
                    <w:t>本项目运营期会产生废机油，暂存于危险废物贮存点，定期交由有资质的单位处置；项目不涉及</w:t>
                  </w:r>
                  <w:r>
                    <w:rPr>
                      <w:color w:val="auto"/>
                      <w:highlight w:val="none"/>
                    </w:rPr>
                    <w:t>涉水涉重企业和危险化学品输运等环境风险源</w:t>
                  </w:r>
                  <w:r>
                    <w:rPr>
                      <w:rFonts w:hint="eastAsia"/>
                      <w:color w:val="auto"/>
                      <w:highlight w:val="none"/>
                      <w:lang w:eastAsia="zh-CN"/>
                    </w:rPr>
                    <w:t>。</w:t>
                  </w:r>
                </w:p>
              </w:tc>
              <w:tc>
                <w:tcPr>
                  <w:tcW w:w="436" w:type="pct"/>
                  <w:tcBorders>
                    <w:tl2br w:val="nil"/>
                    <w:tr2bl w:val="nil"/>
                  </w:tcBorders>
                  <w:vAlign w:val="center"/>
                </w:tcPr>
                <w:p w14:paraId="53097C42">
                  <w:pPr>
                    <w:pStyle w:val="40"/>
                    <w:bidi w:val="0"/>
                    <w:rPr>
                      <w:color w:val="auto"/>
                      <w:spacing w:val="-6"/>
                      <w:sz w:val="21"/>
                      <w:highlight w:val="none"/>
                    </w:rPr>
                  </w:pPr>
                  <w:r>
                    <w:rPr>
                      <w:color w:val="auto"/>
                      <w:spacing w:val="-6"/>
                      <w:sz w:val="21"/>
                      <w:highlight w:val="none"/>
                    </w:rPr>
                    <w:t>符合</w:t>
                  </w:r>
                </w:p>
              </w:tc>
            </w:tr>
            <w:tr w14:paraId="353396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77" w:hRule="atLeast"/>
                <w:jc w:val="center"/>
              </w:trPr>
              <w:tc>
                <w:tcPr>
                  <w:tcW w:w="339" w:type="pct"/>
                  <w:vMerge w:val="continue"/>
                  <w:tcBorders>
                    <w:tl2br w:val="nil"/>
                    <w:tr2bl w:val="nil"/>
                  </w:tcBorders>
                  <w:vAlign w:val="center"/>
                </w:tcPr>
                <w:p w14:paraId="5EA4D988">
                  <w:pPr>
                    <w:pStyle w:val="40"/>
                    <w:bidi w:val="0"/>
                    <w:rPr>
                      <w:color w:val="auto"/>
                      <w:spacing w:val="-6"/>
                      <w:sz w:val="21"/>
                      <w:highlight w:val="none"/>
                    </w:rPr>
                  </w:pPr>
                </w:p>
              </w:tc>
              <w:tc>
                <w:tcPr>
                  <w:tcW w:w="437" w:type="pct"/>
                  <w:tcBorders>
                    <w:tl2br w:val="nil"/>
                    <w:tr2bl w:val="nil"/>
                  </w:tcBorders>
                  <w:vAlign w:val="center"/>
                </w:tcPr>
                <w:p w14:paraId="5C5807A6">
                  <w:pPr>
                    <w:pStyle w:val="40"/>
                    <w:bidi w:val="0"/>
                    <w:rPr>
                      <w:color w:val="auto"/>
                      <w:spacing w:val="-6"/>
                      <w:sz w:val="21"/>
                      <w:highlight w:val="none"/>
                    </w:rPr>
                  </w:pPr>
                  <w:r>
                    <w:rPr>
                      <w:color w:val="auto"/>
                      <w:spacing w:val="-6"/>
                      <w:sz w:val="21"/>
                      <w:highlight w:val="none"/>
                    </w:rPr>
                    <w:t>资源利用效率</w:t>
                  </w:r>
                </w:p>
              </w:tc>
              <w:tc>
                <w:tcPr>
                  <w:tcW w:w="1892" w:type="pct"/>
                  <w:tcBorders>
                    <w:tl2br w:val="nil"/>
                    <w:tr2bl w:val="nil"/>
                  </w:tcBorders>
                  <w:vAlign w:val="center"/>
                </w:tcPr>
                <w:p w14:paraId="1F6D025D">
                  <w:pPr>
                    <w:pStyle w:val="40"/>
                    <w:bidi w:val="0"/>
                    <w:jc w:val="both"/>
                    <w:rPr>
                      <w:color w:val="auto"/>
                      <w:highlight w:val="none"/>
                    </w:rPr>
                  </w:pPr>
                  <w:r>
                    <w:rPr>
                      <w:color w:val="auto"/>
                      <w:highlight w:val="none"/>
                    </w:rPr>
                    <w:t>提高工业用水重复利用率，强化再生水利用。</w:t>
                  </w:r>
                </w:p>
              </w:tc>
              <w:tc>
                <w:tcPr>
                  <w:tcW w:w="1893" w:type="pct"/>
                  <w:tcBorders>
                    <w:tl2br w:val="nil"/>
                    <w:tr2bl w:val="nil"/>
                  </w:tcBorders>
                  <w:vAlign w:val="center"/>
                </w:tcPr>
                <w:p w14:paraId="397B9355">
                  <w:pPr>
                    <w:pStyle w:val="40"/>
                    <w:bidi w:val="0"/>
                    <w:jc w:val="both"/>
                    <w:rPr>
                      <w:color w:val="auto"/>
                      <w:highlight w:val="none"/>
                    </w:rPr>
                  </w:pPr>
                  <w:r>
                    <w:rPr>
                      <w:rFonts w:hint="eastAsia"/>
                      <w:bCs/>
                      <w:color w:val="auto"/>
                      <w:sz w:val="21"/>
                      <w:szCs w:val="21"/>
                      <w:highlight w:val="none"/>
                      <w:lang w:val="en-US" w:eastAsia="zh-CN"/>
                    </w:rPr>
                    <w:t>生产废水不外排，设备清洗</w:t>
                  </w:r>
                  <w:r>
                    <w:rPr>
                      <w:bCs/>
                      <w:color w:val="auto"/>
                      <w:sz w:val="21"/>
                      <w:szCs w:val="21"/>
                      <w:highlight w:val="none"/>
                      <w:lang w:val="en-US" w:eastAsia="zh-CN"/>
                    </w:rPr>
                    <w:t>废水</w:t>
                  </w:r>
                  <w:r>
                    <w:rPr>
                      <w:rFonts w:hint="eastAsia"/>
                      <w:bCs/>
                      <w:color w:val="auto"/>
                      <w:sz w:val="21"/>
                      <w:szCs w:val="21"/>
                      <w:highlight w:val="none"/>
                      <w:lang w:val="en-US" w:eastAsia="zh-CN"/>
                    </w:rPr>
                    <w:t>回</w:t>
                  </w:r>
                  <w:r>
                    <w:rPr>
                      <w:bCs/>
                      <w:color w:val="auto"/>
                      <w:sz w:val="21"/>
                      <w:szCs w:val="21"/>
                      <w:highlight w:val="none"/>
                      <w:lang w:val="en-US" w:eastAsia="zh-CN"/>
                    </w:rPr>
                    <w:t>用于搅拌工序</w:t>
                  </w:r>
                  <w:r>
                    <w:rPr>
                      <w:rFonts w:hint="eastAsia"/>
                      <w:bCs/>
                      <w:color w:val="auto"/>
                      <w:sz w:val="21"/>
                      <w:szCs w:val="21"/>
                      <w:highlight w:val="none"/>
                      <w:lang w:val="en-US" w:eastAsia="zh-CN"/>
                    </w:rPr>
                    <w:t>，</w:t>
                  </w:r>
                  <w:r>
                    <w:rPr>
                      <w:bCs/>
                      <w:color w:val="auto"/>
                      <w:sz w:val="21"/>
                      <w:szCs w:val="21"/>
                      <w:highlight w:val="none"/>
                      <w:lang w:val="en-US" w:eastAsia="zh-CN"/>
                    </w:rPr>
                    <w:t>车辆冲洗废水</w:t>
                  </w:r>
                  <w:r>
                    <w:rPr>
                      <w:rFonts w:hint="eastAsia"/>
                      <w:bCs/>
                      <w:color w:val="auto"/>
                      <w:sz w:val="21"/>
                      <w:szCs w:val="21"/>
                      <w:highlight w:val="none"/>
                      <w:lang w:val="en-US" w:eastAsia="zh-CN"/>
                    </w:rPr>
                    <w:t>循环使用，提高了工业用水重复利用率。</w:t>
                  </w:r>
                </w:p>
              </w:tc>
              <w:tc>
                <w:tcPr>
                  <w:tcW w:w="436" w:type="pct"/>
                  <w:tcBorders>
                    <w:tl2br w:val="nil"/>
                    <w:tr2bl w:val="nil"/>
                  </w:tcBorders>
                  <w:vAlign w:val="center"/>
                </w:tcPr>
                <w:p w14:paraId="79FBD4B5">
                  <w:pPr>
                    <w:pStyle w:val="40"/>
                    <w:bidi w:val="0"/>
                    <w:rPr>
                      <w:color w:val="auto"/>
                      <w:spacing w:val="-6"/>
                      <w:sz w:val="21"/>
                      <w:highlight w:val="none"/>
                    </w:rPr>
                  </w:pPr>
                  <w:r>
                    <w:rPr>
                      <w:color w:val="auto"/>
                      <w:spacing w:val="-6"/>
                      <w:sz w:val="21"/>
                      <w:highlight w:val="none"/>
                    </w:rPr>
                    <w:t>符合</w:t>
                  </w:r>
                </w:p>
              </w:tc>
            </w:tr>
            <w:tr w14:paraId="53C725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39" w:type="pct"/>
                  <w:tcBorders>
                    <w:tl2br w:val="nil"/>
                    <w:tr2bl w:val="nil"/>
                  </w:tcBorders>
                  <w:vAlign w:val="center"/>
                </w:tcPr>
                <w:p w14:paraId="3C7AC9BB">
                  <w:pPr>
                    <w:pStyle w:val="40"/>
                    <w:bidi w:val="0"/>
                    <w:rPr>
                      <w:color w:val="auto"/>
                      <w:spacing w:val="-6"/>
                      <w:sz w:val="21"/>
                      <w:highlight w:val="none"/>
                    </w:rPr>
                  </w:pPr>
                  <w:r>
                    <w:rPr>
                      <w:bCs/>
                      <w:color w:val="auto"/>
                      <w:spacing w:val="-6"/>
                      <w:sz w:val="21"/>
                      <w:szCs w:val="21"/>
                      <w:highlight w:val="none"/>
                      <w:lang w:val="en-US" w:eastAsia="zh-CN"/>
                    </w:rPr>
                    <w:t>4.5大气高排放重点管控区</w:t>
                  </w:r>
                </w:p>
              </w:tc>
              <w:tc>
                <w:tcPr>
                  <w:tcW w:w="437" w:type="pct"/>
                  <w:tcBorders>
                    <w:tl2br w:val="nil"/>
                    <w:tr2bl w:val="nil"/>
                  </w:tcBorders>
                  <w:vAlign w:val="center"/>
                </w:tcPr>
                <w:p w14:paraId="7E13468C">
                  <w:pPr>
                    <w:pStyle w:val="40"/>
                    <w:bidi w:val="0"/>
                    <w:rPr>
                      <w:color w:val="auto"/>
                      <w:spacing w:val="-6"/>
                      <w:sz w:val="21"/>
                      <w:highlight w:val="none"/>
                    </w:rPr>
                  </w:pPr>
                  <w:r>
                    <w:rPr>
                      <w:bCs/>
                      <w:color w:val="auto"/>
                      <w:spacing w:val="-6"/>
                      <w:sz w:val="21"/>
                      <w:szCs w:val="21"/>
                      <w:highlight w:val="none"/>
                      <w:lang w:val="en-US" w:eastAsia="zh-CN"/>
                    </w:rPr>
                    <w:t>污染物排放管控</w:t>
                  </w:r>
                </w:p>
              </w:tc>
              <w:tc>
                <w:tcPr>
                  <w:tcW w:w="1892" w:type="pct"/>
                  <w:tcBorders>
                    <w:tl2br w:val="nil"/>
                    <w:tr2bl w:val="nil"/>
                  </w:tcBorders>
                  <w:vAlign w:val="center"/>
                </w:tcPr>
                <w:p w14:paraId="4B5FEF66">
                  <w:pPr>
                    <w:pStyle w:val="40"/>
                    <w:bidi w:val="0"/>
                    <w:jc w:val="both"/>
                    <w:rPr>
                      <w:color w:val="auto"/>
                      <w:highlight w:val="none"/>
                      <w:lang w:val="en-US" w:eastAsia="zh-CN"/>
                    </w:rPr>
                  </w:pPr>
                  <w:r>
                    <w:rPr>
                      <w:color w:val="auto"/>
                      <w:highlight w:val="none"/>
                      <w:lang w:val="en-US" w:eastAsia="zh-CN"/>
                    </w:rPr>
                    <w:t>1</w:t>
                  </w:r>
                  <w:r>
                    <w:rPr>
                      <w:rFonts w:hint="eastAsia"/>
                      <w:color w:val="auto"/>
                      <w:highlight w:val="none"/>
                      <w:lang w:val="en-US" w:eastAsia="zh-CN"/>
                    </w:rPr>
                    <w:t>、</w:t>
                  </w:r>
                  <w:r>
                    <w:rPr>
                      <w:color w:val="auto"/>
                      <w:highlight w:val="none"/>
                      <w:lang w:val="en-US" w:eastAsia="zh-CN"/>
                    </w:rPr>
                    <w:t>完善大气污染防治设施，全面提高污染治理能力。</w:t>
                  </w:r>
                </w:p>
                <w:p w14:paraId="65282AD1">
                  <w:pPr>
                    <w:pStyle w:val="40"/>
                    <w:bidi w:val="0"/>
                    <w:jc w:val="both"/>
                    <w:rPr>
                      <w:color w:val="auto"/>
                      <w:highlight w:val="none"/>
                      <w:lang w:val="en-US" w:eastAsia="zh-CN"/>
                    </w:rPr>
                  </w:pPr>
                  <w:r>
                    <w:rPr>
                      <w:color w:val="auto"/>
                      <w:highlight w:val="none"/>
                      <w:lang w:val="en-US" w:eastAsia="zh-CN"/>
                    </w:rPr>
                    <w:t>2</w:t>
                  </w:r>
                  <w:r>
                    <w:rPr>
                      <w:rFonts w:hint="eastAsia"/>
                      <w:color w:val="auto"/>
                      <w:highlight w:val="none"/>
                      <w:lang w:val="en-US" w:eastAsia="zh-CN"/>
                    </w:rPr>
                    <w:t>、</w:t>
                  </w:r>
                  <w:r>
                    <w:rPr>
                      <w:color w:val="auto"/>
                      <w:highlight w:val="none"/>
                      <w:lang w:val="en-US" w:eastAsia="zh-CN"/>
                    </w:rPr>
                    <w:t>关注氮氧化物和挥发性有机物的一次排放。</w:t>
                  </w:r>
                </w:p>
                <w:p w14:paraId="05BEDD18">
                  <w:pPr>
                    <w:pStyle w:val="40"/>
                    <w:bidi w:val="0"/>
                    <w:jc w:val="both"/>
                    <w:rPr>
                      <w:color w:val="auto"/>
                      <w:highlight w:val="none"/>
                    </w:rPr>
                  </w:pPr>
                  <w:r>
                    <w:rPr>
                      <w:color w:val="auto"/>
                      <w:highlight w:val="none"/>
                      <w:lang w:val="en-US" w:eastAsia="zh-CN"/>
                    </w:rPr>
                    <w:t>3</w:t>
                  </w:r>
                  <w:r>
                    <w:rPr>
                      <w:rFonts w:hint="eastAsia"/>
                      <w:color w:val="auto"/>
                      <w:highlight w:val="none"/>
                      <w:lang w:val="en-US" w:eastAsia="zh-CN"/>
                    </w:rPr>
                    <w:t>、</w:t>
                  </w:r>
                  <w:r>
                    <w:rPr>
                      <w:color w:val="auto"/>
                      <w:highlight w:val="none"/>
                      <w:lang w:val="en-US" w:eastAsia="zh-CN"/>
                    </w:rPr>
                    <w:t>新建</w:t>
                  </w:r>
                  <w:r>
                    <w:rPr>
                      <w:rFonts w:hint="eastAsia"/>
                      <w:color w:val="auto"/>
                      <w:highlight w:val="none"/>
                      <w:lang w:val="en-US" w:eastAsia="zh-CN"/>
                    </w:rPr>
                    <w:t>“</w:t>
                  </w:r>
                  <w:r>
                    <w:rPr>
                      <w:color w:val="auto"/>
                      <w:highlight w:val="none"/>
                      <w:lang w:val="en-US" w:eastAsia="zh-CN"/>
                    </w:rPr>
                    <w:t>两高</w:t>
                  </w:r>
                  <w:r>
                    <w:rPr>
                      <w:rFonts w:hint="eastAsia"/>
                      <w:color w:val="auto"/>
                      <w:highlight w:val="none"/>
                      <w:lang w:val="en-US" w:eastAsia="zh-CN"/>
                    </w:rPr>
                    <w:t>”</w:t>
                  </w:r>
                  <w:r>
                    <w:rPr>
                      <w:color w:val="auto"/>
                      <w:highlight w:val="none"/>
                      <w:lang w:val="en-US" w:eastAsia="zh-CN"/>
                    </w:rPr>
                    <w:t>项目需要依据区域环境质量改善目标，制定配套区域污染物削减方案，采取有效的污染物区域削减措施，腾出足够的环境容量。大气污染防治重点区域内采取增加散煤清洁化治理，为工业腾出指标和容量等措施，不得使用高污染燃料作为煤炭减量替代措施。</w:t>
                  </w:r>
                </w:p>
              </w:tc>
              <w:tc>
                <w:tcPr>
                  <w:tcW w:w="1893" w:type="pct"/>
                  <w:tcBorders>
                    <w:tl2br w:val="nil"/>
                    <w:tr2bl w:val="nil"/>
                  </w:tcBorders>
                  <w:vAlign w:val="center"/>
                </w:tcPr>
                <w:p w14:paraId="3EC14A69">
                  <w:pPr>
                    <w:pStyle w:val="40"/>
                    <w:bidi w:val="0"/>
                    <w:jc w:val="both"/>
                    <w:rPr>
                      <w:rFonts w:hint="eastAsia" w:eastAsia="宋体"/>
                      <w:color w:val="auto"/>
                      <w:highlight w:val="none"/>
                      <w:lang w:val="en-US" w:eastAsia="zh-CN"/>
                    </w:rPr>
                  </w:pPr>
                  <w:r>
                    <w:rPr>
                      <w:rFonts w:hint="eastAsia"/>
                      <w:color w:val="auto"/>
                      <w:highlight w:val="none"/>
                      <w:lang w:val="en-US" w:eastAsia="zh-CN"/>
                    </w:rPr>
                    <w:t>1、</w:t>
                  </w:r>
                  <w:r>
                    <w:rPr>
                      <w:rFonts w:hint="eastAsia"/>
                      <w:color w:val="auto"/>
                      <w:spacing w:val="0"/>
                      <w:sz w:val="21"/>
                      <w:highlight w:val="none"/>
                      <w:lang w:val="en-US" w:eastAsia="zh-CN"/>
                    </w:rPr>
                    <w:t>本项目两条生产线的生产车间和原料堆存区全封闭，并配套喷雾降尘设施；原料筒仓仓顶设脉冲式布袋除尘器，粉尘处理后经各除尘器出口无组织排放；生产设备的固定排放口直接与风管连接，封闭负压，末端设置脉冲式布袋除尘器，除尘后分别经各自排气筒有组织排放；</w:t>
                  </w:r>
                  <w:r>
                    <w:rPr>
                      <w:rFonts w:hint="eastAsia" w:eastAsia="宋体"/>
                      <w:color w:val="auto"/>
                      <w:spacing w:val="0"/>
                      <w:sz w:val="21"/>
                      <w:highlight w:val="none"/>
                      <w:lang w:val="en-US" w:eastAsia="zh-CN"/>
                    </w:rPr>
                    <w:t>锅炉采用低氮燃烧技术及多管除尘器+脉冲式布袋除尘器处理，除尘后经排气筒</w:t>
                  </w:r>
                  <w:r>
                    <w:rPr>
                      <w:rFonts w:hint="eastAsia"/>
                      <w:color w:val="auto"/>
                      <w:spacing w:val="0"/>
                      <w:sz w:val="21"/>
                      <w:highlight w:val="none"/>
                      <w:lang w:val="en-US" w:eastAsia="zh-CN"/>
                    </w:rPr>
                    <w:t>有组织</w:t>
                  </w:r>
                  <w:r>
                    <w:rPr>
                      <w:rFonts w:hint="eastAsia" w:eastAsia="宋体"/>
                      <w:color w:val="auto"/>
                      <w:spacing w:val="0"/>
                      <w:sz w:val="21"/>
                      <w:highlight w:val="none"/>
                      <w:lang w:val="en-US" w:eastAsia="zh-CN"/>
                    </w:rPr>
                    <w:t>排放。</w:t>
                  </w:r>
                </w:p>
                <w:p w14:paraId="0BA7D457">
                  <w:pPr>
                    <w:pStyle w:val="40"/>
                    <w:bidi w:val="0"/>
                    <w:jc w:val="both"/>
                    <w:rPr>
                      <w:rFonts w:hint="default"/>
                      <w:color w:val="auto"/>
                      <w:spacing w:val="-6"/>
                      <w:sz w:val="21"/>
                      <w:highlight w:val="none"/>
                      <w:lang w:val="en-US" w:eastAsia="zh-CN"/>
                    </w:rPr>
                  </w:pPr>
                  <w:r>
                    <w:rPr>
                      <w:rFonts w:hint="eastAsia"/>
                      <w:color w:val="auto"/>
                      <w:spacing w:val="-6"/>
                      <w:sz w:val="21"/>
                      <w:highlight w:val="none"/>
                      <w:lang w:val="en-US" w:eastAsia="zh-CN"/>
                    </w:rPr>
                    <w:t>2、本项目锅炉废气涉及氮氧化物，经核算可达标排放；不涉及挥发性有机物的排放；</w:t>
                  </w:r>
                </w:p>
                <w:p w14:paraId="588411B7">
                  <w:pPr>
                    <w:pStyle w:val="40"/>
                    <w:bidi w:val="0"/>
                    <w:jc w:val="both"/>
                    <w:rPr>
                      <w:rFonts w:hint="default" w:eastAsia="宋体"/>
                      <w:color w:val="auto"/>
                      <w:highlight w:val="none"/>
                      <w:lang w:val="en-US" w:eastAsia="zh-CN"/>
                    </w:rPr>
                  </w:pPr>
                  <w:r>
                    <w:rPr>
                      <w:rFonts w:hint="eastAsia"/>
                      <w:color w:val="auto"/>
                      <w:spacing w:val="-11"/>
                      <w:sz w:val="21"/>
                      <w:highlight w:val="none"/>
                      <w:lang w:val="en-US" w:eastAsia="zh-CN"/>
                    </w:rPr>
                    <w:t>3、本项目不属于“</w:t>
                  </w:r>
                  <w:r>
                    <w:rPr>
                      <w:color w:val="auto"/>
                      <w:spacing w:val="-11"/>
                      <w:sz w:val="21"/>
                      <w:highlight w:val="none"/>
                      <w:lang w:val="en-US" w:eastAsia="zh-CN"/>
                    </w:rPr>
                    <w:t>两高</w:t>
                  </w:r>
                  <w:r>
                    <w:rPr>
                      <w:rFonts w:hint="eastAsia"/>
                      <w:color w:val="auto"/>
                      <w:spacing w:val="-11"/>
                      <w:sz w:val="21"/>
                      <w:highlight w:val="none"/>
                      <w:lang w:val="en-US" w:eastAsia="zh-CN"/>
                    </w:rPr>
                    <w:t>”</w:t>
                  </w:r>
                  <w:r>
                    <w:rPr>
                      <w:color w:val="auto"/>
                      <w:spacing w:val="-11"/>
                      <w:sz w:val="21"/>
                      <w:highlight w:val="none"/>
                      <w:lang w:val="en-US" w:eastAsia="zh-CN"/>
                    </w:rPr>
                    <w:t>项目</w:t>
                  </w:r>
                  <w:r>
                    <w:rPr>
                      <w:rFonts w:hint="eastAsia"/>
                      <w:color w:val="auto"/>
                      <w:spacing w:val="-11"/>
                      <w:sz w:val="21"/>
                      <w:highlight w:val="none"/>
                      <w:lang w:val="en-US" w:eastAsia="zh-CN"/>
                    </w:rPr>
                    <w:t>。</w:t>
                  </w:r>
                </w:p>
              </w:tc>
              <w:tc>
                <w:tcPr>
                  <w:tcW w:w="436" w:type="pct"/>
                  <w:tcBorders>
                    <w:tl2br w:val="nil"/>
                    <w:tr2bl w:val="nil"/>
                  </w:tcBorders>
                  <w:vAlign w:val="center"/>
                </w:tcPr>
                <w:p w14:paraId="31C49413">
                  <w:pPr>
                    <w:pStyle w:val="40"/>
                    <w:bidi w:val="0"/>
                    <w:rPr>
                      <w:color w:val="auto"/>
                      <w:spacing w:val="-6"/>
                      <w:sz w:val="21"/>
                      <w:highlight w:val="none"/>
                    </w:rPr>
                  </w:pPr>
                  <w:r>
                    <w:rPr>
                      <w:color w:val="auto"/>
                      <w:spacing w:val="-6"/>
                      <w:sz w:val="21"/>
                      <w:highlight w:val="none"/>
                    </w:rPr>
                    <w:t>符合</w:t>
                  </w:r>
                </w:p>
              </w:tc>
            </w:tr>
            <w:tr w14:paraId="31C254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39" w:type="pct"/>
                  <w:vMerge w:val="restart"/>
                  <w:tcBorders>
                    <w:tl2br w:val="nil"/>
                    <w:tr2bl w:val="nil"/>
                  </w:tcBorders>
                  <w:vAlign w:val="center"/>
                </w:tcPr>
                <w:p w14:paraId="52DAFF22">
                  <w:pPr>
                    <w:pStyle w:val="40"/>
                    <w:bidi w:val="0"/>
                    <w:rPr>
                      <w:color w:val="auto"/>
                      <w:spacing w:val="-6"/>
                      <w:sz w:val="21"/>
                      <w:highlight w:val="none"/>
                    </w:rPr>
                  </w:pPr>
                  <w:r>
                    <w:rPr>
                      <w:color w:val="auto"/>
                      <w:spacing w:val="-6"/>
                      <w:sz w:val="21"/>
                      <w:highlight w:val="none"/>
                    </w:rPr>
                    <w:t>4.7大气环境弱扩散重点管控区</w:t>
                  </w:r>
                </w:p>
              </w:tc>
              <w:tc>
                <w:tcPr>
                  <w:tcW w:w="437" w:type="pct"/>
                  <w:tcBorders>
                    <w:tl2br w:val="nil"/>
                    <w:tr2bl w:val="nil"/>
                  </w:tcBorders>
                  <w:vAlign w:val="center"/>
                </w:tcPr>
                <w:p w14:paraId="244B2569">
                  <w:pPr>
                    <w:pStyle w:val="40"/>
                    <w:bidi w:val="0"/>
                    <w:rPr>
                      <w:color w:val="auto"/>
                      <w:spacing w:val="-6"/>
                      <w:sz w:val="21"/>
                      <w:highlight w:val="none"/>
                    </w:rPr>
                  </w:pPr>
                  <w:r>
                    <w:rPr>
                      <w:color w:val="auto"/>
                      <w:spacing w:val="-6"/>
                      <w:sz w:val="21"/>
                      <w:highlight w:val="none"/>
                    </w:rPr>
                    <w:t>空间布局要求</w:t>
                  </w:r>
                </w:p>
              </w:tc>
              <w:tc>
                <w:tcPr>
                  <w:tcW w:w="1892" w:type="pct"/>
                  <w:tcBorders>
                    <w:tl2br w:val="nil"/>
                    <w:tr2bl w:val="nil"/>
                  </w:tcBorders>
                  <w:vAlign w:val="center"/>
                </w:tcPr>
                <w:p w14:paraId="040A5AD4">
                  <w:pPr>
                    <w:pStyle w:val="40"/>
                    <w:bidi w:val="0"/>
                    <w:jc w:val="both"/>
                    <w:rPr>
                      <w:color w:val="auto"/>
                      <w:highlight w:val="none"/>
                    </w:rPr>
                  </w:pPr>
                  <w:r>
                    <w:rPr>
                      <w:color w:val="auto"/>
                      <w:highlight w:val="none"/>
                    </w:rPr>
                    <w:t>1、严格控制</w:t>
                  </w:r>
                  <w:r>
                    <w:rPr>
                      <w:rFonts w:hint="eastAsia"/>
                      <w:color w:val="auto"/>
                      <w:highlight w:val="none"/>
                      <w:lang w:eastAsia="zh-CN"/>
                    </w:rPr>
                    <w:t>“</w:t>
                  </w:r>
                  <w:r>
                    <w:rPr>
                      <w:color w:val="auto"/>
                      <w:highlight w:val="none"/>
                    </w:rPr>
                    <w:t>两高</w:t>
                  </w:r>
                  <w:r>
                    <w:rPr>
                      <w:rFonts w:hint="eastAsia"/>
                      <w:color w:val="auto"/>
                      <w:highlight w:val="none"/>
                      <w:lang w:eastAsia="zh-CN"/>
                    </w:rPr>
                    <w:t>”</w:t>
                  </w:r>
                  <w:r>
                    <w:rPr>
                      <w:color w:val="auto"/>
                      <w:highlight w:val="none"/>
                    </w:rPr>
                    <w:t>行业项目（民生等项目除外）。</w:t>
                  </w:r>
                </w:p>
              </w:tc>
              <w:tc>
                <w:tcPr>
                  <w:tcW w:w="1893" w:type="pct"/>
                  <w:tcBorders>
                    <w:tl2br w:val="nil"/>
                    <w:tr2bl w:val="nil"/>
                  </w:tcBorders>
                  <w:vAlign w:val="center"/>
                </w:tcPr>
                <w:p w14:paraId="595A81A2">
                  <w:pPr>
                    <w:pStyle w:val="40"/>
                    <w:bidi w:val="0"/>
                    <w:jc w:val="both"/>
                    <w:rPr>
                      <w:rFonts w:hint="eastAsia" w:eastAsia="宋体"/>
                      <w:color w:val="auto"/>
                      <w:highlight w:val="none"/>
                      <w:lang w:eastAsia="zh-CN"/>
                    </w:rPr>
                  </w:pPr>
                  <w:r>
                    <w:rPr>
                      <w:color w:val="auto"/>
                      <w:highlight w:val="none"/>
                    </w:rPr>
                    <w:t>项目不属于</w:t>
                  </w:r>
                  <w:r>
                    <w:rPr>
                      <w:rFonts w:hint="eastAsia"/>
                      <w:color w:val="auto"/>
                      <w:highlight w:val="none"/>
                      <w:lang w:eastAsia="zh-CN"/>
                    </w:rPr>
                    <w:t>“</w:t>
                  </w:r>
                  <w:r>
                    <w:rPr>
                      <w:color w:val="auto"/>
                      <w:highlight w:val="none"/>
                    </w:rPr>
                    <w:t>两高</w:t>
                  </w:r>
                  <w:r>
                    <w:rPr>
                      <w:rFonts w:hint="eastAsia"/>
                      <w:color w:val="auto"/>
                      <w:highlight w:val="none"/>
                      <w:lang w:eastAsia="zh-CN"/>
                    </w:rPr>
                    <w:t>”</w:t>
                  </w:r>
                  <w:r>
                    <w:rPr>
                      <w:color w:val="auto"/>
                      <w:highlight w:val="none"/>
                    </w:rPr>
                    <w:t>行业项目</w:t>
                  </w:r>
                  <w:r>
                    <w:rPr>
                      <w:rFonts w:hint="eastAsia"/>
                      <w:color w:val="auto"/>
                      <w:highlight w:val="none"/>
                      <w:lang w:eastAsia="zh-CN"/>
                    </w:rPr>
                    <w:t>。</w:t>
                  </w:r>
                </w:p>
              </w:tc>
              <w:tc>
                <w:tcPr>
                  <w:tcW w:w="436" w:type="pct"/>
                  <w:tcBorders>
                    <w:tl2br w:val="nil"/>
                    <w:tr2bl w:val="nil"/>
                  </w:tcBorders>
                  <w:vAlign w:val="center"/>
                </w:tcPr>
                <w:p w14:paraId="570D0222">
                  <w:pPr>
                    <w:pStyle w:val="40"/>
                    <w:bidi w:val="0"/>
                    <w:rPr>
                      <w:color w:val="auto"/>
                      <w:spacing w:val="-6"/>
                      <w:sz w:val="21"/>
                      <w:highlight w:val="none"/>
                    </w:rPr>
                  </w:pPr>
                  <w:r>
                    <w:rPr>
                      <w:color w:val="auto"/>
                      <w:spacing w:val="-6"/>
                      <w:sz w:val="21"/>
                      <w:highlight w:val="none"/>
                    </w:rPr>
                    <w:t>符合</w:t>
                  </w:r>
                </w:p>
              </w:tc>
            </w:tr>
            <w:tr w14:paraId="02B8BC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417" w:hRule="atLeast"/>
                <w:jc w:val="center"/>
              </w:trPr>
              <w:tc>
                <w:tcPr>
                  <w:tcW w:w="339" w:type="pct"/>
                  <w:vMerge w:val="continue"/>
                  <w:tcBorders>
                    <w:tl2br w:val="nil"/>
                    <w:tr2bl w:val="nil"/>
                  </w:tcBorders>
                  <w:vAlign w:val="center"/>
                </w:tcPr>
                <w:p w14:paraId="1E03F11E">
                  <w:pPr>
                    <w:pStyle w:val="40"/>
                    <w:bidi w:val="0"/>
                    <w:rPr>
                      <w:color w:val="auto"/>
                      <w:spacing w:val="-6"/>
                      <w:sz w:val="21"/>
                      <w:highlight w:val="none"/>
                    </w:rPr>
                  </w:pPr>
                </w:p>
              </w:tc>
              <w:tc>
                <w:tcPr>
                  <w:tcW w:w="437" w:type="pct"/>
                  <w:tcBorders>
                    <w:tl2br w:val="nil"/>
                    <w:tr2bl w:val="nil"/>
                  </w:tcBorders>
                  <w:vAlign w:val="center"/>
                </w:tcPr>
                <w:p w14:paraId="6D656783">
                  <w:pPr>
                    <w:pStyle w:val="40"/>
                    <w:bidi w:val="0"/>
                    <w:rPr>
                      <w:color w:val="auto"/>
                      <w:spacing w:val="-6"/>
                      <w:sz w:val="21"/>
                      <w:highlight w:val="none"/>
                    </w:rPr>
                  </w:pPr>
                  <w:r>
                    <w:rPr>
                      <w:color w:val="auto"/>
                      <w:spacing w:val="-6"/>
                      <w:sz w:val="21"/>
                      <w:highlight w:val="none"/>
                    </w:rPr>
                    <w:t>污染物排放管控</w:t>
                  </w:r>
                </w:p>
              </w:tc>
              <w:tc>
                <w:tcPr>
                  <w:tcW w:w="1892" w:type="pct"/>
                  <w:tcBorders>
                    <w:tl2br w:val="nil"/>
                    <w:tr2bl w:val="nil"/>
                  </w:tcBorders>
                  <w:vAlign w:val="center"/>
                </w:tcPr>
                <w:p w14:paraId="6DD86011">
                  <w:pPr>
                    <w:pStyle w:val="40"/>
                    <w:numPr>
                      <w:ilvl w:val="0"/>
                      <w:numId w:val="0"/>
                    </w:numPr>
                    <w:bidi w:val="0"/>
                    <w:ind w:firstLine="0" w:firstLineChars="0"/>
                    <w:jc w:val="both"/>
                    <w:rPr>
                      <w:rFonts w:hint="eastAsia" w:eastAsia="宋体"/>
                      <w:color w:val="auto"/>
                      <w:highlight w:val="none"/>
                      <w:lang w:eastAsia="zh-CN"/>
                    </w:rPr>
                  </w:pPr>
                  <w:r>
                    <w:rPr>
                      <w:rFonts w:ascii="Times New Roman" w:hAnsi="Times New Roman" w:eastAsia="宋体" w:cs="Times New Roman"/>
                      <w:b w:val="0"/>
                      <w:bCs w:val="0"/>
                      <w:color w:val="auto"/>
                      <w:kern w:val="2"/>
                      <w:sz w:val="21"/>
                      <w:szCs w:val="21"/>
                      <w:highlight w:val="none"/>
                      <w:lang w:val="en-US" w:eastAsia="zh-CN" w:bidi="ar-SA"/>
                    </w:rPr>
                    <w:t>1、</w:t>
                  </w:r>
                  <w:r>
                    <w:rPr>
                      <w:color w:val="auto"/>
                      <w:highlight w:val="none"/>
                    </w:rPr>
                    <w:t>污染物执行超低排放或特别排放限值</w:t>
                  </w:r>
                  <w:r>
                    <w:rPr>
                      <w:rFonts w:hint="eastAsia"/>
                      <w:color w:val="auto"/>
                      <w:highlight w:val="none"/>
                      <w:lang w:eastAsia="zh-CN"/>
                    </w:rPr>
                    <w:t>；</w:t>
                  </w:r>
                </w:p>
                <w:p w14:paraId="507239A5">
                  <w:pPr>
                    <w:pStyle w:val="40"/>
                    <w:numPr>
                      <w:ilvl w:val="0"/>
                      <w:numId w:val="0"/>
                    </w:numPr>
                    <w:bidi w:val="0"/>
                    <w:ind w:firstLine="0" w:firstLineChars="0"/>
                    <w:jc w:val="both"/>
                    <w:rPr>
                      <w:rFonts w:hint="eastAsia" w:eastAsia="宋体"/>
                      <w:color w:val="auto"/>
                      <w:highlight w:val="none"/>
                      <w:lang w:eastAsia="zh-CN"/>
                    </w:rPr>
                  </w:pPr>
                  <w:r>
                    <w:rPr>
                      <w:color w:val="auto"/>
                      <w:highlight w:val="none"/>
                    </w:rPr>
                    <w:t>2、严禁秸秆燃烧，控制烟花爆竹燃放</w:t>
                  </w:r>
                  <w:r>
                    <w:rPr>
                      <w:rFonts w:hint="eastAsia"/>
                      <w:color w:val="auto"/>
                      <w:highlight w:val="none"/>
                      <w:lang w:eastAsia="zh-CN"/>
                    </w:rPr>
                    <w:t>；</w:t>
                  </w:r>
                </w:p>
                <w:p w14:paraId="35905596">
                  <w:pPr>
                    <w:pStyle w:val="40"/>
                    <w:numPr>
                      <w:ilvl w:val="0"/>
                      <w:numId w:val="0"/>
                    </w:numPr>
                    <w:bidi w:val="0"/>
                    <w:ind w:firstLine="0" w:firstLineChars="0"/>
                    <w:jc w:val="both"/>
                    <w:rPr>
                      <w:color w:val="auto"/>
                      <w:highlight w:val="none"/>
                    </w:rPr>
                  </w:pPr>
                  <w:r>
                    <w:rPr>
                      <w:color w:val="auto"/>
                      <w:highlight w:val="none"/>
                    </w:rPr>
                    <w:t>3、加快农村地区散煤燃烧治理，推进</w:t>
                  </w:r>
                  <w:r>
                    <w:rPr>
                      <w:rFonts w:hint="eastAsia"/>
                      <w:color w:val="auto"/>
                      <w:highlight w:val="none"/>
                      <w:lang w:eastAsia="zh-CN"/>
                    </w:rPr>
                    <w:t>“</w:t>
                  </w:r>
                  <w:r>
                    <w:rPr>
                      <w:color w:val="auto"/>
                      <w:highlight w:val="none"/>
                    </w:rPr>
                    <w:t>煤改电</w:t>
                  </w:r>
                  <w:r>
                    <w:rPr>
                      <w:rFonts w:hint="eastAsia"/>
                      <w:color w:val="auto"/>
                      <w:highlight w:val="none"/>
                      <w:lang w:eastAsia="zh-CN"/>
                    </w:rPr>
                    <w:t>”</w:t>
                  </w:r>
                  <w:r>
                    <w:rPr>
                      <w:color w:val="auto"/>
                      <w:highlight w:val="none"/>
                    </w:rPr>
                    <w:t>、</w:t>
                  </w:r>
                  <w:r>
                    <w:rPr>
                      <w:rFonts w:hint="eastAsia"/>
                      <w:color w:val="auto"/>
                      <w:highlight w:val="none"/>
                      <w:lang w:eastAsia="zh-CN"/>
                    </w:rPr>
                    <w:t>“</w:t>
                  </w:r>
                  <w:r>
                    <w:rPr>
                      <w:color w:val="auto"/>
                      <w:highlight w:val="none"/>
                    </w:rPr>
                    <w:t>煤改气</w:t>
                  </w:r>
                  <w:r>
                    <w:rPr>
                      <w:rFonts w:hint="eastAsia"/>
                      <w:color w:val="auto"/>
                      <w:highlight w:val="none"/>
                      <w:lang w:eastAsia="zh-CN"/>
                    </w:rPr>
                    <w:t>”</w:t>
                  </w:r>
                  <w:r>
                    <w:rPr>
                      <w:color w:val="auto"/>
                      <w:highlight w:val="none"/>
                    </w:rPr>
                    <w:t>工程建设。</w:t>
                  </w:r>
                </w:p>
              </w:tc>
              <w:tc>
                <w:tcPr>
                  <w:tcW w:w="1893" w:type="pct"/>
                  <w:tcBorders>
                    <w:tl2br w:val="nil"/>
                    <w:tr2bl w:val="nil"/>
                  </w:tcBorders>
                  <w:vAlign w:val="center"/>
                </w:tcPr>
                <w:p w14:paraId="2389E456">
                  <w:pPr>
                    <w:pStyle w:val="40"/>
                    <w:bidi w:val="0"/>
                    <w:ind w:firstLine="0" w:firstLineChars="0"/>
                    <w:jc w:val="center"/>
                    <w:rPr>
                      <w:rFonts w:hint="default" w:eastAsia="宋体"/>
                      <w:color w:val="auto"/>
                      <w:highlight w:val="none"/>
                      <w:lang w:val="en-US" w:eastAsia="zh-CN"/>
                    </w:rPr>
                  </w:pPr>
                  <w:r>
                    <w:rPr>
                      <w:rFonts w:hint="eastAsia"/>
                      <w:color w:val="auto"/>
                      <w:highlight w:val="none"/>
                      <w:lang w:val="en-US" w:eastAsia="zh-CN"/>
                    </w:rPr>
                    <w:t>不涉及。</w:t>
                  </w:r>
                </w:p>
              </w:tc>
              <w:tc>
                <w:tcPr>
                  <w:tcW w:w="436" w:type="pct"/>
                  <w:tcBorders>
                    <w:tl2br w:val="nil"/>
                    <w:tr2bl w:val="nil"/>
                  </w:tcBorders>
                  <w:vAlign w:val="center"/>
                </w:tcPr>
                <w:p w14:paraId="3D2A1B1A">
                  <w:pPr>
                    <w:pStyle w:val="40"/>
                    <w:bidi w:val="0"/>
                    <w:rPr>
                      <w:color w:val="auto"/>
                      <w:spacing w:val="-6"/>
                      <w:sz w:val="21"/>
                      <w:highlight w:val="none"/>
                    </w:rPr>
                  </w:pPr>
                  <w:r>
                    <w:rPr>
                      <w:color w:val="auto"/>
                      <w:spacing w:val="-6"/>
                      <w:sz w:val="21"/>
                      <w:highlight w:val="none"/>
                    </w:rPr>
                    <w:t>符合</w:t>
                  </w:r>
                </w:p>
              </w:tc>
            </w:tr>
            <w:tr w14:paraId="3CA44E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91" w:hRule="atLeast"/>
                <w:jc w:val="center"/>
              </w:trPr>
              <w:tc>
                <w:tcPr>
                  <w:tcW w:w="339" w:type="pct"/>
                  <w:vMerge w:val="restart"/>
                  <w:tcBorders>
                    <w:tl2br w:val="nil"/>
                    <w:tr2bl w:val="nil"/>
                  </w:tcBorders>
                  <w:vAlign w:val="center"/>
                </w:tcPr>
                <w:p w14:paraId="5CE85F6D">
                  <w:pPr>
                    <w:pStyle w:val="40"/>
                    <w:bidi w:val="0"/>
                    <w:rPr>
                      <w:color w:val="auto"/>
                      <w:spacing w:val="-6"/>
                      <w:sz w:val="21"/>
                      <w:highlight w:val="none"/>
                    </w:rPr>
                  </w:pPr>
                  <w:r>
                    <w:rPr>
                      <w:rFonts w:hint="eastAsia"/>
                      <w:bCs/>
                      <w:color w:val="auto"/>
                      <w:spacing w:val="-6"/>
                      <w:sz w:val="21"/>
                      <w:szCs w:val="21"/>
                      <w:highlight w:val="none"/>
                      <w:lang w:val="en-US" w:eastAsia="zh-CN"/>
                    </w:rPr>
                    <w:t>4.8土地资源重点管控区</w:t>
                  </w:r>
                </w:p>
              </w:tc>
              <w:tc>
                <w:tcPr>
                  <w:tcW w:w="437" w:type="pct"/>
                  <w:tcBorders>
                    <w:tl2br w:val="nil"/>
                    <w:tr2bl w:val="nil"/>
                  </w:tcBorders>
                  <w:vAlign w:val="center"/>
                </w:tcPr>
                <w:p w14:paraId="2B0DDBFC">
                  <w:pPr>
                    <w:pStyle w:val="40"/>
                    <w:bidi w:val="0"/>
                    <w:rPr>
                      <w:color w:val="auto"/>
                      <w:spacing w:val="-6"/>
                      <w:sz w:val="21"/>
                      <w:highlight w:val="none"/>
                    </w:rPr>
                  </w:pPr>
                  <w:r>
                    <w:rPr>
                      <w:rFonts w:hint="eastAsia"/>
                      <w:bCs/>
                      <w:color w:val="auto"/>
                      <w:spacing w:val="-6"/>
                      <w:sz w:val="21"/>
                      <w:szCs w:val="21"/>
                      <w:highlight w:val="none"/>
                      <w:lang w:val="en-US" w:eastAsia="zh-CN"/>
                    </w:rPr>
                    <w:t>空间布局约束</w:t>
                  </w:r>
                </w:p>
              </w:tc>
              <w:tc>
                <w:tcPr>
                  <w:tcW w:w="1892" w:type="pct"/>
                  <w:tcBorders>
                    <w:tl2br w:val="nil"/>
                    <w:tr2bl w:val="nil"/>
                  </w:tcBorders>
                  <w:vAlign w:val="center"/>
                </w:tcPr>
                <w:p w14:paraId="55D0F622">
                  <w:pPr>
                    <w:pStyle w:val="40"/>
                    <w:bidi w:val="0"/>
                    <w:jc w:val="both"/>
                    <w:rPr>
                      <w:color w:val="auto"/>
                      <w:highlight w:val="none"/>
                    </w:rPr>
                  </w:pPr>
                  <w:r>
                    <w:rPr>
                      <w:bCs/>
                      <w:color w:val="auto"/>
                      <w:sz w:val="21"/>
                      <w:szCs w:val="21"/>
                      <w:highlight w:val="none"/>
                      <w:lang w:val="en-US" w:eastAsia="zh-CN"/>
                    </w:rPr>
                    <w:t>严格按照有关部门审核同意的项目建设内容使用土地，不得擅自改变土地用途超越地界线占用土地。</w:t>
                  </w:r>
                </w:p>
              </w:tc>
              <w:tc>
                <w:tcPr>
                  <w:tcW w:w="1893" w:type="pct"/>
                  <w:tcBorders>
                    <w:tl2br w:val="nil"/>
                    <w:tr2bl w:val="nil"/>
                  </w:tcBorders>
                  <w:vAlign w:val="center"/>
                </w:tcPr>
                <w:p w14:paraId="39F81068">
                  <w:pPr>
                    <w:pStyle w:val="40"/>
                    <w:bidi w:val="0"/>
                    <w:jc w:val="both"/>
                    <w:rPr>
                      <w:bCs/>
                      <w:color w:val="auto"/>
                      <w:sz w:val="21"/>
                      <w:szCs w:val="21"/>
                      <w:highlight w:val="none"/>
                      <w:lang w:val="en-US" w:eastAsia="zh-CN"/>
                    </w:rPr>
                  </w:pPr>
                  <w:r>
                    <w:rPr>
                      <w:rFonts w:hint="eastAsia"/>
                      <w:bCs/>
                      <w:color w:val="auto"/>
                      <w:sz w:val="21"/>
                      <w:szCs w:val="21"/>
                      <w:highlight w:val="none"/>
                      <w:lang w:val="en-US" w:eastAsia="zh-CN"/>
                    </w:rPr>
                    <w:t>本项目严格控制建设用地范围，</w:t>
                  </w:r>
                  <w:r>
                    <w:rPr>
                      <w:bCs/>
                      <w:color w:val="auto"/>
                      <w:sz w:val="21"/>
                      <w:szCs w:val="21"/>
                      <w:highlight w:val="none"/>
                      <w:lang w:val="en-US" w:eastAsia="zh-CN"/>
                    </w:rPr>
                    <w:t>不擅自改变土地用途超越地界线占用土地</w:t>
                  </w:r>
                  <w:r>
                    <w:rPr>
                      <w:rFonts w:hint="eastAsia"/>
                      <w:bCs/>
                      <w:color w:val="auto"/>
                      <w:sz w:val="21"/>
                      <w:szCs w:val="21"/>
                      <w:highlight w:val="none"/>
                      <w:lang w:val="en-US" w:eastAsia="zh-CN"/>
                    </w:rPr>
                    <w:t>。</w:t>
                  </w:r>
                </w:p>
              </w:tc>
              <w:tc>
                <w:tcPr>
                  <w:tcW w:w="436" w:type="pct"/>
                  <w:tcBorders>
                    <w:tl2br w:val="nil"/>
                    <w:tr2bl w:val="nil"/>
                  </w:tcBorders>
                  <w:vAlign w:val="center"/>
                </w:tcPr>
                <w:p w14:paraId="1853071D">
                  <w:pPr>
                    <w:pStyle w:val="40"/>
                    <w:bidi w:val="0"/>
                    <w:rPr>
                      <w:color w:val="auto"/>
                      <w:spacing w:val="-6"/>
                      <w:sz w:val="21"/>
                      <w:highlight w:val="none"/>
                    </w:rPr>
                  </w:pPr>
                  <w:r>
                    <w:rPr>
                      <w:color w:val="auto"/>
                      <w:spacing w:val="-6"/>
                      <w:sz w:val="21"/>
                      <w:highlight w:val="none"/>
                    </w:rPr>
                    <w:t>符合</w:t>
                  </w:r>
                </w:p>
              </w:tc>
            </w:tr>
            <w:tr w14:paraId="15F65D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948" w:hRule="atLeast"/>
                <w:jc w:val="center"/>
              </w:trPr>
              <w:tc>
                <w:tcPr>
                  <w:tcW w:w="339" w:type="pct"/>
                  <w:vMerge w:val="continue"/>
                  <w:tcBorders>
                    <w:tl2br w:val="nil"/>
                    <w:tr2bl w:val="nil"/>
                  </w:tcBorders>
                  <w:vAlign w:val="center"/>
                </w:tcPr>
                <w:p w14:paraId="59EBFE4C">
                  <w:pPr>
                    <w:pStyle w:val="40"/>
                    <w:bidi w:val="0"/>
                    <w:rPr>
                      <w:color w:val="auto"/>
                      <w:spacing w:val="-6"/>
                      <w:sz w:val="21"/>
                      <w:highlight w:val="none"/>
                    </w:rPr>
                  </w:pPr>
                </w:p>
              </w:tc>
              <w:tc>
                <w:tcPr>
                  <w:tcW w:w="437" w:type="pct"/>
                  <w:tcBorders>
                    <w:tl2br w:val="nil"/>
                    <w:tr2bl w:val="nil"/>
                  </w:tcBorders>
                  <w:vAlign w:val="center"/>
                </w:tcPr>
                <w:p w14:paraId="5C975E89">
                  <w:pPr>
                    <w:pStyle w:val="40"/>
                    <w:bidi w:val="0"/>
                    <w:rPr>
                      <w:color w:val="auto"/>
                      <w:spacing w:val="-6"/>
                      <w:sz w:val="21"/>
                      <w:highlight w:val="none"/>
                    </w:rPr>
                  </w:pPr>
                  <w:r>
                    <w:rPr>
                      <w:rFonts w:hint="eastAsia"/>
                      <w:bCs/>
                      <w:color w:val="auto"/>
                      <w:spacing w:val="-6"/>
                      <w:sz w:val="21"/>
                      <w:szCs w:val="21"/>
                      <w:highlight w:val="none"/>
                      <w:lang w:val="en-US" w:eastAsia="zh-CN"/>
                    </w:rPr>
                    <w:t>资源开发效率要求</w:t>
                  </w:r>
                </w:p>
              </w:tc>
              <w:tc>
                <w:tcPr>
                  <w:tcW w:w="1892" w:type="pct"/>
                  <w:tcBorders>
                    <w:tl2br w:val="nil"/>
                    <w:tr2bl w:val="nil"/>
                  </w:tcBorders>
                  <w:vAlign w:val="center"/>
                </w:tcPr>
                <w:p w14:paraId="041ADD6C">
                  <w:pPr>
                    <w:pStyle w:val="40"/>
                    <w:bidi w:val="0"/>
                    <w:jc w:val="both"/>
                    <w:rPr>
                      <w:color w:val="auto"/>
                      <w:highlight w:val="none"/>
                      <w:lang w:val="en-US" w:eastAsia="zh-CN"/>
                    </w:rPr>
                  </w:pPr>
                  <w:r>
                    <w:rPr>
                      <w:color w:val="auto"/>
                      <w:highlight w:val="none"/>
                      <w:lang w:val="en-US" w:eastAsia="zh-CN"/>
                    </w:rPr>
                    <w:t>1</w:t>
                  </w:r>
                  <w:r>
                    <w:rPr>
                      <w:rFonts w:hint="eastAsia"/>
                      <w:color w:val="auto"/>
                      <w:highlight w:val="none"/>
                      <w:lang w:val="en-US" w:eastAsia="zh-CN"/>
                    </w:rPr>
                    <w:t>、</w:t>
                  </w:r>
                  <w:r>
                    <w:rPr>
                      <w:color w:val="auto"/>
                      <w:highlight w:val="none"/>
                      <w:lang w:val="en-US" w:eastAsia="zh-CN"/>
                    </w:rPr>
                    <w:t>规范工业园区</w:t>
                  </w:r>
                  <w:r>
                    <w:rPr>
                      <w:rFonts w:hint="eastAsia"/>
                      <w:color w:val="auto"/>
                      <w:highlight w:val="none"/>
                      <w:lang w:val="en-US" w:eastAsia="zh-CN"/>
                    </w:rPr>
                    <w:t>（</w:t>
                  </w:r>
                  <w:r>
                    <w:rPr>
                      <w:color w:val="auto"/>
                      <w:highlight w:val="none"/>
                      <w:lang w:val="en-US" w:eastAsia="zh-CN"/>
                    </w:rPr>
                    <w:t>开发区</w:t>
                  </w:r>
                  <w:r>
                    <w:rPr>
                      <w:rFonts w:hint="eastAsia"/>
                      <w:color w:val="auto"/>
                      <w:highlight w:val="none"/>
                      <w:lang w:val="en-US" w:eastAsia="zh-CN"/>
                    </w:rPr>
                    <w:t>）</w:t>
                  </w:r>
                  <w:r>
                    <w:rPr>
                      <w:color w:val="auto"/>
                      <w:highlight w:val="none"/>
                      <w:lang w:val="en-US" w:eastAsia="zh-CN"/>
                    </w:rPr>
                    <w:t>入园用地项目管理，促进工业园区土地节约集约利用，提高土地利用质量和效益，对项目在用地期限内的利用状况实施全过程动态评估和监管。</w:t>
                  </w:r>
                </w:p>
                <w:p w14:paraId="59D64ABA">
                  <w:pPr>
                    <w:pStyle w:val="40"/>
                    <w:bidi w:val="0"/>
                    <w:jc w:val="both"/>
                    <w:rPr>
                      <w:color w:val="auto"/>
                      <w:highlight w:val="none"/>
                    </w:rPr>
                  </w:pPr>
                  <w:r>
                    <w:rPr>
                      <w:color w:val="auto"/>
                      <w:highlight w:val="none"/>
                      <w:lang w:val="en-US" w:eastAsia="zh-CN"/>
                    </w:rPr>
                    <w:t>2</w:t>
                  </w:r>
                  <w:r>
                    <w:rPr>
                      <w:rFonts w:hint="eastAsia"/>
                      <w:color w:val="auto"/>
                      <w:highlight w:val="none"/>
                      <w:lang w:val="en-US" w:eastAsia="zh-CN"/>
                    </w:rPr>
                    <w:t>、</w:t>
                  </w:r>
                  <w:r>
                    <w:rPr>
                      <w:color w:val="auto"/>
                      <w:highlight w:val="none"/>
                      <w:lang w:val="en-US" w:eastAsia="zh-CN"/>
                    </w:rPr>
                    <w:t>健全工业园区用地准入、综合效益评估、土地使用权推出等机制，实现土地利用</w:t>
                  </w:r>
                  <w:r>
                    <w:rPr>
                      <w:color w:val="auto"/>
                      <w:spacing w:val="-6"/>
                      <w:sz w:val="21"/>
                      <w:highlight w:val="none"/>
                      <w:lang w:val="en-US" w:eastAsia="zh-CN"/>
                    </w:rPr>
                    <w:t>管理系统化、精细化、动态化。</w:t>
                  </w:r>
                </w:p>
              </w:tc>
              <w:tc>
                <w:tcPr>
                  <w:tcW w:w="1893" w:type="pct"/>
                  <w:tcBorders>
                    <w:tl2br w:val="nil"/>
                    <w:tr2bl w:val="nil"/>
                  </w:tcBorders>
                  <w:vAlign w:val="center"/>
                </w:tcPr>
                <w:p w14:paraId="6CD75A28">
                  <w:pPr>
                    <w:pStyle w:val="40"/>
                    <w:bidi w:val="0"/>
                    <w:jc w:val="both"/>
                    <w:rPr>
                      <w:rFonts w:hint="eastAsia" w:eastAsia="宋体"/>
                      <w:bCs/>
                      <w:color w:val="auto"/>
                      <w:sz w:val="21"/>
                      <w:szCs w:val="21"/>
                      <w:highlight w:val="none"/>
                      <w:lang w:eastAsia="zh-CN"/>
                    </w:rPr>
                  </w:pPr>
                  <w:r>
                    <w:rPr>
                      <w:rFonts w:eastAsia="宋体"/>
                      <w:bCs/>
                      <w:color w:val="auto"/>
                      <w:sz w:val="21"/>
                      <w:szCs w:val="21"/>
                      <w:highlight w:val="none"/>
                    </w:rPr>
                    <w:t>本项目属于</w:t>
                  </w:r>
                  <w:r>
                    <w:rPr>
                      <w:rFonts w:hint="eastAsia" w:eastAsia="宋体"/>
                      <w:bCs/>
                      <w:color w:val="auto"/>
                      <w:sz w:val="21"/>
                      <w:szCs w:val="21"/>
                      <w:highlight w:val="none"/>
                    </w:rPr>
                    <w:t>固废资源</w:t>
                  </w:r>
                  <w:r>
                    <w:rPr>
                      <w:rFonts w:eastAsia="宋体"/>
                      <w:bCs/>
                      <w:color w:val="auto"/>
                      <w:sz w:val="21"/>
                      <w:szCs w:val="21"/>
                      <w:highlight w:val="none"/>
                    </w:rPr>
                    <w:t>综合利用项目，位于府谷高新技术产业开发区清水川</w:t>
                  </w:r>
                  <w:r>
                    <w:rPr>
                      <w:rFonts w:hint="eastAsia" w:eastAsia="宋体"/>
                      <w:bCs/>
                      <w:color w:val="auto"/>
                      <w:sz w:val="21"/>
                      <w:szCs w:val="21"/>
                      <w:highlight w:val="none"/>
                      <w:lang w:val="en-US" w:eastAsia="zh-CN"/>
                    </w:rPr>
                    <w:t>工业园区</w:t>
                  </w:r>
                  <w:r>
                    <w:rPr>
                      <w:rFonts w:eastAsia="宋体"/>
                      <w:bCs/>
                      <w:color w:val="auto"/>
                      <w:sz w:val="21"/>
                      <w:szCs w:val="21"/>
                      <w:highlight w:val="none"/>
                    </w:rPr>
                    <w:t>，</w:t>
                  </w:r>
                  <w:r>
                    <w:rPr>
                      <w:rFonts w:hint="eastAsia"/>
                      <w:bCs/>
                      <w:color w:val="auto"/>
                      <w:sz w:val="21"/>
                      <w:szCs w:val="21"/>
                      <w:highlight w:val="none"/>
                      <w:lang w:val="en-US" w:eastAsia="zh-CN"/>
                    </w:rPr>
                    <w:t>建设项目合理利用土地，提高土地利用质量和效益，</w:t>
                  </w:r>
                  <w:r>
                    <w:rPr>
                      <w:rFonts w:eastAsia="宋体"/>
                      <w:bCs/>
                      <w:color w:val="auto"/>
                      <w:sz w:val="21"/>
                      <w:szCs w:val="21"/>
                      <w:highlight w:val="none"/>
                    </w:rPr>
                    <w:t>符合园区准入条件</w:t>
                  </w:r>
                  <w:r>
                    <w:rPr>
                      <w:rFonts w:hint="eastAsia"/>
                      <w:bCs/>
                      <w:color w:val="auto"/>
                      <w:sz w:val="21"/>
                      <w:szCs w:val="21"/>
                      <w:highlight w:val="none"/>
                      <w:lang w:eastAsia="zh-CN"/>
                    </w:rPr>
                    <w:t>，</w:t>
                  </w:r>
                  <w:r>
                    <w:rPr>
                      <w:rFonts w:hint="eastAsia"/>
                      <w:color w:val="auto"/>
                      <w:spacing w:val="0"/>
                      <w:highlight w:val="none"/>
                    </w:rPr>
                    <w:t>已取得府谷高新技术产业开发区的入园许可</w:t>
                  </w:r>
                  <w:r>
                    <w:rPr>
                      <w:rFonts w:hint="eastAsia"/>
                      <w:color w:val="auto"/>
                      <w:spacing w:val="0"/>
                      <w:highlight w:val="none"/>
                      <w:lang w:eastAsia="zh-CN"/>
                    </w:rPr>
                    <w:t>（</w:t>
                  </w:r>
                  <w:r>
                    <w:rPr>
                      <w:rFonts w:hint="eastAsia"/>
                      <w:color w:val="auto"/>
                      <w:spacing w:val="0"/>
                      <w:highlight w:val="none"/>
                      <w:lang w:val="en-US" w:eastAsia="zh-CN"/>
                    </w:rPr>
                    <w:t>附件2）</w:t>
                  </w:r>
                  <w:r>
                    <w:rPr>
                      <w:rFonts w:hint="eastAsia"/>
                      <w:bCs/>
                      <w:color w:val="auto"/>
                      <w:sz w:val="21"/>
                      <w:szCs w:val="21"/>
                      <w:highlight w:val="none"/>
                      <w:lang w:eastAsia="zh-CN"/>
                    </w:rPr>
                    <w:t>。</w:t>
                  </w:r>
                </w:p>
              </w:tc>
              <w:tc>
                <w:tcPr>
                  <w:tcW w:w="436" w:type="pct"/>
                  <w:tcBorders>
                    <w:tl2br w:val="nil"/>
                    <w:tr2bl w:val="nil"/>
                  </w:tcBorders>
                  <w:vAlign w:val="center"/>
                </w:tcPr>
                <w:p w14:paraId="0D617315">
                  <w:pPr>
                    <w:pStyle w:val="40"/>
                    <w:bidi w:val="0"/>
                    <w:rPr>
                      <w:color w:val="auto"/>
                      <w:spacing w:val="-6"/>
                      <w:sz w:val="21"/>
                      <w:highlight w:val="none"/>
                    </w:rPr>
                  </w:pPr>
                  <w:r>
                    <w:rPr>
                      <w:color w:val="auto"/>
                      <w:spacing w:val="-6"/>
                      <w:sz w:val="21"/>
                      <w:highlight w:val="none"/>
                    </w:rPr>
                    <w:t>符合</w:t>
                  </w:r>
                </w:p>
              </w:tc>
            </w:tr>
          </w:tbl>
          <w:p w14:paraId="17D0CAAA">
            <w:pPr>
              <w:pStyle w:val="41"/>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color w:val="auto"/>
                <w:highlight w:val="none"/>
                <w:lang w:val="en-US" w:eastAsia="zh-CN"/>
              </w:rPr>
            </w:pPr>
            <w:r>
              <w:rPr>
                <w:rFonts w:hint="eastAsia"/>
                <w:color w:val="auto"/>
                <w:highlight w:val="none"/>
                <w:lang w:val="en-US" w:eastAsia="zh-CN"/>
              </w:rPr>
              <w:t>3、项目与榆林市“多规合一”符合性分析</w:t>
            </w:r>
          </w:p>
          <w:p w14:paraId="7BB89DDA">
            <w:pPr>
              <w:bidi w:val="0"/>
              <w:rPr>
                <w:color w:val="auto"/>
                <w:highlight w:val="none"/>
              </w:rPr>
            </w:pPr>
            <w:r>
              <w:rPr>
                <w:rFonts w:hint="eastAsia"/>
                <w:color w:val="auto"/>
                <w:highlight w:val="none"/>
                <w:lang w:val="en-US" w:eastAsia="zh-CN"/>
              </w:rPr>
              <w:t>根据《</w:t>
            </w:r>
            <w:r>
              <w:rPr>
                <w:rFonts w:hint="default"/>
                <w:color w:val="auto"/>
                <w:highlight w:val="none"/>
              </w:rPr>
              <w:t>榆林市投资项目选址</w:t>
            </w:r>
            <w:r>
              <w:rPr>
                <w:rFonts w:hint="eastAsia"/>
                <w:color w:val="auto"/>
                <w:highlight w:val="none"/>
                <w:lang w:eastAsia="zh-CN"/>
              </w:rPr>
              <w:t>“</w:t>
            </w:r>
            <w:r>
              <w:rPr>
                <w:rFonts w:hint="default"/>
                <w:color w:val="auto"/>
                <w:highlight w:val="none"/>
              </w:rPr>
              <w:t>一张图</w:t>
            </w:r>
            <w:r>
              <w:rPr>
                <w:rFonts w:hint="eastAsia"/>
                <w:color w:val="auto"/>
                <w:highlight w:val="none"/>
                <w:lang w:eastAsia="zh-CN"/>
              </w:rPr>
              <w:t>”</w:t>
            </w:r>
            <w:r>
              <w:rPr>
                <w:rFonts w:hint="default"/>
                <w:color w:val="auto"/>
                <w:highlight w:val="none"/>
              </w:rPr>
              <w:t>控制线检测报告</w:t>
            </w:r>
            <w:r>
              <w:rPr>
                <w:rFonts w:hint="eastAsia"/>
                <w:color w:val="auto"/>
                <w:highlight w:val="none"/>
                <w:lang w:eastAsia="zh-CN"/>
              </w:rPr>
              <w:t>》（</w:t>
            </w:r>
            <w:r>
              <w:rPr>
                <w:rFonts w:hint="default"/>
                <w:color w:val="auto"/>
                <w:highlight w:val="none"/>
              </w:rPr>
              <w:t>2024（4099）号</w:t>
            </w:r>
            <w:r>
              <w:rPr>
                <w:rFonts w:hint="eastAsia"/>
                <w:color w:val="auto"/>
                <w:highlight w:val="none"/>
                <w:lang w:eastAsia="zh-CN"/>
              </w:rPr>
              <w:t>），</w:t>
            </w:r>
            <w:r>
              <w:rPr>
                <w:color w:val="auto"/>
                <w:highlight w:val="none"/>
              </w:rPr>
              <w:t>项目不涉及</w:t>
            </w:r>
            <w:r>
              <w:rPr>
                <w:rFonts w:hint="eastAsia"/>
                <w:color w:val="auto"/>
                <w:highlight w:val="none"/>
              </w:rPr>
              <w:t>文物保护线、</w:t>
            </w:r>
            <w:r>
              <w:rPr>
                <w:color w:val="auto"/>
                <w:highlight w:val="none"/>
              </w:rPr>
              <w:t>基本农田及生态保护红线</w:t>
            </w:r>
            <w:r>
              <w:rPr>
                <w:rFonts w:hint="eastAsia"/>
                <w:color w:val="auto"/>
                <w:highlight w:val="none"/>
                <w:lang w:eastAsia="zh-CN"/>
              </w:rPr>
              <w:t>。项目与榆林市“多规合一”符合性分析</w:t>
            </w:r>
            <w:r>
              <w:rPr>
                <w:rFonts w:hint="eastAsia"/>
                <w:color w:val="auto"/>
                <w:highlight w:val="none"/>
                <w:lang w:val="en-US" w:eastAsia="zh-CN"/>
              </w:rPr>
              <w:t>见</w:t>
            </w:r>
            <w:r>
              <w:rPr>
                <w:rFonts w:hint="eastAsia"/>
                <w:color w:val="auto"/>
                <w:highlight w:val="none"/>
                <w:lang w:val="en-US" w:eastAsia="zh-CN"/>
              </w:rPr>
              <w:fldChar w:fldCharType="begin"/>
            </w:r>
            <w:r>
              <w:rPr>
                <w:rFonts w:hint="eastAsia"/>
                <w:color w:val="auto"/>
                <w:highlight w:val="none"/>
                <w:lang w:val="en-US" w:eastAsia="zh-CN"/>
              </w:rPr>
              <w:instrText xml:space="preserve"> REF _Ref18826 \h </w:instrText>
            </w:r>
            <w:r>
              <w:rPr>
                <w:rFonts w:hint="eastAsia"/>
                <w:color w:val="auto"/>
                <w:highlight w:val="none"/>
                <w:lang w:val="en-US" w:eastAsia="zh-CN"/>
              </w:rPr>
              <w:fldChar w:fldCharType="separate"/>
            </w:r>
            <w:r>
              <w:rPr>
                <w:rFonts w:hint="default"/>
                <w:color w:val="auto"/>
                <w:highlight w:val="none"/>
                <w:lang w:val="en-US" w:eastAsia="zh-CN"/>
              </w:rPr>
              <w:t>表1-7</w:t>
            </w:r>
            <w:r>
              <w:rPr>
                <w:rFonts w:hint="eastAsia"/>
                <w:color w:val="auto"/>
                <w:highlight w:val="none"/>
                <w:lang w:val="en-US" w:eastAsia="zh-CN"/>
              </w:rPr>
              <w:fldChar w:fldCharType="end"/>
            </w:r>
            <w:r>
              <w:rPr>
                <w:rFonts w:hint="eastAsia"/>
                <w:color w:val="auto"/>
                <w:highlight w:val="none"/>
              </w:rPr>
              <w:t>，</w:t>
            </w:r>
            <w:r>
              <w:rPr>
                <w:color w:val="auto"/>
                <w:highlight w:val="none"/>
              </w:rPr>
              <w:t>控制线检测报告见</w:t>
            </w:r>
            <w:r>
              <w:rPr>
                <w:rFonts w:hint="eastAsia"/>
                <w:color w:val="auto"/>
                <w:highlight w:val="none"/>
                <w:lang w:val="en-US" w:eastAsia="zh-CN"/>
              </w:rPr>
              <w:t>附件5</w:t>
            </w:r>
            <w:r>
              <w:rPr>
                <w:rFonts w:hint="eastAsia"/>
                <w:color w:val="auto"/>
                <w:highlight w:val="none"/>
                <w:lang w:eastAsia="zh-CN"/>
              </w:rPr>
              <w:t>，</w:t>
            </w:r>
            <w:r>
              <w:rPr>
                <w:rFonts w:hint="eastAsia"/>
                <w:color w:val="auto"/>
                <w:highlight w:val="none"/>
              </w:rPr>
              <w:t>本项目符合榆林市“多规合一”工作管理要求</w:t>
            </w:r>
            <w:r>
              <w:rPr>
                <w:color w:val="auto"/>
                <w:highlight w:val="none"/>
              </w:rPr>
              <w:t>。</w:t>
            </w:r>
          </w:p>
          <w:p w14:paraId="583C63A7">
            <w:pPr>
              <w:pStyle w:val="7"/>
              <w:bidi w:val="0"/>
              <w:rPr>
                <w:rFonts w:hint="default"/>
                <w:color w:val="auto"/>
                <w:highlight w:val="none"/>
                <w:lang w:val="en-US" w:eastAsia="zh-CN"/>
              </w:rPr>
            </w:pPr>
            <w:bookmarkStart w:id="7" w:name="_Ref18826"/>
          </w:p>
          <w:p w14:paraId="4F04AE73">
            <w:pPr>
              <w:pStyle w:val="7"/>
              <w:bidi w:val="0"/>
              <w:rPr>
                <w:rFonts w:hint="default"/>
                <w:color w:val="auto"/>
                <w:highlight w:val="none"/>
                <w:lang w:val="en-US" w:eastAsia="zh-CN"/>
              </w:rPr>
            </w:pPr>
          </w:p>
          <w:p w14:paraId="4CEA2489">
            <w:pPr>
              <w:pStyle w:val="7"/>
              <w:bidi w:val="0"/>
              <w:rPr>
                <w:rFonts w:hint="default"/>
                <w:color w:val="auto"/>
                <w:highlight w:val="none"/>
                <w:lang w:val="en-US" w:eastAsia="zh-CN"/>
              </w:rPr>
            </w:pPr>
          </w:p>
          <w:p w14:paraId="1529F113">
            <w:pPr>
              <w:pStyle w:val="7"/>
              <w:bidi w:val="0"/>
              <w:rPr>
                <w:rFonts w:hint="default"/>
                <w:color w:val="auto"/>
                <w:highlight w:val="none"/>
                <w:lang w:val="en-US" w:eastAsia="zh-CN"/>
              </w:rPr>
            </w:pPr>
          </w:p>
          <w:p w14:paraId="4286FB31">
            <w:pPr>
              <w:pStyle w:val="7"/>
              <w:bidi w:val="0"/>
              <w:rPr>
                <w:rFonts w:hint="default"/>
                <w:color w:val="auto"/>
                <w:highlight w:val="none"/>
                <w:lang w:val="en-US" w:eastAsia="zh-CN"/>
              </w:rPr>
            </w:pPr>
          </w:p>
          <w:p w14:paraId="6BC40300">
            <w:pPr>
              <w:pStyle w:val="7"/>
              <w:bidi w:val="0"/>
              <w:rPr>
                <w:rFonts w:hint="default"/>
                <w:color w:val="auto"/>
                <w:highlight w:val="none"/>
                <w:lang w:val="en-US" w:eastAsia="zh-CN"/>
              </w:rPr>
            </w:pPr>
          </w:p>
          <w:p w14:paraId="6B6E650F">
            <w:pPr>
              <w:pStyle w:val="7"/>
              <w:bidi w:val="0"/>
              <w:rPr>
                <w:rFonts w:hint="default"/>
                <w:color w:val="auto"/>
                <w:highlight w:val="none"/>
                <w:lang w:val="en-US" w:eastAsia="zh-CN"/>
              </w:rPr>
            </w:pPr>
          </w:p>
          <w:p w14:paraId="3E851DD8">
            <w:pPr>
              <w:pStyle w:val="7"/>
              <w:bidi w:val="0"/>
              <w:rPr>
                <w:rFonts w:hint="default"/>
                <w:color w:val="auto"/>
                <w:highlight w:val="none"/>
                <w:lang w:val="en-US" w:eastAsia="zh-CN"/>
              </w:rPr>
            </w:pPr>
          </w:p>
          <w:p w14:paraId="3CA9B4FA">
            <w:pPr>
              <w:pStyle w:val="7"/>
              <w:bidi w:val="0"/>
              <w:rPr>
                <w:rFonts w:hint="default"/>
                <w:color w:val="auto"/>
                <w:highlight w:val="none"/>
                <w:lang w:val="en-US" w:eastAsia="zh-CN"/>
              </w:rPr>
            </w:pPr>
          </w:p>
          <w:p w14:paraId="5C0906EB">
            <w:pPr>
              <w:pStyle w:val="7"/>
              <w:bidi w:val="0"/>
              <w:rPr>
                <w:rFonts w:hint="default"/>
                <w:color w:val="auto"/>
                <w:highlight w:val="none"/>
                <w:lang w:val="en-US" w:eastAsia="zh-CN"/>
              </w:rPr>
            </w:pPr>
            <w:r>
              <w:rPr>
                <w:rFonts w:hint="default"/>
                <w:color w:val="auto"/>
                <w:highlight w:val="none"/>
                <w:lang w:val="en-US" w:eastAsia="zh-CN"/>
              </w:rPr>
              <w:t>表1-</w:t>
            </w:r>
            <w:r>
              <w:rPr>
                <w:rFonts w:hint="default"/>
                <w:color w:val="auto"/>
                <w:highlight w:val="none"/>
                <w:lang w:val="en-US" w:eastAsia="zh-CN"/>
              </w:rPr>
              <w:fldChar w:fldCharType="begin"/>
            </w:r>
            <w:r>
              <w:rPr>
                <w:rFonts w:hint="default"/>
                <w:color w:val="auto"/>
                <w:highlight w:val="none"/>
                <w:lang w:val="en-US" w:eastAsia="zh-CN"/>
              </w:rPr>
              <w:instrText xml:space="preserve"> SEQ 表1- \* ARABIC </w:instrText>
            </w:r>
            <w:r>
              <w:rPr>
                <w:rFonts w:hint="default"/>
                <w:color w:val="auto"/>
                <w:highlight w:val="none"/>
                <w:lang w:val="en-US" w:eastAsia="zh-CN"/>
              </w:rPr>
              <w:fldChar w:fldCharType="separate"/>
            </w:r>
            <w:r>
              <w:rPr>
                <w:rFonts w:hint="default"/>
                <w:color w:val="auto"/>
                <w:highlight w:val="none"/>
                <w:lang w:val="en-US" w:eastAsia="zh-CN"/>
              </w:rPr>
              <w:t>7</w:t>
            </w:r>
            <w:r>
              <w:rPr>
                <w:rFonts w:hint="default"/>
                <w:color w:val="auto"/>
                <w:highlight w:val="none"/>
                <w:lang w:val="en-US" w:eastAsia="zh-CN"/>
              </w:rPr>
              <w:fldChar w:fldCharType="end"/>
            </w:r>
            <w:bookmarkEnd w:id="7"/>
            <w:r>
              <w:rPr>
                <w:rFonts w:hint="eastAsia"/>
                <w:color w:val="auto"/>
                <w:highlight w:val="none"/>
                <w:lang w:val="en-US" w:eastAsia="zh-CN"/>
              </w:rPr>
              <w:t xml:space="preserve">  项目与榆林市“多规合一”符合性分析</w:t>
            </w:r>
          </w:p>
          <w:tbl>
            <w:tblPr>
              <w:tblStyle w:val="25"/>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78"/>
              <w:gridCol w:w="2362"/>
              <w:gridCol w:w="2882"/>
            </w:tblGrid>
            <w:tr w14:paraId="2A1CA6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19" w:type="pct"/>
                  <w:tcBorders>
                    <w:tl2br w:val="nil"/>
                    <w:tr2bl w:val="nil"/>
                  </w:tcBorders>
                  <w:vAlign w:val="center"/>
                </w:tcPr>
                <w:p w14:paraId="6A033C0B">
                  <w:pPr>
                    <w:pStyle w:val="40"/>
                    <w:bidi w:val="0"/>
                    <w:rPr>
                      <w:rFonts w:hint="default"/>
                      <w:color w:val="auto"/>
                      <w:highlight w:val="none"/>
                      <w:lang w:val="en-US" w:eastAsia="zh-CN"/>
                    </w:rPr>
                  </w:pPr>
                  <w:r>
                    <w:rPr>
                      <w:rFonts w:hint="eastAsia"/>
                      <w:color w:val="auto"/>
                      <w:highlight w:val="none"/>
                      <w:lang w:val="en-US" w:eastAsia="zh-CN"/>
                    </w:rPr>
                    <w:t>控制线名称</w:t>
                  </w:r>
                </w:p>
              </w:tc>
              <w:tc>
                <w:tcPr>
                  <w:tcW w:w="1612" w:type="pct"/>
                  <w:tcBorders>
                    <w:tl2br w:val="nil"/>
                    <w:tr2bl w:val="nil"/>
                  </w:tcBorders>
                  <w:vAlign w:val="center"/>
                </w:tcPr>
                <w:p w14:paraId="6D8BEBE9">
                  <w:pPr>
                    <w:pStyle w:val="40"/>
                    <w:bidi w:val="0"/>
                    <w:rPr>
                      <w:rFonts w:hint="default"/>
                      <w:color w:val="auto"/>
                      <w:highlight w:val="none"/>
                      <w:lang w:val="en-US" w:eastAsia="zh-CN"/>
                    </w:rPr>
                  </w:pPr>
                  <w:r>
                    <w:rPr>
                      <w:rFonts w:hint="eastAsia"/>
                      <w:color w:val="auto"/>
                      <w:highlight w:val="none"/>
                      <w:lang w:val="en-US" w:eastAsia="zh-CN"/>
                    </w:rPr>
                    <w:t>检测结果及意见</w:t>
                  </w:r>
                </w:p>
              </w:tc>
              <w:tc>
                <w:tcPr>
                  <w:tcW w:w="1968" w:type="pct"/>
                  <w:tcBorders>
                    <w:tl2br w:val="nil"/>
                    <w:tr2bl w:val="nil"/>
                  </w:tcBorders>
                  <w:vAlign w:val="center"/>
                </w:tcPr>
                <w:p w14:paraId="7430C84B">
                  <w:pPr>
                    <w:pStyle w:val="40"/>
                    <w:bidi w:val="0"/>
                    <w:rPr>
                      <w:rFonts w:hint="eastAsia"/>
                      <w:color w:val="auto"/>
                      <w:highlight w:val="none"/>
                      <w:lang w:val="en-US" w:eastAsia="zh-CN"/>
                    </w:rPr>
                  </w:pPr>
                  <w:r>
                    <w:rPr>
                      <w:rFonts w:hint="eastAsia"/>
                      <w:color w:val="auto"/>
                      <w:highlight w:val="none"/>
                      <w:lang w:val="en-US" w:eastAsia="zh-CN"/>
                    </w:rPr>
                    <w:t>符合性</w:t>
                  </w:r>
                </w:p>
              </w:tc>
            </w:tr>
            <w:tr w14:paraId="2417E7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19" w:type="pct"/>
                  <w:tcBorders>
                    <w:tl2br w:val="nil"/>
                    <w:tr2bl w:val="nil"/>
                  </w:tcBorders>
                  <w:vAlign w:val="center"/>
                </w:tcPr>
                <w:p w14:paraId="5D1005CD">
                  <w:pPr>
                    <w:pStyle w:val="40"/>
                    <w:bidi w:val="0"/>
                    <w:rPr>
                      <w:rFonts w:hint="default"/>
                      <w:color w:val="auto"/>
                      <w:highlight w:val="none"/>
                    </w:rPr>
                  </w:pPr>
                  <w:r>
                    <w:rPr>
                      <w:rFonts w:hint="default"/>
                      <w:color w:val="auto"/>
                      <w:highlight w:val="none"/>
                    </w:rPr>
                    <w:t>榆阳机场电磁环境保护区分析</w:t>
                  </w:r>
                </w:p>
              </w:tc>
              <w:tc>
                <w:tcPr>
                  <w:tcW w:w="1612" w:type="pct"/>
                  <w:tcBorders>
                    <w:tl2br w:val="nil"/>
                    <w:tr2bl w:val="nil"/>
                  </w:tcBorders>
                  <w:vAlign w:val="center"/>
                </w:tcPr>
                <w:p w14:paraId="7FA23668">
                  <w:pPr>
                    <w:pStyle w:val="40"/>
                    <w:bidi w:val="0"/>
                    <w:rPr>
                      <w:rFonts w:hint="eastAsia"/>
                      <w:color w:val="auto"/>
                      <w:highlight w:val="none"/>
                      <w:lang w:val="en-US" w:eastAsia="zh-CN"/>
                    </w:rPr>
                  </w:pPr>
                  <w:r>
                    <w:rPr>
                      <w:rFonts w:hint="eastAsia"/>
                      <w:color w:val="auto"/>
                      <w:highlight w:val="none"/>
                      <w:lang w:val="en-US" w:eastAsia="zh-CN"/>
                    </w:rPr>
                    <w:t>不涉及</w:t>
                  </w:r>
                </w:p>
              </w:tc>
              <w:tc>
                <w:tcPr>
                  <w:tcW w:w="1968" w:type="pct"/>
                  <w:tcBorders>
                    <w:tl2br w:val="nil"/>
                    <w:tr2bl w:val="nil"/>
                  </w:tcBorders>
                  <w:vAlign w:val="center"/>
                </w:tcPr>
                <w:p w14:paraId="58619491">
                  <w:pPr>
                    <w:pStyle w:val="40"/>
                    <w:bidi w:val="0"/>
                    <w:rPr>
                      <w:rFonts w:hint="default"/>
                      <w:color w:val="auto"/>
                      <w:highlight w:val="none"/>
                      <w:lang w:val="en-US" w:eastAsia="zh-CN"/>
                    </w:rPr>
                  </w:pPr>
                  <w:r>
                    <w:rPr>
                      <w:rFonts w:hint="eastAsia"/>
                      <w:color w:val="auto"/>
                      <w:highlight w:val="none"/>
                      <w:lang w:val="en-US" w:eastAsia="zh-CN"/>
                    </w:rPr>
                    <w:t>符合</w:t>
                  </w:r>
                </w:p>
              </w:tc>
            </w:tr>
            <w:tr w14:paraId="2C9553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19" w:type="pct"/>
                  <w:tcBorders>
                    <w:tl2br w:val="nil"/>
                    <w:tr2bl w:val="nil"/>
                  </w:tcBorders>
                  <w:vAlign w:val="center"/>
                </w:tcPr>
                <w:p w14:paraId="1DB473F1">
                  <w:pPr>
                    <w:pStyle w:val="40"/>
                    <w:bidi w:val="0"/>
                    <w:rPr>
                      <w:rFonts w:hint="default"/>
                      <w:color w:val="auto"/>
                      <w:highlight w:val="none"/>
                    </w:rPr>
                  </w:pPr>
                  <w:r>
                    <w:rPr>
                      <w:rFonts w:hint="default"/>
                      <w:color w:val="auto"/>
                      <w:highlight w:val="none"/>
                    </w:rPr>
                    <w:t>榆阳机场净空区域</w:t>
                  </w:r>
                </w:p>
                <w:p w14:paraId="512FF144">
                  <w:pPr>
                    <w:pStyle w:val="40"/>
                    <w:bidi w:val="0"/>
                    <w:rPr>
                      <w:rFonts w:hint="default"/>
                      <w:color w:val="auto"/>
                      <w:highlight w:val="none"/>
                    </w:rPr>
                  </w:pPr>
                  <w:r>
                    <w:rPr>
                      <w:rFonts w:hint="default"/>
                      <w:color w:val="auto"/>
                      <w:highlight w:val="none"/>
                    </w:rPr>
                    <w:t>分析</w:t>
                  </w:r>
                </w:p>
              </w:tc>
              <w:tc>
                <w:tcPr>
                  <w:tcW w:w="1612" w:type="pct"/>
                  <w:tcBorders>
                    <w:tl2br w:val="nil"/>
                    <w:tr2bl w:val="nil"/>
                  </w:tcBorders>
                  <w:vAlign w:val="center"/>
                </w:tcPr>
                <w:p w14:paraId="726CFB1D">
                  <w:pPr>
                    <w:pStyle w:val="40"/>
                    <w:bidi w:val="0"/>
                    <w:rPr>
                      <w:rFonts w:hint="default" w:eastAsia="宋体"/>
                      <w:color w:val="auto"/>
                      <w:highlight w:val="none"/>
                      <w:lang w:val="en-US" w:eastAsia="zh-CN"/>
                    </w:rPr>
                  </w:pPr>
                  <w:r>
                    <w:rPr>
                      <w:rFonts w:hint="default"/>
                      <w:color w:val="auto"/>
                      <w:highlight w:val="none"/>
                    </w:rPr>
                    <w:t>占用机场净空4.1701</w:t>
                  </w:r>
                  <w:r>
                    <w:rPr>
                      <w:rFonts w:hint="eastAsia"/>
                      <w:color w:val="auto"/>
                      <w:highlight w:val="none"/>
                      <w:lang w:val="en-US" w:eastAsia="zh-CN"/>
                    </w:rPr>
                    <w:t>hm</w:t>
                  </w:r>
                  <w:r>
                    <w:rPr>
                      <w:rFonts w:hint="eastAsia"/>
                      <w:color w:val="auto"/>
                      <w:highlight w:val="none"/>
                      <w:vertAlign w:val="superscript"/>
                      <w:lang w:val="en-US" w:eastAsia="zh-CN"/>
                    </w:rPr>
                    <w:t>2</w:t>
                  </w:r>
                </w:p>
              </w:tc>
              <w:tc>
                <w:tcPr>
                  <w:tcW w:w="1968" w:type="pct"/>
                  <w:tcBorders>
                    <w:tl2br w:val="nil"/>
                    <w:tr2bl w:val="nil"/>
                  </w:tcBorders>
                  <w:vAlign w:val="center"/>
                </w:tcPr>
                <w:p w14:paraId="7812F159">
                  <w:pPr>
                    <w:pStyle w:val="40"/>
                    <w:bidi w:val="0"/>
                    <w:jc w:val="both"/>
                    <w:rPr>
                      <w:rFonts w:hint="default"/>
                      <w:color w:val="auto"/>
                      <w:highlight w:val="none"/>
                    </w:rPr>
                  </w:pPr>
                  <w:r>
                    <w:rPr>
                      <w:rFonts w:hint="eastAsia"/>
                      <w:color w:val="auto"/>
                      <w:highlight w:val="none"/>
                      <w:lang w:val="en-US" w:eastAsia="zh-CN"/>
                    </w:rPr>
                    <w:t>本</w:t>
                  </w:r>
                  <w:r>
                    <w:rPr>
                      <w:rFonts w:hint="default"/>
                      <w:color w:val="auto"/>
                      <w:highlight w:val="none"/>
                    </w:rPr>
                    <w:t>项目位于榆阳机场净空审核范围之内，对照《榆林榆阳机场净空区域内建设项目审核办理细则》，</w:t>
                  </w:r>
                  <w:r>
                    <w:rPr>
                      <w:rFonts w:hint="eastAsia"/>
                      <w:color w:val="auto"/>
                      <w:highlight w:val="none"/>
                      <w:lang w:val="en-US" w:eastAsia="zh-CN"/>
                    </w:rPr>
                    <w:t>四区的参考高度为1226m；对照项目建设内容，位于榆阳机场飞行保护区域四区的面积为</w:t>
                  </w:r>
                  <w:r>
                    <w:rPr>
                      <w:rFonts w:hint="default"/>
                      <w:color w:val="auto"/>
                      <w:highlight w:val="none"/>
                    </w:rPr>
                    <w:t>4.1701</w:t>
                  </w:r>
                  <w:r>
                    <w:rPr>
                      <w:rFonts w:hint="eastAsia"/>
                      <w:color w:val="auto"/>
                      <w:highlight w:val="none"/>
                      <w:lang w:val="en-US" w:eastAsia="zh-CN"/>
                    </w:rPr>
                    <w:t>hm</w:t>
                  </w:r>
                  <w:r>
                    <w:rPr>
                      <w:rFonts w:hint="eastAsia"/>
                      <w:color w:val="auto"/>
                      <w:highlight w:val="none"/>
                      <w:vertAlign w:val="superscript"/>
                      <w:lang w:val="en-US" w:eastAsia="zh-CN"/>
                    </w:rPr>
                    <w:t>2</w:t>
                  </w:r>
                  <w:r>
                    <w:rPr>
                      <w:rFonts w:hint="eastAsia"/>
                      <w:color w:val="auto"/>
                      <w:highlight w:val="none"/>
                      <w:lang w:eastAsia="zh-CN"/>
                    </w:rPr>
                    <w:t>，</w:t>
                  </w:r>
                  <w:r>
                    <w:rPr>
                      <w:rFonts w:hint="eastAsia"/>
                      <w:color w:val="auto"/>
                      <w:highlight w:val="none"/>
                      <w:lang w:val="en-US" w:eastAsia="zh-CN"/>
                    </w:rPr>
                    <w:t>在四区内建设的最高构筑物是骨料粉煤灰筒仓，建筑高度为15m，该车间地表海拔高度为928m，建筑物高度未超过参考高度（1226m），因此无需进行净空审核。</w:t>
                  </w:r>
                </w:p>
              </w:tc>
            </w:tr>
            <w:tr w14:paraId="597BC0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19" w:type="pct"/>
                  <w:tcBorders>
                    <w:tl2br w:val="nil"/>
                    <w:tr2bl w:val="nil"/>
                  </w:tcBorders>
                  <w:vAlign w:val="center"/>
                </w:tcPr>
                <w:p w14:paraId="4F2F98EE">
                  <w:pPr>
                    <w:pStyle w:val="40"/>
                    <w:bidi w:val="0"/>
                    <w:rPr>
                      <w:rFonts w:hint="default"/>
                      <w:color w:val="auto"/>
                      <w:highlight w:val="none"/>
                    </w:rPr>
                  </w:pPr>
                  <w:r>
                    <w:rPr>
                      <w:rFonts w:hint="default"/>
                      <w:color w:val="auto"/>
                      <w:spacing w:val="-6"/>
                      <w:sz w:val="21"/>
                      <w:highlight w:val="none"/>
                    </w:rPr>
                    <w:t>矿业权现状2023分析</w:t>
                  </w:r>
                </w:p>
              </w:tc>
              <w:tc>
                <w:tcPr>
                  <w:tcW w:w="1612" w:type="pct"/>
                  <w:tcBorders>
                    <w:tl2br w:val="nil"/>
                    <w:tr2bl w:val="nil"/>
                  </w:tcBorders>
                  <w:vAlign w:val="center"/>
                </w:tcPr>
                <w:p w14:paraId="1A690564">
                  <w:pPr>
                    <w:pStyle w:val="40"/>
                    <w:bidi w:val="0"/>
                    <w:rPr>
                      <w:rFonts w:hint="eastAsia"/>
                      <w:color w:val="auto"/>
                      <w:highlight w:val="none"/>
                      <w:lang w:val="en-US" w:eastAsia="zh-CN"/>
                    </w:rPr>
                  </w:pPr>
                  <w:r>
                    <w:rPr>
                      <w:rFonts w:hint="eastAsia"/>
                      <w:color w:val="auto"/>
                      <w:highlight w:val="none"/>
                      <w:lang w:val="en-US" w:eastAsia="zh-CN"/>
                    </w:rPr>
                    <w:t>不涉及</w:t>
                  </w:r>
                </w:p>
              </w:tc>
              <w:tc>
                <w:tcPr>
                  <w:tcW w:w="1968" w:type="pct"/>
                  <w:tcBorders>
                    <w:tl2br w:val="nil"/>
                    <w:tr2bl w:val="nil"/>
                  </w:tcBorders>
                  <w:vAlign w:val="center"/>
                </w:tcPr>
                <w:p w14:paraId="08271FD0">
                  <w:pPr>
                    <w:pStyle w:val="40"/>
                    <w:bidi w:val="0"/>
                    <w:rPr>
                      <w:rFonts w:hint="eastAsia"/>
                      <w:color w:val="auto"/>
                      <w:highlight w:val="none"/>
                      <w:lang w:val="en-US" w:eastAsia="zh-CN"/>
                    </w:rPr>
                  </w:pPr>
                  <w:r>
                    <w:rPr>
                      <w:rFonts w:hint="eastAsia"/>
                      <w:color w:val="auto"/>
                      <w:highlight w:val="none"/>
                      <w:lang w:val="en-US" w:eastAsia="zh-CN"/>
                    </w:rPr>
                    <w:t>符合</w:t>
                  </w:r>
                </w:p>
              </w:tc>
            </w:tr>
            <w:tr w14:paraId="696057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19" w:type="pct"/>
                  <w:tcBorders>
                    <w:tl2br w:val="nil"/>
                    <w:tr2bl w:val="nil"/>
                  </w:tcBorders>
                  <w:vAlign w:val="center"/>
                </w:tcPr>
                <w:p w14:paraId="431FD428">
                  <w:pPr>
                    <w:pStyle w:val="40"/>
                    <w:bidi w:val="0"/>
                    <w:rPr>
                      <w:rFonts w:hint="default"/>
                      <w:color w:val="auto"/>
                      <w:highlight w:val="none"/>
                    </w:rPr>
                  </w:pPr>
                  <w:r>
                    <w:rPr>
                      <w:rFonts w:hint="default"/>
                      <w:color w:val="auto"/>
                      <w:highlight w:val="none"/>
                    </w:rPr>
                    <w:t>林地规划分析</w:t>
                  </w:r>
                </w:p>
              </w:tc>
              <w:tc>
                <w:tcPr>
                  <w:tcW w:w="1612" w:type="pct"/>
                  <w:tcBorders>
                    <w:tl2br w:val="nil"/>
                    <w:tr2bl w:val="nil"/>
                  </w:tcBorders>
                  <w:vAlign w:val="center"/>
                </w:tcPr>
                <w:p w14:paraId="77AD7E99">
                  <w:pPr>
                    <w:pStyle w:val="40"/>
                    <w:bidi w:val="0"/>
                    <w:rPr>
                      <w:rFonts w:hint="default"/>
                      <w:color w:val="auto"/>
                      <w:highlight w:val="none"/>
                    </w:rPr>
                  </w:pPr>
                  <w:r>
                    <w:rPr>
                      <w:rFonts w:hint="default"/>
                      <w:color w:val="auto"/>
                      <w:highlight w:val="none"/>
                    </w:rPr>
                    <w:t>占用非林地0.8243</w:t>
                  </w:r>
                  <w:r>
                    <w:rPr>
                      <w:rFonts w:hint="eastAsia"/>
                      <w:color w:val="auto"/>
                      <w:highlight w:val="none"/>
                      <w:lang w:val="en-US" w:eastAsia="zh-CN"/>
                    </w:rPr>
                    <w:t>hm</w:t>
                  </w:r>
                  <w:r>
                    <w:rPr>
                      <w:rFonts w:hint="eastAsia"/>
                      <w:color w:val="auto"/>
                      <w:highlight w:val="none"/>
                      <w:vertAlign w:val="superscript"/>
                      <w:lang w:val="en-US" w:eastAsia="zh-CN"/>
                    </w:rPr>
                    <w:t>2</w:t>
                  </w:r>
                  <w:r>
                    <w:rPr>
                      <w:rFonts w:hint="default"/>
                      <w:color w:val="auto"/>
                      <w:highlight w:val="none"/>
                    </w:rPr>
                    <w:t>、占用林地0.1878</w:t>
                  </w:r>
                  <w:r>
                    <w:rPr>
                      <w:rFonts w:hint="eastAsia"/>
                      <w:color w:val="auto"/>
                      <w:highlight w:val="none"/>
                      <w:lang w:val="en-US" w:eastAsia="zh-CN"/>
                    </w:rPr>
                    <w:t>hm</w:t>
                  </w:r>
                  <w:r>
                    <w:rPr>
                      <w:rFonts w:hint="eastAsia"/>
                      <w:color w:val="auto"/>
                      <w:highlight w:val="none"/>
                      <w:vertAlign w:val="superscript"/>
                      <w:lang w:val="en-US" w:eastAsia="zh-CN"/>
                    </w:rPr>
                    <w:t>2</w:t>
                  </w:r>
                </w:p>
              </w:tc>
              <w:tc>
                <w:tcPr>
                  <w:tcW w:w="1968" w:type="pct"/>
                  <w:tcBorders>
                    <w:tl2br w:val="nil"/>
                    <w:tr2bl w:val="nil"/>
                  </w:tcBorders>
                  <w:vAlign w:val="center"/>
                </w:tcPr>
                <w:p w14:paraId="72D86528">
                  <w:pPr>
                    <w:pStyle w:val="40"/>
                    <w:bidi w:val="0"/>
                    <w:rPr>
                      <w:rFonts w:hint="default"/>
                      <w:color w:val="auto"/>
                      <w:highlight w:val="none"/>
                    </w:rPr>
                  </w:pPr>
                  <w:r>
                    <w:rPr>
                      <w:rFonts w:hint="eastAsia"/>
                      <w:color w:val="auto"/>
                      <w:spacing w:val="0"/>
                      <w:sz w:val="21"/>
                      <w:highlight w:val="none"/>
                    </w:rPr>
                    <w:t>建设单位正在办理相关土地手续</w:t>
                  </w:r>
                </w:p>
              </w:tc>
            </w:tr>
            <w:tr w14:paraId="62DC90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19" w:type="pct"/>
                  <w:tcBorders>
                    <w:tl2br w:val="nil"/>
                    <w:tr2bl w:val="nil"/>
                  </w:tcBorders>
                  <w:vAlign w:val="center"/>
                </w:tcPr>
                <w:p w14:paraId="6C110AC1">
                  <w:pPr>
                    <w:pStyle w:val="40"/>
                    <w:bidi w:val="0"/>
                    <w:rPr>
                      <w:rFonts w:hint="default"/>
                      <w:color w:val="auto"/>
                      <w:highlight w:val="none"/>
                    </w:rPr>
                  </w:pPr>
                  <w:r>
                    <w:rPr>
                      <w:rFonts w:hint="default"/>
                      <w:color w:val="auto"/>
                      <w:spacing w:val="-6"/>
                      <w:sz w:val="21"/>
                      <w:highlight w:val="none"/>
                    </w:rPr>
                    <w:t>长城文物保护线分析</w:t>
                  </w:r>
                </w:p>
              </w:tc>
              <w:tc>
                <w:tcPr>
                  <w:tcW w:w="1612" w:type="pct"/>
                  <w:tcBorders>
                    <w:tl2br w:val="nil"/>
                    <w:tr2bl w:val="nil"/>
                  </w:tcBorders>
                  <w:shd w:val="clear" w:color="auto" w:fill="auto"/>
                  <w:vAlign w:val="center"/>
                </w:tcPr>
                <w:p w14:paraId="06DCAB46">
                  <w:pPr>
                    <w:pStyle w:val="40"/>
                    <w:bidi w:val="0"/>
                    <w:rPr>
                      <w:rFonts w:hint="default"/>
                      <w:color w:val="auto"/>
                      <w:highlight w:val="none"/>
                      <w:lang w:val="en-US" w:eastAsia="zh-CN"/>
                    </w:rPr>
                  </w:pPr>
                  <w:r>
                    <w:rPr>
                      <w:rFonts w:hint="eastAsia"/>
                      <w:color w:val="auto"/>
                      <w:highlight w:val="none"/>
                      <w:lang w:val="en-US" w:eastAsia="zh-CN"/>
                    </w:rPr>
                    <w:t>不涉及</w:t>
                  </w:r>
                </w:p>
              </w:tc>
              <w:tc>
                <w:tcPr>
                  <w:tcW w:w="1968" w:type="pct"/>
                  <w:tcBorders>
                    <w:tl2br w:val="nil"/>
                    <w:tr2bl w:val="nil"/>
                  </w:tcBorders>
                  <w:shd w:val="clear" w:color="auto" w:fill="auto"/>
                  <w:vAlign w:val="center"/>
                </w:tcPr>
                <w:p w14:paraId="1EE790C8">
                  <w:pPr>
                    <w:pStyle w:val="40"/>
                    <w:bidi w:val="0"/>
                    <w:rPr>
                      <w:rFonts w:hint="default"/>
                      <w:color w:val="auto"/>
                      <w:highlight w:val="none"/>
                      <w:lang w:val="en-US" w:eastAsia="zh-CN"/>
                    </w:rPr>
                  </w:pPr>
                  <w:r>
                    <w:rPr>
                      <w:rFonts w:hint="eastAsia"/>
                      <w:color w:val="auto"/>
                      <w:highlight w:val="none"/>
                      <w:lang w:val="en-US" w:eastAsia="zh-CN"/>
                    </w:rPr>
                    <w:t>符合</w:t>
                  </w:r>
                </w:p>
              </w:tc>
            </w:tr>
            <w:tr w14:paraId="416FF7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19" w:type="pct"/>
                  <w:tcBorders>
                    <w:tl2br w:val="nil"/>
                    <w:tr2bl w:val="nil"/>
                  </w:tcBorders>
                  <w:vAlign w:val="center"/>
                </w:tcPr>
                <w:p w14:paraId="6D551A9F">
                  <w:pPr>
                    <w:pStyle w:val="40"/>
                    <w:bidi w:val="0"/>
                    <w:rPr>
                      <w:rFonts w:hint="default"/>
                      <w:color w:val="auto"/>
                      <w:highlight w:val="none"/>
                    </w:rPr>
                  </w:pPr>
                  <w:r>
                    <w:rPr>
                      <w:rFonts w:hint="default"/>
                      <w:color w:val="auto"/>
                      <w:highlight w:val="none"/>
                    </w:rPr>
                    <w:t>生态保护红线分析</w:t>
                  </w:r>
                </w:p>
              </w:tc>
              <w:tc>
                <w:tcPr>
                  <w:tcW w:w="1612" w:type="pct"/>
                  <w:tcBorders>
                    <w:tl2br w:val="nil"/>
                    <w:tr2bl w:val="nil"/>
                  </w:tcBorders>
                  <w:shd w:val="clear" w:color="auto" w:fill="auto"/>
                  <w:vAlign w:val="center"/>
                </w:tcPr>
                <w:p w14:paraId="561F2033">
                  <w:pPr>
                    <w:pStyle w:val="40"/>
                    <w:bidi w:val="0"/>
                    <w:rPr>
                      <w:rFonts w:hint="default"/>
                      <w:color w:val="auto"/>
                      <w:highlight w:val="none"/>
                      <w:lang w:val="en-US" w:eastAsia="zh-CN"/>
                    </w:rPr>
                  </w:pPr>
                  <w:r>
                    <w:rPr>
                      <w:rFonts w:hint="eastAsia"/>
                      <w:color w:val="auto"/>
                      <w:highlight w:val="none"/>
                      <w:lang w:val="en-US" w:eastAsia="zh-CN"/>
                    </w:rPr>
                    <w:t>不涉及</w:t>
                  </w:r>
                </w:p>
              </w:tc>
              <w:tc>
                <w:tcPr>
                  <w:tcW w:w="1968" w:type="pct"/>
                  <w:tcBorders>
                    <w:tl2br w:val="nil"/>
                    <w:tr2bl w:val="nil"/>
                  </w:tcBorders>
                  <w:shd w:val="clear" w:color="auto" w:fill="auto"/>
                  <w:vAlign w:val="center"/>
                </w:tcPr>
                <w:p w14:paraId="0A409D98">
                  <w:pPr>
                    <w:pStyle w:val="40"/>
                    <w:bidi w:val="0"/>
                    <w:rPr>
                      <w:rFonts w:hint="default"/>
                      <w:color w:val="auto"/>
                      <w:highlight w:val="none"/>
                      <w:lang w:val="en-US" w:eastAsia="zh-CN"/>
                    </w:rPr>
                  </w:pPr>
                  <w:r>
                    <w:rPr>
                      <w:rFonts w:hint="eastAsia"/>
                      <w:color w:val="auto"/>
                      <w:highlight w:val="none"/>
                      <w:lang w:val="en-US" w:eastAsia="zh-CN"/>
                    </w:rPr>
                    <w:t>符合</w:t>
                  </w:r>
                </w:p>
              </w:tc>
            </w:tr>
            <w:tr w14:paraId="6E9163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19" w:type="pct"/>
                  <w:tcBorders>
                    <w:tl2br w:val="nil"/>
                    <w:tr2bl w:val="nil"/>
                  </w:tcBorders>
                  <w:vAlign w:val="center"/>
                </w:tcPr>
                <w:p w14:paraId="6E1A69DB">
                  <w:pPr>
                    <w:pStyle w:val="40"/>
                    <w:bidi w:val="0"/>
                    <w:rPr>
                      <w:rFonts w:hint="default"/>
                      <w:color w:val="auto"/>
                      <w:highlight w:val="none"/>
                    </w:rPr>
                  </w:pPr>
                  <w:r>
                    <w:rPr>
                      <w:rFonts w:hint="default"/>
                      <w:color w:val="auto"/>
                      <w:highlight w:val="none"/>
                    </w:rPr>
                    <w:t>永久基本农田分析</w:t>
                  </w:r>
                </w:p>
              </w:tc>
              <w:tc>
                <w:tcPr>
                  <w:tcW w:w="1612" w:type="pct"/>
                  <w:tcBorders>
                    <w:tl2br w:val="nil"/>
                    <w:tr2bl w:val="nil"/>
                  </w:tcBorders>
                  <w:shd w:val="clear" w:color="auto" w:fill="auto"/>
                  <w:vAlign w:val="center"/>
                </w:tcPr>
                <w:p w14:paraId="23E66002">
                  <w:pPr>
                    <w:pStyle w:val="40"/>
                    <w:bidi w:val="0"/>
                    <w:rPr>
                      <w:rFonts w:hint="default"/>
                      <w:color w:val="auto"/>
                      <w:highlight w:val="none"/>
                      <w:lang w:val="en-US" w:eastAsia="zh-CN"/>
                    </w:rPr>
                  </w:pPr>
                  <w:r>
                    <w:rPr>
                      <w:rFonts w:hint="eastAsia"/>
                      <w:color w:val="auto"/>
                      <w:highlight w:val="none"/>
                      <w:lang w:val="en-US" w:eastAsia="zh-CN"/>
                    </w:rPr>
                    <w:t>不涉及</w:t>
                  </w:r>
                </w:p>
              </w:tc>
              <w:tc>
                <w:tcPr>
                  <w:tcW w:w="1968" w:type="pct"/>
                  <w:tcBorders>
                    <w:tl2br w:val="nil"/>
                    <w:tr2bl w:val="nil"/>
                  </w:tcBorders>
                  <w:shd w:val="clear" w:color="auto" w:fill="auto"/>
                  <w:vAlign w:val="center"/>
                </w:tcPr>
                <w:p w14:paraId="420C6767">
                  <w:pPr>
                    <w:pStyle w:val="40"/>
                    <w:bidi w:val="0"/>
                    <w:rPr>
                      <w:rFonts w:hint="default"/>
                      <w:color w:val="auto"/>
                      <w:highlight w:val="none"/>
                      <w:lang w:val="en-US" w:eastAsia="zh-CN"/>
                    </w:rPr>
                  </w:pPr>
                  <w:r>
                    <w:rPr>
                      <w:rFonts w:hint="eastAsia"/>
                      <w:color w:val="auto"/>
                      <w:highlight w:val="none"/>
                      <w:lang w:val="en-US" w:eastAsia="zh-CN"/>
                    </w:rPr>
                    <w:t>符合</w:t>
                  </w:r>
                </w:p>
              </w:tc>
            </w:tr>
            <w:tr w14:paraId="7DD97A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19" w:type="pct"/>
                  <w:tcBorders>
                    <w:tl2br w:val="nil"/>
                    <w:tr2bl w:val="nil"/>
                  </w:tcBorders>
                  <w:vAlign w:val="center"/>
                </w:tcPr>
                <w:p w14:paraId="1BBCFC04">
                  <w:pPr>
                    <w:pStyle w:val="40"/>
                    <w:bidi w:val="0"/>
                    <w:rPr>
                      <w:rFonts w:hint="default"/>
                      <w:color w:val="auto"/>
                      <w:highlight w:val="none"/>
                    </w:rPr>
                  </w:pPr>
                  <w:r>
                    <w:rPr>
                      <w:rFonts w:hint="default"/>
                      <w:color w:val="auto"/>
                      <w:highlight w:val="none"/>
                    </w:rPr>
                    <w:t>土地利用现状分析</w:t>
                  </w:r>
                </w:p>
              </w:tc>
              <w:tc>
                <w:tcPr>
                  <w:tcW w:w="1612" w:type="pct"/>
                  <w:tcBorders>
                    <w:tl2br w:val="nil"/>
                    <w:tr2bl w:val="nil"/>
                  </w:tcBorders>
                  <w:vAlign w:val="center"/>
                </w:tcPr>
                <w:p w14:paraId="799392CA">
                  <w:pPr>
                    <w:pStyle w:val="40"/>
                    <w:bidi w:val="0"/>
                    <w:rPr>
                      <w:rFonts w:hint="default"/>
                      <w:color w:val="auto"/>
                      <w:highlight w:val="none"/>
                    </w:rPr>
                  </w:pPr>
                  <w:r>
                    <w:rPr>
                      <w:rFonts w:hint="default"/>
                      <w:color w:val="auto"/>
                      <w:highlight w:val="none"/>
                    </w:rPr>
                    <w:t>占用草地0.3019</w:t>
                  </w:r>
                  <w:r>
                    <w:rPr>
                      <w:rFonts w:hint="eastAsia"/>
                      <w:color w:val="auto"/>
                      <w:highlight w:val="none"/>
                      <w:lang w:val="en-US" w:eastAsia="zh-CN"/>
                    </w:rPr>
                    <w:t>hm</w:t>
                  </w:r>
                  <w:r>
                    <w:rPr>
                      <w:rFonts w:hint="eastAsia"/>
                      <w:color w:val="auto"/>
                      <w:highlight w:val="none"/>
                      <w:vertAlign w:val="superscript"/>
                      <w:lang w:val="en-US" w:eastAsia="zh-CN"/>
                    </w:rPr>
                    <w:t>2</w:t>
                  </w:r>
                  <w:r>
                    <w:rPr>
                      <w:rFonts w:hint="default"/>
                      <w:color w:val="auto"/>
                      <w:highlight w:val="none"/>
                    </w:rPr>
                    <w:t>、占用其他土地0.0003</w:t>
                  </w:r>
                  <w:r>
                    <w:rPr>
                      <w:rFonts w:hint="eastAsia"/>
                      <w:color w:val="auto"/>
                      <w:highlight w:val="none"/>
                      <w:lang w:val="en-US" w:eastAsia="zh-CN"/>
                    </w:rPr>
                    <w:t>hm</w:t>
                  </w:r>
                  <w:r>
                    <w:rPr>
                      <w:rFonts w:hint="eastAsia"/>
                      <w:color w:val="auto"/>
                      <w:highlight w:val="none"/>
                      <w:vertAlign w:val="superscript"/>
                      <w:lang w:val="en-US" w:eastAsia="zh-CN"/>
                    </w:rPr>
                    <w:t>2</w:t>
                  </w:r>
                  <w:r>
                    <w:rPr>
                      <w:rFonts w:hint="default"/>
                      <w:color w:val="auto"/>
                      <w:highlight w:val="none"/>
                    </w:rPr>
                    <w:t>、占用工矿用地3.8406</w:t>
                  </w:r>
                  <w:r>
                    <w:rPr>
                      <w:rFonts w:hint="eastAsia"/>
                      <w:color w:val="auto"/>
                      <w:highlight w:val="none"/>
                      <w:lang w:val="en-US" w:eastAsia="zh-CN"/>
                    </w:rPr>
                    <w:t>hm</w:t>
                  </w:r>
                  <w:r>
                    <w:rPr>
                      <w:rFonts w:hint="eastAsia"/>
                      <w:color w:val="auto"/>
                      <w:highlight w:val="none"/>
                      <w:vertAlign w:val="superscript"/>
                      <w:lang w:val="en-US" w:eastAsia="zh-CN"/>
                    </w:rPr>
                    <w:t>2</w:t>
                  </w:r>
                  <w:r>
                    <w:rPr>
                      <w:rFonts w:hint="default"/>
                      <w:color w:val="auto"/>
                      <w:highlight w:val="none"/>
                    </w:rPr>
                    <w:t>、占用交通运输用地0.0273</w:t>
                  </w:r>
                  <w:r>
                    <w:rPr>
                      <w:rFonts w:hint="eastAsia"/>
                      <w:color w:val="auto"/>
                      <w:highlight w:val="none"/>
                      <w:lang w:val="en-US" w:eastAsia="zh-CN"/>
                    </w:rPr>
                    <w:t>hm</w:t>
                  </w:r>
                  <w:r>
                    <w:rPr>
                      <w:rFonts w:hint="eastAsia"/>
                      <w:color w:val="auto"/>
                      <w:highlight w:val="none"/>
                      <w:vertAlign w:val="superscript"/>
                      <w:lang w:val="en-US" w:eastAsia="zh-CN"/>
                    </w:rPr>
                    <w:t>2</w:t>
                  </w:r>
                </w:p>
              </w:tc>
              <w:tc>
                <w:tcPr>
                  <w:tcW w:w="1968" w:type="pct"/>
                  <w:tcBorders>
                    <w:tl2br w:val="nil"/>
                    <w:tr2bl w:val="nil"/>
                  </w:tcBorders>
                  <w:vAlign w:val="center"/>
                </w:tcPr>
                <w:p w14:paraId="7EE81709">
                  <w:pPr>
                    <w:pStyle w:val="40"/>
                    <w:bidi w:val="0"/>
                    <w:rPr>
                      <w:rFonts w:hint="default"/>
                      <w:color w:val="auto"/>
                      <w:spacing w:val="-6"/>
                      <w:sz w:val="21"/>
                      <w:highlight w:val="none"/>
                    </w:rPr>
                  </w:pPr>
                  <w:r>
                    <w:rPr>
                      <w:rFonts w:hint="eastAsia"/>
                      <w:color w:val="auto"/>
                      <w:spacing w:val="0"/>
                      <w:sz w:val="21"/>
                      <w:highlight w:val="none"/>
                    </w:rPr>
                    <w:t>建设单位正在办理相关土地手续</w:t>
                  </w:r>
                </w:p>
              </w:tc>
            </w:tr>
          </w:tbl>
          <w:p w14:paraId="2B636470">
            <w:pPr>
              <w:pStyle w:val="41"/>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color w:val="auto"/>
                <w:highlight w:val="none"/>
                <w:lang w:val="en-US" w:eastAsia="zh-CN"/>
              </w:rPr>
            </w:pPr>
            <w:r>
              <w:rPr>
                <w:rFonts w:hint="eastAsia"/>
                <w:color w:val="auto"/>
                <w:highlight w:val="none"/>
                <w:lang w:val="en-US" w:eastAsia="zh-CN"/>
              </w:rPr>
              <w:t>4、项目与相关政策符合性分析</w:t>
            </w:r>
          </w:p>
          <w:p w14:paraId="559D75BA">
            <w:pPr>
              <w:rPr>
                <w:rFonts w:hint="default" w:eastAsia="宋体"/>
                <w:color w:val="auto"/>
                <w:highlight w:val="none"/>
                <w:lang w:val="en-US" w:eastAsia="zh-CN"/>
              </w:rPr>
            </w:pPr>
            <w:r>
              <w:rPr>
                <w:color w:val="auto"/>
                <w:highlight w:val="none"/>
              </w:rPr>
              <w:t>项目与相关政策、规范符合性分析</w:t>
            </w:r>
            <w:r>
              <w:rPr>
                <w:rFonts w:hint="eastAsia"/>
                <w:color w:val="auto"/>
                <w:highlight w:val="none"/>
                <w:lang w:val="en-US" w:eastAsia="zh-CN"/>
              </w:rPr>
              <w:t>见</w:t>
            </w:r>
            <w:r>
              <w:rPr>
                <w:rFonts w:hint="eastAsia"/>
                <w:color w:val="auto"/>
                <w:highlight w:val="none"/>
                <w:lang w:val="en-US" w:eastAsia="zh-CN"/>
              </w:rPr>
              <w:fldChar w:fldCharType="begin"/>
            </w:r>
            <w:r>
              <w:rPr>
                <w:rFonts w:hint="eastAsia"/>
                <w:color w:val="auto"/>
                <w:highlight w:val="none"/>
                <w:lang w:val="en-US" w:eastAsia="zh-CN"/>
              </w:rPr>
              <w:instrText xml:space="preserve"> REF _Ref18980 \h </w:instrText>
            </w:r>
            <w:r>
              <w:rPr>
                <w:rFonts w:hint="eastAsia"/>
                <w:color w:val="auto"/>
                <w:highlight w:val="none"/>
                <w:lang w:val="en-US" w:eastAsia="zh-CN"/>
              </w:rPr>
              <w:fldChar w:fldCharType="separate"/>
            </w:r>
            <w:r>
              <w:rPr>
                <w:rFonts w:hint="default"/>
                <w:color w:val="auto"/>
                <w:highlight w:val="none"/>
                <w:lang w:val="en-US" w:eastAsia="zh-CN"/>
              </w:rPr>
              <w:t>表1-8</w:t>
            </w:r>
            <w:r>
              <w:rPr>
                <w:rFonts w:hint="eastAsia"/>
                <w:color w:val="auto"/>
                <w:highlight w:val="none"/>
                <w:lang w:val="en-US" w:eastAsia="zh-CN"/>
              </w:rPr>
              <w:fldChar w:fldCharType="end"/>
            </w:r>
            <w:r>
              <w:rPr>
                <w:rFonts w:hint="eastAsia"/>
                <w:color w:val="auto"/>
                <w:highlight w:val="none"/>
                <w:lang w:val="en-US" w:eastAsia="zh-CN"/>
              </w:rPr>
              <w:t>。</w:t>
            </w:r>
          </w:p>
          <w:p w14:paraId="28525F9C">
            <w:pPr>
              <w:pStyle w:val="7"/>
              <w:keepNext w:val="0"/>
              <w:keepLines w:val="0"/>
              <w:pageBreakBefore w:val="0"/>
              <w:widowControl w:val="0"/>
              <w:kinsoku/>
              <w:wordWrap/>
              <w:overflowPunct/>
              <w:topLinePunct w:val="0"/>
              <w:autoSpaceDE/>
              <w:autoSpaceDN/>
              <w:bidi w:val="0"/>
              <w:adjustRightInd/>
              <w:snapToGrid/>
              <w:textAlignment w:val="auto"/>
              <w:rPr>
                <w:rFonts w:hint="default"/>
                <w:color w:val="auto"/>
                <w:highlight w:val="none"/>
                <w:lang w:val="en-US" w:eastAsia="zh-CN"/>
              </w:rPr>
            </w:pPr>
            <w:bookmarkStart w:id="8" w:name="_Ref18980"/>
            <w:r>
              <w:rPr>
                <w:rFonts w:hint="default"/>
                <w:color w:val="auto"/>
                <w:highlight w:val="none"/>
                <w:lang w:val="en-US" w:eastAsia="zh-CN"/>
              </w:rPr>
              <w:t>表1-</w:t>
            </w:r>
            <w:r>
              <w:rPr>
                <w:rFonts w:hint="default"/>
                <w:color w:val="auto"/>
                <w:highlight w:val="none"/>
                <w:lang w:val="en-US" w:eastAsia="zh-CN"/>
              </w:rPr>
              <w:fldChar w:fldCharType="begin"/>
            </w:r>
            <w:r>
              <w:rPr>
                <w:rFonts w:hint="default"/>
                <w:color w:val="auto"/>
                <w:highlight w:val="none"/>
                <w:lang w:val="en-US" w:eastAsia="zh-CN"/>
              </w:rPr>
              <w:instrText xml:space="preserve"> SEQ 表1- \* ARABIC </w:instrText>
            </w:r>
            <w:r>
              <w:rPr>
                <w:rFonts w:hint="default"/>
                <w:color w:val="auto"/>
                <w:highlight w:val="none"/>
                <w:lang w:val="en-US" w:eastAsia="zh-CN"/>
              </w:rPr>
              <w:fldChar w:fldCharType="separate"/>
            </w:r>
            <w:r>
              <w:rPr>
                <w:rFonts w:hint="default"/>
                <w:color w:val="auto"/>
                <w:highlight w:val="none"/>
                <w:lang w:val="en-US" w:eastAsia="zh-CN"/>
              </w:rPr>
              <w:t>8</w:t>
            </w:r>
            <w:r>
              <w:rPr>
                <w:rFonts w:hint="default"/>
                <w:color w:val="auto"/>
                <w:highlight w:val="none"/>
                <w:lang w:val="en-US" w:eastAsia="zh-CN"/>
              </w:rPr>
              <w:fldChar w:fldCharType="end"/>
            </w:r>
            <w:bookmarkEnd w:id="8"/>
            <w:r>
              <w:rPr>
                <w:color w:val="auto"/>
                <w:highlight w:val="none"/>
              </w:rPr>
              <w:t xml:space="preserve">  项目与相关政策、规范符合性分析</w:t>
            </w:r>
          </w:p>
          <w:tbl>
            <w:tblPr>
              <w:tblStyle w:val="25"/>
              <w:tblW w:w="4995"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15"/>
              <w:gridCol w:w="3047"/>
              <w:gridCol w:w="2621"/>
              <w:gridCol w:w="639"/>
            </w:tblGrid>
            <w:tr w14:paraId="385B41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93" w:type="pct"/>
                  <w:tcBorders>
                    <w:tl2br w:val="nil"/>
                    <w:tr2bl w:val="nil"/>
                  </w:tcBorders>
                  <w:shd w:val="clear" w:color="auto" w:fill="auto"/>
                  <w:vAlign w:val="center"/>
                </w:tcPr>
                <w:p w14:paraId="70F9F9A6">
                  <w:pPr>
                    <w:pStyle w:val="40"/>
                    <w:bidi w:val="0"/>
                    <w:jc w:val="center"/>
                    <w:rPr>
                      <w:rFonts w:hint="default"/>
                      <w:color w:val="auto"/>
                      <w:spacing w:val="-6"/>
                      <w:sz w:val="21"/>
                      <w:highlight w:val="none"/>
                      <w:lang w:val="en-US" w:eastAsia="zh-CN"/>
                    </w:rPr>
                  </w:pPr>
                  <w:r>
                    <w:rPr>
                      <w:color w:val="auto"/>
                      <w:spacing w:val="-6"/>
                      <w:sz w:val="21"/>
                      <w:highlight w:val="none"/>
                    </w:rPr>
                    <w:t>文件名称</w:t>
                  </w:r>
                </w:p>
              </w:tc>
              <w:tc>
                <w:tcPr>
                  <w:tcW w:w="2080" w:type="pct"/>
                  <w:tcBorders>
                    <w:tl2br w:val="nil"/>
                    <w:tr2bl w:val="nil"/>
                  </w:tcBorders>
                  <w:shd w:val="clear" w:color="auto" w:fill="auto"/>
                  <w:vAlign w:val="center"/>
                </w:tcPr>
                <w:p w14:paraId="2D2BE90F">
                  <w:pPr>
                    <w:pStyle w:val="40"/>
                    <w:bidi w:val="0"/>
                    <w:rPr>
                      <w:rFonts w:hint="default"/>
                      <w:color w:val="auto"/>
                      <w:highlight w:val="none"/>
                      <w:lang w:val="en-US" w:eastAsia="zh-CN"/>
                    </w:rPr>
                  </w:pPr>
                  <w:r>
                    <w:rPr>
                      <w:color w:val="auto"/>
                      <w:highlight w:val="none"/>
                    </w:rPr>
                    <w:t>管理要求</w:t>
                  </w:r>
                </w:p>
              </w:tc>
              <w:tc>
                <w:tcPr>
                  <w:tcW w:w="1789" w:type="pct"/>
                  <w:tcBorders>
                    <w:tl2br w:val="nil"/>
                    <w:tr2bl w:val="nil"/>
                  </w:tcBorders>
                  <w:shd w:val="clear" w:color="auto" w:fill="auto"/>
                  <w:vAlign w:val="center"/>
                </w:tcPr>
                <w:p w14:paraId="6C9B6ED6">
                  <w:pPr>
                    <w:pStyle w:val="40"/>
                    <w:bidi w:val="0"/>
                    <w:rPr>
                      <w:rFonts w:hint="default"/>
                      <w:color w:val="auto"/>
                      <w:highlight w:val="none"/>
                      <w:lang w:val="en-US" w:eastAsia="zh-CN"/>
                    </w:rPr>
                  </w:pPr>
                  <w:r>
                    <w:rPr>
                      <w:color w:val="auto"/>
                      <w:highlight w:val="none"/>
                    </w:rPr>
                    <w:t>本项目情况</w:t>
                  </w:r>
                </w:p>
              </w:tc>
              <w:tc>
                <w:tcPr>
                  <w:tcW w:w="436" w:type="pct"/>
                  <w:tcBorders>
                    <w:tl2br w:val="nil"/>
                    <w:tr2bl w:val="nil"/>
                  </w:tcBorders>
                  <w:shd w:val="clear" w:color="auto" w:fill="auto"/>
                  <w:vAlign w:val="center"/>
                </w:tcPr>
                <w:p w14:paraId="661D15C2">
                  <w:pPr>
                    <w:pStyle w:val="40"/>
                    <w:bidi w:val="0"/>
                    <w:rPr>
                      <w:rFonts w:hint="default"/>
                      <w:color w:val="auto"/>
                      <w:highlight w:val="none"/>
                      <w:lang w:val="en-US" w:eastAsia="zh-CN"/>
                    </w:rPr>
                  </w:pPr>
                  <w:r>
                    <w:rPr>
                      <w:color w:val="auto"/>
                      <w:spacing w:val="-11"/>
                      <w:sz w:val="21"/>
                      <w:highlight w:val="none"/>
                    </w:rPr>
                    <w:t>符合性</w:t>
                  </w:r>
                </w:p>
              </w:tc>
            </w:tr>
            <w:tr w14:paraId="7191F7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93" w:type="pct"/>
                  <w:tcBorders>
                    <w:tl2br w:val="nil"/>
                    <w:tr2bl w:val="nil"/>
                  </w:tcBorders>
                  <w:shd w:val="clear" w:color="auto" w:fill="auto"/>
                  <w:vAlign w:val="center"/>
                </w:tcPr>
                <w:p w14:paraId="273E5B99">
                  <w:pPr>
                    <w:pStyle w:val="40"/>
                    <w:bidi w:val="0"/>
                    <w:ind w:firstLine="0" w:firstLineChars="0"/>
                    <w:jc w:val="center"/>
                    <w:rPr>
                      <w:rFonts w:hint="eastAsia"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sz w:val="21"/>
                      <w:highlight w:val="none"/>
                      <w:lang w:eastAsia="zh-CN"/>
                    </w:rPr>
                    <w:t>《中华人民共和国防沙治沙法（2018年修正）》</w:t>
                  </w:r>
                </w:p>
              </w:tc>
              <w:tc>
                <w:tcPr>
                  <w:tcW w:w="2080" w:type="pct"/>
                  <w:tcBorders>
                    <w:tl2br w:val="nil"/>
                    <w:tr2bl w:val="nil"/>
                  </w:tcBorders>
                  <w:shd w:val="clear" w:color="auto" w:fill="auto"/>
                  <w:vAlign w:val="center"/>
                </w:tcPr>
                <w:p w14:paraId="25B3C864">
                  <w:pPr>
                    <w:pStyle w:val="40"/>
                    <w:bidi w:val="0"/>
                    <w:ind w:firstLine="0" w:firstLineChars="0"/>
                    <w:jc w:val="both"/>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rPr>
                    <w:t>第二十一条</w:t>
                  </w:r>
                  <w:r>
                    <w:rPr>
                      <w:rFonts w:hint="eastAsia"/>
                      <w:color w:val="auto"/>
                      <w:highlight w:val="none"/>
                      <w:lang w:val="en-US" w:eastAsia="zh-CN"/>
                    </w:rPr>
                    <w:t xml:space="preserve"> </w:t>
                  </w:r>
                  <w:r>
                    <w:rPr>
                      <w:rFonts w:hint="eastAsia"/>
                      <w:color w:val="auto"/>
                      <w:highlight w:val="none"/>
                    </w:rPr>
                    <w:t>在沙化土地范围内从事开发建设活动的，必须事先就该项目可能对当地及相关地区生态产生的影响进行环境影响评价，依法提交环境影响报告；环境影响报告应当包括有关防沙治沙的内容。</w:t>
                  </w:r>
                </w:p>
              </w:tc>
              <w:tc>
                <w:tcPr>
                  <w:tcW w:w="1789" w:type="pct"/>
                  <w:tcBorders>
                    <w:tl2br w:val="nil"/>
                    <w:tr2bl w:val="nil"/>
                  </w:tcBorders>
                  <w:shd w:val="clear" w:color="auto" w:fill="auto"/>
                  <w:vAlign w:val="center"/>
                </w:tcPr>
                <w:p w14:paraId="2A6B435F">
                  <w:pPr>
                    <w:pStyle w:val="40"/>
                    <w:bidi w:val="0"/>
                    <w:ind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本项目绿化面积为13000m</w:t>
                  </w:r>
                  <w:r>
                    <w:rPr>
                      <w:rFonts w:hint="eastAsia"/>
                      <w:color w:val="auto"/>
                      <w:highlight w:val="none"/>
                      <w:vertAlign w:val="superscript"/>
                      <w:lang w:val="en-US" w:eastAsia="zh-CN"/>
                    </w:rPr>
                    <w:t>2</w:t>
                  </w:r>
                  <w:r>
                    <w:rPr>
                      <w:rFonts w:hint="eastAsia"/>
                      <w:color w:val="auto"/>
                      <w:highlight w:val="none"/>
                      <w:vertAlign w:val="baseline"/>
                      <w:lang w:val="en-US" w:eastAsia="zh-CN"/>
                    </w:rPr>
                    <w:t>，可有效进行防沙治沙，</w:t>
                  </w:r>
                  <w:r>
                    <w:rPr>
                      <w:rFonts w:hint="eastAsia"/>
                      <w:color w:val="auto"/>
                      <w:highlight w:val="none"/>
                      <w:lang w:val="en-US" w:eastAsia="zh-CN"/>
                    </w:rPr>
                    <w:t>在建成后对府谷当地的生态影响较小。</w:t>
                  </w:r>
                </w:p>
              </w:tc>
              <w:tc>
                <w:tcPr>
                  <w:tcW w:w="436" w:type="pct"/>
                  <w:tcBorders>
                    <w:tl2br w:val="nil"/>
                    <w:tr2bl w:val="nil"/>
                  </w:tcBorders>
                  <w:shd w:val="clear" w:color="auto" w:fill="auto"/>
                  <w:vAlign w:val="center"/>
                </w:tcPr>
                <w:p w14:paraId="5E6D0CBA">
                  <w:pPr>
                    <w:pStyle w:val="40"/>
                    <w:bidi w:val="0"/>
                    <w:ind w:firstLine="0" w:firstLineChars="0"/>
                    <w:jc w:val="both"/>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rPr>
                    <w:t>符合</w:t>
                  </w:r>
                </w:p>
              </w:tc>
            </w:tr>
            <w:tr w14:paraId="471324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93" w:type="pct"/>
                  <w:tcBorders>
                    <w:tl2br w:val="nil"/>
                    <w:tr2bl w:val="nil"/>
                  </w:tcBorders>
                  <w:shd w:val="clear" w:color="auto" w:fill="auto"/>
                  <w:vAlign w:val="center"/>
                </w:tcPr>
                <w:p w14:paraId="5077A557">
                  <w:pPr>
                    <w:pStyle w:val="40"/>
                    <w:bidi w:val="0"/>
                    <w:ind w:firstLine="0" w:firstLineChars="0"/>
                    <w:jc w:val="center"/>
                    <w:rPr>
                      <w:rFonts w:hint="eastAsia"/>
                      <w:color w:val="auto"/>
                      <w:spacing w:val="-6"/>
                      <w:sz w:val="21"/>
                      <w:highlight w:val="none"/>
                      <w:lang w:eastAsia="zh-CN"/>
                    </w:rPr>
                  </w:pPr>
                  <w:r>
                    <w:rPr>
                      <w:rFonts w:hint="eastAsia"/>
                      <w:color w:val="auto"/>
                      <w:spacing w:val="-6"/>
                      <w:sz w:val="21"/>
                      <w:highlight w:val="none"/>
                      <w:lang w:eastAsia="zh-CN"/>
                    </w:rPr>
                    <w:t>《空气质量持续改善行动计划》（国发〔2023〕24号）</w:t>
                  </w:r>
                </w:p>
              </w:tc>
              <w:tc>
                <w:tcPr>
                  <w:tcW w:w="2080" w:type="pct"/>
                  <w:tcBorders>
                    <w:tl2br w:val="nil"/>
                    <w:tr2bl w:val="nil"/>
                  </w:tcBorders>
                  <w:shd w:val="clear" w:color="auto" w:fill="auto"/>
                  <w:vAlign w:val="center"/>
                </w:tcPr>
                <w:p w14:paraId="4622A766">
                  <w:pPr>
                    <w:pStyle w:val="40"/>
                    <w:bidi w:val="0"/>
                    <w:ind w:firstLine="0" w:firstLineChars="0"/>
                    <w:jc w:val="both"/>
                    <w:rPr>
                      <w:rFonts w:hint="eastAsia"/>
                      <w:color w:val="auto"/>
                      <w:highlight w:val="none"/>
                    </w:rPr>
                  </w:pPr>
                  <w:r>
                    <w:rPr>
                      <w:rFonts w:hint="eastAsia"/>
                      <w:color w:val="auto"/>
                      <w:szCs w:val="21"/>
                      <w:highlight w:val="none"/>
                    </w:rPr>
                    <w:t>优化交通结构，大力发展绿色运输体系：大宗货物中长距离运输优先采用铁路、水路运输，短距离运输优先采用封闭式皮带廊道或新能源车船。</w:t>
                  </w:r>
                </w:p>
              </w:tc>
              <w:tc>
                <w:tcPr>
                  <w:tcW w:w="1789" w:type="pct"/>
                  <w:tcBorders>
                    <w:tl2br w:val="nil"/>
                    <w:tr2bl w:val="nil"/>
                  </w:tcBorders>
                  <w:shd w:val="clear" w:color="auto" w:fill="auto"/>
                  <w:vAlign w:val="center"/>
                </w:tcPr>
                <w:p w14:paraId="6F3F74A7">
                  <w:pPr>
                    <w:pStyle w:val="40"/>
                    <w:bidi w:val="0"/>
                    <w:rPr>
                      <w:rFonts w:hint="default"/>
                      <w:color w:val="auto"/>
                      <w:highlight w:val="none"/>
                      <w:lang w:val="en-US" w:eastAsia="zh-CN"/>
                    </w:rPr>
                  </w:pPr>
                  <w:r>
                    <w:rPr>
                      <w:rFonts w:hint="eastAsia"/>
                      <w:color w:val="auto"/>
                      <w:highlight w:val="none"/>
                      <w:lang w:val="en-US" w:eastAsia="zh-CN"/>
                    </w:rPr>
                    <w:t>本项目原料及产品均为短距离运输，优先选用新能源车辆。</w:t>
                  </w:r>
                </w:p>
              </w:tc>
              <w:tc>
                <w:tcPr>
                  <w:tcW w:w="436" w:type="pct"/>
                  <w:tcBorders>
                    <w:tl2br w:val="nil"/>
                    <w:tr2bl w:val="nil"/>
                  </w:tcBorders>
                  <w:shd w:val="clear" w:color="auto" w:fill="auto"/>
                  <w:vAlign w:val="center"/>
                </w:tcPr>
                <w:p w14:paraId="4207AA18">
                  <w:pPr>
                    <w:pStyle w:val="40"/>
                    <w:bidi w:val="0"/>
                    <w:ind w:firstLine="0" w:firstLineChars="0"/>
                    <w:jc w:val="both"/>
                    <w:rPr>
                      <w:rFonts w:hint="eastAsia"/>
                      <w:color w:val="auto"/>
                      <w:highlight w:val="none"/>
                    </w:rPr>
                  </w:pPr>
                  <w:r>
                    <w:rPr>
                      <w:rFonts w:hint="eastAsia"/>
                      <w:color w:val="auto"/>
                      <w:highlight w:val="none"/>
                    </w:rPr>
                    <w:t>符合</w:t>
                  </w:r>
                </w:p>
              </w:tc>
            </w:tr>
            <w:tr w14:paraId="4832B7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63" w:hRule="atLeast"/>
              </w:trPr>
              <w:tc>
                <w:tcPr>
                  <w:tcW w:w="693" w:type="pct"/>
                  <w:tcBorders>
                    <w:tl2br w:val="nil"/>
                    <w:tr2bl w:val="nil"/>
                  </w:tcBorders>
                  <w:shd w:val="clear" w:color="auto" w:fill="auto"/>
                  <w:vAlign w:val="center"/>
                </w:tcPr>
                <w:p w14:paraId="7D5979B9">
                  <w:pPr>
                    <w:pStyle w:val="40"/>
                    <w:bidi w:val="0"/>
                    <w:ind w:firstLine="0" w:firstLineChars="0"/>
                    <w:jc w:val="center"/>
                    <w:rPr>
                      <w:rFonts w:hint="eastAsia"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sz w:val="21"/>
                      <w:highlight w:val="none"/>
                      <w:lang w:val="en-US" w:eastAsia="zh-CN"/>
                    </w:rPr>
                    <w:t>《黄河流域生态保护和高质量发展规划纲要》第八章“强化环境污染系统治理”</w:t>
                  </w:r>
                </w:p>
              </w:tc>
              <w:tc>
                <w:tcPr>
                  <w:tcW w:w="2080" w:type="pct"/>
                  <w:tcBorders>
                    <w:tl2br w:val="nil"/>
                    <w:tr2bl w:val="nil"/>
                  </w:tcBorders>
                  <w:shd w:val="clear" w:color="auto" w:fill="auto"/>
                  <w:vAlign w:val="center"/>
                </w:tcPr>
                <w:p w14:paraId="5407262C">
                  <w:pPr>
                    <w:pStyle w:val="40"/>
                    <w:numPr>
                      <w:ilvl w:val="0"/>
                      <w:numId w:val="0"/>
                    </w:numPr>
                    <w:bidi w:val="0"/>
                    <w:ind w:left="0" w:leftChars="0" w:firstLine="0" w:firstLineChars="0"/>
                    <w:jc w:val="both"/>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第二节</w:t>
                  </w:r>
                  <w:r>
                    <w:rPr>
                      <w:rFonts w:hint="eastAsia" w:cs="Times New Roman"/>
                      <w:b w:val="0"/>
                      <w:bCs w:val="0"/>
                      <w:color w:val="auto"/>
                      <w:kern w:val="2"/>
                      <w:sz w:val="21"/>
                      <w:szCs w:val="21"/>
                      <w:highlight w:val="none"/>
                      <w:lang w:val="en-US" w:eastAsia="zh-CN" w:bidi="ar-SA"/>
                    </w:rPr>
                    <w:t xml:space="preserve"> </w:t>
                  </w:r>
                  <w:r>
                    <w:rPr>
                      <w:rFonts w:hint="default"/>
                      <w:color w:val="auto"/>
                      <w:highlight w:val="none"/>
                    </w:rPr>
                    <w:t>严禁在黄河干流及主要支流临岸一定范围内新建</w:t>
                  </w:r>
                  <w:r>
                    <w:rPr>
                      <w:rFonts w:hint="eastAsia"/>
                      <w:color w:val="auto"/>
                      <w:highlight w:val="none"/>
                      <w:lang w:eastAsia="zh-CN"/>
                    </w:rPr>
                    <w:t>“</w:t>
                  </w:r>
                  <w:r>
                    <w:rPr>
                      <w:rFonts w:hint="default"/>
                      <w:color w:val="auto"/>
                      <w:highlight w:val="none"/>
                    </w:rPr>
                    <w:t>两高一资</w:t>
                  </w:r>
                  <w:r>
                    <w:rPr>
                      <w:rFonts w:hint="eastAsia"/>
                      <w:color w:val="auto"/>
                      <w:highlight w:val="none"/>
                      <w:lang w:eastAsia="zh-CN"/>
                    </w:rPr>
                    <w:t>”</w:t>
                  </w:r>
                  <w:r>
                    <w:rPr>
                      <w:rFonts w:hint="default"/>
                      <w:color w:val="auto"/>
                      <w:highlight w:val="none"/>
                    </w:rPr>
                    <w:t>项目及相关产业园区。严格落实排污许可制度，沿黄所有固定排污源要依法按证排污。沿黄工业园区全部建成污水集中处理设施并稳定达标排放，严控工业废水未经处理或未有效处理直接排入城镇污水处理系统，严厉打击向河湖、沙漠、湿地等偷排、直排行为。加强工业废弃物风险管控和历史遗留重金属污染区域治理，以危险废物为重点开展固体废物综合整治行动。加强生态环境风险防范，有效应对突发环境事件。</w:t>
                  </w:r>
                </w:p>
              </w:tc>
              <w:tc>
                <w:tcPr>
                  <w:tcW w:w="1789" w:type="pct"/>
                  <w:tcBorders>
                    <w:tl2br w:val="nil"/>
                    <w:tr2bl w:val="nil"/>
                  </w:tcBorders>
                  <w:shd w:val="clear" w:color="auto" w:fill="auto"/>
                  <w:vAlign w:val="center"/>
                </w:tcPr>
                <w:p w14:paraId="288E70E7">
                  <w:pPr>
                    <w:pStyle w:val="40"/>
                    <w:bidi w:val="0"/>
                    <w:ind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color w:val="auto"/>
                      <w:highlight w:val="none"/>
                      <w:lang w:eastAsia="zh-CN"/>
                    </w:rPr>
                    <w:t>项目位于</w:t>
                  </w:r>
                  <w:r>
                    <w:rPr>
                      <w:rFonts w:hint="eastAsia"/>
                      <w:color w:val="auto"/>
                      <w:highlight w:val="none"/>
                      <w:lang w:val="en-US" w:eastAsia="zh-CN"/>
                    </w:rPr>
                    <w:t>清水川工业园区</w:t>
                  </w:r>
                  <w:r>
                    <w:rPr>
                      <w:rFonts w:hint="default"/>
                      <w:color w:val="auto"/>
                      <w:highlight w:val="none"/>
                      <w:lang w:val="en-US" w:eastAsia="zh-CN"/>
                    </w:rPr>
                    <w:t>，距离</w:t>
                  </w:r>
                  <w:r>
                    <w:rPr>
                      <w:rFonts w:hint="eastAsia"/>
                      <w:color w:val="auto"/>
                      <w:highlight w:val="none"/>
                      <w:lang w:val="en-US" w:eastAsia="zh-CN"/>
                    </w:rPr>
                    <w:t>最近的清水川</w:t>
                  </w:r>
                  <w:r>
                    <w:rPr>
                      <w:rFonts w:hint="default"/>
                      <w:color w:val="auto"/>
                      <w:highlight w:val="none"/>
                      <w:lang w:val="en-US" w:eastAsia="zh-CN"/>
                    </w:rPr>
                    <w:t>河流</w:t>
                  </w:r>
                  <w:r>
                    <w:rPr>
                      <w:rFonts w:hint="eastAsia"/>
                      <w:color w:val="auto"/>
                      <w:highlight w:val="none"/>
                      <w:lang w:val="en-US" w:eastAsia="zh-CN"/>
                    </w:rPr>
                    <w:t>80</w:t>
                  </w:r>
                  <w:r>
                    <w:rPr>
                      <w:rFonts w:hint="default"/>
                      <w:color w:val="auto"/>
                      <w:highlight w:val="none"/>
                      <w:lang w:val="en-US" w:eastAsia="zh-CN"/>
                    </w:rPr>
                    <w:t>m，</w:t>
                  </w:r>
                  <w:r>
                    <w:rPr>
                      <w:rFonts w:hint="eastAsia"/>
                      <w:color w:val="auto"/>
                      <w:highlight w:val="none"/>
                      <w:lang w:val="en-US" w:eastAsia="zh-CN"/>
                    </w:rPr>
                    <w:t>距离黄河水体约9.61公里，</w:t>
                  </w:r>
                  <w:r>
                    <w:rPr>
                      <w:rFonts w:hint="default"/>
                      <w:color w:val="auto"/>
                      <w:highlight w:val="none"/>
                      <w:lang w:eastAsia="zh-CN"/>
                    </w:rPr>
                    <w:t>项目不属于</w:t>
                  </w:r>
                  <w:r>
                    <w:rPr>
                      <w:rFonts w:hint="eastAsia"/>
                      <w:color w:val="auto"/>
                      <w:highlight w:val="none"/>
                      <w:lang w:eastAsia="zh-CN"/>
                    </w:rPr>
                    <w:t>“</w:t>
                  </w:r>
                  <w:r>
                    <w:rPr>
                      <w:rFonts w:hint="eastAsia"/>
                      <w:color w:val="auto"/>
                      <w:highlight w:val="none"/>
                      <w:lang w:val="en-US" w:eastAsia="zh-CN"/>
                    </w:rPr>
                    <w:t>两高”</w:t>
                  </w:r>
                  <w:r>
                    <w:rPr>
                      <w:rFonts w:hint="default"/>
                      <w:color w:val="auto"/>
                      <w:highlight w:val="none"/>
                      <w:lang w:eastAsia="zh-CN"/>
                    </w:rPr>
                    <w:t>行业项目，</w:t>
                  </w:r>
                  <w:r>
                    <w:rPr>
                      <w:rFonts w:hint="eastAsia"/>
                      <w:color w:val="auto"/>
                      <w:highlight w:val="none"/>
                      <w:lang w:val="en-US" w:eastAsia="zh-CN"/>
                    </w:rPr>
                    <w:t>项目</w:t>
                  </w:r>
                  <w:r>
                    <w:rPr>
                      <w:rFonts w:hint="default"/>
                      <w:color w:val="auto"/>
                      <w:highlight w:val="none"/>
                      <w:lang w:eastAsia="zh-CN"/>
                    </w:rPr>
                    <w:t>生产废水</w:t>
                  </w:r>
                  <w:r>
                    <w:rPr>
                      <w:rFonts w:hint="eastAsia"/>
                      <w:color w:val="auto"/>
                      <w:highlight w:val="none"/>
                      <w:lang w:val="en-US" w:eastAsia="zh-CN"/>
                    </w:rPr>
                    <w:t>经沉淀处理后</w:t>
                  </w:r>
                  <w:r>
                    <w:rPr>
                      <w:rFonts w:hint="default"/>
                      <w:color w:val="auto"/>
                      <w:highlight w:val="none"/>
                      <w:lang w:eastAsia="zh-CN"/>
                    </w:rPr>
                    <w:t>循环使用，</w:t>
                  </w:r>
                  <w:r>
                    <w:rPr>
                      <w:rFonts w:hint="eastAsia"/>
                      <w:color w:val="auto"/>
                      <w:highlight w:val="none"/>
                      <w:lang w:val="en-US" w:eastAsia="zh-CN"/>
                    </w:rPr>
                    <w:t>锅炉定排水、蒸汽凝结水和离子交换树脂再生废水</w:t>
                  </w:r>
                  <w:r>
                    <w:rPr>
                      <w:rFonts w:hint="eastAsia"/>
                      <w:color w:val="auto"/>
                      <w:spacing w:val="0"/>
                      <w:sz w:val="21"/>
                      <w:highlight w:val="none"/>
                      <w:lang w:val="en-US" w:eastAsia="zh-CN"/>
                    </w:rPr>
                    <w:t>经暂存池</w:t>
                  </w:r>
                  <w:r>
                    <w:rPr>
                      <w:rFonts w:hint="eastAsia"/>
                      <w:color w:val="auto"/>
                      <w:highlight w:val="none"/>
                      <w:lang w:eastAsia="zh-CN"/>
                    </w:rPr>
                    <w:t>（</w:t>
                  </w:r>
                  <w:r>
                    <w:rPr>
                      <w:rFonts w:hint="eastAsia"/>
                      <w:color w:val="auto"/>
                      <w:highlight w:val="none"/>
                      <w:lang w:val="en-US" w:eastAsia="zh-CN"/>
                    </w:rPr>
                    <w:t>10</w:t>
                  </w:r>
                  <w:r>
                    <w:rPr>
                      <w:rFonts w:hint="eastAsia"/>
                      <w:color w:val="auto"/>
                      <w:highlight w:val="none"/>
                    </w:rPr>
                    <w:t>m</w:t>
                  </w:r>
                  <w:r>
                    <w:rPr>
                      <w:rFonts w:hint="eastAsia"/>
                      <w:color w:val="auto"/>
                      <w:highlight w:val="none"/>
                      <w:vertAlign w:val="superscript"/>
                    </w:rPr>
                    <w:t>3</w:t>
                  </w:r>
                  <w:r>
                    <w:rPr>
                      <w:rFonts w:hint="eastAsia"/>
                      <w:color w:val="auto"/>
                      <w:highlight w:val="none"/>
                      <w:lang w:eastAsia="zh-CN"/>
                    </w:rPr>
                    <w:t>）</w:t>
                  </w:r>
                  <w:r>
                    <w:rPr>
                      <w:rFonts w:hint="eastAsia"/>
                      <w:color w:val="auto"/>
                      <w:spacing w:val="0"/>
                      <w:sz w:val="21"/>
                      <w:highlight w:val="none"/>
                      <w:lang w:val="en-US" w:eastAsia="zh-CN"/>
                    </w:rPr>
                    <w:t>收集后回用于混凝土搅拌工序</w:t>
                  </w:r>
                  <w:r>
                    <w:rPr>
                      <w:rFonts w:hint="eastAsia"/>
                      <w:color w:val="auto"/>
                      <w:highlight w:val="none"/>
                      <w:lang w:val="en-US" w:eastAsia="zh-CN"/>
                    </w:rPr>
                    <w:t>，</w:t>
                  </w:r>
                  <w:r>
                    <w:rPr>
                      <w:rFonts w:hint="default"/>
                      <w:color w:val="auto"/>
                      <w:highlight w:val="none"/>
                      <w:lang w:eastAsia="zh-CN"/>
                    </w:rPr>
                    <w:t>无废水外排</w:t>
                  </w:r>
                  <w:r>
                    <w:rPr>
                      <w:rFonts w:hint="eastAsia"/>
                      <w:color w:val="auto"/>
                      <w:highlight w:val="none"/>
                      <w:lang w:eastAsia="zh-CN"/>
                    </w:rPr>
                    <w:t>；</w:t>
                  </w:r>
                  <w:r>
                    <w:rPr>
                      <w:rFonts w:hint="eastAsia"/>
                      <w:color w:val="auto"/>
                      <w:highlight w:val="none"/>
                      <w:lang w:val="en-US" w:eastAsia="zh-CN"/>
                    </w:rPr>
                    <w:t>设置</w:t>
                  </w:r>
                  <w:r>
                    <w:rPr>
                      <w:rFonts w:hint="eastAsia"/>
                      <w:color w:val="auto"/>
                      <w:highlight w:val="none"/>
                    </w:rPr>
                    <w:t>卫生防渗旱厕，</w:t>
                  </w:r>
                  <w:r>
                    <w:rPr>
                      <w:color w:val="auto"/>
                      <w:highlight w:val="none"/>
                    </w:rPr>
                    <w:t>定期清掏外运用作农肥</w:t>
                  </w:r>
                  <w:r>
                    <w:rPr>
                      <w:rFonts w:hint="eastAsia"/>
                      <w:color w:val="auto"/>
                      <w:highlight w:val="none"/>
                    </w:rPr>
                    <w:t>，</w:t>
                  </w:r>
                  <w:r>
                    <w:rPr>
                      <w:color w:val="auto"/>
                      <w:highlight w:val="none"/>
                    </w:rPr>
                    <w:t>不外排</w:t>
                  </w:r>
                  <w:r>
                    <w:rPr>
                      <w:rFonts w:hint="eastAsia"/>
                      <w:color w:val="auto"/>
                      <w:highlight w:val="none"/>
                    </w:rPr>
                    <w:t>；</w:t>
                  </w:r>
                  <w:r>
                    <w:rPr>
                      <w:color w:val="auto"/>
                      <w:highlight w:val="none"/>
                    </w:rPr>
                    <w:t>生活污水</w:t>
                  </w:r>
                  <w:r>
                    <w:rPr>
                      <w:rFonts w:hint="eastAsia"/>
                      <w:color w:val="auto"/>
                      <w:highlight w:val="none"/>
                    </w:rPr>
                    <w:t>主要为生活盥洗废水和食堂废水，经沉淀池（</w:t>
                  </w:r>
                  <w:r>
                    <w:rPr>
                      <w:rFonts w:hint="eastAsia"/>
                      <w:color w:val="auto"/>
                      <w:highlight w:val="none"/>
                      <w:lang w:val="en-US" w:eastAsia="zh-CN"/>
                    </w:rPr>
                    <w:t>2</w:t>
                  </w:r>
                  <w:r>
                    <w:rPr>
                      <w:rFonts w:hint="eastAsia"/>
                      <w:color w:val="auto"/>
                      <w:highlight w:val="none"/>
                    </w:rPr>
                    <w:t>m</w:t>
                  </w:r>
                  <w:r>
                    <w:rPr>
                      <w:rFonts w:hint="eastAsia"/>
                      <w:color w:val="auto"/>
                      <w:highlight w:val="none"/>
                      <w:vertAlign w:val="superscript"/>
                    </w:rPr>
                    <w:t>3</w:t>
                  </w:r>
                  <w:r>
                    <w:rPr>
                      <w:rFonts w:hint="eastAsia"/>
                      <w:color w:val="auto"/>
                      <w:highlight w:val="none"/>
                    </w:rPr>
                    <w:t>）处理后用于厂区洒水抑尘，不外排</w:t>
                  </w:r>
                  <w:r>
                    <w:rPr>
                      <w:rFonts w:hint="eastAsia"/>
                      <w:color w:val="auto"/>
                      <w:highlight w:val="none"/>
                      <w:lang w:eastAsia="zh-CN"/>
                    </w:rPr>
                    <w:t>；机械维护、检修产生的</w:t>
                  </w:r>
                  <w:r>
                    <w:rPr>
                      <w:rFonts w:hint="eastAsia"/>
                      <w:color w:val="auto"/>
                      <w:highlight w:val="none"/>
                      <w:lang w:val="en-US" w:eastAsia="zh-CN"/>
                    </w:rPr>
                    <w:t>危废</w:t>
                  </w:r>
                  <w:r>
                    <w:rPr>
                      <w:rFonts w:hint="eastAsia"/>
                      <w:color w:val="auto"/>
                      <w:highlight w:val="none"/>
                      <w:lang w:eastAsia="zh-CN"/>
                    </w:rPr>
                    <w:t>暂存于危废贮存点，定期送有资质单位转运、处置；</w:t>
                  </w:r>
                  <w:r>
                    <w:rPr>
                      <w:rFonts w:hint="eastAsia"/>
                      <w:color w:val="auto"/>
                      <w:highlight w:val="none"/>
                      <w:lang w:val="en-US" w:eastAsia="zh-CN"/>
                    </w:rPr>
                    <w:t>锅炉的</w:t>
                  </w:r>
                  <w:r>
                    <w:rPr>
                      <w:rFonts w:hint="eastAsia"/>
                      <w:b w:val="0"/>
                      <w:color w:val="auto"/>
                      <w:spacing w:val="-6"/>
                      <w:sz w:val="21"/>
                      <w:highlight w:val="none"/>
                      <w:lang w:val="en-US" w:eastAsia="zh-CN"/>
                    </w:rPr>
                    <w:t>灰渣、烟气除尘灰定期</w:t>
                  </w:r>
                  <w:r>
                    <w:rPr>
                      <w:rFonts w:hint="eastAsia"/>
                      <w:bCs/>
                      <w:color w:val="auto"/>
                      <w:sz w:val="21"/>
                      <w:szCs w:val="21"/>
                      <w:highlight w:val="none"/>
                      <w:lang w:val="en-US" w:eastAsia="zh-CN"/>
                    </w:rPr>
                    <w:t>交由当地农业合作社用作</w:t>
                  </w:r>
                  <w:r>
                    <w:rPr>
                      <w:rFonts w:hint="eastAsia"/>
                      <w:color w:val="auto"/>
                      <w:highlight w:val="none"/>
                      <w:lang w:val="en-US" w:eastAsia="zh-CN"/>
                    </w:rPr>
                    <w:t>农家肥</w:t>
                  </w:r>
                  <w:r>
                    <w:rPr>
                      <w:rFonts w:hint="eastAsia"/>
                      <w:b w:val="0"/>
                      <w:color w:val="auto"/>
                      <w:spacing w:val="-6"/>
                      <w:sz w:val="21"/>
                      <w:highlight w:val="none"/>
                    </w:rPr>
                    <w:t>；</w:t>
                  </w:r>
                  <w:r>
                    <w:rPr>
                      <w:rFonts w:hint="eastAsia"/>
                      <w:b w:val="0"/>
                      <w:color w:val="auto"/>
                      <w:spacing w:val="-6"/>
                      <w:sz w:val="21"/>
                      <w:highlight w:val="none"/>
                    </w:rPr>
                    <w:t>废离子交换树脂交由厂家回收</w:t>
                  </w:r>
                  <w:r>
                    <w:rPr>
                      <w:rFonts w:hint="eastAsia"/>
                      <w:color w:val="auto"/>
                      <w:highlight w:val="none"/>
                      <w:lang w:eastAsia="zh-CN"/>
                    </w:rPr>
                    <w:t>。</w:t>
                  </w:r>
                </w:p>
              </w:tc>
              <w:tc>
                <w:tcPr>
                  <w:tcW w:w="436" w:type="pct"/>
                  <w:tcBorders>
                    <w:tl2br w:val="nil"/>
                    <w:tr2bl w:val="nil"/>
                  </w:tcBorders>
                  <w:shd w:val="clear" w:color="auto" w:fill="auto"/>
                  <w:vAlign w:val="center"/>
                </w:tcPr>
                <w:p w14:paraId="0C2F0049">
                  <w:pPr>
                    <w:pStyle w:val="40"/>
                    <w:bidi w:val="0"/>
                    <w:ind w:firstLine="0" w:firstLineChars="0"/>
                    <w:jc w:val="both"/>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符合</w:t>
                  </w:r>
                </w:p>
              </w:tc>
            </w:tr>
            <w:tr w14:paraId="4946B8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1" w:hRule="atLeast"/>
              </w:trPr>
              <w:tc>
                <w:tcPr>
                  <w:tcW w:w="693" w:type="pct"/>
                  <w:tcBorders>
                    <w:tl2br w:val="nil"/>
                    <w:tr2bl w:val="nil"/>
                  </w:tcBorders>
                  <w:shd w:val="clear" w:color="auto" w:fill="auto"/>
                  <w:vAlign w:val="center"/>
                </w:tcPr>
                <w:p w14:paraId="03C4C2DE">
                  <w:pPr>
                    <w:pStyle w:val="40"/>
                    <w:bidi w:val="0"/>
                    <w:jc w:val="center"/>
                    <w:rPr>
                      <w:rFonts w:hint="eastAsia" w:eastAsia="宋体"/>
                      <w:color w:val="auto"/>
                      <w:spacing w:val="-6"/>
                      <w:sz w:val="21"/>
                      <w:highlight w:val="none"/>
                      <w:lang w:eastAsia="zh-CN"/>
                    </w:rPr>
                  </w:pPr>
                  <w:r>
                    <w:rPr>
                      <w:rFonts w:hint="eastAsia"/>
                      <w:color w:val="auto"/>
                      <w:spacing w:val="-6"/>
                      <w:sz w:val="21"/>
                      <w:highlight w:val="none"/>
                    </w:rPr>
                    <w:t>《关于“十四五”大宗固体废弃物综合利用的指导意见》</w:t>
                  </w:r>
                  <w:r>
                    <w:rPr>
                      <w:rFonts w:hint="eastAsia"/>
                      <w:color w:val="auto"/>
                      <w:spacing w:val="-6"/>
                      <w:sz w:val="21"/>
                      <w:highlight w:val="none"/>
                      <w:lang w:eastAsia="zh-CN"/>
                    </w:rPr>
                    <w:t>（</w:t>
                  </w:r>
                  <w:r>
                    <w:rPr>
                      <w:rFonts w:hint="eastAsia"/>
                      <w:color w:val="auto"/>
                      <w:spacing w:val="-6"/>
                      <w:sz w:val="21"/>
                      <w:highlight w:val="none"/>
                    </w:rPr>
                    <w:t>发改环资〔2021〕381号</w:t>
                  </w:r>
                  <w:r>
                    <w:rPr>
                      <w:rFonts w:hint="eastAsia"/>
                      <w:color w:val="auto"/>
                      <w:spacing w:val="-6"/>
                      <w:sz w:val="21"/>
                      <w:highlight w:val="none"/>
                      <w:lang w:eastAsia="zh-CN"/>
                    </w:rPr>
                    <w:t>）</w:t>
                  </w:r>
                </w:p>
              </w:tc>
              <w:tc>
                <w:tcPr>
                  <w:tcW w:w="2080" w:type="pct"/>
                  <w:tcBorders>
                    <w:tl2br w:val="nil"/>
                    <w:tr2bl w:val="nil"/>
                  </w:tcBorders>
                  <w:shd w:val="clear" w:color="auto" w:fill="auto"/>
                  <w:vAlign w:val="center"/>
                </w:tcPr>
                <w:p w14:paraId="5CE66A91">
                  <w:pPr>
                    <w:pStyle w:val="40"/>
                    <w:bidi w:val="0"/>
                    <w:jc w:val="both"/>
                    <w:rPr>
                      <w:color w:val="auto"/>
                      <w:highlight w:val="none"/>
                    </w:rPr>
                  </w:pPr>
                  <w:r>
                    <w:rPr>
                      <w:rFonts w:hint="eastAsia"/>
                      <w:color w:val="auto"/>
                      <w:szCs w:val="21"/>
                      <w:highlight w:val="none"/>
                    </w:rPr>
                    <w:t>持续提高煤矸石和粉煤灰综合利用水平，推进煤矸石和粉煤灰在工程建设、塌陷区治理、矿井充填以及盐碱地、沙漠化土地生态修复等领域的利用，有序引导利用煤矸石、粉煤灰生产新型墙体材料、装饰装修材料等绿色建材。</w:t>
                  </w:r>
                </w:p>
              </w:tc>
              <w:tc>
                <w:tcPr>
                  <w:tcW w:w="1789" w:type="pct"/>
                  <w:tcBorders>
                    <w:tl2br w:val="nil"/>
                    <w:tr2bl w:val="nil"/>
                  </w:tcBorders>
                  <w:shd w:val="clear" w:color="auto" w:fill="auto"/>
                  <w:vAlign w:val="center"/>
                </w:tcPr>
                <w:p w14:paraId="1252C137">
                  <w:pPr>
                    <w:pStyle w:val="40"/>
                    <w:bidi w:val="0"/>
                    <w:jc w:val="both"/>
                    <w:rPr>
                      <w:color w:val="auto"/>
                      <w:highlight w:val="none"/>
                    </w:rPr>
                  </w:pPr>
                  <w:r>
                    <w:rPr>
                      <w:rFonts w:hint="eastAsia"/>
                      <w:color w:val="auto"/>
                      <w:highlight w:val="none"/>
                      <w:lang w:val="en-US" w:eastAsia="zh-CN"/>
                    </w:rPr>
                    <w:t>本项目利用粉煤灰制备蒸压硅酸盐功能骨料和混凝土，提高了粉煤灰综合利用水平，推进了粉煤灰在工程建设领域的利用。</w:t>
                  </w:r>
                </w:p>
              </w:tc>
              <w:tc>
                <w:tcPr>
                  <w:tcW w:w="436" w:type="pct"/>
                  <w:tcBorders>
                    <w:tl2br w:val="nil"/>
                    <w:tr2bl w:val="nil"/>
                  </w:tcBorders>
                  <w:shd w:val="clear" w:color="auto" w:fill="auto"/>
                  <w:vAlign w:val="center"/>
                </w:tcPr>
                <w:p w14:paraId="06D52159">
                  <w:pPr>
                    <w:pStyle w:val="40"/>
                    <w:bidi w:val="0"/>
                    <w:rPr>
                      <w:color w:val="auto"/>
                      <w:spacing w:val="-11"/>
                      <w:sz w:val="21"/>
                      <w:highlight w:val="none"/>
                    </w:rPr>
                  </w:pPr>
                  <w:r>
                    <w:rPr>
                      <w:rFonts w:hint="eastAsia"/>
                      <w:color w:val="auto"/>
                      <w:highlight w:val="none"/>
                    </w:rPr>
                    <w:t>符合</w:t>
                  </w:r>
                </w:p>
              </w:tc>
            </w:tr>
            <w:tr w14:paraId="253579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24" w:hRule="atLeast"/>
              </w:trPr>
              <w:tc>
                <w:tcPr>
                  <w:tcW w:w="693" w:type="pct"/>
                  <w:tcBorders>
                    <w:tl2br w:val="nil"/>
                    <w:tr2bl w:val="nil"/>
                  </w:tcBorders>
                  <w:shd w:val="clear" w:color="auto" w:fill="auto"/>
                  <w:vAlign w:val="center"/>
                </w:tcPr>
                <w:p w14:paraId="62E777BC">
                  <w:pPr>
                    <w:pStyle w:val="40"/>
                    <w:bidi w:val="0"/>
                    <w:jc w:val="center"/>
                    <w:rPr>
                      <w:rFonts w:hint="eastAsia"/>
                      <w:color w:val="auto"/>
                      <w:spacing w:val="-6"/>
                      <w:sz w:val="21"/>
                      <w:highlight w:val="none"/>
                    </w:rPr>
                  </w:pPr>
                  <w:r>
                    <w:rPr>
                      <w:rFonts w:hint="eastAsia"/>
                      <w:color w:val="auto"/>
                      <w:spacing w:val="-6"/>
                      <w:sz w:val="21"/>
                      <w:highlight w:val="none"/>
                    </w:rPr>
                    <w:t>关于加强矿井水保护和利用的指导意见（发改环资〔2024〕226号）</w:t>
                  </w:r>
                </w:p>
              </w:tc>
              <w:tc>
                <w:tcPr>
                  <w:tcW w:w="2080" w:type="pct"/>
                  <w:tcBorders>
                    <w:tl2br w:val="nil"/>
                    <w:tr2bl w:val="nil"/>
                  </w:tcBorders>
                  <w:shd w:val="clear" w:color="auto" w:fill="auto"/>
                  <w:vAlign w:val="center"/>
                </w:tcPr>
                <w:p w14:paraId="1686E986">
                  <w:pPr>
                    <w:pStyle w:val="40"/>
                    <w:bidi w:val="0"/>
                    <w:jc w:val="both"/>
                    <w:rPr>
                      <w:rFonts w:hint="eastAsia"/>
                      <w:color w:val="auto"/>
                      <w:szCs w:val="21"/>
                      <w:highlight w:val="none"/>
                    </w:rPr>
                  </w:pPr>
                  <w:r>
                    <w:rPr>
                      <w:rFonts w:hint="eastAsia"/>
                      <w:color w:val="auto"/>
                      <w:szCs w:val="21"/>
                      <w:highlight w:val="none"/>
                    </w:rPr>
                    <w:t>严格取水许可，具备利用矿井水条件但未充分利用的企业，生产用水、生活杂用水不得开采和使用其它地表水和地下水。陇东、宁东、蒙西、陕北、晋西等重点产煤区域，建设用水项目时，应充分利用矿井水代替地表水。</w:t>
                  </w:r>
                </w:p>
              </w:tc>
              <w:tc>
                <w:tcPr>
                  <w:tcW w:w="1789" w:type="pct"/>
                  <w:tcBorders>
                    <w:tl2br w:val="nil"/>
                    <w:tr2bl w:val="nil"/>
                  </w:tcBorders>
                  <w:shd w:val="clear" w:color="auto" w:fill="auto"/>
                  <w:vAlign w:val="center"/>
                </w:tcPr>
                <w:p w14:paraId="22AD1236">
                  <w:pPr>
                    <w:pStyle w:val="40"/>
                    <w:bidi w:val="0"/>
                    <w:jc w:val="both"/>
                    <w:rPr>
                      <w:rFonts w:hint="default" w:eastAsia="宋体"/>
                      <w:color w:val="auto"/>
                      <w:highlight w:val="none"/>
                      <w:lang w:val="en-US" w:eastAsia="zh-CN"/>
                    </w:rPr>
                  </w:pPr>
                  <w:r>
                    <w:rPr>
                      <w:rFonts w:hint="eastAsia"/>
                      <w:color w:val="auto"/>
                      <w:highlight w:val="none"/>
                      <w:lang w:val="en-US" w:eastAsia="zh-CN"/>
                    </w:rPr>
                    <w:t>本项目不具备利用矿井水条件，因此本项目供水由清水川工业园区供水管网提供，具备利用矿井水条件时优先选用矿井水代替地表水。</w:t>
                  </w:r>
                </w:p>
              </w:tc>
              <w:tc>
                <w:tcPr>
                  <w:tcW w:w="436" w:type="pct"/>
                  <w:tcBorders>
                    <w:tl2br w:val="nil"/>
                    <w:tr2bl w:val="nil"/>
                  </w:tcBorders>
                  <w:shd w:val="clear" w:color="auto" w:fill="auto"/>
                  <w:vAlign w:val="center"/>
                </w:tcPr>
                <w:p w14:paraId="22EFDFEF">
                  <w:pPr>
                    <w:pStyle w:val="40"/>
                    <w:bidi w:val="0"/>
                    <w:rPr>
                      <w:color w:val="auto"/>
                      <w:spacing w:val="-11"/>
                      <w:sz w:val="21"/>
                      <w:highlight w:val="none"/>
                    </w:rPr>
                  </w:pPr>
                  <w:r>
                    <w:rPr>
                      <w:rFonts w:hint="eastAsia"/>
                      <w:color w:val="auto"/>
                      <w:highlight w:val="none"/>
                    </w:rPr>
                    <w:t>符合</w:t>
                  </w:r>
                </w:p>
              </w:tc>
            </w:tr>
            <w:tr w14:paraId="2540A5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693" w:type="pct"/>
                  <w:tcBorders>
                    <w:tl2br w:val="nil"/>
                    <w:tr2bl w:val="nil"/>
                  </w:tcBorders>
                  <w:shd w:val="clear" w:color="auto" w:fill="auto"/>
                  <w:vAlign w:val="center"/>
                </w:tcPr>
                <w:p w14:paraId="7FBA13E1">
                  <w:pPr>
                    <w:pStyle w:val="40"/>
                    <w:bidi w:val="0"/>
                    <w:jc w:val="center"/>
                    <w:rPr>
                      <w:rFonts w:hint="eastAsia"/>
                      <w:color w:val="auto"/>
                      <w:spacing w:val="-6"/>
                      <w:sz w:val="21"/>
                      <w:highlight w:val="none"/>
                    </w:rPr>
                  </w:pPr>
                  <w:r>
                    <w:rPr>
                      <w:rFonts w:hint="eastAsia"/>
                      <w:color w:val="auto"/>
                      <w:spacing w:val="-6"/>
                      <w:sz w:val="21"/>
                      <w:highlight w:val="none"/>
                    </w:rPr>
                    <w:t>《粉煤灰综合利用管理办法》</w:t>
                  </w:r>
                </w:p>
              </w:tc>
              <w:tc>
                <w:tcPr>
                  <w:tcW w:w="2080" w:type="pct"/>
                  <w:tcBorders>
                    <w:tl2br w:val="nil"/>
                    <w:tr2bl w:val="nil"/>
                  </w:tcBorders>
                  <w:shd w:val="clear" w:color="auto" w:fill="auto"/>
                  <w:vAlign w:val="center"/>
                </w:tcPr>
                <w:p w14:paraId="3D7531E1">
                  <w:pPr>
                    <w:pStyle w:val="40"/>
                    <w:bidi w:val="0"/>
                    <w:jc w:val="both"/>
                    <w:rPr>
                      <w:rFonts w:hint="eastAsia" w:eastAsia="宋体"/>
                      <w:color w:val="auto"/>
                      <w:szCs w:val="21"/>
                      <w:highlight w:val="none"/>
                      <w:lang w:eastAsia="zh-CN"/>
                    </w:rPr>
                  </w:pPr>
                  <w:r>
                    <w:rPr>
                      <w:rFonts w:hint="eastAsia"/>
                      <w:color w:val="auto"/>
                      <w:szCs w:val="21"/>
                      <w:highlight w:val="none"/>
                    </w:rPr>
                    <w:t>鼓励对粉煤灰进行以下高附加值和大掺量利用：利用粉煤灰作为水泥混合材并在生料中替代粘土进行配料；利用粉煤灰作商品混凝土掺合料等</w:t>
                  </w:r>
                  <w:r>
                    <w:rPr>
                      <w:rFonts w:hint="eastAsia"/>
                      <w:color w:val="auto"/>
                      <w:szCs w:val="21"/>
                      <w:highlight w:val="none"/>
                      <w:lang w:eastAsia="zh-CN"/>
                    </w:rPr>
                    <w:t>。</w:t>
                  </w:r>
                </w:p>
              </w:tc>
              <w:tc>
                <w:tcPr>
                  <w:tcW w:w="1789" w:type="pct"/>
                  <w:tcBorders>
                    <w:tl2br w:val="nil"/>
                    <w:tr2bl w:val="nil"/>
                  </w:tcBorders>
                  <w:shd w:val="clear" w:color="auto" w:fill="auto"/>
                  <w:vAlign w:val="center"/>
                </w:tcPr>
                <w:p w14:paraId="62681EB8">
                  <w:pPr>
                    <w:pStyle w:val="40"/>
                    <w:bidi w:val="0"/>
                    <w:jc w:val="both"/>
                    <w:rPr>
                      <w:rFonts w:hint="default" w:eastAsia="宋体"/>
                      <w:color w:val="auto"/>
                      <w:highlight w:val="none"/>
                      <w:lang w:val="en-US" w:eastAsia="zh-CN"/>
                    </w:rPr>
                  </w:pPr>
                  <w:r>
                    <w:rPr>
                      <w:rFonts w:hint="eastAsia"/>
                      <w:color w:val="auto"/>
                      <w:highlight w:val="none"/>
                      <w:lang w:val="en-US" w:eastAsia="zh-CN"/>
                    </w:rPr>
                    <w:t>本项目利用粉煤灰作为蒸压硅酸盐功能骨料和混凝土的原材料进行配料。</w:t>
                  </w:r>
                </w:p>
              </w:tc>
              <w:tc>
                <w:tcPr>
                  <w:tcW w:w="436" w:type="pct"/>
                  <w:tcBorders>
                    <w:tl2br w:val="nil"/>
                    <w:tr2bl w:val="nil"/>
                  </w:tcBorders>
                  <w:shd w:val="clear" w:color="auto" w:fill="auto"/>
                  <w:vAlign w:val="center"/>
                </w:tcPr>
                <w:p w14:paraId="48D6486B">
                  <w:pPr>
                    <w:pStyle w:val="40"/>
                    <w:bidi w:val="0"/>
                    <w:rPr>
                      <w:color w:val="auto"/>
                      <w:spacing w:val="-11"/>
                      <w:sz w:val="21"/>
                      <w:highlight w:val="none"/>
                    </w:rPr>
                  </w:pPr>
                  <w:r>
                    <w:rPr>
                      <w:rFonts w:hint="eastAsia"/>
                      <w:color w:val="auto"/>
                      <w:highlight w:val="none"/>
                    </w:rPr>
                    <w:t>符合</w:t>
                  </w:r>
                </w:p>
              </w:tc>
            </w:tr>
            <w:tr w14:paraId="1C0D28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93" w:type="pct"/>
                  <w:tcBorders>
                    <w:tl2br w:val="nil"/>
                    <w:tr2bl w:val="nil"/>
                  </w:tcBorders>
                  <w:shd w:val="clear" w:color="auto" w:fill="auto"/>
                  <w:vAlign w:val="center"/>
                </w:tcPr>
                <w:p w14:paraId="278A78E2">
                  <w:pPr>
                    <w:pStyle w:val="40"/>
                    <w:bidi w:val="0"/>
                    <w:jc w:val="center"/>
                    <w:rPr>
                      <w:rFonts w:hint="eastAsia" w:eastAsia="宋体"/>
                      <w:b/>
                      <w:bCs/>
                      <w:color w:val="auto"/>
                      <w:spacing w:val="-6"/>
                      <w:sz w:val="21"/>
                      <w:highlight w:val="none"/>
                      <w:lang w:eastAsia="zh-CN"/>
                    </w:rPr>
                  </w:pPr>
                  <w:r>
                    <w:rPr>
                      <w:rFonts w:hint="eastAsia"/>
                      <w:color w:val="auto"/>
                      <w:spacing w:val="-6"/>
                      <w:sz w:val="21"/>
                      <w:highlight w:val="none"/>
                    </w:rPr>
                    <w:t>《关于印发加快推动工业资源综合利用实施方案的通知》</w:t>
                  </w:r>
                  <w:r>
                    <w:rPr>
                      <w:rFonts w:hint="eastAsia"/>
                      <w:color w:val="auto"/>
                      <w:spacing w:val="-6"/>
                      <w:sz w:val="21"/>
                      <w:highlight w:val="none"/>
                      <w:lang w:eastAsia="zh-CN"/>
                    </w:rPr>
                    <w:t>（</w:t>
                  </w:r>
                  <w:r>
                    <w:rPr>
                      <w:rFonts w:hint="eastAsia"/>
                      <w:color w:val="auto"/>
                      <w:spacing w:val="-6"/>
                      <w:sz w:val="21"/>
                      <w:highlight w:val="none"/>
                    </w:rPr>
                    <w:t>工信部联节〔2022〕9号</w:t>
                  </w:r>
                  <w:r>
                    <w:rPr>
                      <w:rFonts w:hint="eastAsia"/>
                      <w:color w:val="auto"/>
                      <w:spacing w:val="-6"/>
                      <w:sz w:val="21"/>
                      <w:highlight w:val="none"/>
                      <w:lang w:eastAsia="zh-CN"/>
                    </w:rPr>
                    <w:t>）</w:t>
                  </w:r>
                </w:p>
              </w:tc>
              <w:tc>
                <w:tcPr>
                  <w:tcW w:w="2080" w:type="pct"/>
                  <w:tcBorders>
                    <w:tl2br w:val="nil"/>
                    <w:tr2bl w:val="nil"/>
                  </w:tcBorders>
                  <w:shd w:val="clear" w:color="auto" w:fill="auto"/>
                  <w:vAlign w:val="center"/>
                </w:tcPr>
                <w:p w14:paraId="503D8651">
                  <w:pPr>
                    <w:pStyle w:val="40"/>
                    <w:bidi w:val="0"/>
                    <w:jc w:val="both"/>
                    <w:rPr>
                      <w:color w:val="auto"/>
                      <w:highlight w:val="none"/>
                    </w:rPr>
                  </w:pPr>
                  <w:r>
                    <w:rPr>
                      <w:rFonts w:hint="eastAsia"/>
                      <w:color w:val="auto"/>
                      <w:highlight w:val="none"/>
                    </w:rPr>
                    <w:t>推动工业固废按元素价值综合开发利用，加快推进尾矿（共伴生矿）、粉煤灰、煤矸石、冶炼渣、工业副产石膏、赤泥、化工废渣等工业固废在有价组分提取、建材生产等领域的规模化利用。</w:t>
                  </w:r>
                </w:p>
              </w:tc>
              <w:tc>
                <w:tcPr>
                  <w:tcW w:w="1789" w:type="pct"/>
                  <w:tcBorders>
                    <w:tl2br w:val="nil"/>
                    <w:tr2bl w:val="nil"/>
                  </w:tcBorders>
                  <w:shd w:val="clear" w:color="auto" w:fill="auto"/>
                  <w:vAlign w:val="center"/>
                </w:tcPr>
                <w:p w14:paraId="63B13551">
                  <w:pPr>
                    <w:pStyle w:val="40"/>
                    <w:bidi w:val="0"/>
                    <w:jc w:val="both"/>
                    <w:rPr>
                      <w:rFonts w:hint="default" w:eastAsia="宋体"/>
                      <w:color w:val="auto"/>
                      <w:highlight w:val="none"/>
                      <w:lang w:val="en-US" w:eastAsia="zh-CN"/>
                    </w:rPr>
                  </w:pPr>
                  <w:r>
                    <w:rPr>
                      <w:rFonts w:hint="eastAsia"/>
                      <w:color w:val="auto"/>
                      <w:highlight w:val="none"/>
                      <w:lang w:val="en-US" w:eastAsia="zh-CN"/>
                    </w:rPr>
                    <w:t>本项目利用粉煤灰、炉渣、脱硫石膏、镁渣等工业固废为制备蒸压硅酸盐功能骨料和混凝土，加快推进工业固废在建材生产领域的规模化利用。</w:t>
                  </w:r>
                </w:p>
              </w:tc>
              <w:tc>
                <w:tcPr>
                  <w:tcW w:w="436" w:type="pct"/>
                  <w:tcBorders>
                    <w:tl2br w:val="nil"/>
                    <w:tr2bl w:val="nil"/>
                  </w:tcBorders>
                  <w:shd w:val="clear" w:color="auto" w:fill="auto"/>
                  <w:vAlign w:val="center"/>
                </w:tcPr>
                <w:p w14:paraId="35291241">
                  <w:pPr>
                    <w:pStyle w:val="40"/>
                    <w:bidi w:val="0"/>
                    <w:rPr>
                      <w:color w:val="auto"/>
                      <w:spacing w:val="-11"/>
                      <w:sz w:val="21"/>
                      <w:highlight w:val="none"/>
                    </w:rPr>
                  </w:pPr>
                  <w:r>
                    <w:rPr>
                      <w:rFonts w:hint="eastAsia"/>
                      <w:color w:val="auto"/>
                      <w:highlight w:val="none"/>
                    </w:rPr>
                    <w:t>符合</w:t>
                  </w:r>
                </w:p>
              </w:tc>
            </w:tr>
            <w:tr w14:paraId="16FC15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11" w:hRule="atLeast"/>
              </w:trPr>
              <w:tc>
                <w:tcPr>
                  <w:tcW w:w="693" w:type="pct"/>
                  <w:vMerge w:val="restart"/>
                  <w:tcBorders>
                    <w:tl2br w:val="nil"/>
                    <w:tr2bl w:val="nil"/>
                  </w:tcBorders>
                  <w:shd w:val="clear" w:color="auto" w:fill="auto"/>
                  <w:vAlign w:val="center"/>
                </w:tcPr>
                <w:p w14:paraId="29BD5FE1">
                  <w:pPr>
                    <w:pStyle w:val="40"/>
                    <w:bidi w:val="0"/>
                    <w:rPr>
                      <w:rFonts w:hint="default"/>
                      <w:color w:val="auto"/>
                      <w:highlight w:val="none"/>
                      <w:lang w:val="en-US" w:eastAsia="zh-CN"/>
                    </w:rPr>
                  </w:pPr>
                  <w:r>
                    <w:rPr>
                      <w:rFonts w:hint="eastAsia"/>
                      <w:color w:val="auto"/>
                      <w:spacing w:val="-6"/>
                      <w:sz w:val="21"/>
                      <w:highlight w:val="none"/>
                      <w:lang w:val="en-US" w:eastAsia="zh-CN"/>
                    </w:rPr>
                    <w:t>《非道路移动机械污染防治技术政策》（公告2018年第34号）</w:t>
                  </w:r>
                </w:p>
              </w:tc>
              <w:tc>
                <w:tcPr>
                  <w:tcW w:w="2080" w:type="pct"/>
                  <w:tcBorders>
                    <w:tl2br w:val="nil"/>
                    <w:tr2bl w:val="nil"/>
                  </w:tcBorders>
                  <w:shd w:val="clear" w:color="auto" w:fill="auto"/>
                  <w:vAlign w:val="center"/>
                </w:tcPr>
                <w:p w14:paraId="3C93BE63">
                  <w:pPr>
                    <w:pStyle w:val="40"/>
                    <w:bidi w:val="0"/>
                    <w:jc w:val="both"/>
                    <w:rPr>
                      <w:rFonts w:hint="default"/>
                      <w:color w:val="auto"/>
                      <w:highlight w:val="none"/>
                      <w:lang w:val="en-US" w:eastAsia="zh-CN"/>
                    </w:rPr>
                  </w:pPr>
                  <w:r>
                    <w:rPr>
                      <w:rFonts w:hint="eastAsia"/>
                      <w:color w:val="auto"/>
                      <w:highlight w:val="none"/>
                      <w:lang w:val="en-US" w:eastAsia="zh-CN"/>
                    </w:rPr>
                    <w:t>加强非道路移动机械的维修、保养，使其保持良好的技术状态。加强对非道路移动机械排放检测能力的建设：经检测排放不达标的非道路移动机械，应强制进行维修、保养，保证非道路移动机械及其污染控制装置处于正常技术状态。</w:t>
                  </w:r>
                </w:p>
              </w:tc>
              <w:tc>
                <w:tcPr>
                  <w:tcW w:w="1789" w:type="pct"/>
                  <w:tcBorders>
                    <w:tl2br w:val="nil"/>
                    <w:tr2bl w:val="nil"/>
                  </w:tcBorders>
                  <w:shd w:val="clear" w:color="auto" w:fill="auto"/>
                  <w:vAlign w:val="center"/>
                </w:tcPr>
                <w:p w14:paraId="0837465C">
                  <w:pPr>
                    <w:pStyle w:val="40"/>
                    <w:bidi w:val="0"/>
                    <w:jc w:val="both"/>
                    <w:rPr>
                      <w:rFonts w:hint="default"/>
                      <w:color w:val="auto"/>
                      <w:highlight w:val="none"/>
                      <w:lang w:val="en-US" w:eastAsia="zh-CN"/>
                    </w:rPr>
                  </w:pPr>
                  <w:r>
                    <w:rPr>
                      <w:rFonts w:hint="eastAsia"/>
                      <w:color w:val="auto"/>
                      <w:highlight w:val="none"/>
                      <w:lang w:val="zh-CN" w:eastAsia="zh-CN"/>
                    </w:rPr>
                    <w:t>环评要求企业</w:t>
                  </w:r>
                  <w:r>
                    <w:rPr>
                      <w:rFonts w:hint="eastAsia"/>
                      <w:color w:val="auto"/>
                      <w:highlight w:val="none"/>
                      <w:lang w:val="en-US" w:eastAsia="zh-CN"/>
                    </w:rPr>
                    <w:t>定期对所使用的非道路移动机械进行维修、保养，使其保持良好的技术状态，保证非道路移动机械及其污染控制装置处于正常技术状态。</w:t>
                  </w:r>
                </w:p>
              </w:tc>
              <w:tc>
                <w:tcPr>
                  <w:tcW w:w="436" w:type="pct"/>
                  <w:tcBorders>
                    <w:tl2br w:val="nil"/>
                    <w:tr2bl w:val="nil"/>
                  </w:tcBorders>
                  <w:shd w:val="clear" w:color="auto" w:fill="auto"/>
                  <w:vAlign w:val="center"/>
                </w:tcPr>
                <w:p w14:paraId="22DCA289">
                  <w:pPr>
                    <w:pStyle w:val="40"/>
                    <w:bidi w:val="0"/>
                    <w:jc w:val="both"/>
                    <w:rPr>
                      <w:rFonts w:hint="eastAsia"/>
                      <w:color w:val="auto"/>
                      <w:highlight w:val="none"/>
                      <w:lang w:val="en-US" w:eastAsia="zh-CN"/>
                    </w:rPr>
                  </w:pPr>
                  <w:r>
                    <w:rPr>
                      <w:rFonts w:hint="eastAsia"/>
                      <w:color w:val="auto"/>
                      <w:highlight w:val="none"/>
                    </w:rPr>
                    <w:t>符合</w:t>
                  </w:r>
                </w:p>
              </w:tc>
            </w:tr>
            <w:tr w14:paraId="3F61D8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3" w:type="pct"/>
                  <w:vMerge w:val="continue"/>
                  <w:tcBorders>
                    <w:tl2br w:val="nil"/>
                    <w:tr2bl w:val="nil"/>
                  </w:tcBorders>
                  <w:shd w:val="clear" w:color="auto" w:fill="auto"/>
                  <w:vAlign w:val="center"/>
                </w:tcPr>
                <w:p w14:paraId="110A9642">
                  <w:pPr>
                    <w:pStyle w:val="40"/>
                    <w:bidi w:val="0"/>
                    <w:jc w:val="both"/>
                    <w:rPr>
                      <w:rFonts w:hint="default"/>
                      <w:color w:val="auto"/>
                      <w:highlight w:val="none"/>
                      <w:lang w:val="en-US" w:eastAsia="zh-CN"/>
                    </w:rPr>
                  </w:pPr>
                </w:p>
              </w:tc>
              <w:tc>
                <w:tcPr>
                  <w:tcW w:w="2080" w:type="pct"/>
                  <w:tcBorders>
                    <w:tl2br w:val="nil"/>
                    <w:tr2bl w:val="nil"/>
                  </w:tcBorders>
                  <w:shd w:val="clear" w:color="auto" w:fill="auto"/>
                  <w:vAlign w:val="center"/>
                </w:tcPr>
                <w:p w14:paraId="14B17D33">
                  <w:pPr>
                    <w:pStyle w:val="40"/>
                    <w:bidi w:val="0"/>
                    <w:jc w:val="both"/>
                    <w:rPr>
                      <w:rFonts w:hint="default"/>
                      <w:color w:val="auto"/>
                      <w:highlight w:val="none"/>
                      <w:lang w:val="en-US" w:eastAsia="zh-CN"/>
                    </w:rPr>
                  </w:pPr>
                  <w:r>
                    <w:rPr>
                      <w:rFonts w:hint="eastAsia"/>
                      <w:color w:val="auto"/>
                      <w:highlight w:val="none"/>
                      <w:lang w:val="en-US" w:eastAsia="zh-CN"/>
                    </w:rPr>
                    <w:t>加强非道路移动机械的噪声控制。禁止任何单位或个人擅自拆除弃用非道路移动机械的消声、隔声和吸声装置，加强对噪声控制装置的维护保养。</w:t>
                  </w:r>
                </w:p>
              </w:tc>
              <w:tc>
                <w:tcPr>
                  <w:tcW w:w="1789" w:type="pct"/>
                  <w:tcBorders>
                    <w:tl2br w:val="nil"/>
                    <w:tr2bl w:val="nil"/>
                  </w:tcBorders>
                  <w:shd w:val="clear" w:color="auto" w:fill="auto"/>
                  <w:vAlign w:val="center"/>
                </w:tcPr>
                <w:p w14:paraId="7FFA4076">
                  <w:pPr>
                    <w:pStyle w:val="40"/>
                    <w:bidi w:val="0"/>
                    <w:jc w:val="both"/>
                    <w:rPr>
                      <w:rFonts w:hint="default"/>
                      <w:color w:val="auto"/>
                      <w:highlight w:val="none"/>
                      <w:lang w:val="en-US" w:eastAsia="zh-CN"/>
                    </w:rPr>
                  </w:pPr>
                  <w:r>
                    <w:rPr>
                      <w:rFonts w:hint="eastAsia"/>
                      <w:color w:val="auto"/>
                      <w:highlight w:val="none"/>
                      <w:lang w:val="zh-CN" w:eastAsia="zh-CN"/>
                    </w:rPr>
                    <w:t>环评要求企业对所使用的</w:t>
                  </w:r>
                  <w:r>
                    <w:rPr>
                      <w:rFonts w:hint="eastAsia"/>
                      <w:color w:val="auto"/>
                      <w:highlight w:val="none"/>
                      <w:lang w:val="en-US" w:eastAsia="zh-CN"/>
                    </w:rPr>
                    <w:t>非道路移动机械的消声、隔声和吸声装置进行</w:t>
                  </w:r>
                  <w:r>
                    <w:rPr>
                      <w:rFonts w:hint="eastAsia"/>
                      <w:color w:val="auto"/>
                      <w:highlight w:val="none"/>
                      <w:lang w:val="zh-CN" w:eastAsia="zh-CN"/>
                    </w:rPr>
                    <w:t>定期检查，</w:t>
                  </w:r>
                  <w:r>
                    <w:rPr>
                      <w:rFonts w:hint="eastAsia"/>
                      <w:color w:val="auto"/>
                      <w:highlight w:val="none"/>
                      <w:lang w:val="en-US" w:eastAsia="zh-CN"/>
                    </w:rPr>
                    <w:t>保证噪声满足标准要求。</w:t>
                  </w:r>
                </w:p>
              </w:tc>
              <w:tc>
                <w:tcPr>
                  <w:tcW w:w="436" w:type="pct"/>
                  <w:tcBorders>
                    <w:tl2br w:val="nil"/>
                    <w:tr2bl w:val="nil"/>
                  </w:tcBorders>
                  <w:shd w:val="clear" w:color="auto" w:fill="auto"/>
                  <w:vAlign w:val="center"/>
                </w:tcPr>
                <w:p w14:paraId="1071B0FC">
                  <w:pPr>
                    <w:pStyle w:val="40"/>
                    <w:bidi w:val="0"/>
                    <w:jc w:val="both"/>
                    <w:rPr>
                      <w:rFonts w:hint="eastAsia"/>
                      <w:color w:val="auto"/>
                      <w:highlight w:val="none"/>
                      <w:lang w:val="en-US" w:eastAsia="zh-CN"/>
                    </w:rPr>
                  </w:pPr>
                  <w:r>
                    <w:rPr>
                      <w:rFonts w:hint="eastAsia"/>
                      <w:color w:val="auto"/>
                      <w:highlight w:val="none"/>
                    </w:rPr>
                    <w:t>符合</w:t>
                  </w:r>
                </w:p>
              </w:tc>
            </w:tr>
            <w:tr w14:paraId="5A2E19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11" w:hRule="atLeast"/>
              </w:trPr>
              <w:tc>
                <w:tcPr>
                  <w:tcW w:w="693" w:type="pct"/>
                  <w:vMerge w:val="restart"/>
                  <w:tcBorders>
                    <w:tl2br w:val="nil"/>
                    <w:tr2bl w:val="nil"/>
                  </w:tcBorders>
                  <w:shd w:val="clear" w:color="auto" w:fill="auto"/>
                  <w:vAlign w:val="center"/>
                </w:tcPr>
                <w:p w14:paraId="70C7E5ED">
                  <w:pPr>
                    <w:pStyle w:val="40"/>
                    <w:bidi w:val="0"/>
                    <w:ind w:firstLine="0" w:firstLineChars="0"/>
                    <w:jc w:val="center"/>
                    <w:rPr>
                      <w:rFonts w:hint="eastAsia"/>
                      <w:color w:val="auto"/>
                      <w:spacing w:val="-6"/>
                      <w:sz w:val="21"/>
                      <w:highlight w:val="none"/>
                      <w:lang w:eastAsia="zh-CN"/>
                    </w:rPr>
                  </w:pPr>
                  <w:r>
                    <w:rPr>
                      <w:rFonts w:hint="default"/>
                      <w:color w:val="auto"/>
                      <w:spacing w:val="-6"/>
                      <w:sz w:val="21"/>
                      <w:highlight w:val="none"/>
                      <w:lang w:val="en-US" w:eastAsia="zh-CN"/>
                    </w:rPr>
                    <w:t>《榆林市扬尘污染防治条例》</w:t>
                  </w:r>
                </w:p>
              </w:tc>
              <w:tc>
                <w:tcPr>
                  <w:tcW w:w="2080" w:type="pct"/>
                  <w:tcBorders>
                    <w:tl2br w:val="nil"/>
                    <w:tr2bl w:val="nil"/>
                  </w:tcBorders>
                  <w:shd w:val="clear" w:color="auto" w:fill="auto"/>
                  <w:vAlign w:val="center"/>
                </w:tcPr>
                <w:p w14:paraId="74A72BA1">
                  <w:pPr>
                    <w:pStyle w:val="40"/>
                    <w:bidi w:val="0"/>
                    <w:ind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color w:val="auto"/>
                      <w:highlight w:val="none"/>
                    </w:rPr>
                    <w:t>第十八条</w:t>
                  </w:r>
                  <w:r>
                    <w:rPr>
                      <w:rFonts w:hint="eastAsia"/>
                      <w:color w:val="auto"/>
                      <w:highlight w:val="none"/>
                      <w:lang w:val="en-US" w:eastAsia="zh-CN"/>
                    </w:rPr>
                    <w:t xml:space="preserve"> </w:t>
                  </w:r>
                  <w:r>
                    <w:rPr>
                      <w:rFonts w:hint="default"/>
                      <w:color w:val="auto"/>
                      <w:highlight w:val="none"/>
                    </w:rPr>
                    <w:t>运输煤炭、垃圾、渣土、砂石、土方、灰浆等散装、流体物料的车辆应当采取密闭或者其他措施防止物料遗撒造成扬尘污染，并按照规定路线行驶。装卸物料应当采取密闭或者喷淋等方式防治扬尘污染。</w:t>
                  </w:r>
                </w:p>
              </w:tc>
              <w:tc>
                <w:tcPr>
                  <w:tcW w:w="1789" w:type="pct"/>
                  <w:tcBorders>
                    <w:tl2br w:val="nil"/>
                    <w:tr2bl w:val="nil"/>
                  </w:tcBorders>
                  <w:shd w:val="clear" w:color="auto" w:fill="auto"/>
                  <w:vAlign w:val="center"/>
                </w:tcPr>
                <w:p w14:paraId="1CBA4F08">
                  <w:pPr>
                    <w:pStyle w:val="40"/>
                    <w:bidi w:val="0"/>
                    <w:ind w:firstLine="0" w:firstLineChars="0"/>
                    <w:jc w:val="both"/>
                    <w:rPr>
                      <w:rFonts w:hint="eastAsia" w:ascii="Times New Roman" w:hAnsi="Times New Roman" w:eastAsia="宋体" w:cs="Times New Roman"/>
                      <w:b w:val="0"/>
                      <w:bCs w:val="0"/>
                      <w:color w:val="auto"/>
                      <w:kern w:val="2"/>
                      <w:sz w:val="21"/>
                      <w:szCs w:val="21"/>
                      <w:highlight w:val="none"/>
                      <w:lang w:val="en-US" w:eastAsia="zh-CN" w:bidi="ar-SA"/>
                    </w:rPr>
                  </w:pPr>
                  <w:r>
                    <w:rPr>
                      <w:rFonts w:hint="default"/>
                      <w:color w:val="auto"/>
                      <w:highlight w:val="none"/>
                    </w:rPr>
                    <w:t>本项目水泥</w:t>
                  </w:r>
                  <w:r>
                    <w:rPr>
                      <w:rFonts w:hint="eastAsia"/>
                      <w:color w:val="auto"/>
                      <w:highlight w:val="none"/>
                      <w:lang w:eastAsia="zh-CN"/>
                    </w:rPr>
                    <w:t>、</w:t>
                  </w:r>
                  <w:r>
                    <w:rPr>
                      <w:rFonts w:hint="default"/>
                      <w:color w:val="auto"/>
                      <w:highlight w:val="none"/>
                    </w:rPr>
                    <w:t>粉煤灰</w:t>
                  </w:r>
                  <w:r>
                    <w:rPr>
                      <w:rFonts w:hint="eastAsia"/>
                      <w:color w:val="auto"/>
                      <w:highlight w:val="none"/>
                      <w:lang w:val="en-US" w:eastAsia="zh-CN"/>
                    </w:rPr>
                    <w:t>和混凝土</w:t>
                  </w:r>
                  <w:r>
                    <w:rPr>
                      <w:rFonts w:hint="default"/>
                      <w:color w:val="auto"/>
                      <w:highlight w:val="none"/>
                    </w:rPr>
                    <w:t>均采用罐车输送</w:t>
                  </w:r>
                  <w:r>
                    <w:rPr>
                      <w:rFonts w:hint="eastAsia"/>
                      <w:color w:val="auto"/>
                      <w:highlight w:val="none"/>
                      <w:lang w:eastAsia="zh-CN"/>
                    </w:rPr>
                    <w:t>，</w:t>
                  </w:r>
                  <w:r>
                    <w:rPr>
                      <w:rFonts w:hint="eastAsia"/>
                      <w:color w:val="auto"/>
                      <w:highlight w:val="none"/>
                      <w:lang w:val="en-US" w:eastAsia="zh-CN"/>
                    </w:rPr>
                    <w:t>炉渣、镁渣、脱硫石膏、</w:t>
                  </w:r>
                  <w:r>
                    <w:rPr>
                      <w:rFonts w:hint="default"/>
                      <w:color w:val="auto"/>
                      <w:highlight w:val="none"/>
                    </w:rPr>
                    <w:t>砂石料等散装物料均采取</w:t>
                  </w:r>
                  <w:r>
                    <w:rPr>
                      <w:rFonts w:hint="eastAsia"/>
                      <w:color w:val="auto"/>
                      <w:highlight w:val="none"/>
                      <w:lang w:val="en-US" w:eastAsia="zh-CN"/>
                    </w:rPr>
                    <w:t>密闭</w:t>
                  </w:r>
                  <w:r>
                    <w:rPr>
                      <w:rFonts w:hint="default"/>
                      <w:color w:val="auto"/>
                      <w:highlight w:val="none"/>
                    </w:rPr>
                    <w:t>篷布</w:t>
                  </w:r>
                  <w:r>
                    <w:rPr>
                      <w:rFonts w:hint="eastAsia"/>
                      <w:color w:val="auto"/>
                      <w:highlight w:val="none"/>
                      <w:lang w:val="en-US" w:eastAsia="zh-CN"/>
                    </w:rPr>
                    <w:t>货车运输</w:t>
                  </w:r>
                  <w:r>
                    <w:rPr>
                      <w:rFonts w:hint="default"/>
                      <w:color w:val="auto"/>
                      <w:highlight w:val="none"/>
                    </w:rPr>
                    <w:t>，并按照规定路线输送，</w:t>
                  </w:r>
                  <w:r>
                    <w:rPr>
                      <w:rFonts w:hint="eastAsia"/>
                      <w:color w:val="auto"/>
                      <w:highlight w:val="none"/>
                      <w:lang w:val="en-US" w:eastAsia="zh-CN"/>
                    </w:rPr>
                    <w:t>原料</w:t>
                  </w:r>
                  <w:r>
                    <w:rPr>
                      <w:rFonts w:hint="default"/>
                      <w:color w:val="auto"/>
                      <w:highlight w:val="none"/>
                    </w:rPr>
                    <w:t>装卸均在封闭</w:t>
                  </w:r>
                  <w:r>
                    <w:rPr>
                      <w:rFonts w:hint="eastAsia"/>
                      <w:color w:val="auto"/>
                      <w:highlight w:val="none"/>
                      <w:lang w:val="en-US" w:eastAsia="zh-CN"/>
                    </w:rPr>
                    <w:t>式厂房</w:t>
                  </w:r>
                  <w:r>
                    <w:rPr>
                      <w:rFonts w:hint="default"/>
                      <w:color w:val="auto"/>
                      <w:highlight w:val="none"/>
                    </w:rPr>
                    <w:t>内，并</w:t>
                  </w:r>
                  <w:r>
                    <w:rPr>
                      <w:rFonts w:hint="eastAsia"/>
                      <w:color w:val="auto"/>
                      <w:highlight w:val="none"/>
                      <w:lang w:val="en-US" w:eastAsia="zh-CN"/>
                    </w:rPr>
                    <w:t>通过喷雾</w:t>
                  </w:r>
                  <w:r>
                    <w:rPr>
                      <w:rFonts w:hint="default"/>
                      <w:color w:val="auto"/>
                      <w:highlight w:val="none"/>
                    </w:rPr>
                    <w:t>洒水抑尘。</w:t>
                  </w:r>
                </w:p>
              </w:tc>
              <w:tc>
                <w:tcPr>
                  <w:tcW w:w="436" w:type="pct"/>
                  <w:tcBorders>
                    <w:tl2br w:val="nil"/>
                    <w:tr2bl w:val="nil"/>
                  </w:tcBorders>
                  <w:shd w:val="clear" w:color="auto" w:fill="auto"/>
                  <w:vAlign w:val="center"/>
                </w:tcPr>
                <w:p w14:paraId="468F61C3">
                  <w:pPr>
                    <w:pStyle w:val="40"/>
                    <w:bidi w:val="0"/>
                    <w:ind w:firstLine="0" w:firstLineChars="0"/>
                    <w:jc w:val="both"/>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符合</w:t>
                  </w:r>
                </w:p>
              </w:tc>
            </w:tr>
            <w:tr w14:paraId="161CBE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35" w:hRule="atLeast"/>
              </w:trPr>
              <w:tc>
                <w:tcPr>
                  <w:tcW w:w="693" w:type="pct"/>
                  <w:vMerge w:val="continue"/>
                  <w:tcBorders>
                    <w:tl2br w:val="nil"/>
                    <w:tr2bl w:val="nil"/>
                  </w:tcBorders>
                  <w:shd w:val="clear" w:color="auto" w:fill="auto"/>
                  <w:vAlign w:val="center"/>
                </w:tcPr>
                <w:p w14:paraId="61BD44EA">
                  <w:pPr>
                    <w:pStyle w:val="40"/>
                    <w:bidi w:val="0"/>
                    <w:jc w:val="center"/>
                    <w:rPr>
                      <w:rFonts w:hint="eastAsia"/>
                      <w:color w:val="auto"/>
                      <w:spacing w:val="-6"/>
                      <w:sz w:val="21"/>
                      <w:highlight w:val="none"/>
                      <w:lang w:eastAsia="zh-CN"/>
                    </w:rPr>
                  </w:pPr>
                </w:p>
              </w:tc>
              <w:tc>
                <w:tcPr>
                  <w:tcW w:w="2080" w:type="pct"/>
                  <w:tcBorders>
                    <w:tl2br w:val="nil"/>
                    <w:tr2bl w:val="nil"/>
                  </w:tcBorders>
                  <w:shd w:val="clear" w:color="auto" w:fill="auto"/>
                  <w:vAlign w:val="center"/>
                </w:tcPr>
                <w:p w14:paraId="3B577E5A">
                  <w:pPr>
                    <w:pStyle w:val="40"/>
                    <w:bidi w:val="0"/>
                    <w:ind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color w:val="auto"/>
                      <w:highlight w:val="none"/>
                    </w:rPr>
                    <w:t>第十九条 贮存煤炭、煤矸石、煤渣、煤灰、水泥、石灰、石膏、砂土等易产生扬尘的物料堆场、露天仓库等场所，应当符合下列扬尘污染防治要求：（一）地面进行硬化处理；（二）物料应当密闭贮存；不能密闭的，应当设置不低于堆放物高度的严密围挡；（三）采用密闭输送设备作业的，在装卸处配备吸尘、喷淋等防尘设施，并且保持防尘设施的正常使用；（四）物料堆场出入口设置车辆冲洗设施，车辆冲洗干净后方可驶出。单位存放煤炭、煤矸石、煤渣、煤灰等物料，应当采取防燃措施。</w:t>
                  </w:r>
                </w:p>
              </w:tc>
              <w:tc>
                <w:tcPr>
                  <w:tcW w:w="1789" w:type="pct"/>
                  <w:tcBorders>
                    <w:tl2br w:val="nil"/>
                    <w:tr2bl w:val="nil"/>
                  </w:tcBorders>
                  <w:shd w:val="clear" w:color="auto" w:fill="auto"/>
                  <w:vAlign w:val="center"/>
                </w:tcPr>
                <w:p w14:paraId="5372E456">
                  <w:pPr>
                    <w:pStyle w:val="40"/>
                    <w:bidi w:val="0"/>
                    <w:ind w:firstLine="0" w:firstLineChars="0"/>
                    <w:jc w:val="both"/>
                    <w:rPr>
                      <w:rFonts w:hint="eastAsia" w:ascii="Times New Roman" w:hAnsi="Times New Roman" w:eastAsia="宋体" w:cs="Times New Roman"/>
                      <w:b w:val="0"/>
                      <w:bCs w:val="0"/>
                      <w:color w:val="auto"/>
                      <w:kern w:val="2"/>
                      <w:sz w:val="21"/>
                      <w:szCs w:val="21"/>
                      <w:highlight w:val="none"/>
                      <w:lang w:val="en-US" w:eastAsia="zh-CN" w:bidi="ar-SA"/>
                    </w:rPr>
                  </w:pPr>
                  <w:r>
                    <w:rPr>
                      <w:rFonts w:hint="default"/>
                      <w:color w:val="auto"/>
                      <w:highlight w:val="none"/>
                    </w:rPr>
                    <w:t>本项目</w:t>
                  </w:r>
                  <w:r>
                    <w:rPr>
                      <w:rFonts w:hint="eastAsia"/>
                      <w:color w:val="auto"/>
                      <w:highlight w:val="none"/>
                      <w:lang w:val="en-US" w:eastAsia="zh-CN"/>
                    </w:rPr>
                    <w:t>各原料均进行封闭贮存</w:t>
                  </w:r>
                  <w:r>
                    <w:rPr>
                      <w:rFonts w:hint="default"/>
                      <w:color w:val="auto"/>
                      <w:highlight w:val="none"/>
                    </w:rPr>
                    <w:t>，地面硬化，在装卸过程设置</w:t>
                  </w:r>
                  <w:r>
                    <w:rPr>
                      <w:rFonts w:hint="eastAsia"/>
                      <w:color w:val="auto"/>
                      <w:highlight w:val="none"/>
                      <w:lang w:val="en-US" w:eastAsia="zh-CN"/>
                    </w:rPr>
                    <w:t>喷雾降尘设施</w:t>
                  </w:r>
                  <w:r>
                    <w:rPr>
                      <w:rFonts w:hint="default"/>
                      <w:color w:val="auto"/>
                      <w:highlight w:val="none"/>
                    </w:rPr>
                    <w:t>，并保证设备正常使用；场区出口设置车辆冲洗设施，运输车辆冲洗干净后驶出场区。水泥、粉煤灰采取仓储，并配套除尘器。</w:t>
                  </w:r>
                </w:p>
              </w:tc>
              <w:tc>
                <w:tcPr>
                  <w:tcW w:w="436" w:type="pct"/>
                  <w:tcBorders>
                    <w:tl2br w:val="nil"/>
                    <w:tr2bl w:val="nil"/>
                  </w:tcBorders>
                  <w:shd w:val="clear" w:color="auto" w:fill="auto"/>
                  <w:vAlign w:val="center"/>
                </w:tcPr>
                <w:p w14:paraId="1DB7D416">
                  <w:pPr>
                    <w:pStyle w:val="40"/>
                    <w:bidi w:val="0"/>
                    <w:ind w:firstLine="0" w:firstLineChars="0"/>
                    <w:jc w:val="both"/>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符合</w:t>
                  </w:r>
                </w:p>
              </w:tc>
            </w:tr>
            <w:tr w14:paraId="415568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93" w:type="pct"/>
                  <w:vMerge w:val="restart"/>
                  <w:tcBorders>
                    <w:tl2br w:val="nil"/>
                    <w:tr2bl w:val="nil"/>
                  </w:tcBorders>
                  <w:shd w:val="clear" w:color="auto" w:fill="auto"/>
                  <w:vAlign w:val="center"/>
                </w:tcPr>
                <w:p w14:paraId="3FCBDE88">
                  <w:pPr>
                    <w:pStyle w:val="40"/>
                    <w:bidi w:val="0"/>
                    <w:jc w:val="center"/>
                    <w:rPr>
                      <w:rFonts w:hint="eastAsia" w:eastAsia="宋体"/>
                      <w:color w:val="auto"/>
                      <w:spacing w:val="-6"/>
                      <w:sz w:val="21"/>
                      <w:highlight w:val="none"/>
                      <w:lang w:eastAsia="zh-CN"/>
                    </w:rPr>
                  </w:pPr>
                  <w:r>
                    <w:rPr>
                      <w:rFonts w:hint="eastAsia"/>
                      <w:color w:val="auto"/>
                      <w:spacing w:val="-6"/>
                      <w:sz w:val="21"/>
                      <w:highlight w:val="none"/>
                      <w:lang w:eastAsia="zh-CN"/>
                    </w:rPr>
                    <w:t>《</w:t>
                  </w:r>
                  <w:r>
                    <w:rPr>
                      <w:rFonts w:hint="eastAsia"/>
                      <w:color w:val="auto"/>
                      <w:spacing w:val="-6"/>
                      <w:sz w:val="21"/>
                      <w:szCs w:val="21"/>
                      <w:highlight w:val="none"/>
                    </w:rPr>
                    <w:t>榆林市</w:t>
                  </w:r>
                  <w:r>
                    <w:rPr>
                      <w:rFonts w:hint="eastAsia"/>
                      <w:color w:val="auto"/>
                      <w:spacing w:val="-6"/>
                      <w:sz w:val="21"/>
                      <w:szCs w:val="21"/>
                      <w:highlight w:val="none"/>
                      <w:lang w:eastAsia="zh-CN"/>
                    </w:rPr>
                    <w:t>“</w:t>
                  </w:r>
                  <w:r>
                    <w:rPr>
                      <w:rFonts w:hint="eastAsia"/>
                      <w:color w:val="auto"/>
                      <w:spacing w:val="-6"/>
                      <w:sz w:val="21"/>
                      <w:szCs w:val="21"/>
                      <w:highlight w:val="none"/>
                    </w:rPr>
                    <w:t>十四五</w:t>
                  </w:r>
                  <w:r>
                    <w:rPr>
                      <w:rFonts w:hint="eastAsia"/>
                      <w:color w:val="auto"/>
                      <w:spacing w:val="-6"/>
                      <w:sz w:val="21"/>
                      <w:szCs w:val="21"/>
                      <w:highlight w:val="none"/>
                      <w:lang w:eastAsia="zh-CN"/>
                    </w:rPr>
                    <w:t>”</w:t>
                  </w:r>
                  <w:r>
                    <w:rPr>
                      <w:rFonts w:hint="eastAsia"/>
                      <w:color w:val="auto"/>
                      <w:spacing w:val="-6"/>
                      <w:sz w:val="21"/>
                      <w:szCs w:val="21"/>
                      <w:highlight w:val="none"/>
                    </w:rPr>
                    <w:t>生态环境保护规划</w:t>
                  </w:r>
                  <w:r>
                    <w:rPr>
                      <w:rFonts w:hint="eastAsia"/>
                      <w:color w:val="auto"/>
                      <w:spacing w:val="-6"/>
                      <w:sz w:val="21"/>
                      <w:szCs w:val="21"/>
                      <w:highlight w:val="none"/>
                      <w:lang w:eastAsia="zh-CN"/>
                    </w:rPr>
                    <w:t>》</w:t>
                  </w:r>
                </w:p>
              </w:tc>
              <w:tc>
                <w:tcPr>
                  <w:tcW w:w="2080" w:type="pct"/>
                  <w:tcBorders>
                    <w:tl2br w:val="nil"/>
                    <w:tr2bl w:val="nil"/>
                  </w:tcBorders>
                  <w:shd w:val="clear" w:color="auto" w:fill="auto"/>
                  <w:vAlign w:val="center"/>
                </w:tcPr>
                <w:p w14:paraId="5E700348">
                  <w:pPr>
                    <w:pStyle w:val="40"/>
                    <w:bidi w:val="0"/>
                    <w:jc w:val="both"/>
                    <w:rPr>
                      <w:color w:val="auto"/>
                      <w:highlight w:val="none"/>
                    </w:rPr>
                  </w:pPr>
                  <w:r>
                    <w:rPr>
                      <w:color w:val="auto"/>
                      <w:szCs w:val="21"/>
                      <w:highlight w:val="none"/>
                    </w:rPr>
                    <w:t>深入推进大宗固体废物整治管理。加强固体废物源头减量和资源化利用，推广固体废物资源化、无害化处理处置新技术，创新大宗固体废物协同利用机制，最大限度减少填埋量。</w:t>
                  </w:r>
                </w:p>
              </w:tc>
              <w:tc>
                <w:tcPr>
                  <w:tcW w:w="1789" w:type="pct"/>
                  <w:tcBorders>
                    <w:tl2br w:val="nil"/>
                    <w:tr2bl w:val="nil"/>
                  </w:tcBorders>
                  <w:shd w:val="clear" w:color="auto" w:fill="auto"/>
                  <w:vAlign w:val="center"/>
                </w:tcPr>
                <w:p w14:paraId="39633DB3">
                  <w:pPr>
                    <w:pStyle w:val="40"/>
                    <w:bidi w:val="0"/>
                    <w:jc w:val="both"/>
                    <w:rPr>
                      <w:rFonts w:hint="default" w:eastAsia="宋体"/>
                      <w:color w:val="auto"/>
                      <w:highlight w:val="none"/>
                      <w:lang w:val="en-US" w:eastAsia="zh-CN"/>
                    </w:rPr>
                  </w:pPr>
                  <w:r>
                    <w:rPr>
                      <w:rFonts w:hint="eastAsia"/>
                      <w:color w:val="auto"/>
                      <w:highlight w:val="none"/>
                      <w:lang w:val="en-US" w:eastAsia="zh-CN"/>
                    </w:rPr>
                    <w:t>本项目利用粉煤灰、炉渣、脱硫石膏、镁渣等固体废物制备蒸压硅酸盐功能骨料和混凝土，对其进行资源化、无害化处理，能够最大限度减少填埋量。</w:t>
                  </w:r>
                </w:p>
              </w:tc>
              <w:tc>
                <w:tcPr>
                  <w:tcW w:w="436" w:type="pct"/>
                  <w:tcBorders>
                    <w:tl2br w:val="nil"/>
                    <w:tr2bl w:val="nil"/>
                  </w:tcBorders>
                  <w:shd w:val="clear" w:color="auto" w:fill="auto"/>
                  <w:vAlign w:val="center"/>
                </w:tcPr>
                <w:p w14:paraId="19655235">
                  <w:pPr>
                    <w:pStyle w:val="40"/>
                    <w:bidi w:val="0"/>
                    <w:rPr>
                      <w:color w:val="auto"/>
                      <w:spacing w:val="-11"/>
                      <w:sz w:val="21"/>
                      <w:highlight w:val="none"/>
                    </w:rPr>
                  </w:pPr>
                  <w:r>
                    <w:rPr>
                      <w:rFonts w:hint="eastAsia"/>
                      <w:color w:val="auto"/>
                      <w:highlight w:val="none"/>
                    </w:rPr>
                    <w:t>符合</w:t>
                  </w:r>
                </w:p>
              </w:tc>
            </w:tr>
            <w:tr w14:paraId="36FAF6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93" w:type="pct"/>
                  <w:vMerge w:val="continue"/>
                  <w:tcBorders>
                    <w:tl2br w:val="nil"/>
                    <w:tr2bl w:val="nil"/>
                  </w:tcBorders>
                  <w:shd w:val="clear" w:color="auto" w:fill="auto"/>
                  <w:vAlign w:val="center"/>
                </w:tcPr>
                <w:p w14:paraId="25586E2E">
                  <w:pPr>
                    <w:pStyle w:val="40"/>
                    <w:bidi w:val="0"/>
                    <w:jc w:val="center"/>
                    <w:rPr>
                      <w:color w:val="auto"/>
                      <w:spacing w:val="-6"/>
                      <w:sz w:val="21"/>
                      <w:highlight w:val="none"/>
                    </w:rPr>
                  </w:pPr>
                </w:p>
              </w:tc>
              <w:tc>
                <w:tcPr>
                  <w:tcW w:w="2080" w:type="pct"/>
                  <w:tcBorders>
                    <w:tl2br w:val="nil"/>
                    <w:tr2bl w:val="nil"/>
                  </w:tcBorders>
                  <w:shd w:val="clear" w:color="auto" w:fill="auto"/>
                  <w:vAlign w:val="center"/>
                </w:tcPr>
                <w:p w14:paraId="5A168A79">
                  <w:pPr>
                    <w:pStyle w:val="40"/>
                    <w:bidi w:val="0"/>
                    <w:jc w:val="both"/>
                    <w:rPr>
                      <w:color w:val="auto"/>
                      <w:highlight w:val="none"/>
                    </w:rPr>
                  </w:pPr>
                  <w:r>
                    <w:rPr>
                      <w:rFonts w:hint="eastAsia"/>
                      <w:color w:val="auto"/>
                      <w:szCs w:val="21"/>
                      <w:highlight w:val="none"/>
                    </w:rPr>
                    <w:t>促进新能源机动车替代更新，推进清洁柴油车（机）行动，推进新能源或清洁能源汽车使用，到2025年，新能源车辆比例达到20%以上。</w:t>
                  </w:r>
                </w:p>
              </w:tc>
              <w:tc>
                <w:tcPr>
                  <w:tcW w:w="1789" w:type="pct"/>
                  <w:tcBorders>
                    <w:tl2br w:val="nil"/>
                    <w:tr2bl w:val="nil"/>
                  </w:tcBorders>
                  <w:shd w:val="clear" w:color="auto" w:fill="auto"/>
                  <w:vAlign w:val="center"/>
                </w:tcPr>
                <w:p w14:paraId="2BFF4259">
                  <w:pPr>
                    <w:pStyle w:val="40"/>
                    <w:bidi w:val="0"/>
                    <w:jc w:val="both"/>
                    <w:rPr>
                      <w:rFonts w:hint="default" w:eastAsia="宋体"/>
                      <w:color w:val="auto"/>
                      <w:highlight w:val="none"/>
                      <w:lang w:val="en-US" w:eastAsia="zh-CN"/>
                    </w:rPr>
                  </w:pPr>
                  <w:r>
                    <w:rPr>
                      <w:rFonts w:hint="eastAsia"/>
                      <w:color w:val="auto"/>
                      <w:highlight w:val="none"/>
                      <w:lang w:val="en-US" w:eastAsia="zh-CN"/>
                    </w:rPr>
                    <w:t>本项目所需的罐车和密闭篷布货车优先选用新能源或清洁能源汽车进行使用。</w:t>
                  </w:r>
                </w:p>
              </w:tc>
              <w:tc>
                <w:tcPr>
                  <w:tcW w:w="436" w:type="pct"/>
                  <w:tcBorders>
                    <w:tl2br w:val="nil"/>
                    <w:tr2bl w:val="nil"/>
                  </w:tcBorders>
                  <w:shd w:val="clear" w:color="auto" w:fill="auto"/>
                  <w:vAlign w:val="center"/>
                </w:tcPr>
                <w:p w14:paraId="27348FA8">
                  <w:pPr>
                    <w:pStyle w:val="40"/>
                    <w:bidi w:val="0"/>
                    <w:rPr>
                      <w:color w:val="auto"/>
                      <w:spacing w:val="-11"/>
                      <w:sz w:val="21"/>
                      <w:highlight w:val="none"/>
                    </w:rPr>
                  </w:pPr>
                  <w:r>
                    <w:rPr>
                      <w:rFonts w:hint="eastAsia"/>
                      <w:color w:val="auto"/>
                      <w:highlight w:val="none"/>
                    </w:rPr>
                    <w:t>符合</w:t>
                  </w:r>
                </w:p>
              </w:tc>
            </w:tr>
            <w:tr w14:paraId="3419C4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93" w:type="pct"/>
                  <w:vMerge w:val="restart"/>
                  <w:tcBorders>
                    <w:tl2br w:val="nil"/>
                    <w:tr2bl w:val="nil"/>
                  </w:tcBorders>
                  <w:shd w:val="clear" w:color="auto" w:fill="auto"/>
                  <w:vAlign w:val="center"/>
                </w:tcPr>
                <w:p w14:paraId="47EE6901">
                  <w:pPr>
                    <w:pStyle w:val="40"/>
                    <w:bidi w:val="0"/>
                    <w:ind w:firstLine="0" w:firstLineChars="0"/>
                    <w:jc w:val="center"/>
                    <w:rPr>
                      <w:color w:val="auto"/>
                      <w:spacing w:val="-6"/>
                      <w:sz w:val="21"/>
                      <w:highlight w:val="none"/>
                    </w:rPr>
                  </w:pPr>
                  <w:r>
                    <w:rPr>
                      <w:rFonts w:hint="default" w:ascii="Times New Roman" w:hAnsi="Times New Roman" w:cs="Times New Roman"/>
                      <w:color w:val="auto"/>
                      <w:spacing w:val="-6"/>
                      <w:sz w:val="21"/>
                      <w:szCs w:val="21"/>
                      <w:highlight w:val="none"/>
                    </w:rPr>
                    <w:t>《榆林市</w:t>
                  </w:r>
                  <w:r>
                    <w:rPr>
                      <w:rFonts w:hint="eastAsia" w:ascii="Times New Roman" w:hAnsi="Times New Roman" w:cs="Times New Roman"/>
                      <w:color w:val="auto"/>
                      <w:spacing w:val="-6"/>
                      <w:sz w:val="21"/>
                      <w:szCs w:val="21"/>
                      <w:highlight w:val="none"/>
                      <w:lang w:eastAsia="zh-CN"/>
                    </w:rPr>
                    <w:t>“</w:t>
                  </w:r>
                  <w:r>
                    <w:rPr>
                      <w:rFonts w:hint="default" w:ascii="Times New Roman" w:hAnsi="Times New Roman" w:cs="Times New Roman"/>
                      <w:color w:val="auto"/>
                      <w:spacing w:val="-6"/>
                      <w:sz w:val="21"/>
                      <w:szCs w:val="21"/>
                      <w:highlight w:val="none"/>
                    </w:rPr>
                    <w:t>十四五</w:t>
                  </w:r>
                  <w:r>
                    <w:rPr>
                      <w:rFonts w:hint="eastAsia" w:ascii="Times New Roman" w:hAnsi="Times New Roman" w:cs="Times New Roman"/>
                      <w:color w:val="auto"/>
                      <w:spacing w:val="-6"/>
                      <w:sz w:val="21"/>
                      <w:szCs w:val="21"/>
                      <w:highlight w:val="none"/>
                      <w:lang w:eastAsia="zh-CN"/>
                    </w:rPr>
                    <w:t>”</w:t>
                  </w:r>
                  <w:r>
                    <w:rPr>
                      <w:rFonts w:hint="default" w:ascii="Times New Roman" w:hAnsi="Times New Roman" w:cs="Times New Roman"/>
                      <w:color w:val="auto"/>
                      <w:spacing w:val="-6"/>
                      <w:sz w:val="21"/>
                      <w:szCs w:val="21"/>
                      <w:highlight w:val="none"/>
                    </w:rPr>
                    <w:t>工业固体废物污染防治规划》（榆政环发〔2022〕12号）</w:t>
                  </w:r>
                </w:p>
              </w:tc>
              <w:tc>
                <w:tcPr>
                  <w:tcW w:w="2080" w:type="pct"/>
                  <w:tcBorders>
                    <w:tl2br w:val="nil"/>
                    <w:tr2bl w:val="nil"/>
                  </w:tcBorders>
                  <w:shd w:val="clear" w:color="auto" w:fill="auto"/>
                  <w:vAlign w:val="center"/>
                </w:tcPr>
                <w:p w14:paraId="022410C1">
                  <w:pPr>
                    <w:pStyle w:val="40"/>
                    <w:numPr>
                      <w:ilvl w:val="0"/>
                      <w:numId w:val="0"/>
                    </w:numPr>
                    <w:bidi w:val="0"/>
                    <w:ind w:left="0" w:leftChars="0" w:firstLine="0" w:firstLineChars="0"/>
                    <w:jc w:val="both"/>
                    <w:rPr>
                      <w:rFonts w:hint="eastAsia" w:ascii="Times New Roman" w:hAnsi="Times New Roman" w:eastAsia="宋体" w:cs="Times New Roman"/>
                      <w:b w:val="0"/>
                      <w:bCs w:val="0"/>
                      <w:color w:val="auto"/>
                      <w:kern w:val="2"/>
                      <w:sz w:val="21"/>
                      <w:szCs w:val="21"/>
                      <w:highlight w:val="none"/>
                      <w:lang w:val="en-US" w:eastAsia="zh-CN" w:bidi="ar-SA"/>
                    </w:rPr>
                  </w:pPr>
                  <w:r>
                    <w:rPr>
                      <w:rFonts w:hint="default"/>
                      <w:color w:val="auto"/>
                      <w:spacing w:val="-6"/>
                      <w:sz w:val="21"/>
                      <w:highlight w:val="none"/>
                    </w:rPr>
                    <w:t>坚持减量化、资源化、无害化原则。坚持对已产生但又无法或暂时无法进行综合利用的固体废物，进行对环境无害化处理，降低固体废物的危害性，并最大限度降低固体废物的填埋量。</w:t>
                  </w:r>
                </w:p>
              </w:tc>
              <w:tc>
                <w:tcPr>
                  <w:tcW w:w="1789" w:type="pct"/>
                  <w:vMerge w:val="restart"/>
                  <w:tcBorders>
                    <w:tl2br w:val="nil"/>
                    <w:tr2bl w:val="nil"/>
                  </w:tcBorders>
                  <w:shd w:val="clear" w:color="auto" w:fill="auto"/>
                  <w:vAlign w:val="center"/>
                </w:tcPr>
                <w:p w14:paraId="4CE68867">
                  <w:pPr>
                    <w:pStyle w:val="40"/>
                    <w:bidi w:val="0"/>
                    <w:ind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本项目利用</w:t>
                  </w:r>
                  <w:r>
                    <w:rPr>
                      <w:rFonts w:hint="default"/>
                      <w:color w:val="auto"/>
                      <w:highlight w:val="none"/>
                      <w:lang w:val="en-US" w:eastAsia="zh-CN"/>
                    </w:rPr>
                    <w:t>陕投集团清水川发电有限公司、陕煤电力集团新元洁能发电有限公司产生的粉煤灰、炉渣</w:t>
                  </w:r>
                  <w:r>
                    <w:rPr>
                      <w:rFonts w:hint="eastAsia"/>
                      <w:color w:val="auto"/>
                      <w:highlight w:val="none"/>
                      <w:lang w:val="en-US" w:eastAsia="zh-CN"/>
                    </w:rPr>
                    <w:t>，陕煤新建电厂烟气脱硫副产石膏，</w:t>
                  </w:r>
                  <w:r>
                    <w:rPr>
                      <w:rFonts w:hint="default"/>
                      <w:color w:val="auto"/>
                      <w:highlight w:val="none"/>
                      <w:lang w:val="en-US" w:eastAsia="zh-CN"/>
                    </w:rPr>
                    <w:t>府谷县镁业集团有限责任公司</w:t>
                  </w:r>
                  <w:r>
                    <w:rPr>
                      <w:rFonts w:hint="eastAsia"/>
                      <w:color w:val="auto"/>
                      <w:highlight w:val="none"/>
                      <w:lang w:val="en-US" w:eastAsia="zh-CN"/>
                    </w:rPr>
                    <w:t>和府谷县泰达煤化有限责任公司</w:t>
                  </w:r>
                  <w:r>
                    <w:rPr>
                      <w:rFonts w:hint="default"/>
                      <w:color w:val="auto"/>
                      <w:highlight w:val="none"/>
                      <w:lang w:val="en-US" w:eastAsia="zh-CN"/>
                    </w:rPr>
                    <w:t>产生的镁渣</w:t>
                  </w:r>
                  <w:r>
                    <w:rPr>
                      <w:rFonts w:hint="eastAsia"/>
                      <w:color w:val="auto"/>
                      <w:highlight w:val="none"/>
                      <w:lang w:val="en-US" w:eastAsia="zh-CN"/>
                    </w:rPr>
                    <w:t>，制备蒸压硅酸盐功能骨料和混凝土，促进</w:t>
                  </w:r>
                  <w:r>
                    <w:rPr>
                      <w:rFonts w:hint="default"/>
                      <w:color w:val="auto"/>
                      <w:highlight w:val="none"/>
                    </w:rPr>
                    <w:t>固体废物的资源化利用</w:t>
                  </w:r>
                  <w:r>
                    <w:rPr>
                      <w:rFonts w:hint="eastAsia"/>
                      <w:color w:val="auto"/>
                      <w:highlight w:val="none"/>
                      <w:lang w:eastAsia="zh-CN"/>
                    </w:rPr>
                    <w:t>，</w:t>
                  </w:r>
                  <w:r>
                    <w:rPr>
                      <w:rFonts w:hint="default"/>
                      <w:color w:val="auto"/>
                      <w:highlight w:val="none"/>
                    </w:rPr>
                    <w:t>属于工业固体废物综合利用项目。</w:t>
                  </w:r>
                </w:p>
              </w:tc>
              <w:tc>
                <w:tcPr>
                  <w:tcW w:w="436" w:type="pct"/>
                  <w:tcBorders>
                    <w:tl2br w:val="nil"/>
                    <w:tr2bl w:val="nil"/>
                  </w:tcBorders>
                  <w:shd w:val="clear" w:color="auto" w:fill="auto"/>
                  <w:vAlign w:val="center"/>
                </w:tcPr>
                <w:p w14:paraId="6DE63E7A">
                  <w:pPr>
                    <w:pStyle w:val="40"/>
                    <w:bidi w:val="0"/>
                    <w:ind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符合</w:t>
                  </w:r>
                </w:p>
              </w:tc>
            </w:tr>
            <w:tr w14:paraId="537EB2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93" w:type="pct"/>
                  <w:vMerge w:val="continue"/>
                  <w:tcBorders>
                    <w:tl2br w:val="nil"/>
                    <w:tr2bl w:val="nil"/>
                  </w:tcBorders>
                  <w:shd w:val="clear" w:color="auto" w:fill="auto"/>
                  <w:vAlign w:val="center"/>
                </w:tcPr>
                <w:p w14:paraId="0F5DC1FF">
                  <w:pPr>
                    <w:pStyle w:val="40"/>
                    <w:bidi w:val="0"/>
                    <w:jc w:val="center"/>
                    <w:rPr>
                      <w:color w:val="auto"/>
                      <w:spacing w:val="-6"/>
                      <w:sz w:val="21"/>
                      <w:highlight w:val="none"/>
                    </w:rPr>
                  </w:pPr>
                </w:p>
              </w:tc>
              <w:tc>
                <w:tcPr>
                  <w:tcW w:w="2080" w:type="pct"/>
                  <w:tcBorders>
                    <w:tl2br w:val="nil"/>
                    <w:tr2bl w:val="nil"/>
                  </w:tcBorders>
                  <w:shd w:val="clear" w:color="auto" w:fill="auto"/>
                  <w:vAlign w:val="center"/>
                </w:tcPr>
                <w:p w14:paraId="06BCCA83">
                  <w:pPr>
                    <w:pStyle w:val="40"/>
                    <w:numPr>
                      <w:ilvl w:val="0"/>
                      <w:numId w:val="0"/>
                    </w:numPr>
                    <w:bidi w:val="0"/>
                    <w:ind w:left="0" w:leftChars="0" w:firstLine="0" w:firstLineChars="0"/>
                    <w:jc w:val="both"/>
                    <w:rPr>
                      <w:rFonts w:hint="eastAsia" w:ascii="Times New Roman" w:hAnsi="Times New Roman" w:eastAsia="宋体" w:cs="Times New Roman"/>
                      <w:b w:val="0"/>
                      <w:bCs w:val="0"/>
                      <w:color w:val="auto"/>
                      <w:kern w:val="2"/>
                      <w:sz w:val="21"/>
                      <w:szCs w:val="21"/>
                      <w:highlight w:val="none"/>
                      <w:lang w:val="en-US" w:eastAsia="zh-CN" w:bidi="ar-SA"/>
                    </w:rPr>
                  </w:pPr>
                  <w:r>
                    <w:rPr>
                      <w:rFonts w:hint="default"/>
                      <w:color w:val="auto"/>
                      <w:highlight w:val="none"/>
                    </w:rPr>
                    <w:t>大力开展固体废物的资源化利用</w:t>
                  </w:r>
                  <w:r>
                    <w:rPr>
                      <w:rFonts w:hint="eastAsia"/>
                      <w:color w:val="auto"/>
                      <w:highlight w:val="none"/>
                      <w:lang w:eastAsia="zh-CN"/>
                    </w:rPr>
                    <w:t>：粉煤灰大掺量制混凝土路面材料、多孔砖和墙材制陶粒、活性粉体、干混砂浆生产、土壤改良剂等；镁渣优化源头改性技术研发，并推广应用镁渣制备路基材料和充填材料的辅助胶凝材料等；脱硫石膏重点推广石膏粉、抹灰石膏砂浆等产品工艺。</w:t>
                  </w:r>
                </w:p>
              </w:tc>
              <w:tc>
                <w:tcPr>
                  <w:tcW w:w="1789" w:type="pct"/>
                  <w:vMerge w:val="continue"/>
                  <w:tcBorders>
                    <w:tl2br w:val="nil"/>
                    <w:tr2bl w:val="nil"/>
                  </w:tcBorders>
                  <w:shd w:val="clear" w:color="auto" w:fill="auto"/>
                  <w:vAlign w:val="center"/>
                </w:tcPr>
                <w:p w14:paraId="559D71F7">
                  <w:pPr>
                    <w:pStyle w:val="40"/>
                    <w:bidi w:val="0"/>
                    <w:jc w:val="both"/>
                    <w:rPr>
                      <w:color w:val="auto"/>
                      <w:highlight w:val="none"/>
                    </w:rPr>
                  </w:pPr>
                </w:p>
              </w:tc>
              <w:tc>
                <w:tcPr>
                  <w:tcW w:w="436" w:type="pct"/>
                  <w:tcBorders>
                    <w:tl2br w:val="nil"/>
                    <w:tr2bl w:val="nil"/>
                  </w:tcBorders>
                  <w:shd w:val="clear" w:color="auto" w:fill="auto"/>
                  <w:vAlign w:val="center"/>
                </w:tcPr>
                <w:p w14:paraId="74189FC5">
                  <w:pPr>
                    <w:pStyle w:val="40"/>
                    <w:bidi w:val="0"/>
                    <w:ind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符合</w:t>
                  </w:r>
                </w:p>
              </w:tc>
            </w:tr>
            <w:tr w14:paraId="11720B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93" w:type="pct"/>
                  <w:tcBorders>
                    <w:tl2br w:val="nil"/>
                    <w:tr2bl w:val="nil"/>
                  </w:tcBorders>
                  <w:shd w:val="clear" w:color="auto" w:fill="auto"/>
                  <w:vAlign w:val="center"/>
                </w:tcPr>
                <w:p w14:paraId="3D721040">
                  <w:pPr>
                    <w:pStyle w:val="40"/>
                    <w:bidi w:val="0"/>
                    <w:ind w:firstLine="0" w:firstLineChars="0"/>
                    <w:jc w:val="center"/>
                    <w:rPr>
                      <w:rFonts w:hint="eastAsia"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sz w:val="21"/>
                      <w:highlight w:val="none"/>
                    </w:rPr>
                    <w:t>《榆林市工业固体废物综合利用三年行动方案（2023-2025年）》</w:t>
                  </w:r>
                </w:p>
              </w:tc>
              <w:tc>
                <w:tcPr>
                  <w:tcW w:w="2080" w:type="pct"/>
                  <w:tcBorders>
                    <w:tl2br w:val="nil"/>
                    <w:tr2bl w:val="nil"/>
                  </w:tcBorders>
                  <w:shd w:val="clear" w:color="auto" w:fill="auto"/>
                  <w:vAlign w:val="center"/>
                </w:tcPr>
                <w:p w14:paraId="218FE86A">
                  <w:pPr>
                    <w:pStyle w:val="40"/>
                    <w:bidi w:val="0"/>
                    <w:ind w:firstLine="0" w:firstLineChars="0"/>
                    <w:jc w:val="both"/>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szCs w:val="21"/>
                      <w:highlight w:val="none"/>
                    </w:rPr>
                    <w:t>2023年至2025年，全市新增大宗工业固体废物综合利用率不低于48%、53%和60%，历史贮存工业固体废物有序减少</w:t>
                  </w:r>
                  <w:r>
                    <w:rPr>
                      <w:rFonts w:hint="eastAsia"/>
                      <w:color w:val="auto"/>
                      <w:szCs w:val="21"/>
                      <w:highlight w:val="none"/>
                      <w:lang w:eastAsia="zh-CN"/>
                    </w:rPr>
                    <w:t>。</w:t>
                  </w:r>
                </w:p>
              </w:tc>
              <w:tc>
                <w:tcPr>
                  <w:tcW w:w="1789" w:type="pct"/>
                  <w:tcBorders>
                    <w:tl2br w:val="nil"/>
                    <w:tr2bl w:val="nil"/>
                  </w:tcBorders>
                  <w:shd w:val="clear" w:color="auto" w:fill="auto"/>
                  <w:vAlign w:val="center"/>
                </w:tcPr>
                <w:p w14:paraId="40A87C8A">
                  <w:pPr>
                    <w:pStyle w:val="40"/>
                    <w:bidi w:val="0"/>
                    <w:ind w:firstLine="0" w:firstLineChars="0"/>
                    <w:jc w:val="both"/>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本项目利用粉煤灰、炉渣、脱硫石膏、镁渣等固体废物制备蒸压硅酸盐功能骨料和混凝土，提高了工业固体废物的综合利用率，使其有序减少。</w:t>
                  </w:r>
                </w:p>
              </w:tc>
              <w:tc>
                <w:tcPr>
                  <w:tcW w:w="436" w:type="pct"/>
                  <w:tcBorders>
                    <w:tl2br w:val="nil"/>
                    <w:tr2bl w:val="nil"/>
                  </w:tcBorders>
                  <w:shd w:val="clear" w:color="auto" w:fill="auto"/>
                  <w:vAlign w:val="center"/>
                </w:tcPr>
                <w:p w14:paraId="2210D39D">
                  <w:pPr>
                    <w:pStyle w:val="40"/>
                    <w:bidi w:val="0"/>
                    <w:ind w:firstLine="0" w:firstLineChars="0"/>
                    <w:rPr>
                      <w:rFonts w:hint="eastAsia" w:ascii="Times New Roman" w:hAnsi="Times New Roman" w:eastAsia="宋体" w:cs="Times New Roman"/>
                      <w:b w:val="0"/>
                      <w:bCs w:val="0"/>
                      <w:color w:val="auto"/>
                      <w:spacing w:val="-11"/>
                      <w:kern w:val="2"/>
                      <w:sz w:val="21"/>
                      <w:szCs w:val="21"/>
                      <w:highlight w:val="none"/>
                      <w:lang w:val="en-US" w:eastAsia="zh-CN" w:bidi="ar-SA"/>
                    </w:rPr>
                  </w:pPr>
                  <w:r>
                    <w:rPr>
                      <w:rFonts w:hint="eastAsia"/>
                      <w:color w:val="auto"/>
                      <w:highlight w:val="none"/>
                    </w:rPr>
                    <w:t>符合</w:t>
                  </w:r>
                </w:p>
              </w:tc>
            </w:tr>
            <w:tr w14:paraId="503D02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93" w:type="pct"/>
                  <w:vMerge w:val="restart"/>
                  <w:tcBorders>
                    <w:tl2br w:val="nil"/>
                    <w:tr2bl w:val="nil"/>
                  </w:tcBorders>
                  <w:shd w:val="clear" w:color="auto" w:fill="auto"/>
                  <w:vAlign w:val="center"/>
                </w:tcPr>
                <w:p w14:paraId="38BF0690">
                  <w:pPr>
                    <w:pStyle w:val="40"/>
                    <w:bidi w:val="0"/>
                    <w:ind w:firstLine="0" w:firstLineChars="0"/>
                    <w:jc w:val="center"/>
                    <w:rPr>
                      <w:rFonts w:hint="eastAsia" w:ascii="Times New Roman" w:hAnsi="Times New Roman" w:eastAsia="宋体" w:cs="Times New Roman"/>
                      <w:b w:val="0"/>
                      <w:bCs w:val="0"/>
                      <w:color w:val="auto"/>
                      <w:spacing w:val="-6"/>
                      <w:kern w:val="2"/>
                      <w:sz w:val="21"/>
                      <w:szCs w:val="21"/>
                      <w:highlight w:val="none"/>
                      <w:lang w:val="en-US" w:eastAsia="zh-CN" w:bidi="ar-SA"/>
                    </w:rPr>
                  </w:pPr>
                  <w:r>
                    <w:rPr>
                      <w:rFonts w:hint="default" w:ascii="Times New Roman" w:hAnsi="Times New Roman" w:eastAsia="宋体" w:cs="Times New Roman"/>
                      <w:b w:val="0"/>
                      <w:bCs w:val="0"/>
                      <w:color w:val="auto"/>
                      <w:spacing w:val="-6"/>
                      <w:sz w:val="21"/>
                      <w:szCs w:val="21"/>
                      <w:highlight w:val="none"/>
                      <w:lang w:val="en-US" w:eastAsia="zh-CN"/>
                    </w:rPr>
                    <w:t>《榆林市大气污染治理专项行动方案（2023-2027年）》</w:t>
                  </w:r>
                </w:p>
              </w:tc>
              <w:tc>
                <w:tcPr>
                  <w:tcW w:w="2080" w:type="pct"/>
                  <w:tcBorders>
                    <w:tl2br w:val="nil"/>
                    <w:tr2bl w:val="nil"/>
                  </w:tcBorders>
                  <w:shd w:val="clear" w:color="auto" w:fill="auto"/>
                  <w:vAlign w:val="center"/>
                </w:tcPr>
                <w:p w14:paraId="1FB568B6">
                  <w:pPr>
                    <w:pStyle w:val="40"/>
                    <w:bidi w:val="0"/>
                    <w:ind w:firstLine="0" w:firstLineChars="0"/>
                    <w:jc w:val="both"/>
                    <w:rPr>
                      <w:rFonts w:hint="eastAsia" w:ascii="Times New Roman" w:hAnsi="Times New Roman" w:eastAsia="宋体" w:cs="Times New Roman"/>
                      <w:b w:val="0"/>
                      <w:bCs w:val="0"/>
                      <w:color w:val="auto"/>
                      <w:kern w:val="2"/>
                      <w:sz w:val="21"/>
                      <w:szCs w:val="21"/>
                      <w:highlight w:val="none"/>
                      <w:lang w:val="en-US" w:eastAsia="zh-CN" w:bidi="ar-SA"/>
                    </w:rPr>
                  </w:pPr>
                  <w:r>
                    <w:rPr>
                      <w:bCs/>
                      <w:color w:val="auto"/>
                      <w:szCs w:val="24"/>
                      <w:highlight w:val="none"/>
                    </w:rPr>
                    <w:t>严把燃煤锅炉准入关，城市建成区禁止新建燃煤锅炉，不再新建燃煤集中供热站。</w:t>
                  </w:r>
                </w:p>
              </w:tc>
              <w:tc>
                <w:tcPr>
                  <w:tcW w:w="1789" w:type="pct"/>
                  <w:tcBorders>
                    <w:tl2br w:val="nil"/>
                    <w:tr2bl w:val="nil"/>
                  </w:tcBorders>
                  <w:shd w:val="clear" w:color="auto" w:fill="auto"/>
                  <w:vAlign w:val="center"/>
                </w:tcPr>
                <w:p w14:paraId="57601896">
                  <w:pPr>
                    <w:pStyle w:val="40"/>
                    <w:bidi w:val="0"/>
                    <w:ind w:firstLine="0" w:firstLineChars="0"/>
                    <w:jc w:val="both"/>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本项目</w:t>
                  </w:r>
                  <w:r>
                    <w:rPr>
                      <w:rFonts w:hint="eastAsia"/>
                      <w:color w:val="auto"/>
                      <w:highlight w:val="none"/>
                    </w:rPr>
                    <w:t>新建生物质锅炉</w:t>
                  </w:r>
                  <w:r>
                    <w:rPr>
                      <w:rFonts w:hint="eastAsia"/>
                      <w:color w:val="auto"/>
                      <w:highlight w:val="none"/>
                      <w:lang w:eastAsia="zh-CN"/>
                    </w:rPr>
                    <w:t>，</w:t>
                  </w:r>
                  <w:r>
                    <w:rPr>
                      <w:rFonts w:hint="eastAsia"/>
                      <w:color w:val="auto"/>
                      <w:sz w:val="21"/>
                      <w:szCs w:val="21"/>
                      <w:highlight w:val="none"/>
                      <w:lang w:val="en-US" w:eastAsia="zh-CN"/>
                    </w:rPr>
                    <w:t>用于提供蒸压硅酸盐功能骨料蒸养工段所需蒸汽，并作为生产车间、综合办公楼、宿舍和食堂的采暖热源</w:t>
                  </w:r>
                  <w:r>
                    <w:rPr>
                      <w:rFonts w:hint="eastAsia"/>
                      <w:color w:val="auto"/>
                      <w:highlight w:val="none"/>
                      <w:lang w:eastAsia="zh-CN"/>
                    </w:rPr>
                    <w:t>。</w:t>
                  </w:r>
                </w:p>
              </w:tc>
              <w:tc>
                <w:tcPr>
                  <w:tcW w:w="436" w:type="pct"/>
                  <w:tcBorders>
                    <w:tl2br w:val="nil"/>
                    <w:tr2bl w:val="nil"/>
                  </w:tcBorders>
                  <w:shd w:val="clear" w:color="auto" w:fill="auto"/>
                  <w:vAlign w:val="center"/>
                </w:tcPr>
                <w:p w14:paraId="7A3C50FC">
                  <w:pPr>
                    <w:pStyle w:val="40"/>
                    <w:bidi w:val="0"/>
                    <w:ind w:firstLine="0" w:firstLineChars="0"/>
                    <w:jc w:val="both"/>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符合</w:t>
                  </w:r>
                </w:p>
              </w:tc>
            </w:tr>
            <w:tr w14:paraId="1EB8BB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93" w:type="pct"/>
                  <w:vMerge w:val="continue"/>
                  <w:tcBorders>
                    <w:tl2br w:val="nil"/>
                    <w:tr2bl w:val="nil"/>
                  </w:tcBorders>
                  <w:shd w:val="clear" w:color="auto" w:fill="auto"/>
                  <w:vAlign w:val="center"/>
                </w:tcPr>
                <w:p w14:paraId="671509D7">
                  <w:pPr>
                    <w:pStyle w:val="40"/>
                    <w:bidi w:val="0"/>
                    <w:ind w:firstLine="0" w:firstLineChars="0"/>
                    <w:jc w:val="center"/>
                    <w:rPr>
                      <w:rFonts w:hint="eastAsia" w:ascii="Times New Roman" w:hAnsi="Times New Roman" w:eastAsia="宋体" w:cs="Times New Roman"/>
                      <w:b w:val="0"/>
                      <w:bCs w:val="0"/>
                      <w:color w:val="auto"/>
                      <w:spacing w:val="-6"/>
                      <w:kern w:val="2"/>
                      <w:sz w:val="21"/>
                      <w:szCs w:val="21"/>
                      <w:highlight w:val="none"/>
                      <w:lang w:val="en-US" w:eastAsia="zh-CN" w:bidi="ar-SA"/>
                    </w:rPr>
                  </w:pPr>
                </w:p>
              </w:tc>
              <w:tc>
                <w:tcPr>
                  <w:tcW w:w="2080" w:type="pct"/>
                  <w:tcBorders>
                    <w:tl2br w:val="nil"/>
                    <w:tr2bl w:val="nil"/>
                  </w:tcBorders>
                  <w:shd w:val="clear" w:color="auto" w:fill="auto"/>
                  <w:vAlign w:val="center"/>
                </w:tcPr>
                <w:p w14:paraId="060E88BF">
                  <w:pPr>
                    <w:pStyle w:val="40"/>
                    <w:bidi w:val="0"/>
                    <w:ind w:firstLine="0" w:firstLineChars="0"/>
                    <w:jc w:val="both"/>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20</w:t>
                  </w:r>
                  <w:r>
                    <w:rPr>
                      <w:rFonts w:hint="eastAsia"/>
                      <w:color w:val="auto"/>
                      <w:highlight w:val="none"/>
                    </w:rPr>
                    <w:t>25年底前，电力等行业以及大宗货物年运输量在100万吨以上的企业、物流园区的清洁运输比例提高到30%；2027年底前清洁运输比例提高到70%以上。日载货车辆10辆次及以上的单位涉及大宗物料运输企业全部建立门禁系统</w:t>
                  </w:r>
                  <w:r>
                    <w:rPr>
                      <w:rFonts w:hint="eastAsia"/>
                      <w:color w:val="auto"/>
                      <w:highlight w:val="none"/>
                      <w:lang w:eastAsia="zh-CN"/>
                    </w:rPr>
                    <w:t>。</w:t>
                  </w:r>
                </w:p>
              </w:tc>
              <w:tc>
                <w:tcPr>
                  <w:tcW w:w="1789" w:type="pct"/>
                  <w:tcBorders>
                    <w:tl2br w:val="nil"/>
                    <w:tr2bl w:val="nil"/>
                  </w:tcBorders>
                  <w:shd w:val="clear" w:color="auto" w:fill="auto"/>
                  <w:vAlign w:val="center"/>
                </w:tcPr>
                <w:p w14:paraId="46EC0ED1">
                  <w:pPr>
                    <w:pStyle w:val="40"/>
                    <w:bidi w:val="0"/>
                    <w:ind w:firstLine="0" w:firstLineChars="0"/>
                    <w:jc w:val="both"/>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本项目优先选用清洁运输车辆，在厂区出入口建立门禁系统。</w:t>
                  </w:r>
                </w:p>
              </w:tc>
              <w:tc>
                <w:tcPr>
                  <w:tcW w:w="436" w:type="pct"/>
                  <w:tcBorders>
                    <w:tl2br w:val="nil"/>
                    <w:tr2bl w:val="nil"/>
                  </w:tcBorders>
                  <w:shd w:val="clear" w:color="auto" w:fill="auto"/>
                  <w:vAlign w:val="center"/>
                </w:tcPr>
                <w:p w14:paraId="1486CA35">
                  <w:pPr>
                    <w:pStyle w:val="40"/>
                    <w:bidi w:val="0"/>
                    <w:ind w:firstLine="0" w:firstLineChars="0"/>
                    <w:jc w:val="both"/>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符合</w:t>
                  </w:r>
                </w:p>
              </w:tc>
            </w:tr>
            <w:tr w14:paraId="3874E8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93" w:type="pct"/>
                  <w:vMerge w:val="continue"/>
                  <w:tcBorders>
                    <w:tl2br w:val="nil"/>
                    <w:tr2bl w:val="nil"/>
                  </w:tcBorders>
                  <w:shd w:val="clear" w:color="auto" w:fill="auto"/>
                  <w:vAlign w:val="center"/>
                </w:tcPr>
                <w:p w14:paraId="2FC242BA">
                  <w:pPr>
                    <w:pStyle w:val="40"/>
                    <w:bidi w:val="0"/>
                    <w:ind w:firstLine="0" w:firstLineChars="0"/>
                    <w:jc w:val="center"/>
                    <w:rPr>
                      <w:rFonts w:hint="eastAsia" w:ascii="Times New Roman" w:hAnsi="Times New Roman" w:eastAsia="宋体" w:cs="Times New Roman"/>
                      <w:b w:val="0"/>
                      <w:bCs w:val="0"/>
                      <w:color w:val="auto"/>
                      <w:spacing w:val="-6"/>
                      <w:kern w:val="2"/>
                      <w:sz w:val="21"/>
                      <w:szCs w:val="21"/>
                      <w:highlight w:val="none"/>
                      <w:lang w:val="en-US" w:eastAsia="zh-CN" w:bidi="ar-SA"/>
                    </w:rPr>
                  </w:pPr>
                </w:p>
              </w:tc>
              <w:tc>
                <w:tcPr>
                  <w:tcW w:w="2080" w:type="pct"/>
                  <w:tcBorders>
                    <w:tl2br w:val="nil"/>
                    <w:tr2bl w:val="nil"/>
                  </w:tcBorders>
                  <w:shd w:val="clear" w:color="auto" w:fill="auto"/>
                  <w:vAlign w:val="center"/>
                </w:tcPr>
                <w:p w14:paraId="518E7B64">
                  <w:pPr>
                    <w:pStyle w:val="40"/>
                    <w:bidi w:val="0"/>
                    <w:ind w:firstLine="0" w:firstLineChars="0"/>
                    <w:jc w:val="both"/>
                    <w:rPr>
                      <w:rFonts w:hint="eastAsia" w:ascii="Times New Roman" w:hAnsi="Times New Roman" w:eastAsia="宋体" w:cs="Times New Roman"/>
                      <w:b w:val="0"/>
                      <w:bCs w:val="0"/>
                      <w:color w:val="auto"/>
                      <w:kern w:val="2"/>
                      <w:sz w:val="21"/>
                      <w:szCs w:val="21"/>
                      <w:highlight w:val="none"/>
                      <w:lang w:val="en-US" w:eastAsia="zh-CN" w:bidi="ar-SA"/>
                    </w:rPr>
                  </w:pPr>
                  <w:r>
                    <w:rPr>
                      <w:rFonts w:hint="default"/>
                      <w:color w:val="auto"/>
                      <w:highlight w:val="none"/>
                    </w:rPr>
                    <w:t>4</w:t>
                  </w:r>
                  <w:r>
                    <w:rPr>
                      <w:rFonts w:hint="eastAsia"/>
                      <w:color w:val="auto"/>
                      <w:highlight w:val="none"/>
                      <w:lang w:eastAsia="zh-CN"/>
                    </w:rPr>
                    <w:t>、</w:t>
                  </w:r>
                  <w:r>
                    <w:rPr>
                      <w:rFonts w:hint="default"/>
                      <w:color w:val="auto"/>
                      <w:highlight w:val="none"/>
                    </w:rPr>
                    <w:t>强化扬尘污染防治。落实《榆林市扬尘污染防治条例》，强化建筑工地、裸露土地、城市道路、涉煤企业等扬尘污染管控。施工场地严格执行</w:t>
                  </w:r>
                  <w:r>
                    <w:rPr>
                      <w:rFonts w:hint="eastAsia"/>
                      <w:color w:val="auto"/>
                      <w:highlight w:val="none"/>
                      <w:lang w:eastAsia="zh-CN"/>
                    </w:rPr>
                    <w:t>“</w:t>
                  </w:r>
                  <w:r>
                    <w:rPr>
                      <w:rFonts w:hint="default"/>
                      <w:color w:val="auto"/>
                      <w:highlight w:val="none"/>
                    </w:rPr>
                    <w:t>六个百分之百</w:t>
                  </w:r>
                  <w:r>
                    <w:rPr>
                      <w:rFonts w:hint="eastAsia"/>
                      <w:color w:val="auto"/>
                      <w:highlight w:val="none"/>
                      <w:lang w:eastAsia="zh-CN"/>
                    </w:rPr>
                    <w:t>”</w:t>
                  </w:r>
                  <w:r>
                    <w:rPr>
                      <w:rFonts w:hint="default"/>
                      <w:color w:val="auto"/>
                      <w:highlight w:val="none"/>
                    </w:rPr>
                    <w:t>要求，场界扬尘排放超过《施工场界扬尘排放限制》（DB</w:t>
                  </w:r>
                  <w:r>
                    <w:rPr>
                      <w:rFonts w:hint="eastAsia"/>
                      <w:color w:val="auto"/>
                      <w:highlight w:val="none"/>
                      <w:lang w:val="en-US" w:eastAsia="zh-CN"/>
                    </w:rPr>
                    <w:t xml:space="preserve"> </w:t>
                  </w:r>
                  <w:r>
                    <w:rPr>
                      <w:rFonts w:hint="default"/>
                      <w:color w:val="auto"/>
                      <w:highlight w:val="none"/>
                    </w:rPr>
                    <w:t>61/1078-2017）的立即停工整改</w:t>
                  </w:r>
                  <w:r>
                    <w:rPr>
                      <w:rFonts w:hint="eastAsia"/>
                      <w:color w:val="auto"/>
                      <w:highlight w:val="none"/>
                      <w:lang w:eastAsia="zh-CN"/>
                    </w:rPr>
                    <w:t>，</w:t>
                  </w:r>
                  <w:r>
                    <w:rPr>
                      <w:rFonts w:hint="default"/>
                      <w:color w:val="auto"/>
                      <w:highlight w:val="none"/>
                    </w:rPr>
                    <w:t>严格落实施工工地重污染天气应急减排措施。</w:t>
                  </w:r>
                </w:p>
              </w:tc>
              <w:tc>
                <w:tcPr>
                  <w:tcW w:w="1789" w:type="pct"/>
                  <w:tcBorders>
                    <w:tl2br w:val="nil"/>
                    <w:tr2bl w:val="nil"/>
                  </w:tcBorders>
                  <w:shd w:val="clear" w:color="auto" w:fill="auto"/>
                  <w:vAlign w:val="center"/>
                </w:tcPr>
                <w:p w14:paraId="39A3E707">
                  <w:pPr>
                    <w:pStyle w:val="40"/>
                    <w:bidi w:val="0"/>
                    <w:ind w:firstLine="0" w:firstLineChars="0"/>
                    <w:jc w:val="both"/>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rPr>
                    <w:t>本项目</w:t>
                  </w:r>
                  <w:r>
                    <w:rPr>
                      <w:rFonts w:hint="eastAsia"/>
                      <w:color w:val="auto"/>
                      <w:highlight w:val="none"/>
                      <w:lang w:val="en-US" w:eastAsia="zh-CN"/>
                    </w:rPr>
                    <w:t>在地基开挖、桩基施工、渣土运输等施工阶段，持续采取洒水、覆盖、冲洗等扬尘管控措施；厂区路面全部硬化并及时进行冲洗清扫，设有洗车机对进出厂区的密闭篷布货车轮胎进行冲洗；建筑工</w:t>
                  </w:r>
                  <w:r>
                    <w:rPr>
                      <w:rFonts w:hint="eastAsia"/>
                      <w:color w:val="auto"/>
                      <w:spacing w:val="-6"/>
                      <w:sz w:val="21"/>
                      <w:highlight w:val="none"/>
                      <w:lang w:val="en-US" w:eastAsia="zh-CN"/>
                    </w:rPr>
                    <w:t>地四周建设固定喷淋设施，严格管控扬尘污染，</w:t>
                  </w:r>
                  <w:r>
                    <w:rPr>
                      <w:rFonts w:hint="default"/>
                      <w:color w:val="auto"/>
                      <w:spacing w:val="-6"/>
                      <w:sz w:val="21"/>
                      <w:highlight w:val="none"/>
                    </w:rPr>
                    <w:t>落实《榆林市扬尘污染防治条例》</w:t>
                  </w:r>
                  <w:r>
                    <w:rPr>
                      <w:rFonts w:hint="eastAsia"/>
                      <w:color w:val="auto"/>
                      <w:spacing w:val="-6"/>
                      <w:sz w:val="21"/>
                      <w:highlight w:val="none"/>
                      <w:lang w:eastAsia="zh-CN"/>
                    </w:rPr>
                    <w:t>。</w:t>
                  </w:r>
                </w:p>
              </w:tc>
              <w:tc>
                <w:tcPr>
                  <w:tcW w:w="436" w:type="pct"/>
                  <w:tcBorders>
                    <w:tl2br w:val="nil"/>
                    <w:tr2bl w:val="nil"/>
                  </w:tcBorders>
                  <w:shd w:val="clear" w:color="auto" w:fill="auto"/>
                  <w:vAlign w:val="center"/>
                </w:tcPr>
                <w:p w14:paraId="48438503">
                  <w:pPr>
                    <w:pStyle w:val="40"/>
                    <w:bidi w:val="0"/>
                    <w:ind w:firstLine="0" w:firstLineChars="0"/>
                    <w:jc w:val="both"/>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符合</w:t>
                  </w:r>
                </w:p>
              </w:tc>
            </w:tr>
            <w:tr w14:paraId="3791EC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93" w:type="pct"/>
                  <w:vMerge w:val="restart"/>
                  <w:tcBorders>
                    <w:tl2br w:val="nil"/>
                    <w:tr2bl w:val="nil"/>
                  </w:tcBorders>
                  <w:shd w:val="clear" w:color="auto" w:fill="auto"/>
                  <w:vAlign w:val="center"/>
                </w:tcPr>
                <w:p w14:paraId="527A2A69">
                  <w:pPr>
                    <w:pStyle w:val="40"/>
                    <w:bidi w:val="0"/>
                    <w:rPr>
                      <w:rFonts w:hint="default" w:ascii="Times New Roman" w:hAnsi="Times New Roman" w:eastAsia="宋体" w:cs="Times New Roman"/>
                      <w:color w:val="auto"/>
                      <w:spacing w:val="-6"/>
                      <w:szCs w:val="21"/>
                      <w:highlight w:val="none"/>
                      <w:lang w:val="en-US" w:eastAsia="zh-CN"/>
                    </w:rPr>
                  </w:pPr>
                  <w:r>
                    <w:rPr>
                      <w:rFonts w:hint="eastAsia"/>
                      <w:color w:val="auto"/>
                      <w:spacing w:val="-6"/>
                      <w:sz w:val="21"/>
                      <w:highlight w:val="none"/>
                      <w:lang w:val="en-US" w:eastAsia="zh-CN"/>
                    </w:rPr>
                    <w:t>关于继续做好“十四五”推进沿黄重点地区工业项目入园及严控高污染、高耗水、高耗能项目有关工作的通知（榆政发改发</w:t>
                  </w:r>
                  <w:r>
                    <w:rPr>
                      <w:rFonts w:hint="eastAsia" w:ascii="Times New Roman" w:hAnsi="Times New Roman" w:eastAsia="宋体" w:cs="Times New Roman"/>
                      <w:color w:val="auto"/>
                      <w:spacing w:val="-6"/>
                      <w:sz w:val="21"/>
                      <w:szCs w:val="21"/>
                      <w:highlight w:val="none"/>
                      <w:lang w:val="en-US" w:eastAsia="zh-CN"/>
                    </w:rPr>
                    <w:t>〔</w:t>
                  </w:r>
                  <w:r>
                    <w:rPr>
                      <w:rFonts w:hint="default" w:ascii="Times New Roman" w:hAnsi="Times New Roman" w:eastAsia="宋体" w:cs="Times New Roman"/>
                      <w:color w:val="auto"/>
                      <w:spacing w:val="-6"/>
                      <w:sz w:val="21"/>
                      <w:szCs w:val="21"/>
                      <w:highlight w:val="none"/>
                      <w:lang w:val="en-US" w:eastAsia="zh-CN"/>
                    </w:rPr>
                    <w:t>202</w:t>
                  </w:r>
                  <w:r>
                    <w:rPr>
                      <w:rFonts w:hint="eastAsia" w:cs="Times New Roman"/>
                      <w:color w:val="auto"/>
                      <w:spacing w:val="-6"/>
                      <w:sz w:val="21"/>
                      <w:szCs w:val="21"/>
                      <w:highlight w:val="none"/>
                      <w:lang w:val="en-US" w:eastAsia="zh-CN"/>
                    </w:rPr>
                    <w:t>1</w:t>
                  </w:r>
                  <w:r>
                    <w:rPr>
                      <w:rFonts w:hint="eastAsia" w:ascii="Times New Roman" w:hAnsi="Times New Roman" w:eastAsia="宋体" w:cs="Times New Roman"/>
                      <w:color w:val="auto"/>
                      <w:spacing w:val="-6"/>
                      <w:sz w:val="21"/>
                      <w:szCs w:val="21"/>
                      <w:highlight w:val="none"/>
                      <w:lang w:val="en-US" w:eastAsia="zh-CN"/>
                    </w:rPr>
                    <w:t>〕</w:t>
                  </w:r>
                  <w:r>
                    <w:rPr>
                      <w:rFonts w:hint="eastAsia" w:cs="Times New Roman"/>
                      <w:color w:val="auto"/>
                      <w:spacing w:val="-6"/>
                      <w:sz w:val="21"/>
                      <w:szCs w:val="21"/>
                      <w:highlight w:val="none"/>
                      <w:lang w:val="en-US" w:eastAsia="zh-CN"/>
                    </w:rPr>
                    <w:t>313号）</w:t>
                  </w:r>
                </w:p>
              </w:tc>
              <w:tc>
                <w:tcPr>
                  <w:tcW w:w="2080" w:type="pct"/>
                  <w:tcBorders>
                    <w:tl2br w:val="nil"/>
                    <w:tr2bl w:val="nil"/>
                  </w:tcBorders>
                  <w:shd w:val="clear" w:color="auto" w:fill="auto"/>
                  <w:vAlign w:val="center"/>
                </w:tcPr>
                <w:p w14:paraId="7A273227">
                  <w:pPr>
                    <w:pStyle w:val="40"/>
                    <w:bidi w:val="0"/>
                    <w:ind w:firstLine="0" w:firstLineChars="0"/>
                    <w:jc w:val="both"/>
                    <w:rPr>
                      <w:rFonts w:hint="default" w:eastAsia="宋体"/>
                      <w:color w:val="auto"/>
                      <w:highlight w:val="none"/>
                      <w:lang w:val="en-US" w:eastAsia="zh-CN"/>
                    </w:rPr>
                  </w:pPr>
                  <w:r>
                    <w:rPr>
                      <w:rFonts w:hint="eastAsia"/>
                      <w:color w:val="auto"/>
                      <w:highlight w:val="none"/>
                      <w:lang w:val="en-US" w:eastAsia="zh-CN"/>
                    </w:rPr>
                    <w:t>推进沿黄重点地区工业项目入园和严控高污染、高耗水、高耗能项目，是实现黄河流域生态系统治理、源头治理的重要举措，是推动黄河流域高质量发展的有效途径。我市沿黄重点地区包括府谷县、神木市、佳县、吴堡县、绥德县、清涧县，以及榆神工业区。“十四五”时期沿黄重点地区拟建的工业项目，一律按要求进入合规工业园区。</w:t>
                  </w:r>
                </w:p>
              </w:tc>
              <w:tc>
                <w:tcPr>
                  <w:tcW w:w="1789" w:type="pct"/>
                  <w:tcBorders>
                    <w:tl2br w:val="nil"/>
                    <w:tr2bl w:val="nil"/>
                  </w:tcBorders>
                  <w:shd w:val="clear" w:color="auto" w:fill="auto"/>
                  <w:vAlign w:val="center"/>
                </w:tcPr>
                <w:p w14:paraId="5C043539">
                  <w:pPr>
                    <w:pStyle w:val="40"/>
                    <w:bidi w:val="0"/>
                    <w:ind w:firstLine="0" w:firstLineChars="0"/>
                    <w:jc w:val="both"/>
                    <w:rPr>
                      <w:rFonts w:hint="default"/>
                      <w:color w:val="auto"/>
                      <w:highlight w:val="none"/>
                      <w:lang w:val="en-US" w:eastAsia="zh-CN"/>
                    </w:rPr>
                  </w:pPr>
                  <w:r>
                    <w:rPr>
                      <w:rFonts w:hint="eastAsia"/>
                      <w:color w:val="auto"/>
                      <w:highlight w:val="none"/>
                      <w:lang w:val="en-US" w:eastAsia="zh-CN"/>
                    </w:rPr>
                    <w:t>本项目位于榆林市府谷县清水川工业园区，属于沿黄重点地区，府谷高新技术产业开发区管理委员会已出具准予入园的函，明确该项目符合府谷高新技术产业开发区总体规划要求</w:t>
                  </w:r>
                  <w:r>
                    <w:rPr>
                      <w:rFonts w:hint="eastAsia"/>
                      <w:color w:val="auto"/>
                      <w:spacing w:val="0"/>
                      <w:highlight w:val="none"/>
                      <w:lang w:eastAsia="zh-CN"/>
                    </w:rPr>
                    <w:t>（</w:t>
                  </w:r>
                  <w:r>
                    <w:rPr>
                      <w:rFonts w:hint="eastAsia"/>
                      <w:color w:val="auto"/>
                      <w:spacing w:val="0"/>
                      <w:highlight w:val="none"/>
                      <w:lang w:val="en-US" w:eastAsia="zh-CN"/>
                    </w:rPr>
                    <w:t>附件2）。</w:t>
                  </w:r>
                </w:p>
              </w:tc>
              <w:tc>
                <w:tcPr>
                  <w:tcW w:w="436" w:type="pct"/>
                  <w:tcBorders>
                    <w:tl2br w:val="nil"/>
                    <w:tr2bl w:val="nil"/>
                  </w:tcBorders>
                  <w:shd w:val="clear" w:color="auto" w:fill="auto"/>
                  <w:vAlign w:val="center"/>
                </w:tcPr>
                <w:p w14:paraId="60D2BE61">
                  <w:pPr>
                    <w:pStyle w:val="40"/>
                    <w:bidi w:val="0"/>
                    <w:ind w:firstLine="0" w:firstLineChars="0"/>
                    <w:jc w:val="both"/>
                    <w:rPr>
                      <w:rFonts w:hint="default"/>
                      <w:color w:val="auto"/>
                      <w:highlight w:val="none"/>
                      <w:lang w:val="en-US" w:eastAsia="zh-CN"/>
                    </w:rPr>
                  </w:pPr>
                  <w:r>
                    <w:rPr>
                      <w:rFonts w:hint="eastAsia"/>
                      <w:color w:val="auto"/>
                      <w:highlight w:val="none"/>
                      <w:lang w:val="en-US" w:eastAsia="zh-CN"/>
                    </w:rPr>
                    <w:t>符合</w:t>
                  </w:r>
                </w:p>
              </w:tc>
            </w:tr>
            <w:tr w14:paraId="372A17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93" w:type="pct"/>
                  <w:vMerge w:val="continue"/>
                  <w:tcBorders>
                    <w:tl2br w:val="nil"/>
                    <w:tr2bl w:val="nil"/>
                  </w:tcBorders>
                  <w:shd w:val="clear" w:color="auto" w:fill="auto"/>
                  <w:vAlign w:val="center"/>
                </w:tcPr>
                <w:p w14:paraId="0AC3D08B">
                  <w:pPr>
                    <w:pStyle w:val="40"/>
                    <w:bidi w:val="0"/>
                    <w:ind w:firstLine="0" w:firstLineChars="0"/>
                    <w:jc w:val="center"/>
                    <w:rPr>
                      <w:rFonts w:hint="eastAsia" w:ascii="Times New Roman" w:hAnsi="Times New Roman" w:eastAsia="宋体" w:cs="Times New Roman"/>
                      <w:color w:val="auto"/>
                      <w:spacing w:val="-6"/>
                      <w:sz w:val="21"/>
                      <w:szCs w:val="21"/>
                      <w:highlight w:val="none"/>
                      <w:lang w:val="en-US" w:eastAsia="zh-CN"/>
                    </w:rPr>
                  </w:pPr>
                </w:p>
              </w:tc>
              <w:tc>
                <w:tcPr>
                  <w:tcW w:w="2080" w:type="pct"/>
                  <w:tcBorders>
                    <w:tl2br w:val="nil"/>
                    <w:tr2bl w:val="nil"/>
                  </w:tcBorders>
                  <w:shd w:val="clear" w:color="auto" w:fill="auto"/>
                  <w:vAlign w:val="center"/>
                </w:tcPr>
                <w:p w14:paraId="38E039E5">
                  <w:pPr>
                    <w:pStyle w:val="40"/>
                    <w:numPr>
                      <w:ilvl w:val="0"/>
                      <w:numId w:val="0"/>
                    </w:numPr>
                    <w:bidi w:val="0"/>
                    <w:ind w:firstLine="0" w:firstLineChars="0"/>
                    <w:jc w:val="both"/>
                    <w:rPr>
                      <w:rFonts w:hint="default"/>
                      <w:color w:val="auto"/>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bidi="ar-SA"/>
                    </w:rPr>
                    <w:t>四、</w:t>
                  </w:r>
                  <w:r>
                    <w:rPr>
                      <w:rFonts w:hint="eastAsia"/>
                      <w:color w:val="auto"/>
                      <w:highlight w:val="none"/>
                      <w:lang w:val="en-US" w:eastAsia="zh-CN"/>
                    </w:rPr>
                    <w:t>严控新上高污染、高耗水、高耗能项目。高污染项目暂按石化、化工、钢铁、有色金属冶炼、建材等五个行业类别进行统计；高耗水项目暂按食品制造业、纺织业、造纸和纸制品业、石油、煤炭及其他燃料加工业、化学燃料和化学制品制造业、黑色金属冶炼压延加工业等六个行业类别进行统计；高耗能项目暂按石油、煤炭及其他燃料加工业、化学原料和化学制品制造业、非金属矿物制品业、黑色金属冶炼压延加工业、有色金属冶炼压延加工业等五个行业类别统计。</w:t>
                  </w:r>
                </w:p>
              </w:tc>
              <w:tc>
                <w:tcPr>
                  <w:tcW w:w="1789" w:type="pct"/>
                  <w:tcBorders>
                    <w:tl2br w:val="nil"/>
                    <w:tr2bl w:val="nil"/>
                  </w:tcBorders>
                  <w:shd w:val="clear" w:color="auto" w:fill="auto"/>
                  <w:vAlign w:val="center"/>
                </w:tcPr>
                <w:p w14:paraId="270577D1">
                  <w:pPr>
                    <w:pStyle w:val="40"/>
                    <w:bidi w:val="0"/>
                    <w:ind w:firstLine="0" w:firstLineChars="0"/>
                    <w:jc w:val="both"/>
                    <w:rPr>
                      <w:rFonts w:hint="default"/>
                      <w:color w:val="auto"/>
                      <w:highlight w:val="none"/>
                      <w:lang w:val="en-US" w:eastAsia="zh-CN"/>
                    </w:rPr>
                  </w:pPr>
                  <w:r>
                    <w:rPr>
                      <w:rFonts w:hint="eastAsia"/>
                      <w:color w:val="auto"/>
                      <w:highlight w:val="none"/>
                      <w:lang w:val="en-US" w:eastAsia="zh-CN"/>
                    </w:rPr>
                    <w:t>本项目利用粉煤灰、炉渣、脱硫石膏、镁渣等固体废物制备蒸压硅酸盐功能骨料和混凝土，不属于高污染、高耗水、高耗能项目。</w:t>
                  </w:r>
                </w:p>
              </w:tc>
              <w:tc>
                <w:tcPr>
                  <w:tcW w:w="436" w:type="pct"/>
                  <w:tcBorders>
                    <w:tl2br w:val="nil"/>
                    <w:tr2bl w:val="nil"/>
                  </w:tcBorders>
                  <w:shd w:val="clear" w:color="auto" w:fill="auto"/>
                  <w:vAlign w:val="center"/>
                </w:tcPr>
                <w:p w14:paraId="75C8242F">
                  <w:pPr>
                    <w:pStyle w:val="40"/>
                    <w:bidi w:val="0"/>
                    <w:ind w:firstLine="0" w:firstLineChars="0"/>
                    <w:jc w:val="both"/>
                    <w:rPr>
                      <w:rFonts w:hint="default"/>
                      <w:color w:val="auto"/>
                      <w:highlight w:val="none"/>
                      <w:lang w:val="en-US" w:eastAsia="zh-CN"/>
                    </w:rPr>
                  </w:pPr>
                  <w:r>
                    <w:rPr>
                      <w:rFonts w:hint="eastAsia"/>
                      <w:color w:val="auto"/>
                      <w:highlight w:val="none"/>
                      <w:lang w:val="en-US" w:eastAsia="zh-CN"/>
                    </w:rPr>
                    <w:t>符合</w:t>
                  </w:r>
                </w:p>
              </w:tc>
            </w:tr>
            <w:tr w14:paraId="7F2BE3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93" w:type="pct"/>
                  <w:tcBorders>
                    <w:tl2br w:val="nil"/>
                    <w:tr2bl w:val="nil"/>
                  </w:tcBorders>
                  <w:shd w:val="clear" w:color="auto" w:fill="auto"/>
                  <w:vAlign w:val="center"/>
                </w:tcPr>
                <w:p w14:paraId="75E8BD45">
                  <w:pPr>
                    <w:pStyle w:val="40"/>
                    <w:bidi w:val="0"/>
                    <w:ind w:firstLine="0" w:firstLineChars="0"/>
                    <w:jc w:val="center"/>
                    <w:rPr>
                      <w:rFonts w:hint="eastAsia" w:ascii="Times New Roman" w:hAnsi="Times New Roman" w:eastAsia="宋体" w:cs="Times New Roman"/>
                      <w:b w:val="0"/>
                      <w:bCs w:val="0"/>
                      <w:color w:val="auto"/>
                      <w:spacing w:val="-6"/>
                      <w:kern w:val="2"/>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《榆林市支持大宗工业固体废物综合利用管理办法（试行）》的通知（榆办字〔</w:t>
                  </w:r>
                  <w:r>
                    <w:rPr>
                      <w:rFonts w:hint="default" w:ascii="Times New Roman" w:hAnsi="Times New Roman" w:eastAsia="宋体" w:cs="Times New Roman"/>
                      <w:color w:val="auto"/>
                      <w:spacing w:val="-6"/>
                      <w:sz w:val="21"/>
                      <w:szCs w:val="21"/>
                      <w:highlight w:val="none"/>
                      <w:lang w:val="en-US" w:eastAsia="zh-CN"/>
                    </w:rPr>
                    <w:t>2023</w:t>
                  </w:r>
                  <w:r>
                    <w:rPr>
                      <w:rFonts w:hint="eastAsia" w:ascii="Times New Roman" w:hAnsi="Times New Roman" w:eastAsia="宋体" w:cs="Times New Roman"/>
                      <w:color w:val="auto"/>
                      <w:spacing w:val="-6"/>
                      <w:sz w:val="21"/>
                      <w:szCs w:val="21"/>
                      <w:highlight w:val="none"/>
                      <w:lang w:val="en-US" w:eastAsia="zh-CN"/>
                    </w:rPr>
                    <w:t>〕</w:t>
                  </w:r>
                  <w:r>
                    <w:rPr>
                      <w:rFonts w:hint="default" w:ascii="Times New Roman" w:hAnsi="Times New Roman" w:eastAsia="宋体" w:cs="Times New Roman"/>
                      <w:color w:val="auto"/>
                      <w:spacing w:val="-6"/>
                      <w:sz w:val="21"/>
                      <w:szCs w:val="21"/>
                      <w:highlight w:val="none"/>
                      <w:lang w:val="en-US" w:eastAsia="zh-CN"/>
                    </w:rPr>
                    <w:t>9</w:t>
                  </w:r>
                  <w:r>
                    <w:rPr>
                      <w:rFonts w:hint="eastAsia" w:ascii="Times New Roman" w:hAnsi="Times New Roman" w:eastAsia="宋体" w:cs="Times New Roman"/>
                      <w:color w:val="auto"/>
                      <w:spacing w:val="-6"/>
                      <w:sz w:val="21"/>
                      <w:szCs w:val="21"/>
                      <w:highlight w:val="none"/>
                      <w:lang w:val="en-US" w:eastAsia="zh-CN"/>
                    </w:rPr>
                    <w:t>号）</w:t>
                  </w:r>
                </w:p>
              </w:tc>
              <w:tc>
                <w:tcPr>
                  <w:tcW w:w="2080" w:type="pct"/>
                  <w:tcBorders>
                    <w:tl2br w:val="nil"/>
                    <w:tr2bl w:val="nil"/>
                  </w:tcBorders>
                  <w:shd w:val="clear" w:color="auto" w:fill="auto"/>
                  <w:vAlign w:val="center"/>
                </w:tcPr>
                <w:p w14:paraId="2117382B">
                  <w:pPr>
                    <w:pStyle w:val="40"/>
                    <w:bidi w:val="0"/>
                    <w:ind w:firstLine="0" w:firstLineChars="0"/>
                    <w:jc w:val="both"/>
                    <w:rPr>
                      <w:rFonts w:hint="eastAsia" w:ascii="Times New Roman" w:hAnsi="Times New Roman" w:eastAsia="宋体" w:cs="Times New Roman"/>
                      <w:b w:val="0"/>
                      <w:bCs w:val="0"/>
                      <w:color w:val="auto"/>
                      <w:kern w:val="2"/>
                      <w:sz w:val="21"/>
                      <w:szCs w:val="21"/>
                      <w:highlight w:val="none"/>
                      <w:lang w:val="en-US" w:eastAsia="zh-CN" w:bidi="ar-SA"/>
                    </w:rPr>
                  </w:pPr>
                  <w:r>
                    <w:rPr>
                      <w:rFonts w:hint="default"/>
                      <w:color w:val="auto"/>
                      <w:highlight w:val="none"/>
                    </w:rPr>
                    <w:t>第五条 重点支持方向</w:t>
                  </w:r>
                  <w:r>
                    <w:rPr>
                      <w:rFonts w:hint="eastAsia"/>
                      <w:color w:val="auto"/>
                      <w:highlight w:val="none"/>
                      <w:lang w:val="en-US" w:eastAsia="zh-CN"/>
                    </w:rPr>
                    <w:t>为</w:t>
                  </w:r>
                  <w:r>
                    <w:rPr>
                      <w:rFonts w:hint="eastAsia"/>
                      <w:color w:val="auto"/>
                      <w:highlight w:val="none"/>
                      <w:lang w:eastAsia="zh-CN"/>
                    </w:rPr>
                    <w:t>：（</w:t>
                  </w:r>
                  <w:r>
                    <w:rPr>
                      <w:rFonts w:hint="default"/>
                      <w:color w:val="auto"/>
                      <w:highlight w:val="none"/>
                    </w:rPr>
                    <w:t>五</w:t>
                  </w:r>
                  <w:r>
                    <w:rPr>
                      <w:rFonts w:hint="eastAsia"/>
                      <w:color w:val="auto"/>
                      <w:highlight w:val="none"/>
                      <w:lang w:eastAsia="zh-CN"/>
                    </w:rPr>
                    <w:t>）</w:t>
                  </w:r>
                  <w:r>
                    <w:rPr>
                      <w:rFonts w:hint="default"/>
                      <w:color w:val="auto"/>
                      <w:highlight w:val="none"/>
                    </w:rPr>
                    <w:t>生产传统建材。生产水泥、大体积混凝土、泵送混凝土、高低标号混凝土、灌浆材料、超细粉煤灰等传统建材产品。</w:t>
                  </w:r>
                </w:p>
              </w:tc>
              <w:tc>
                <w:tcPr>
                  <w:tcW w:w="1789" w:type="pct"/>
                  <w:tcBorders>
                    <w:tl2br w:val="nil"/>
                    <w:tr2bl w:val="nil"/>
                  </w:tcBorders>
                  <w:shd w:val="clear" w:color="auto" w:fill="auto"/>
                  <w:vAlign w:val="center"/>
                </w:tcPr>
                <w:p w14:paraId="6CC44C5B">
                  <w:pPr>
                    <w:pStyle w:val="40"/>
                    <w:bidi w:val="0"/>
                    <w:ind w:firstLine="0" w:firstLineChars="0"/>
                    <w:jc w:val="both"/>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本项目利用</w:t>
                  </w:r>
                  <w:r>
                    <w:rPr>
                      <w:rFonts w:hint="default"/>
                      <w:color w:val="auto"/>
                      <w:highlight w:val="none"/>
                      <w:lang w:val="en-US" w:eastAsia="zh-CN"/>
                    </w:rPr>
                    <w:t>陕投集团清水川发电有限公司、陕煤电力集团新元洁能发电有限公司产生的粉煤灰、炉渣</w:t>
                  </w:r>
                  <w:r>
                    <w:rPr>
                      <w:rFonts w:hint="eastAsia"/>
                      <w:color w:val="auto"/>
                      <w:highlight w:val="none"/>
                      <w:lang w:val="en-US" w:eastAsia="zh-CN"/>
                    </w:rPr>
                    <w:t>，陕煤新建电厂烟气脱硫副产石膏，</w:t>
                  </w:r>
                  <w:r>
                    <w:rPr>
                      <w:rFonts w:hint="default"/>
                      <w:color w:val="auto"/>
                      <w:highlight w:val="none"/>
                      <w:lang w:val="en-US" w:eastAsia="zh-CN"/>
                    </w:rPr>
                    <w:t>府谷县镁业集团有限责任公司</w:t>
                  </w:r>
                  <w:r>
                    <w:rPr>
                      <w:rFonts w:hint="eastAsia"/>
                      <w:color w:val="auto"/>
                      <w:highlight w:val="none"/>
                      <w:lang w:val="en-US" w:eastAsia="zh-CN"/>
                    </w:rPr>
                    <w:t>和府谷县泰达煤化有限责任公司</w:t>
                  </w:r>
                  <w:r>
                    <w:rPr>
                      <w:rFonts w:hint="default"/>
                      <w:color w:val="auto"/>
                      <w:highlight w:val="none"/>
                      <w:lang w:val="en-US" w:eastAsia="zh-CN"/>
                    </w:rPr>
                    <w:t>产生的镁渣</w:t>
                  </w:r>
                  <w:r>
                    <w:rPr>
                      <w:rFonts w:hint="eastAsia"/>
                      <w:color w:val="auto"/>
                      <w:spacing w:val="-6"/>
                      <w:sz w:val="21"/>
                      <w:highlight w:val="none"/>
                      <w:lang w:val="en-US" w:eastAsia="zh-CN"/>
                    </w:rPr>
                    <w:t>，制备蒸压硅酸盐功能骨料和混凝土，属于传统建材产品。</w:t>
                  </w:r>
                </w:p>
              </w:tc>
              <w:tc>
                <w:tcPr>
                  <w:tcW w:w="436" w:type="pct"/>
                  <w:tcBorders>
                    <w:tl2br w:val="nil"/>
                    <w:tr2bl w:val="nil"/>
                  </w:tcBorders>
                  <w:shd w:val="clear" w:color="auto" w:fill="auto"/>
                  <w:vAlign w:val="center"/>
                </w:tcPr>
                <w:p w14:paraId="6A807CBF">
                  <w:pPr>
                    <w:pStyle w:val="40"/>
                    <w:bidi w:val="0"/>
                    <w:ind w:firstLine="0" w:firstLineChars="0"/>
                    <w:jc w:val="both"/>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符合</w:t>
                  </w:r>
                </w:p>
              </w:tc>
            </w:tr>
            <w:tr w14:paraId="2E4F9B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5" w:hRule="atLeast"/>
              </w:trPr>
              <w:tc>
                <w:tcPr>
                  <w:tcW w:w="693" w:type="pct"/>
                  <w:tcBorders>
                    <w:tl2br w:val="nil"/>
                    <w:tr2bl w:val="nil"/>
                  </w:tcBorders>
                  <w:shd w:val="clear" w:color="auto" w:fill="auto"/>
                  <w:vAlign w:val="center"/>
                </w:tcPr>
                <w:p w14:paraId="65C70FC0">
                  <w:pPr>
                    <w:pStyle w:val="40"/>
                    <w:bidi w:val="0"/>
                    <w:ind w:firstLine="0" w:firstLineChars="0"/>
                    <w:rPr>
                      <w:rFonts w:hint="eastAsia"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sz w:val="21"/>
                      <w:highlight w:val="none"/>
                    </w:rPr>
                    <w:t>《榆林市生态环境局关于下发全市每小时10蒸吨及以下燃煤锅炉综合整治工作意见的通知》（榆政环发〔20</w:t>
                  </w:r>
                  <w:r>
                    <w:rPr>
                      <w:rFonts w:hint="eastAsia"/>
                      <w:color w:val="auto"/>
                      <w:spacing w:val="-6"/>
                      <w:sz w:val="21"/>
                      <w:highlight w:val="none"/>
                      <w:lang w:val="en-US" w:eastAsia="zh-CN"/>
                    </w:rPr>
                    <w:t>19</w:t>
                  </w:r>
                  <w:r>
                    <w:rPr>
                      <w:rFonts w:hint="eastAsia"/>
                      <w:color w:val="auto"/>
                      <w:spacing w:val="-6"/>
                      <w:sz w:val="21"/>
                      <w:highlight w:val="none"/>
                    </w:rPr>
                    <w:t>〕125号）</w:t>
                  </w:r>
                </w:p>
              </w:tc>
              <w:tc>
                <w:tcPr>
                  <w:tcW w:w="2080" w:type="pct"/>
                  <w:tcBorders>
                    <w:tl2br w:val="nil"/>
                    <w:tr2bl w:val="nil"/>
                  </w:tcBorders>
                  <w:shd w:val="clear" w:color="auto" w:fill="auto"/>
                  <w:vAlign w:val="center"/>
                </w:tcPr>
                <w:p w14:paraId="590336BE">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rPr>
                    <w:t>我市范围内可新建的锅炉有：1.每小时35蒸吨及以上燃煤锅炉</w:t>
                  </w:r>
                  <w:r>
                    <w:rPr>
                      <w:rFonts w:hint="eastAsia"/>
                      <w:color w:val="auto"/>
                      <w:highlight w:val="none"/>
                      <w:lang w:eastAsia="zh-CN"/>
                    </w:rPr>
                    <w:t>（</w:t>
                  </w:r>
                  <w:r>
                    <w:rPr>
                      <w:rFonts w:hint="eastAsia"/>
                      <w:color w:val="auto"/>
                      <w:highlight w:val="none"/>
                    </w:rPr>
                    <w:t>含使用型煤、水煤浆、煤研石、兰炭等煤制品燃料的锅炉</w:t>
                  </w:r>
                  <w:r>
                    <w:rPr>
                      <w:rFonts w:hint="eastAsia"/>
                      <w:color w:val="auto"/>
                      <w:highlight w:val="none"/>
                      <w:lang w:eastAsia="zh-CN"/>
                    </w:rPr>
                    <w:t>）；</w:t>
                  </w:r>
                  <w:r>
                    <w:rPr>
                      <w:rFonts w:hint="eastAsia"/>
                      <w:color w:val="auto"/>
                      <w:highlight w:val="none"/>
                    </w:rPr>
                    <w:t>2.电锅炉</w:t>
                  </w:r>
                  <w:r>
                    <w:rPr>
                      <w:rFonts w:hint="eastAsia"/>
                      <w:color w:val="auto"/>
                      <w:highlight w:val="none"/>
                      <w:lang w:eastAsia="zh-CN"/>
                    </w:rPr>
                    <w:t>；</w:t>
                  </w:r>
                  <w:r>
                    <w:rPr>
                      <w:rFonts w:hint="eastAsia"/>
                      <w:color w:val="auto"/>
                      <w:highlight w:val="none"/>
                    </w:rPr>
                    <w:t>3.燃气锅炉</w:t>
                  </w:r>
                  <w:r>
                    <w:rPr>
                      <w:rFonts w:hint="eastAsia"/>
                      <w:color w:val="auto"/>
                      <w:highlight w:val="none"/>
                      <w:lang w:eastAsia="zh-CN"/>
                    </w:rPr>
                    <w:t>（</w:t>
                  </w:r>
                  <w:r>
                    <w:rPr>
                      <w:rFonts w:hint="eastAsia"/>
                      <w:color w:val="auto"/>
                      <w:highlight w:val="none"/>
                    </w:rPr>
                    <w:t>含荒煤气等其他燃气</w:t>
                  </w:r>
                  <w:r>
                    <w:rPr>
                      <w:rFonts w:hint="eastAsia"/>
                      <w:color w:val="auto"/>
                      <w:highlight w:val="none"/>
                      <w:lang w:eastAsia="zh-CN"/>
                    </w:rPr>
                    <w:t>）；</w:t>
                  </w:r>
                  <w:r>
                    <w:rPr>
                      <w:rFonts w:hint="eastAsia"/>
                      <w:color w:val="auto"/>
                      <w:highlight w:val="none"/>
                    </w:rPr>
                    <w:t>4.醇酵燃料锅炉</w:t>
                  </w:r>
                  <w:r>
                    <w:rPr>
                      <w:rFonts w:hint="eastAsia"/>
                      <w:color w:val="auto"/>
                      <w:highlight w:val="none"/>
                      <w:lang w:eastAsia="zh-CN"/>
                    </w:rPr>
                    <w:t>（</w:t>
                  </w:r>
                  <w:r>
                    <w:rPr>
                      <w:rFonts w:hint="eastAsia"/>
                      <w:color w:val="auto"/>
                      <w:highlight w:val="none"/>
                    </w:rPr>
                    <w:t>参照天然气排放标准执行</w:t>
                  </w:r>
                  <w:r>
                    <w:rPr>
                      <w:rFonts w:hint="eastAsia"/>
                      <w:color w:val="auto"/>
                      <w:highlight w:val="none"/>
                      <w:lang w:eastAsia="zh-CN"/>
                    </w:rPr>
                    <w:t>）</w:t>
                  </w:r>
                  <w:r>
                    <w:rPr>
                      <w:rFonts w:hint="eastAsia"/>
                      <w:color w:val="auto"/>
                      <w:highlight w:val="none"/>
                    </w:rPr>
                    <w:t>。5.燃油锅炉</w:t>
                  </w:r>
                  <w:r>
                    <w:rPr>
                      <w:rFonts w:hint="eastAsia"/>
                      <w:color w:val="auto"/>
                      <w:highlight w:val="none"/>
                      <w:lang w:eastAsia="zh-CN"/>
                    </w:rPr>
                    <w:t>；</w:t>
                  </w:r>
                  <w:r>
                    <w:rPr>
                      <w:rFonts w:hint="eastAsia"/>
                      <w:color w:val="auto"/>
                      <w:highlight w:val="none"/>
                    </w:rPr>
                    <w:t>6.生物质锅炉</w:t>
                  </w:r>
                  <w:r>
                    <w:rPr>
                      <w:rFonts w:hint="eastAsia"/>
                      <w:color w:val="auto"/>
                      <w:highlight w:val="none"/>
                      <w:lang w:eastAsia="zh-CN"/>
                    </w:rPr>
                    <w:t>。</w:t>
                  </w:r>
                </w:p>
              </w:tc>
              <w:tc>
                <w:tcPr>
                  <w:tcW w:w="1789" w:type="pct"/>
                  <w:tcBorders>
                    <w:tl2br w:val="nil"/>
                    <w:tr2bl w:val="nil"/>
                  </w:tcBorders>
                  <w:shd w:val="clear" w:color="auto" w:fill="auto"/>
                  <w:vAlign w:val="center"/>
                </w:tcPr>
                <w:p w14:paraId="249A4848">
                  <w:pPr>
                    <w:pStyle w:val="40"/>
                    <w:bidi w:val="0"/>
                    <w:ind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本项目建设生物质锅炉。</w:t>
                  </w:r>
                </w:p>
              </w:tc>
              <w:tc>
                <w:tcPr>
                  <w:tcW w:w="436" w:type="pct"/>
                  <w:tcBorders>
                    <w:tl2br w:val="nil"/>
                    <w:tr2bl w:val="nil"/>
                  </w:tcBorders>
                  <w:shd w:val="clear" w:color="auto" w:fill="auto"/>
                  <w:vAlign w:val="center"/>
                </w:tcPr>
                <w:p w14:paraId="229B2D26">
                  <w:pPr>
                    <w:pStyle w:val="40"/>
                    <w:bidi w:val="0"/>
                    <w:ind w:firstLine="0" w:firstLineChars="0"/>
                    <w:jc w:val="both"/>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符合</w:t>
                  </w:r>
                </w:p>
              </w:tc>
            </w:tr>
            <w:tr w14:paraId="3576FC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5" w:hRule="atLeast"/>
              </w:trPr>
              <w:tc>
                <w:tcPr>
                  <w:tcW w:w="693" w:type="pct"/>
                  <w:tcBorders>
                    <w:tl2br w:val="nil"/>
                    <w:tr2bl w:val="nil"/>
                  </w:tcBorders>
                  <w:shd w:val="clear" w:color="auto" w:fill="auto"/>
                  <w:vAlign w:val="center"/>
                </w:tcPr>
                <w:p w14:paraId="07AB6F85">
                  <w:pPr>
                    <w:pStyle w:val="40"/>
                    <w:bidi w:val="0"/>
                    <w:ind w:firstLine="0" w:firstLineChars="0"/>
                    <w:jc w:val="center"/>
                    <w:rPr>
                      <w:rFonts w:hint="eastAsia"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sz w:val="21"/>
                      <w:highlight w:val="none"/>
                    </w:rPr>
                    <w:t>《榆林市生态环境局关于全面推动企业扬尘在线监测及智能降尘系统建设工作通知》（榆政环发〔2021〕73号）</w:t>
                  </w:r>
                </w:p>
              </w:tc>
              <w:tc>
                <w:tcPr>
                  <w:tcW w:w="2080" w:type="pct"/>
                  <w:tcBorders>
                    <w:tl2br w:val="nil"/>
                    <w:tr2bl w:val="nil"/>
                  </w:tcBorders>
                  <w:shd w:val="clear" w:color="auto" w:fill="auto"/>
                  <w:vAlign w:val="center"/>
                </w:tcPr>
                <w:p w14:paraId="628167A0">
                  <w:pPr>
                    <w:pStyle w:val="40"/>
                    <w:bidi w:val="0"/>
                    <w:ind w:firstLine="0" w:firstLineChars="0"/>
                    <w:jc w:val="both"/>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rPr>
                    <w:t>一、全面建成企业厂界扬尘在线监测体系：全市范围内涉及扬尘污染的企业，重点包括煤炭开采、储存、洗选、加工企业，含有粉煤灰、废渣等物料堆场的工业企业和其他扬尘污染严重的工业企业6月底前全面建成企业厂界扬尘在线监测设施。原则上至少在厂界四角或东西南北建设4台扬尘在线监控设施，规模较大或有特殊布局的企业要在重点区域增加扬尘在线监控设施的数量，保证监测全覆盖。</w:t>
                  </w:r>
                </w:p>
              </w:tc>
              <w:tc>
                <w:tcPr>
                  <w:tcW w:w="1789" w:type="pct"/>
                  <w:tcBorders>
                    <w:tl2br w:val="nil"/>
                    <w:tr2bl w:val="nil"/>
                  </w:tcBorders>
                  <w:shd w:val="clear" w:color="auto" w:fill="auto"/>
                  <w:vAlign w:val="center"/>
                </w:tcPr>
                <w:p w14:paraId="6D55942A">
                  <w:pPr>
                    <w:pStyle w:val="40"/>
                    <w:bidi w:val="0"/>
                    <w:ind w:firstLine="0" w:firstLineChars="0"/>
                    <w:jc w:val="both"/>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rPr>
                    <w:t>在厂界东西南北各安装1台扬尘在线监控设施</w:t>
                  </w:r>
                  <w:r>
                    <w:rPr>
                      <w:rFonts w:hint="eastAsia"/>
                      <w:color w:val="auto"/>
                      <w:highlight w:val="none"/>
                      <w:lang w:eastAsia="zh-CN"/>
                    </w:rPr>
                    <w:t>。</w:t>
                  </w:r>
                </w:p>
              </w:tc>
              <w:tc>
                <w:tcPr>
                  <w:tcW w:w="436" w:type="pct"/>
                  <w:tcBorders>
                    <w:tl2br w:val="nil"/>
                    <w:tr2bl w:val="nil"/>
                  </w:tcBorders>
                  <w:shd w:val="clear" w:color="auto" w:fill="auto"/>
                  <w:vAlign w:val="center"/>
                </w:tcPr>
                <w:p w14:paraId="4FD5ECE1">
                  <w:pPr>
                    <w:pStyle w:val="40"/>
                    <w:bidi w:val="0"/>
                    <w:ind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rPr>
                    <w:t>符合</w:t>
                  </w:r>
                </w:p>
              </w:tc>
            </w:tr>
            <w:tr w14:paraId="287652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1" w:hRule="atLeast"/>
              </w:trPr>
              <w:tc>
                <w:tcPr>
                  <w:tcW w:w="693" w:type="pct"/>
                  <w:vMerge w:val="restart"/>
                  <w:tcBorders>
                    <w:tl2br w:val="nil"/>
                    <w:tr2bl w:val="nil"/>
                  </w:tcBorders>
                  <w:vAlign w:val="center"/>
                </w:tcPr>
                <w:p w14:paraId="12971DC2">
                  <w:pPr>
                    <w:pStyle w:val="40"/>
                    <w:bidi w:val="0"/>
                    <w:jc w:val="center"/>
                    <w:rPr>
                      <w:rFonts w:hint="default"/>
                      <w:color w:val="auto"/>
                      <w:spacing w:val="-6"/>
                      <w:sz w:val="21"/>
                      <w:highlight w:val="none"/>
                    </w:rPr>
                  </w:pPr>
                  <w:r>
                    <w:rPr>
                      <w:rFonts w:hint="default"/>
                      <w:color w:val="auto"/>
                      <w:spacing w:val="-6"/>
                      <w:sz w:val="21"/>
                      <w:highlight w:val="none"/>
                    </w:rPr>
                    <w:t>《预拌混凝土绿色生产及管理技术规程》（JGJ/T 328-2014）</w:t>
                  </w:r>
                </w:p>
              </w:tc>
              <w:tc>
                <w:tcPr>
                  <w:tcW w:w="2080" w:type="pct"/>
                  <w:tcBorders>
                    <w:tl2br w:val="nil"/>
                    <w:tr2bl w:val="nil"/>
                  </w:tcBorders>
                  <w:vAlign w:val="center"/>
                </w:tcPr>
                <w:p w14:paraId="423C4975">
                  <w:pPr>
                    <w:pStyle w:val="40"/>
                    <w:bidi w:val="0"/>
                    <w:jc w:val="both"/>
                    <w:rPr>
                      <w:rFonts w:hint="default"/>
                      <w:color w:val="auto"/>
                      <w:highlight w:val="none"/>
                    </w:rPr>
                  </w:pPr>
                  <w:r>
                    <w:rPr>
                      <w:rFonts w:hint="default"/>
                      <w:color w:val="auto"/>
                      <w:highlight w:val="none"/>
                    </w:rPr>
                    <w:t>预拌混凝土绿色生产应配备完善的生产废水处置系统，可包括排水沟系统、多级沉淀池系统和管道系统。</w:t>
                  </w:r>
                </w:p>
              </w:tc>
              <w:tc>
                <w:tcPr>
                  <w:tcW w:w="1789" w:type="pct"/>
                  <w:tcBorders>
                    <w:tl2br w:val="nil"/>
                    <w:tr2bl w:val="nil"/>
                  </w:tcBorders>
                  <w:vAlign w:val="center"/>
                </w:tcPr>
                <w:p w14:paraId="0DF2714F">
                  <w:pPr>
                    <w:pStyle w:val="40"/>
                    <w:bidi w:val="0"/>
                    <w:jc w:val="both"/>
                    <w:rPr>
                      <w:rFonts w:hint="default"/>
                      <w:color w:val="auto"/>
                      <w:highlight w:val="none"/>
                    </w:rPr>
                  </w:pPr>
                  <w:r>
                    <w:rPr>
                      <w:rFonts w:hint="default"/>
                      <w:color w:val="auto"/>
                      <w:spacing w:val="-6"/>
                      <w:sz w:val="21"/>
                      <w:highlight w:val="none"/>
                    </w:rPr>
                    <w:t>本项目设置三级沉淀池对设备冲洗废水进行收集处置，沉淀处置后的水回用于混凝土搅拌工序，不外排。</w:t>
                  </w:r>
                </w:p>
              </w:tc>
              <w:tc>
                <w:tcPr>
                  <w:tcW w:w="436" w:type="pct"/>
                  <w:tcBorders>
                    <w:tl2br w:val="nil"/>
                    <w:tr2bl w:val="nil"/>
                  </w:tcBorders>
                  <w:vAlign w:val="center"/>
                </w:tcPr>
                <w:p w14:paraId="31D49757">
                  <w:pPr>
                    <w:pStyle w:val="40"/>
                    <w:bidi w:val="0"/>
                    <w:jc w:val="both"/>
                    <w:rPr>
                      <w:rFonts w:hint="default"/>
                      <w:color w:val="auto"/>
                      <w:highlight w:val="none"/>
                    </w:rPr>
                  </w:pPr>
                  <w:r>
                    <w:rPr>
                      <w:rFonts w:hint="eastAsia"/>
                      <w:color w:val="auto"/>
                      <w:highlight w:val="none"/>
                      <w:lang w:val="en-US" w:eastAsia="zh-CN"/>
                    </w:rPr>
                    <w:t>符合</w:t>
                  </w:r>
                </w:p>
              </w:tc>
            </w:tr>
            <w:tr w14:paraId="303558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28" w:hRule="atLeast"/>
              </w:trPr>
              <w:tc>
                <w:tcPr>
                  <w:tcW w:w="693" w:type="pct"/>
                  <w:vMerge w:val="continue"/>
                  <w:tcBorders>
                    <w:tl2br w:val="nil"/>
                    <w:tr2bl w:val="nil"/>
                  </w:tcBorders>
                  <w:vAlign w:val="center"/>
                </w:tcPr>
                <w:p w14:paraId="01400337">
                  <w:pPr>
                    <w:pStyle w:val="40"/>
                    <w:bidi w:val="0"/>
                    <w:jc w:val="center"/>
                    <w:rPr>
                      <w:rFonts w:hint="default"/>
                      <w:color w:val="auto"/>
                      <w:spacing w:val="-6"/>
                      <w:sz w:val="21"/>
                      <w:highlight w:val="none"/>
                    </w:rPr>
                  </w:pPr>
                </w:p>
              </w:tc>
              <w:tc>
                <w:tcPr>
                  <w:tcW w:w="2080" w:type="pct"/>
                  <w:tcBorders>
                    <w:tl2br w:val="nil"/>
                    <w:tr2bl w:val="nil"/>
                  </w:tcBorders>
                  <w:shd w:val="clear" w:color="auto" w:fill="auto"/>
                  <w:vAlign w:val="center"/>
                </w:tcPr>
                <w:p w14:paraId="04991BE7">
                  <w:pPr>
                    <w:pStyle w:val="40"/>
                    <w:bidi w:val="0"/>
                    <w:ind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highlight w:val="none"/>
                    </w:rPr>
                    <w:t>预拌混凝土绿色生产宜采取下列防尘措施：</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rPr>
                    <w:t>对产生粉尘排放的设备设施或场所进行封闭处理或安装除尘装置；</w:t>
                  </w:r>
                  <w:r>
                    <w:rPr>
                      <w:rFonts w:hint="eastAsia" w:ascii="Times New Roman" w:hAnsi="Times New Roman" w:cs="Times New Roman"/>
                      <w:color w:val="auto"/>
                      <w:highlight w:val="none"/>
                      <w:lang w:eastAsia="zh-CN"/>
                    </w:rPr>
                    <w:t>（</w:t>
                  </w:r>
                  <w:r>
                    <w:rPr>
                      <w:rFonts w:hint="eastAsia" w:cs="Times New Roman"/>
                      <w:color w:val="auto"/>
                      <w:highlight w:val="none"/>
                      <w:lang w:val="en-US" w:eastAsia="zh-CN"/>
                    </w:rPr>
                    <w:t>2</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rPr>
                    <w:t>采用低粉尘排放量的生产、运输和检测设备；</w:t>
                  </w:r>
                  <w:r>
                    <w:rPr>
                      <w:rFonts w:hint="eastAsia" w:ascii="Times New Roman" w:hAnsi="Times New Roman" w:cs="Times New Roman"/>
                      <w:color w:val="auto"/>
                      <w:highlight w:val="none"/>
                      <w:lang w:eastAsia="zh-CN"/>
                    </w:rPr>
                    <w:t>（</w:t>
                  </w:r>
                  <w:r>
                    <w:rPr>
                      <w:rFonts w:hint="eastAsia" w:cs="Times New Roman"/>
                      <w:color w:val="auto"/>
                      <w:highlight w:val="none"/>
                      <w:lang w:val="en-US" w:eastAsia="zh-CN"/>
                    </w:rPr>
                    <w:t>3</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rPr>
                    <w:t>利用喷淋装置对砂石进行预湿处理。</w:t>
                  </w:r>
                </w:p>
              </w:tc>
              <w:tc>
                <w:tcPr>
                  <w:tcW w:w="1789" w:type="pct"/>
                  <w:tcBorders>
                    <w:tl2br w:val="nil"/>
                    <w:tr2bl w:val="nil"/>
                  </w:tcBorders>
                  <w:shd w:val="clear" w:color="auto" w:fill="auto"/>
                  <w:vAlign w:val="center"/>
                </w:tcPr>
                <w:p w14:paraId="5D6FEB5C">
                  <w:pPr>
                    <w:pStyle w:val="40"/>
                    <w:bidi w:val="0"/>
                    <w:ind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color w:val="auto"/>
                      <w:highlight w:val="none"/>
                    </w:rPr>
                    <w:t>水泥和粉煤灰筒仓</w:t>
                  </w:r>
                  <w:r>
                    <w:rPr>
                      <w:rFonts w:hint="eastAsia"/>
                      <w:color w:val="auto"/>
                      <w:highlight w:val="none"/>
                      <w:lang w:val="en-US" w:eastAsia="zh-CN"/>
                    </w:rPr>
                    <w:t>仓顶设脉冲式布袋</w:t>
                  </w:r>
                  <w:r>
                    <w:rPr>
                      <w:rFonts w:hint="default"/>
                      <w:color w:val="auto"/>
                      <w:highlight w:val="none"/>
                    </w:rPr>
                    <w:t>除尘器；搅拌站设布袋除尘器；</w:t>
                  </w:r>
                  <w:r>
                    <w:rPr>
                      <w:rFonts w:hint="eastAsia"/>
                      <w:color w:val="auto"/>
                      <w:highlight w:val="none"/>
                      <w:lang w:val="en-US" w:eastAsia="zh-CN"/>
                    </w:rPr>
                    <w:t>原料棚四周</w:t>
                  </w:r>
                  <w:r>
                    <w:rPr>
                      <w:rFonts w:hint="default"/>
                      <w:color w:val="auto"/>
                      <w:highlight w:val="none"/>
                    </w:rPr>
                    <w:t>设</w:t>
                  </w:r>
                  <w:r>
                    <w:rPr>
                      <w:rFonts w:hint="eastAsia"/>
                      <w:color w:val="auto"/>
                      <w:highlight w:val="none"/>
                      <w:lang w:val="en-US" w:eastAsia="zh-CN"/>
                    </w:rPr>
                    <w:t>喷雾降尘设施</w:t>
                  </w:r>
                  <w:r>
                    <w:rPr>
                      <w:rFonts w:hint="default"/>
                      <w:color w:val="auto"/>
                      <w:highlight w:val="none"/>
                    </w:rPr>
                    <w:t>定期洒水抑尘；物料采用密闭输送廊道。</w:t>
                  </w:r>
                </w:p>
              </w:tc>
              <w:tc>
                <w:tcPr>
                  <w:tcW w:w="436" w:type="pct"/>
                  <w:tcBorders>
                    <w:tl2br w:val="nil"/>
                    <w:tr2bl w:val="nil"/>
                  </w:tcBorders>
                  <w:shd w:val="clear" w:color="auto" w:fill="auto"/>
                  <w:vAlign w:val="center"/>
                </w:tcPr>
                <w:p w14:paraId="7A8F4512">
                  <w:pPr>
                    <w:pStyle w:val="40"/>
                    <w:bidi w:val="0"/>
                    <w:ind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符合</w:t>
                  </w:r>
                </w:p>
              </w:tc>
            </w:tr>
            <w:tr w14:paraId="4D2DEE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93" w:type="pct"/>
                  <w:vMerge w:val="continue"/>
                  <w:tcBorders>
                    <w:tl2br w:val="nil"/>
                    <w:tr2bl w:val="nil"/>
                  </w:tcBorders>
                  <w:vAlign w:val="center"/>
                </w:tcPr>
                <w:p w14:paraId="4D1D93C2">
                  <w:pPr>
                    <w:pStyle w:val="40"/>
                    <w:bidi w:val="0"/>
                    <w:jc w:val="center"/>
                    <w:rPr>
                      <w:rFonts w:hint="default"/>
                      <w:color w:val="auto"/>
                      <w:spacing w:val="-6"/>
                      <w:sz w:val="21"/>
                      <w:highlight w:val="none"/>
                    </w:rPr>
                  </w:pPr>
                </w:p>
              </w:tc>
              <w:tc>
                <w:tcPr>
                  <w:tcW w:w="2080" w:type="pct"/>
                  <w:tcBorders>
                    <w:tl2br w:val="nil"/>
                    <w:tr2bl w:val="nil"/>
                  </w:tcBorders>
                  <w:vAlign w:val="center"/>
                </w:tcPr>
                <w:p w14:paraId="2B232F11">
                  <w:pPr>
                    <w:pStyle w:val="40"/>
                    <w:bidi w:val="0"/>
                    <w:jc w:val="both"/>
                    <w:rPr>
                      <w:rFonts w:hint="default"/>
                      <w:color w:val="auto"/>
                      <w:highlight w:val="none"/>
                    </w:rPr>
                  </w:pPr>
                  <w:r>
                    <w:rPr>
                      <w:rFonts w:hint="default"/>
                      <w:color w:val="auto"/>
                      <w:highlight w:val="none"/>
                      <w:lang w:val="en-US" w:eastAsia="zh-CN"/>
                    </w:rPr>
                    <w:t>对产生噪声的主要设备设施应进行降噪处理。</w:t>
                  </w:r>
                </w:p>
              </w:tc>
              <w:tc>
                <w:tcPr>
                  <w:tcW w:w="1789" w:type="pct"/>
                  <w:tcBorders>
                    <w:tl2br w:val="nil"/>
                    <w:tr2bl w:val="nil"/>
                  </w:tcBorders>
                  <w:vAlign w:val="center"/>
                </w:tcPr>
                <w:p w14:paraId="6D87948B">
                  <w:pPr>
                    <w:pStyle w:val="40"/>
                    <w:bidi w:val="0"/>
                    <w:jc w:val="both"/>
                    <w:rPr>
                      <w:rFonts w:hint="default"/>
                      <w:color w:val="auto"/>
                      <w:highlight w:val="none"/>
                    </w:rPr>
                  </w:pPr>
                  <w:r>
                    <w:rPr>
                      <w:rFonts w:hint="default"/>
                      <w:color w:val="auto"/>
                      <w:highlight w:val="none"/>
                    </w:rPr>
                    <w:t>本项目选用低噪声设备，采取室内隔声、基础减震等措施进行降噪。</w:t>
                  </w:r>
                </w:p>
              </w:tc>
              <w:tc>
                <w:tcPr>
                  <w:tcW w:w="436" w:type="pct"/>
                  <w:tcBorders>
                    <w:tl2br w:val="nil"/>
                    <w:tr2bl w:val="nil"/>
                  </w:tcBorders>
                  <w:vAlign w:val="center"/>
                </w:tcPr>
                <w:p w14:paraId="04CBE622">
                  <w:pPr>
                    <w:pStyle w:val="40"/>
                    <w:bidi w:val="0"/>
                    <w:jc w:val="both"/>
                    <w:rPr>
                      <w:rFonts w:hint="default"/>
                      <w:color w:val="auto"/>
                      <w:highlight w:val="none"/>
                    </w:rPr>
                  </w:pPr>
                  <w:r>
                    <w:rPr>
                      <w:rFonts w:hint="eastAsia"/>
                      <w:color w:val="auto"/>
                      <w:highlight w:val="none"/>
                      <w:lang w:val="en-US" w:eastAsia="zh-CN"/>
                    </w:rPr>
                    <w:t>符合</w:t>
                  </w:r>
                </w:p>
              </w:tc>
            </w:tr>
            <w:tr w14:paraId="36903E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693" w:type="pct"/>
                  <w:vMerge w:val="continue"/>
                  <w:tcBorders>
                    <w:tl2br w:val="nil"/>
                    <w:tr2bl w:val="nil"/>
                  </w:tcBorders>
                  <w:vAlign w:val="center"/>
                </w:tcPr>
                <w:p w14:paraId="786D633E">
                  <w:pPr>
                    <w:pStyle w:val="40"/>
                    <w:bidi w:val="0"/>
                    <w:jc w:val="center"/>
                    <w:rPr>
                      <w:rFonts w:hint="default"/>
                      <w:color w:val="auto"/>
                      <w:spacing w:val="-6"/>
                      <w:sz w:val="21"/>
                      <w:highlight w:val="none"/>
                    </w:rPr>
                  </w:pPr>
                </w:p>
              </w:tc>
              <w:tc>
                <w:tcPr>
                  <w:tcW w:w="2080" w:type="pct"/>
                  <w:tcBorders>
                    <w:tl2br w:val="nil"/>
                    <w:tr2bl w:val="nil"/>
                  </w:tcBorders>
                  <w:shd w:val="clear" w:color="auto" w:fill="auto"/>
                  <w:vAlign w:val="center"/>
                </w:tcPr>
                <w:p w14:paraId="044C904A">
                  <w:pPr>
                    <w:pStyle w:val="40"/>
                    <w:bidi w:val="0"/>
                    <w:ind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color w:val="auto"/>
                      <w:highlight w:val="none"/>
                    </w:rPr>
                    <w:t>冲洗运输车辆宜使用循环水，冲洗运输车产生的废水可进入废水回收利用设施。</w:t>
                  </w:r>
                </w:p>
              </w:tc>
              <w:tc>
                <w:tcPr>
                  <w:tcW w:w="1789" w:type="pct"/>
                  <w:tcBorders>
                    <w:tl2br w:val="nil"/>
                    <w:tr2bl w:val="nil"/>
                  </w:tcBorders>
                  <w:shd w:val="clear" w:color="auto" w:fill="auto"/>
                  <w:vAlign w:val="center"/>
                </w:tcPr>
                <w:p w14:paraId="228B67EA">
                  <w:pPr>
                    <w:pStyle w:val="40"/>
                    <w:bidi w:val="0"/>
                    <w:ind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车辆冲洗</w:t>
                  </w:r>
                  <w:r>
                    <w:rPr>
                      <w:rFonts w:hint="default"/>
                      <w:color w:val="auto"/>
                      <w:highlight w:val="none"/>
                    </w:rPr>
                    <w:t>废水</w:t>
                  </w:r>
                  <w:r>
                    <w:rPr>
                      <w:rFonts w:hint="eastAsia"/>
                      <w:color w:val="auto"/>
                      <w:highlight w:val="none"/>
                      <w:lang w:val="en-US" w:eastAsia="zh-CN"/>
                    </w:rPr>
                    <w:t>进入</w:t>
                  </w:r>
                  <w:r>
                    <w:rPr>
                      <w:rFonts w:hint="default"/>
                      <w:color w:val="auto"/>
                      <w:highlight w:val="none"/>
                    </w:rPr>
                    <w:t>沉淀池</w:t>
                  </w:r>
                  <w:r>
                    <w:rPr>
                      <w:rFonts w:hint="eastAsia"/>
                      <w:color w:val="auto"/>
                      <w:highlight w:val="none"/>
                      <w:lang w:eastAsia="zh-CN"/>
                    </w:rPr>
                    <w:t>（</w:t>
                  </w:r>
                  <w:r>
                    <w:rPr>
                      <w:rFonts w:hint="eastAsia"/>
                      <w:color w:val="auto"/>
                      <w:highlight w:val="none"/>
                      <w:lang w:val="en-US" w:eastAsia="zh-CN"/>
                    </w:rPr>
                    <w:t>20m</w:t>
                  </w:r>
                  <w:r>
                    <w:rPr>
                      <w:rFonts w:hint="eastAsia"/>
                      <w:color w:val="auto"/>
                      <w:highlight w:val="none"/>
                      <w:vertAlign w:val="superscript"/>
                      <w:lang w:val="en-US" w:eastAsia="zh-CN"/>
                    </w:rPr>
                    <w:t>3</w:t>
                  </w:r>
                  <w:r>
                    <w:rPr>
                      <w:rFonts w:hint="eastAsia"/>
                      <w:color w:val="auto"/>
                      <w:highlight w:val="none"/>
                      <w:lang w:val="en-US" w:eastAsia="zh-CN"/>
                    </w:rPr>
                    <w:t>）</w:t>
                  </w:r>
                  <w:r>
                    <w:rPr>
                      <w:rFonts w:hint="default"/>
                      <w:color w:val="auto"/>
                      <w:highlight w:val="none"/>
                    </w:rPr>
                    <w:t>澄清收集后</w:t>
                  </w:r>
                  <w:r>
                    <w:rPr>
                      <w:rFonts w:hint="eastAsia"/>
                      <w:color w:val="auto"/>
                      <w:highlight w:val="none"/>
                      <w:lang w:val="en-US" w:eastAsia="zh-CN"/>
                    </w:rPr>
                    <w:t>全部</w:t>
                  </w:r>
                  <w:r>
                    <w:rPr>
                      <w:rFonts w:hint="default"/>
                      <w:color w:val="auto"/>
                      <w:highlight w:val="none"/>
                    </w:rPr>
                    <w:t>回用于车辆冲洗，不外排。</w:t>
                  </w:r>
                </w:p>
              </w:tc>
              <w:tc>
                <w:tcPr>
                  <w:tcW w:w="436" w:type="pct"/>
                  <w:tcBorders>
                    <w:tl2br w:val="nil"/>
                    <w:tr2bl w:val="nil"/>
                  </w:tcBorders>
                  <w:shd w:val="clear" w:color="auto" w:fill="auto"/>
                  <w:vAlign w:val="center"/>
                </w:tcPr>
                <w:p w14:paraId="2F4A08F1">
                  <w:pPr>
                    <w:pStyle w:val="40"/>
                    <w:bidi w:val="0"/>
                    <w:ind w:firstLine="0" w:firstLineChars="0"/>
                    <w:jc w:val="both"/>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符合</w:t>
                  </w:r>
                </w:p>
              </w:tc>
            </w:tr>
            <w:tr w14:paraId="4EF082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68" w:hRule="atLeast"/>
              </w:trPr>
              <w:tc>
                <w:tcPr>
                  <w:tcW w:w="693" w:type="pct"/>
                  <w:vMerge w:val="continue"/>
                  <w:tcBorders>
                    <w:tl2br w:val="nil"/>
                    <w:tr2bl w:val="nil"/>
                  </w:tcBorders>
                  <w:vAlign w:val="center"/>
                </w:tcPr>
                <w:p w14:paraId="5F995B4B">
                  <w:pPr>
                    <w:pStyle w:val="40"/>
                    <w:bidi w:val="0"/>
                    <w:jc w:val="center"/>
                    <w:rPr>
                      <w:rFonts w:hint="default"/>
                      <w:color w:val="auto"/>
                      <w:spacing w:val="-6"/>
                      <w:sz w:val="21"/>
                      <w:highlight w:val="none"/>
                    </w:rPr>
                  </w:pPr>
                </w:p>
              </w:tc>
              <w:tc>
                <w:tcPr>
                  <w:tcW w:w="2080" w:type="pct"/>
                  <w:tcBorders>
                    <w:tl2br w:val="nil"/>
                    <w:tr2bl w:val="nil"/>
                  </w:tcBorders>
                  <w:vAlign w:val="center"/>
                </w:tcPr>
                <w:p w14:paraId="1AA6EC80">
                  <w:pPr>
                    <w:pStyle w:val="40"/>
                    <w:bidi w:val="0"/>
                    <w:jc w:val="both"/>
                    <w:rPr>
                      <w:rFonts w:hint="default"/>
                      <w:color w:val="auto"/>
                      <w:highlight w:val="none"/>
                    </w:rPr>
                  </w:pPr>
                  <w:r>
                    <w:rPr>
                      <w:rFonts w:hint="eastAsia"/>
                      <w:color w:val="auto"/>
                      <w:szCs w:val="21"/>
                      <w:highlight w:val="none"/>
                    </w:rPr>
                    <w:t>预拌混凝土绿色生产宜选用技术先进、低噪声、低能耗、低排放的搅拌、运输和试验设备。设备应符合国家现行标准</w:t>
                  </w:r>
                  <w:r>
                    <w:rPr>
                      <w:rFonts w:hint="eastAsia"/>
                      <w:color w:val="auto"/>
                      <w:spacing w:val="-6"/>
                      <w:sz w:val="21"/>
                      <w:szCs w:val="21"/>
                      <w:highlight w:val="none"/>
                    </w:rPr>
                    <w:t>《混凝士搅拌站（楼）》（GB/T</w:t>
                  </w:r>
                  <w:r>
                    <w:rPr>
                      <w:rFonts w:hint="eastAsia"/>
                      <w:color w:val="auto"/>
                      <w:spacing w:val="-6"/>
                      <w:sz w:val="21"/>
                      <w:szCs w:val="21"/>
                      <w:highlight w:val="none"/>
                      <w:lang w:val="en-US" w:eastAsia="zh-CN"/>
                    </w:rPr>
                    <w:t xml:space="preserve"> </w:t>
                  </w:r>
                  <w:r>
                    <w:rPr>
                      <w:rFonts w:hint="eastAsia"/>
                      <w:color w:val="auto"/>
                      <w:spacing w:val="-6"/>
                      <w:sz w:val="21"/>
                      <w:szCs w:val="21"/>
                      <w:highlight w:val="none"/>
                    </w:rPr>
                    <w:t>10171）、《混凝</w:t>
                  </w:r>
                  <w:r>
                    <w:rPr>
                      <w:rFonts w:hint="eastAsia"/>
                      <w:color w:val="auto"/>
                      <w:spacing w:val="-6"/>
                      <w:sz w:val="21"/>
                      <w:szCs w:val="21"/>
                      <w:highlight w:val="none"/>
                      <w:lang w:val="en-US" w:eastAsia="zh-CN"/>
                    </w:rPr>
                    <w:t>土</w:t>
                  </w:r>
                  <w:r>
                    <w:rPr>
                      <w:rFonts w:hint="eastAsia"/>
                      <w:color w:val="auto"/>
                      <w:spacing w:val="-6"/>
                      <w:sz w:val="21"/>
                      <w:szCs w:val="21"/>
                      <w:highlight w:val="none"/>
                    </w:rPr>
                    <w:t>搅拌机》（GB/T</w:t>
                  </w:r>
                  <w:r>
                    <w:rPr>
                      <w:rFonts w:hint="eastAsia"/>
                      <w:color w:val="auto"/>
                      <w:spacing w:val="-6"/>
                      <w:sz w:val="21"/>
                      <w:szCs w:val="21"/>
                      <w:highlight w:val="none"/>
                      <w:lang w:val="en-US" w:eastAsia="zh-CN"/>
                    </w:rPr>
                    <w:t xml:space="preserve"> </w:t>
                  </w:r>
                  <w:r>
                    <w:rPr>
                      <w:rFonts w:hint="eastAsia"/>
                      <w:color w:val="auto"/>
                      <w:spacing w:val="-6"/>
                      <w:sz w:val="21"/>
                      <w:szCs w:val="21"/>
                      <w:highlight w:val="none"/>
                    </w:rPr>
                    <w:t>9142）和《混凝土搅拌运输车》（GB/T</w:t>
                  </w:r>
                  <w:r>
                    <w:rPr>
                      <w:rFonts w:hint="eastAsia"/>
                      <w:color w:val="auto"/>
                      <w:spacing w:val="-6"/>
                      <w:sz w:val="21"/>
                      <w:szCs w:val="21"/>
                      <w:highlight w:val="none"/>
                      <w:lang w:val="en-US" w:eastAsia="zh-CN"/>
                    </w:rPr>
                    <w:t xml:space="preserve"> </w:t>
                  </w:r>
                  <w:r>
                    <w:rPr>
                      <w:rFonts w:hint="eastAsia"/>
                      <w:color w:val="auto"/>
                      <w:spacing w:val="-6"/>
                      <w:sz w:val="21"/>
                      <w:szCs w:val="21"/>
                      <w:highlight w:val="none"/>
                    </w:rPr>
                    <w:t>26408）等的相应规定。</w:t>
                  </w:r>
                </w:p>
              </w:tc>
              <w:tc>
                <w:tcPr>
                  <w:tcW w:w="1789" w:type="pct"/>
                  <w:tcBorders>
                    <w:tl2br w:val="nil"/>
                    <w:tr2bl w:val="nil"/>
                  </w:tcBorders>
                  <w:vAlign w:val="center"/>
                </w:tcPr>
                <w:p w14:paraId="640D4147">
                  <w:pPr>
                    <w:pStyle w:val="40"/>
                    <w:bidi w:val="0"/>
                    <w:jc w:val="both"/>
                    <w:rPr>
                      <w:rFonts w:hint="default"/>
                      <w:color w:val="auto"/>
                      <w:highlight w:val="none"/>
                    </w:rPr>
                  </w:pPr>
                  <w:r>
                    <w:rPr>
                      <w:rFonts w:hint="eastAsia"/>
                      <w:snapToGrid w:val="0"/>
                      <w:color w:val="auto"/>
                      <w:spacing w:val="-6"/>
                      <w:sz w:val="21"/>
                      <w:szCs w:val="21"/>
                      <w:highlight w:val="none"/>
                    </w:rPr>
                    <w:t>项目选用设备均为技术先进、低噪声、低能耗、低排放的搅拌、运输和试验设备，符合国家现行标准</w:t>
                  </w:r>
                  <w:r>
                    <w:rPr>
                      <w:rFonts w:hint="eastAsia"/>
                      <w:snapToGrid w:val="0"/>
                      <w:color w:val="auto"/>
                      <w:spacing w:val="-11"/>
                      <w:sz w:val="21"/>
                      <w:szCs w:val="21"/>
                      <w:highlight w:val="none"/>
                    </w:rPr>
                    <w:t>《混凝土搅拌站（楼）》</w:t>
                  </w:r>
                  <w:r>
                    <w:rPr>
                      <w:rFonts w:hint="eastAsia"/>
                      <w:color w:val="auto"/>
                      <w:spacing w:val="-11"/>
                      <w:sz w:val="21"/>
                      <w:szCs w:val="21"/>
                      <w:highlight w:val="none"/>
                    </w:rPr>
                    <w:t>（GB/T</w:t>
                  </w:r>
                  <w:r>
                    <w:rPr>
                      <w:rFonts w:hint="eastAsia"/>
                      <w:color w:val="auto"/>
                      <w:spacing w:val="-11"/>
                      <w:sz w:val="21"/>
                      <w:szCs w:val="21"/>
                      <w:highlight w:val="none"/>
                      <w:lang w:val="en-US" w:eastAsia="zh-CN"/>
                    </w:rPr>
                    <w:t xml:space="preserve"> </w:t>
                  </w:r>
                  <w:r>
                    <w:rPr>
                      <w:rFonts w:hint="eastAsia"/>
                      <w:color w:val="auto"/>
                      <w:spacing w:val="-11"/>
                      <w:sz w:val="21"/>
                      <w:szCs w:val="21"/>
                      <w:highlight w:val="none"/>
                    </w:rPr>
                    <w:t>10171）、《混凝</w:t>
                  </w:r>
                  <w:r>
                    <w:rPr>
                      <w:rFonts w:hint="eastAsia"/>
                      <w:color w:val="auto"/>
                      <w:spacing w:val="-11"/>
                      <w:sz w:val="21"/>
                      <w:szCs w:val="21"/>
                      <w:highlight w:val="none"/>
                      <w:lang w:val="en-US" w:eastAsia="zh-CN"/>
                    </w:rPr>
                    <w:t>土</w:t>
                  </w:r>
                  <w:r>
                    <w:rPr>
                      <w:rFonts w:hint="eastAsia"/>
                      <w:color w:val="auto"/>
                      <w:spacing w:val="-11"/>
                      <w:sz w:val="21"/>
                      <w:szCs w:val="21"/>
                      <w:highlight w:val="none"/>
                    </w:rPr>
                    <w:t>搅拌机》（GB/T</w:t>
                  </w:r>
                  <w:r>
                    <w:rPr>
                      <w:rFonts w:hint="eastAsia"/>
                      <w:color w:val="auto"/>
                      <w:spacing w:val="-11"/>
                      <w:sz w:val="21"/>
                      <w:szCs w:val="21"/>
                      <w:highlight w:val="none"/>
                      <w:lang w:val="en-US" w:eastAsia="zh-CN"/>
                    </w:rPr>
                    <w:t xml:space="preserve"> </w:t>
                  </w:r>
                  <w:r>
                    <w:rPr>
                      <w:rFonts w:hint="eastAsia"/>
                      <w:color w:val="auto"/>
                      <w:spacing w:val="-11"/>
                      <w:sz w:val="21"/>
                      <w:szCs w:val="21"/>
                      <w:highlight w:val="none"/>
                    </w:rPr>
                    <w:t>9142）和《混凝土搅拌运输车》</w:t>
                  </w:r>
                  <w:r>
                    <w:rPr>
                      <w:rFonts w:hint="eastAsia"/>
                      <w:color w:val="auto"/>
                      <w:spacing w:val="-6"/>
                      <w:sz w:val="21"/>
                      <w:szCs w:val="21"/>
                      <w:highlight w:val="none"/>
                    </w:rPr>
                    <w:t>（GB/T</w:t>
                  </w:r>
                  <w:r>
                    <w:rPr>
                      <w:rFonts w:hint="eastAsia"/>
                      <w:color w:val="auto"/>
                      <w:spacing w:val="-6"/>
                      <w:sz w:val="21"/>
                      <w:szCs w:val="21"/>
                      <w:highlight w:val="none"/>
                      <w:lang w:val="en-US" w:eastAsia="zh-CN"/>
                    </w:rPr>
                    <w:t xml:space="preserve"> </w:t>
                  </w:r>
                  <w:r>
                    <w:rPr>
                      <w:rFonts w:hint="eastAsia"/>
                      <w:color w:val="auto"/>
                      <w:spacing w:val="-6"/>
                      <w:sz w:val="21"/>
                      <w:szCs w:val="21"/>
                      <w:highlight w:val="none"/>
                    </w:rPr>
                    <w:t>26408）等规定</w:t>
                  </w:r>
                  <w:r>
                    <w:rPr>
                      <w:rFonts w:hint="eastAsia"/>
                      <w:snapToGrid w:val="0"/>
                      <w:color w:val="auto"/>
                      <w:spacing w:val="-6"/>
                      <w:sz w:val="21"/>
                      <w:szCs w:val="21"/>
                      <w:highlight w:val="none"/>
                    </w:rPr>
                    <w:t>。</w:t>
                  </w:r>
                </w:p>
              </w:tc>
              <w:tc>
                <w:tcPr>
                  <w:tcW w:w="436" w:type="pct"/>
                  <w:tcBorders>
                    <w:tl2br w:val="nil"/>
                    <w:tr2bl w:val="nil"/>
                  </w:tcBorders>
                  <w:vAlign w:val="center"/>
                </w:tcPr>
                <w:p w14:paraId="758E25B2">
                  <w:pPr>
                    <w:pStyle w:val="40"/>
                    <w:bidi w:val="0"/>
                    <w:jc w:val="both"/>
                    <w:rPr>
                      <w:rFonts w:hint="default"/>
                      <w:color w:val="auto"/>
                      <w:highlight w:val="none"/>
                    </w:rPr>
                  </w:pPr>
                  <w:r>
                    <w:rPr>
                      <w:rFonts w:hint="eastAsia"/>
                      <w:color w:val="auto"/>
                      <w:highlight w:val="none"/>
                      <w:lang w:val="en-US" w:eastAsia="zh-CN"/>
                    </w:rPr>
                    <w:t>符合</w:t>
                  </w:r>
                </w:p>
              </w:tc>
            </w:tr>
            <w:tr w14:paraId="4854B8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17" w:hRule="atLeast"/>
              </w:trPr>
              <w:tc>
                <w:tcPr>
                  <w:tcW w:w="693" w:type="pct"/>
                  <w:vMerge w:val="restart"/>
                  <w:tcBorders>
                    <w:tl2br w:val="nil"/>
                    <w:tr2bl w:val="nil"/>
                  </w:tcBorders>
                  <w:vAlign w:val="center"/>
                </w:tcPr>
                <w:p w14:paraId="7DCC0FB6">
                  <w:pPr>
                    <w:pStyle w:val="40"/>
                    <w:bidi w:val="0"/>
                    <w:jc w:val="center"/>
                    <w:rPr>
                      <w:rFonts w:hint="default"/>
                      <w:color w:val="auto"/>
                      <w:spacing w:val="-6"/>
                      <w:sz w:val="21"/>
                      <w:highlight w:val="none"/>
                    </w:rPr>
                  </w:pPr>
                  <w:r>
                    <w:rPr>
                      <w:rFonts w:hint="default"/>
                      <w:color w:val="auto"/>
                      <w:spacing w:val="-6"/>
                      <w:sz w:val="21"/>
                      <w:highlight w:val="none"/>
                    </w:rPr>
                    <w:t>《关于整顿和规范预拌商品混凝土市场秩序的通知》（榆政住建发〔2020〕194号）</w:t>
                  </w:r>
                </w:p>
              </w:tc>
              <w:tc>
                <w:tcPr>
                  <w:tcW w:w="2080" w:type="pct"/>
                  <w:tcBorders>
                    <w:tl2br w:val="nil"/>
                    <w:tr2bl w:val="nil"/>
                  </w:tcBorders>
                  <w:vAlign w:val="center"/>
                </w:tcPr>
                <w:p w14:paraId="399A9AA8">
                  <w:pPr>
                    <w:pStyle w:val="40"/>
                    <w:bidi w:val="0"/>
                    <w:jc w:val="both"/>
                    <w:rPr>
                      <w:rFonts w:hint="default"/>
                      <w:color w:val="auto"/>
                      <w:highlight w:val="none"/>
                    </w:rPr>
                  </w:pPr>
                  <w:r>
                    <w:rPr>
                      <w:rFonts w:hint="default"/>
                      <w:color w:val="auto"/>
                      <w:highlight w:val="none"/>
                    </w:rPr>
                    <w:t>各类原材料进场应核对出厂检验报告等质量证明文件，检验项目和检验批量应按相应国家标准规范规定进行检验，</w:t>
                  </w:r>
                  <w:r>
                    <w:rPr>
                      <w:rFonts w:hint="default"/>
                      <w:color w:val="auto"/>
                      <w:spacing w:val="-6"/>
                      <w:sz w:val="21"/>
                      <w:highlight w:val="none"/>
                    </w:rPr>
                    <w:t>不符合要求的原材料不得进场使用。</w:t>
                  </w:r>
                </w:p>
              </w:tc>
              <w:tc>
                <w:tcPr>
                  <w:tcW w:w="1789" w:type="pct"/>
                  <w:vMerge w:val="restart"/>
                  <w:tcBorders>
                    <w:tl2br w:val="nil"/>
                    <w:tr2bl w:val="nil"/>
                  </w:tcBorders>
                  <w:vAlign w:val="center"/>
                </w:tcPr>
                <w:p w14:paraId="7183242E">
                  <w:pPr>
                    <w:pStyle w:val="40"/>
                    <w:bidi w:val="0"/>
                    <w:jc w:val="both"/>
                    <w:rPr>
                      <w:rFonts w:hint="default"/>
                      <w:color w:val="auto"/>
                      <w:highlight w:val="none"/>
                    </w:rPr>
                  </w:pPr>
                  <w:r>
                    <w:rPr>
                      <w:rFonts w:hint="default"/>
                      <w:color w:val="auto"/>
                      <w:highlight w:val="none"/>
                    </w:rPr>
                    <w:t>本项目选购符合质量标准的原材料进行生产，厂内设置实验室对成品及原料进行物性检验，取样频率符合国标规定，混凝土强度检验结果满足设计要求后出厂。</w:t>
                  </w:r>
                </w:p>
              </w:tc>
              <w:tc>
                <w:tcPr>
                  <w:tcW w:w="436" w:type="pct"/>
                  <w:vMerge w:val="restart"/>
                  <w:tcBorders>
                    <w:tl2br w:val="nil"/>
                    <w:tr2bl w:val="nil"/>
                  </w:tcBorders>
                  <w:vAlign w:val="center"/>
                </w:tcPr>
                <w:p w14:paraId="07403406">
                  <w:pPr>
                    <w:pStyle w:val="40"/>
                    <w:bidi w:val="0"/>
                    <w:jc w:val="both"/>
                    <w:rPr>
                      <w:rFonts w:hint="default"/>
                      <w:color w:val="auto"/>
                      <w:highlight w:val="none"/>
                    </w:rPr>
                  </w:pPr>
                  <w:r>
                    <w:rPr>
                      <w:rFonts w:hint="eastAsia"/>
                      <w:color w:val="auto"/>
                      <w:highlight w:val="none"/>
                      <w:lang w:val="en-US" w:eastAsia="zh-CN"/>
                    </w:rPr>
                    <w:t>符合</w:t>
                  </w:r>
                </w:p>
              </w:tc>
            </w:tr>
            <w:tr w14:paraId="5ACFC7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17" w:hRule="atLeast"/>
              </w:trPr>
              <w:tc>
                <w:tcPr>
                  <w:tcW w:w="693" w:type="pct"/>
                  <w:vMerge w:val="continue"/>
                  <w:tcBorders>
                    <w:tl2br w:val="nil"/>
                    <w:tr2bl w:val="nil"/>
                  </w:tcBorders>
                  <w:vAlign w:val="center"/>
                </w:tcPr>
                <w:p w14:paraId="0BC3E32F">
                  <w:pPr>
                    <w:pStyle w:val="40"/>
                    <w:bidi w:val="0"/>
                    <w:jc w:val="center"/>
                    <w:rPr>
                      <w:rFonts w:hint="default"/>
                      <w:color w:val="auto"/>
                      <w:spacing w:val="-6"/>
                      <w:sz w:val="21"/>
                      <w:highlight w:val="none"/>
                    </w:rPr>
                  </w:pPr>
                </w:p>
              </w:tc>
              <w:tc>
                <w:tcPr>
                  <w:tcW w:w="2080" w:type="pct"/>
                  <w:tcBorders>
                    <w:tl2br w:val="nil"/>
                    <w:tr2bl w:val="nil"/>
                  </w:tcBorders>
                  <w:vAlign w:val="center"/>
                </w:tcPr>
                <w:p w14:paraId="6A101478">
                  <w:pPr>
                    <w:pStyle w:val="40"/>
                    <w:bidi w:val="0"/>
                    <w:jc w:val="both"/>
                    <w:rPr>
                      <w:rFonts w:hint="default"/>
                      <w:color w:val="auto"/>
                      <w:highlight w:val="none"/>
                    </w:rPr>
                  </w:pPr>
                  <w:r>
                    <w:rPr>
                      <w:rFonts w:hint="default"/>
                      <w:color w:val="auto"/>
                      <w:spacing w:val="-6"/>
                      <w:sz w:val="21"/>
                      <w:highlight w:val="none"/>
                    </w:rPr>
                    <w:t>商混企业在搅拌地点应进行混凝土出厂检验取样，在交货地点应进行混凝土交货检验取样，取样频率应符合国标规定，混凝土强度检验结果应满足设计要求。</w:t>
                  </w:r>
                </w:p>
              </w:tc>
              <w:tc>
                <w:tcPr>
                  <w:tcW w:w="1789" w:type="pct"/>
                  <w:vMerge w:val="continue"/>
                  <w:tcBorders>
                    <w:tl2br w:val="nil"/>
                    <w:tr2bl w:val="nil"/>
                  </w:tcBorders>
                  <w:vAlign w:val="center"/>
                </w:tcPr>
                <w:p w14:paraId="7D3DDADC">
                  <w:pPr>
                    <w:pStyle w:val="40"/>
                    <w:bidi w:val="0"/>
                    <w:jc w:val="both"/>
                    <w:rPr>
                      <w:rFonts w:hint="default"/>
                      <w:color w:val="auto"/>
                      <w:highlight w:val="none"/>
                    </w:rPr>
                  </w:pPr>
                </w:p>
              </w:tc>
              <w:tc>
                <w:tcPr>
                  <w:tcW w:w="436" w:type="pct"/>
                  <w:vMerge w:val="continue"/>
                  <w:tcBorders>
                    <w:tl2br w:val="nil"/>
                    <w:tr2bl w:val="nil"/>
                  </w:tcBorders>
                  <w:vAlign w:val="center"/>
                </w:tcPr>
                <w:p w14:paraId="4B36E397">
                  <w:pPr>
                    <w:pStyle w:val="40"/>
                    <w:bidi w:val="0"/>
                    <w:jc w:val="both"/>
                    <w:rPr>
                      <w:rFonts w:hint="default"/>
                      <w:color w:val="auto"/>
                      <w:highlight w:val="none"/>
                    </w:rPr>
                  </w:pPr>
                </w:p>
              </w:tc>
            </w:tr>
            <w:tr w14:paraId="04621F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93" w:type="pct"/>
                  <w:tcBorders>
                    <w:tl2br w:val="nil"/>
                    <w:tr2bl w:val="nil"/>
                  </w:tcBorders>
                  <w:shd w:val="clear" w:color="auto" w:fill="auto"/>
                  <w:vAlign w:val="center"/>
                </w:tcPr>
                <w:p w14:paraId="17881CC6">
                  <w:pPr>
                    <w:pStyle w:val="40"/>
                    <w:bidi w:val="0"/>
                    <w:ind w:firstLine="0" w:firstLineChars="0"/>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sz w:val="21"/>
                      <w:highlight w:val="none"/>
                      <w:lang w:val="en-US" w:eastAsia="zh-CN"/>
                    </w:rPr>
                    <w:t>《府谷县国民经济和社会发展第十四个五年规划纲要》</w:t>
                  </w:r>
                </w:p>
              </w:tc>
              <w:tc>
                <w:tcPr>
                  <w:tcW w:w="2080" w:type="pct"/>
                  <w:tcBorders>
                    <w:tl2br w:val="nil"/>
                    <w:tr2bl w:val="nil"/>
                  </w:tcBorders>
                  <w:shd w:val="clear" w:color="auto" w:fill="auto"/>
                  <w:vAlign w:val="center"/>
                </w:tcPr>
                <w:p w14:paraId="21DA97A4">
                  <w:pPr>
                    <w:pStyle w:val="40"/>
                    <w:bidi w:val="0"/>
                    <w:ind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color w:val="auto"/>
                      <w:highlight w:val="none"/>
                      <w:lang w:val="en-US" w:eastAsia="zh-CN"/>
                    </w:rPr>
                    <w:t>加大煤尘、废尘、扬尘、汽尘污染整治力度，提升大气</w:t>
                  </w:r>
                  <w:r>
                    <w:rPr>
                      <w:rFonts w:hint="eastAsia"/>
                      <w:color w:val="auto"/>
                      <w:highlight w:val="none"/>
                      <w:lang w:val="en-US" w:eastAsia="zh-CN"/>
                    </w:rPr>
                    <w:t>环境质量，实现减污降碳协同效应。</w:t>
                  </w:r>
                </w:p>
              </w:tc>
              <w:tc>
                <w:tcPr>
                  <w:tcW w:w="1789" w:type="pct"/>
                  <w:tcBorders>
                    <w:tl2br w:val="nil"/>
                    <w:tr2bl w:val="nil"/>
                  </w:tcBorders>
                  <w:shd w:val="clear" w:color="auto" w:fill="auto"/>
                  <w:vAlign w:val="center"/>
                </w:tcPr>
                <w:p w14:paraId="4A05D863">
                  <w:pPr>
                    <w:pStyle w:val="40"/>
                    <w:bidi w:val="0"/>
                    <w:ind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zh-CN" w:eastAsia="zh-CN"/>
                    </w:rPr>
                    <w:t>本项目原料与生产设备均布设在全封闭车间内，有组织废气设有</w:t>
                  </w:r>
                  <w:r>
                    <w:rPr>
                      <w:rFonts w:hint="eastAsia"/>
                      <w:color w:val="auto"/>
                      <w:highlight w:val="none"/>
                      <w:lang w:val="en-US" w:eastAsia="zh-CN"/>
                    </w:rPr>
                    <w:t>除尘设施</w:t>
                  </w:r>
                  <w:r>
                    <w:rPr>
                      <w:rFonts w:hint="eastAsia"/>
                      <w:color w:val="auto"/>
                      <w:highlight w:val="none"/>
                      <w:lang w:val="zh-CN" w:eastAsia="zh-CN"/>
                    </w:rPr>
                    <w:t>，车间内配套</w:t>
                  </w:r>
                  <w:r>
                    <w:rPr>
                      <w:rFonts w:hint="eastAsia"/>
                      <w:color w:val="auto"/>
                      <w:highlight w:val="none"/>
                      <w:lang w:val="en-US" w:eastAsia="zh-CN"/>
                    </w:rPr>
                    <w:t>喷雾降尘设施</w:t>
                  </w:r>
                  <w:r>
                    <w:rPr>
                      <w:rFonts w:hint="eastAsia"/>
                      <w:color w:val="auto"/>
                      <w:highlight w:val="none"/>
                      <w:lang w:val="zh-CN" w:eastAsia="zh-CN"/>
                    </w:rPr>
                    <w:t>。对进出厂道路硬化，运输单位对运输车辆篷布遮盖，并采取洒水、洗车、清扫等措施。</w:t>
                  </w:r>
                </w:p>
              </w:tc>
              <w:tc>
                <w:tcPr>
                  <w:tcW w:w="436" w:type="pct"/>
                  <w:tcBorders>
                    <w:tl2br w:val="nil"/>
                    <w:tr2bl w:val="nil"/>
                  </w:tcBorders>
                  <w:shd w:val="clear" w:color="auto" w:fill="auto"/>
                  <w:vAlign w:val="center"/>
                </w:tcPr>
                <w:p w14:paraId="144AEF79">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rPr>
                    <w:t>符合</w:t>
                  </w:r>
                </w:p>
              </w:tc>
            </w:tr>
            <w:tr w14:paraId="598671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69" w:hRule="atLeast"/>
              </w:trPr>
              <w:tc>
                <w:tcPr>
                  <w:tcW w:w="693" w:type="pct"/>
                  <w:vMerge w:val="restart"/>
                  <w:tcBorders>
                    <w:tl2br w:val="nil"/>
                    <w:tr2bl w:val="nil"/>
                  </w:tcBorders>
                  <w:shd w:val="clear" w:color="auto" w:fill="auto"/>
                  <w:vAlign w:val="center"/>
                </w:tcPr>
                <w:p w14:paraId="7A02D78F">
                  <w:pPr>
                    <w:pStyle w:val="40"/>
                    <w:bidi w:val="0"/>
                    <w:ind w:firstLine="0" w:firstLineChars="0"/>
                    <w:rPr>
                      <w:rFonts w:hint="default"/>
                      <w:color w:val="auto"/>
                      <w:spacing w:val="-6"/>
                      <w:sz w:val="21"/>
                      <w:highlight w:val="none"/>
                    </w:rPr>
                  </w:pPr>
                  <w:r>
                    <w:rPr>
                      <w:rFonts w:hint="eastAsia"/>
                      <w:color w:val="auto"/>
                      <w:spacing w:val="-6"/>
                      <w:sz w:val="21"/>
                      <w:highlight w:val="none"/>
                      <w:lang w:val="en-US" w:eastAsia="zh-CN"/>
                    </w:rPr>
                    <w:t>《府谷县2024年生态环境保护攻坚行动方案》（府办发</w:t>
                  </w:r>
                  <w:r>
                    <w:rPr>
                      <w:rFonts w:hint="eastAsia"/>
                      <w:color w:val="auto"/>
                      <w:spacing w:val="-6"/>
                      <w:sz w:val="21"/>
                      <w:highlight w:val="none"/>
                    </w:rPr>
                    <w:t>〔202</w:t>
                  </w:r>
                  <w:r>
                    <w:rPr>
                      <w:rFonts w:hint="eastAsia"/>
                      <w:color w:val="auto"/>
                      <w:spacing w:val="-6"/>
                      <w:sz w:val="21"/>
                      <w:highlight w:val="none"/>
                      <w:lang w:val="en-US" w:eastAsia="zh-CN"/>
                    </w:rPr>
                    <w:t>4</w:t>
                  </w:r>
                  <w:r>
                    <w:rPr>
                      <w:rFonts w:hint="eastAsia"/>
                      <w:color w:val="auto"/>
                      <w:spacing w:val="-6"/>
                      <w:sz w:val="21"/>
                      <w:highlight w:val="none"/>
                    </w:rPr>
                    <w:t>〕</w:t>
                  </w:r>
                  <w:r>
                    <w:rPr>
                      <w:rFonts w:hint="eastAsia"/>
                      <w:color w:val="auto"/>
                      <w:spacing w:val="-6"/>
                      <w:sz w:val="21"/>
                      <w:highlight w:val="none"/>
                      <w:lang w:val="en-US" w:eastAsia="zh-CN"/>
                    </w:rPr>
                    <w:t>17号）</w:t>
                  </w:r>
                </w:p>
              </w:tc>
              <w:tc>
                <w:tcPr>
                  <w:tcW w:w="2080" w:type="pct"/>
                  <w:tcBorders>
                    <w:tl2br w:val="nil"/>
                    <w:tr2bl w:val="nil"/>
                  </w:tcBorders>
                  <w:shd w:val="clear" w:color="auto" w:fill="auto"/>
                  <w:vAlign w:val="center"/>
                </w:tcPr>
                <w:p w14:paraId="05C0F36C">
                  <w:pPr>
                    <w:pStyle w:val="40"/>
                    <w:bidi w:val="0"/>
                    <w:ind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spacing w:val="-6"/>
                      <w:sz w:val="21"/>
                      <w:highlight w:val="none"/>
                      <w:lang w:val="en-US" w:eastAsia="zh-CN"/>
                    </w:rPr>
                    <w:t>4、</w:t>
                  </w:r>
                  <w:r>
                    <w:rPr>
                      <w:rFonts w:hint="eastAsia"/>
                      <w:color w:val="auto"/>
                      <w:spacing w:val="-6"/>
                      <w:sz w:val="21"/>
                      <w:highlight w:val="none"/>
                      <w:lang w:eastAsia="zh-CN"/>
                    </w:rPr>
                    <w:t>建筑工地精细化管控行动。将防治扬尘污染费用纳入工程造价，榆林中心城区和各县市区城区及周边所有建筑（道路工程、商砼站）施工必须做到工地周边围挡、物料裸土覆盖、土方开挖（拆迁）湿法作业、路面硬化、出入车辆清洗、渣土车辆密闭运输“六个百分之百”；严格落实车辆出入工地清洗制度，严禁带泥上路，城市市区施工工地禁止现场搅拌混凝土和砂浆，建筑工地场界建设喷淋设施，扬尘视频监控实行联网管理。</w:t>
                  </w:r>
                </w:p>
              </w:tc>
              <w:tc>
                <w:tcPr>
                  <w:tcW w:w="1789" w:type="pct"/>
                  <w:tcBorders>
                    <w:tl2br w:val="nil"/>
                    <w:tr2bl w:val="nil"/>
                  </w:tcBorders>
                  <w:shd w:val="clear" w:color="auto" w:fill="auto"/>
                  <w:vAlign w:val="center"/>
                </w:tcPr>
                <w:p w14:paraId="441E8AB8">
                  <w:pPr>
                    <w:pStyle w:val="40"/>
                    <w:bidi w:val="0"/>
                    <w:ind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rPr>
                    <w:t>本项目施工期主要进行</w:t>
                  </w:r>
                  <w:r>
                    <w:rPr>
                      <w:rFonts w:hint="eastAsia"/>
                      <w:color w:val="auto"/>
                      <w:highlight w:val="none"/>
                      <w:lang w:val="en-US" w:eastAsia="zh-CN"/>
                    </w:rPr>
                    <w:t>蒸压硅酸盐功能骨料生产线和绿色智能化预拌混凝土生产线的建设；地基开挖、桩基施工、渣土运输等施工阶段，持续实施洒水、覆盖、冲洗等扬尘管控措施；厂区路面全部硬化并及时进行冲洗清扫，设有洗车机对进出厂区的密闭篷布货车轮胎进行冲洗；建筑工地四周建设固定喷淋设施，严控扬尘污染。</w:t>
                  </w:r>
                </w:p>
              </w:tc>
              <w:tc>
                <w:tcPr>
                  <w:tcW w:w="436" w:type="pct"/>
                  <w:tcBorders>
                    <w:tl2br w:val="nil"/>
                    <w:tr2bl w:val="nil"/>
                  </w:tcBorders>
                  <w:shd w:val="clear" w:color="auto" w:fill="auto"/>
                  <w:vAlign w:val="center"/>
                </w:tcPr>
                <w:p w14:paraId="2AE4AA07">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符合</w:t>
                  </w:r>
                </w:p>
              </w:tc>
            </w:tr>
            <w:tr w14:paraId="5CC45B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84" w:hRule="atLeast"/>
              </w:trPr>
              <w:tc>
                <w:tcPr>
                  <w:tcW w:w="693" w:type="pct"/>
                  <w:vMerge w:val="continue"/>
                  <w:tcBorders>
                    <w:tl2br w:val="nil"/>
                    <w:tr2bl w:val="nil"/>
                  </w:tcBorders>
                  <w:vAlign w:val="center"/>
                </w:tcPr>
                <w:p w14:paraId="3AE1CA3B">
                  <w:pPr>
                    <w:pStyle w:val="40"/>
                    <w:bidi w:val="0"/>
                    <w:jc w:val="center"/>
                    <w:rPr>
                      <w:rFonts w:hint="default"/>
                      <w:color w:val="auto"/>
                      <w:spacing w:val="-6"/>
                      <w:sz w:val="21"/>
                      <w:highlight w:val="none"/>
                    </w:rPr>
                  </w:pPr>
                </w:p>
              </w:tc>
              <w:tc>
                <w:tcPr>
                  <w:tcW w:w="2080" w:type="pct"/>
                  <w:tcBorders>
                    <w:tl2br w:val="nil"/>
                    <w:tr2bl w:val="nil"/>
                  </w:tcBorders>
                  <w:shd w:val="clear" w:color="auto" w:fill="auto"/>
                  <w:vAlign w:val="center"/>
                </w:tcPr>
                <w:p w14:paraId="522657F9">
                  <w:pPr>
                    <w:pStyle w:val="40"/>
                    <w:bidi w:val="0"/>
                    <w:ind w:firstLine="0" w:firstLineChars="0"/>
                    <w:jc w:val="both"/>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highlight w:val="none"/>
                      <w:lang w:val="en-US" w:eastAsia="zh-CN"/>
                    </w:rPr>
                    <w:t>11、</w:t>
                  </w:r>
                  <w:r>
                    <w:rPr>
                      <w:rFonts w:hint="eastAsia"/>
                      <w:color w:val="auto"/>
                      <w:highlight w:val="none"/>
                      <w:lang w:val="zh-CN"/>
                    </w:rPr>
                    <w:t>机动车尾气管控行动。督促企业坚决落实</w:t>
                  </w:r>
                  <w:r>
                    <w:rPr>
                      <w:rFonts w:hint="eastAsia"/>
                      <w:color w:val="auto"/>
                      <w:highlight w:val="none"/>
                    </w:rPr>
                    <w:t>《陕西省重点用车企业环保门禁及视频监控系统建设技术指南》要求，涉及大宗物料运输的重点单位，全部建立门禁系统，实施移动源管控</w:t>
                  </w:r>
                  <w:r>
                    <w:rPr>
                      <w:rFonts w:hint="eastAsia"/>
                      <w:color w:val="auto"/>
                      <w:highlight w:val="none"/>
                      <w:lang w:eastAsia="zh-CN"/>
                    </w:rPr>
                    <w:t>。</w:t>
                  </w:r>
                </w:p>
              </w:tc>
              <w:tc>
                <w:tcPr>
                  <w:tcW w:w="1789" w:type="pct"/>
                  <w:tcBorders>
                    <w:tl2br w:val="nil"/>
                    <w:tr2bl w:val="nil"/>
                  </w:tcBorders>
                  <w:shd w:val="clear" w:color="auto" w:fill="auto"/>
                  <w:vAlign w:val="center"/>
                </w:tcPr>
                <w:p w14:paraId="61A07DD9">
                  <w:pPr>
                    <w:pStyle w:val="40"/>
                    <w:bidi w:val="0"/>
                    <w:ind w:firstLine="0" w:firstLineChars="0"/>
                    <w:jc w:val="both"/>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highlight w:val="none"/>
                      <w:lang w:val="en-US" w:eastAsia="zh-CN"/>
                    </w:rPr>
                    <w:t>本项目在厂区出入口建立门禁系统，实施移动源管控。</w:t>
                  </w:r>
                </w:p>
              </w:tc>
              <w:tc>
                <w:tcPr>
                  <w:tcW w:w="436" w:type="pct"/>
                  <w:tcBorders>
                    <w:tl2br w:val="nil"/>
                    <w:tr2bl w:val="nil"/>
                  </w:tcBorders>
                  <w:shd w:val="clear" w:color="auto" w:fill="auto"/>
                  <w:vAlign w:val="center"/>
                </w:tcPr>
                <w:p w14:paraId="3C704E34">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符合</w:t>
                  </w:r>
                </w:p>
              </w:tc>
            </w:tr>
            <w:tr w14:paraId="3098AC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17" w:hRule="atLeast"/>
              </w:trPr>
              <w:tc>
                <w:tcPr>
                  <w:tcW w:w="693" w:type="pct"/>
                  <w:vMerge w:val="continue"/>
                  <w:tcBorders>
                    <w:tl2br w:val="nil"/>
                    <w:tr2bl w:val="nil"/>
                  </w:tcBorders>
                  <w:vAlign w:val="center"/>
                </w:tcPr>
                <w:p w14:paraId="4A32D544">
                  <w:pPr>
                    <w:pStyle w:val="40"/>
                    <w:bidi w:val="0"/>
                    <w:jc w:val="center"/>
                    <w:rPr>
                      <w:rFonts w:hint="default"/>
                      <w:color w:val="auto"/>
                      <w:spacing w:val="-6"/>
                      <w:sz w:val="21"/>
                      <w:highlight w:val="none"/>
                    </w:rPr>
                  </w:pPr>
                </w:p>
              </w:tc>
              <w:tc>
                <w:tcPr>
                  <w:tcW w:w="2080" w:type="pct"/>
                  <w:tcBorders>
                    <w:tl2br w:val="nil"/>
                    <w:tr2bl w:val="nil"/>
                  </w:tcBorders>
                  <w:shd w:val="clear" w:color="auto" w:fill="auto"/>
                  <w:vAlign w:val="center"/>
                </w:tcPr>
                <w:p w14:paraId="2B5E0B91">
                  <w:pPr>
                    <w:pStyle w:val="40"/>
                    <w:bidi w:val="0"/>
                    <w:ind w:firstLine="0" w:firstLineChars="0"/>
                    <w:jc w:val="both"/>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sz w:val="21"/>
                      <w:highlight w:val="none"/>
                      <w:lang w:val="en-US" w:eastAsia="zh-CN"/>
                    </w:rPr>
                    <w:t>12、</w:t>
                  </w:r>
                  <w:r>
                    <w:rPr>
                      <w:rFonts w:hint="default"/>
                      <w:color w:val="auto"/>
                      <w:spacing w:val="-6"/>
                      <w:sz w:val="21"/>
                      <w:highlight w:val="none"/>
                      <w:lang w:val="en-US" w:eastAsia="zh-CN"/>
                    </w:rPr>
                    <w:t>非道路移动机械管控行动。强化非道路移动机械尾气排放管控，全市行政区域内禁止未编码挂牌及检测不合格的非道路移动机械使用。</w:t>
                  </w:r>
                </w:p>
              </w:tc>
              <w:tc>
                <w:tcPr>
                  <w:tcW w:w="1789" w:type="pct"/>
                  <w:tcBorders>
                    <w:tl2br w:val="nil"/>
                    <w:tr2bl w:val="nil"/>
                  </w:tcBorders>
                  <w:shd w:val="clear" w:color="auto" w:fill="auto"/>
                  <w:vAlign w:val="center"/>
                </w:tcPr>
                <w:p w14:paraId="673EEABB">
                  <w:pPr>
                    <w:pStyle w:val="40"/>
                    <w:bidi w:val="0"/>
                    <w:ind w:firstLine="0" w:firstLineChars="0"/>
                    <w:jc w:val="both"/>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default"/>
                      <w:color w:val="auto"/>
                      <w:spacing w:val="0"/>
                      <w:sz w:val="21"/>
                      <w:highlight w:val="none"/>
                      <w:lang w:val="en-US" w:eastAsia="zh-CN"/>
                    </w:rPr>
                    <w:t>项目施工过程</w:t>
                  </w:r>
                  <w:r>
                    <w:rPr>
                      <w:color w:val="auto"/>
                      <w:spacing w:val="0"/>
                      <w:sz w:val="21"/>
                      <w:highlight w:val="none"/>
                    </w:rPr>
                    <w:t>使用</w:t>
                  </w:r>
                  <w:r>
                    <w:rPr>
                      <w:rFonts w:hint="eastAsia"/>
                      <w:color w:val="auto"/>
                      <w:spacing w:val="0"/>
                      <w:sz w:val="21"/>
                      <w:highlight w:val="none"/>
                    </w:rPr>
                    <w:t>经</w:t>
                  </w:r>
                  <w:r>
                    <w:rPr>
                      <w:color w:val="auto"/>
                      <w:spacing w:val="0"/>
                      <w:sz w:val="21"/>
                      <w:highlight w:val="none"/>
                    </w:rPr>
                    <w:t>编码挂牌及检测合格的非道路移动机械</w:t>
                  </w:r>
                  <w:r>
                    <w:rPr>
                      <w:rFonts w:hint="default"/>
                      <w:color w:val="auto"/>
                      <w:spacing w:val="0"/>
                      <w:sz w:val="21"/>
                      <w:highlight w:val="none"/>
                      <w:lang w:val="en-US" w:eastAsia="zh-CN"/>
                    </w:rPr>
                    <w:t>；使用正规渠道购买的油品，使用过程定期进行维护保养，确保非道路移动机械使用过程中尾气排放符合排放标准</w:t>
                  </w:r>
                  <w:r>
                    <w:rPr>
                      <w:rFonts w:hint="eastAsia"/>
                      <w:color w:val="auto"/>
                      <w:spacing w:val="0"/>
                      <w:sz w:val="21"/>
                      <w:highlight w:val="none"/>
                      <w:lang w:val="en-US" w:eastAsia="zh-CN"/>
                    </w:rPr>
                    <w:t>。</w:t>
                  </w:r>
                </w:p>
              </w:tc>
              <w:tc>
                <w:tcPr>
                  <w:tcW w:w="436" w:type="pct"/>
                  <w:tcBorders>
                    <w:tl2br w:val="nil"/>
                    <w:tr2bl w:val="nil"/>
                  </w:tcBorders>
                  <w:shd w:val="clear" w:color="auto" w:fill="auto"/>
                  <w:vAlign w:val="center"/>
                </w:tcPr>
                <w:p w14:paraId="11BD1675">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符合</w:t>
                  </w:r>
                </w:p>
              </w:tc>
            </w:tr>
          </w:tbl>
          <w:p w14:paraId="1304D9B5">
            <w:pPr>
              <w:pStyle w:val="41"/>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color w:val="auto"/>
                <w:highlight w:val="none"/>
                <w:lang w:val="en-US" w:eastAsia="zh-CN"/>
              </w:rPr>
            </w:pPr>
            <w:r>
              <w:rPr>
                <w:rFonts w:hint="eastAsia"/>
                <w:color w:val="auto"/>
                <w:highlight w:val="none"/>
                <w:lang w:val="en-US" w:eastAsia="zh-CN"/>
              </w:rPr>
              <w:t>5、选址可行性分析</w:t>
            </w:r>
          </w:p>
          <w:p w14:paraId="5E99CAF5">
            <w:pPr>
              <w:bidi w:val="0"/>
              <w:rPr>
                <w:rFonts w:hint="default"/>
                <w:color w:val="auto"/>
                <w:highlight w:val="none"/>
                <w:lang w:val="en-US" w:eastAsia="zh-CN"/>
              </w:rPr>
            </w:pPr>
            <w:r>
              <w:rPr>
                <w:rFonts w:hint="default" w:ascii="Times New Roman" w:hAnsi="Times New Roman" w:cs="Times New Roman"/>
                <w:color w:val="auto"/>
                <w:highlight w:val="none"/>
                <w:lang w:val="en-US" w:eastAsia="zh-CN"/>
              </w:rPr>
              <w:t>本项目选址位于榆林市府谷县清水川工业园区，中心地理坐标为111°5′0.00593″，39°14′42.49855″</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占地面积为4.1701hm</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lang w:val="en-US" w:eastAsia="zh-CN"/>
              </w:rPr>
              <w:t>，地理位置图见附图2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四邻关系见附图3，项目场地东侧紧邻山体，西侧紧邻府准线，南侧100m处为中国石油府谷黄甫鑫安加油站，北侧紧邻一家搅拌站。</w:t>
            </w:r>
            <w:r>
              <w:rPr>
                <w:rFonts w:hint="default" w:ascii="Times New Roman" w:hAnsi="Times New Roman" w:cs="Times New Roman"/>
                <w:color w:val="auto"/>
                <w:highlight w:val="none"/>
              </w:rPr>
              <w:t>地形开阔、平坦，周边交通运输方便，水、电等能源条件富裕</w:t>
            </w:r>
            <w:r>
              <w:rPr>
                <w:rFonts w:hint="default" w:ascii="Times New Roman" w:hAnsi="Times New Roman" w:cs="Times New Roman"/>
                <w:color w:val="auto"/>
                <w:highlight w:val="none"/>
                <w:lang w:eastAsia="zh-CN"/>
              </w:rPr>
              <w:t>，项目原料来源可靠有保障</w:t>
            </w:r>
            <w:r>
              <w:rPr>
                <w:rFonts w:hint="default" w:ascii="Times New Roman" w:hAnsi="Times New Roman" w:cs="Times New Roman"/>
                <w:color w:val="auto"/>
                <w:highlight w:val="none"/>
              </w:rPr>
              <w:t>。场地属建筑抗震有利地段，稳定性良好，满足工程建设要求。</w:t>
            </w:r>
            <w:r>
              <w:rPr>
                <w:rFonts w:hint="default" w:ascii="Times New Roman" w:hAnsi="Times New Roman" w:cs="Times New Roman"/>
                <w:color w:val="auto"/>
                <w:highlight w:val="none"/>
                <w:lang w:val="en-US" w:eastAsia="zh-CN"/>
              </w:rPr>
              <w:t>经现场调查，项目所在区域无自然保护区、风景名胜区、世界文化遗产和自然遗产地、饮用水源保护区及文物保护单位等敏感目标，选址符合相关标准规范，符合</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三线一单</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相关要求。</w:t>
            </w:r>
            <w:r>
              <w:rPr>
                <w:rFonts w:hint="default" w:ascii="Times New Roman" w:hAnsi="Times New Roman" w:cs="Times New Roman"/>
                <w:color w:val="auto"/>
                <w:highlight w:val="none"/>
              </w:rPr>
              <w:t>项目</w:t>
            </w:r>
            <w:r>
              <w:rPr>
                <w:rFonts w:hint="default" w:ascii="Times New Roman" w:hAnsi="Times New Roman" w:cs="Times New Roman"/>
                <w:color w:val="auto"/>
                <w:highlight w:val="none"/>
                <w:lang w:val="en-US" w:eastAsia="zh-CN"/>
              </w:rPr>
              <w:t>施工期及运营期</w:t>
            </w:r>
            <w:r>
              <w:rPr>
                <w:rFonts w:hint="default" w:ascii="Times New Roman" w:hAnsi="Times New Roman" w:cs="Times New Roman"/>
                <w:color w:val="auto"/>
                <w:highlight w:val="none"/>
              </w:rPr>
              <w:t>产生的各类污染物在采取合适的环保措施后均能够实现达标排放，使各类污染物得到合理处置，对周围</w:t>
            </w:r>
            <w:r>
              <w:rPr>
                <w:rFonts w:hint="default" w:ascii="Times New Roman" w:hAnsi="Times New Roman" w:cs="Times New Roman"/>
                <w:color w:val="auto"/>
                <w:highlight w:val="none"/>
                <w:lang w:val="en-US" w:eastAsia="zh-CN"/>
              </w:rPr>
              <w:t>环境</w:t>
            </w:r>
            <w:r>
              <w:rPr>
                <w:rFonts w:hint="default" w:ascii="Times New Roman" w:hAnsi="Times New Roman" w:cs="Times New Roman"/>
                <w:color w:val="auto"/>
                <w:highlight w:val="none"/>
              </w:rPr>
              <w:t>影响较小。</w:t>
            </w:r>
          </w:p>
          <w:p w14:paraId="159E3922">
            <w:pPr>
              <w:pStyle w:val="41"/>
              <w:bidi w:val="0"/>
              <w:rPr>
                <w:rFonts w:hint="default"/>
                <w:color w:val="auto"/>
                <w:highlight w:val="none"/>
                <w:lang w:val="en-US" w:eastAsia="zh-CN"/>
              </w:rPr>
            </w:pPr>
            <w:r>
              <w:rPr>
                <w:rFonts w:hint="eastAsia"/>
                <w:color w:val="auto"/>
                <w:highlight w:val="none"/>
                <w:lang w:val="en-US" w:eastAsia="zh-CN"/>
              </w:rPr>
              <w:t>二、报告编制依据</w:t>
            </w:r>
          </w:p>
          <w:p w14:paraId="7C17FFD4">
            <w:pPr>
              <w:bidi w:val="0"/>
              <w:ind w:firstLine="480" w:firstLineChars="200"/>
              <w:rPr>
                <w:rFonts w:hint="eastAsia"/>
                <w:color w:val="auto"/>
                <w:highlight w:val="none"/>
                <w:lang w:val="en-US" w:eastAsia="zh-CN"/>
              </w:rPr>
            </w:pPr>
            <w:r>
              <w:rPr>
                <w:rFonts w:hint="default"/>
                <w:color w:val="auto"/>
                <w:highlight w:val="none"/>
                <w:lang w:val="en-US" w:eastAsia="zh-CN"/>
              </w:rPr>
              <w:t>根据《中华人民共和国环境保护法》、《中华人民共和国环境影响评价法》、《建设项目环境保护管理条例》及有关法律法规，本项目需进行环境影响评价工作。根据《建设项目环境影响评价分类管理名录》（2021年版），本项目属于</w:t>
            </w:r>
            <w:r>
              <w:rPr>
                <w:rFonts w:hint="eastAsia"/>
                <w:color w:val="auto"/>
                <w:highlight w:val="none"/>
                <w:lang w:val="en-US" w:eastAsia="zh-CN"/>
              </w:rPr>
              <w:t xml:space="preserve">“四十七、生态保护和环境治理业 </w:t>
            </w:r>
            <w:r>
              <w:rPr>
                <w:rFonts w:hint="default"/>
                <w:color w:val="auto"/>
                <w:highlight w:val="none"/>
                <w:lang w:val="en-US" w:eastAsia="zh-CN"/>
              </w:rPr>
              <w:t>103.一般工业固体废物</w:t>
            </w:r>
            <w:r>
              <w:rPr>
                <w:rFonts w:hint="eastAsia"/>
                <w:color w:val="auto"/>
                <w:highlight w:val="none"/>
                <w:lang w:val="en-US" w:eastAsia="zh-CN"/>
              </w:rPr>
              <w:t>（含污水处理污泥）、建筑施工废弃物处置及综合利用”中“其他”“</w:t>
            </w:r>
            <w:r>
              <w:rPr>
                <w:rFonts w:hint="eastAsia"/>
                <w:color w:val="auto"/>
                <w:highlight w:val="none"/>
              </w:rPr>
              <w:t>二十七、非金属矿</w:t>
            </w:r>
            <w:r>
              <w:rPr>
                <w:rFonts w:hint="default"/>
                <w:color w:val="auto"/>
                <w:highlight w:val="none"/>
              </w:rPr>
              <w:t>物制品业</w:t>
            </w:r>
            <w:r>
              <w:rPr>
                <w:rFonts w:hint="default"/>
                <w:color w:val="auto"/>
                <w:highlight w:val="none"/>
                <w:lang w:val="en-US" w:eastAsia="zh-CN"/>
              </w:rPr>
              <w:t xml:space="preserve"> 55</w:t>
            </w:r>
            <w:r>
              <w:rPr>
                <w:rFonts w:hint="default"/>
                <w:color w:val="auto"/>
                <w:highlight w:val="none"/>
              </w:rPr>
              <w:t>.石膏、水泥制品及类似制品制造302</w:t>
            </w:r>
            <w:r>
              <w:rPr>
                <w:rFonts w:hint="eastAsia"/>
                <w:color w:val="auto"/>
                <w:highlight w:val="none"/>
                <w:lang w:eastAsia="zh-CN"/>
              </w:rPr>
              <w:t>”</w:t>
            </w:r>
            <w:r>
              <w:rPr>
                <w:rFonts w:hint="eastAsia"/>
                <w:color w:val="auto"/>
                <w:highlight w:val="none"/>
              </w:rPr>
              <w:t>中</w:t>
            </w:r>
            <w:r>
              <w:rPr>
                <w:rFonts w:hint="eastAsia"/>
                <w:color w:val="auto"/>
                <w:highlight w:val="none"/>
                <w:lang w:eastAsia="zh-CN"/>
              </w:rPr>
              <w:t>“</w:t>
            </w:r>
            <w:r>
              <w:rPr>
                <w:rFonts w:hint="eastAsia"/>
                <w:color w:val="auto"/>
                <w:highlight w:val="none"/>
              </w:rPr>
              <w:t>商品混凝土</w:t>
            </w:r>
            <w:r>
              <w:rPr>
                <w:rFonts w:hint="eastAsia"/>
                <w:color w:val="auto"/>
                <w:highlight w:val="none"/>
                <w:lang w:val="en-US" w:eastAsia="zh-CN"/>
              </w:rPr>
              <w:t>”。因此，本项目应编制环境影响报告表。</w:t>
            </w:r>
          </w:p>
          <w:p w14:paraId="0DCCAB9E">
            <w:pPr>
              <w:bidi w:val="0"/>
              <w:rPr>
                <w:rFonts w:hint="eastAsia"/>
                <w:color w:val="auto"/>
                <w:highlight w:val="none"/>
                <w:lang w:val="en-US" w:eastAsia="zh-CN"/>
              </w:rPr>
            </w:pPr>
          </w:p>
          <w:p w14:paraId="1EC05159">
            <w:pPr>
              <w:bidi w:val="0"/>
              <w:rPr>
                <w:rFonts w:hint="eastAsia"/>
                <w:color w:val="auto"/>
                <w:highlight w:val="none"/>
                <w:lang w:val="en-US" w:eastAsia="zh-CN"/>
              </w:rPr>
            </w:pPr>
          </w:p>
          <w:p w14:paraId="46DBC35C">
            <w:pPr>
              <w:bidi w:val="0"/>
              <w:rPr>
                <w:rFonts w:hint="eastAsia"/>
                <w:color w:val="auto"/>
                <w:highlight w:val="none"/>
                <w:lang w:val="en-US" w:eastAsia="zh-CN"/>
              </w:rPr>
            </w:pPr>
          </w:p>
          <w:p w14:paraId="269C9D35">
            <w:pPr>
              <w:bidi w:val="0"/>
              <w:rPr>
                <w:rFonts w:hint="default"/>
                <w:color w:val="auto"/>
                <w:highlight w:val="none"/>
                <w:lang w:val="en-US" w:eastAsia="zh-CN"/>
              </w:rPr>
            </w:pPr>
          </w:p>
        </w:tc>
      </w:tr>
    </w:tbl>
    <w:p w14:paraId="1495C259">
      <w:pPr>
        <w:jc w:val="center"/>
        <w:outlineLvl w:val="0"/>
        <w:rPr>
          <w:rFonts w:hint="eastAsia" w:ascii="黑体" w:hAnsi="黑体" w:eastAsia="黑体"/>
          <w:snapToGrid w:val="0"/>
          <w:color w:val="auto"/>
          <w:sz w:val="30"/>
          <w:szCs w:val="30"/>
          <w:highlight w:val="none"/>
        </w:rPr>
        <w:sectPr>
          <w:footerReference r:id="rId5" w:type="default"/>
          <w:type w:val="oddPage"/>
          <w:pgSz w:w="11906" w:h="16838"/>
          <w:pgMar w:top="1701" w:right="1531" w:bottom="1701" w:left="1531" w:header="851" w:footer="851" w:gutter="0"/>
          <w:pgBorders>
            <w:top w:val="none" w:sz="0" w:space="0"/>
            <w:left w:val="none" w:sz="0" w:space="0"/>
            <w:bottom w:val="none" w:sz="0" w:space="0"/>
            <w:right w:val="none" w:sz="0" w:space="0"/>
          </w:pgBorders>
          <w:pgNumType w:start="1"/>
          <w:cols w:space="720" w:num="1"/>
          <w:docGrid w:linePitch="312" w:charSpace="0"/>
        </w:sectPr>
      </w:pPr>
    </w:p>
    <w:p w14:paraId="1AC14964">
      <w:pPr>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二、建设项目工程分析</w:t>
      </w:r>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3"/>
        <w:gridCol w:w="8607"/>
      </w:tblGrid>
      <w:tr w14:paraId="3FC9BD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 w:type="pct"/>
            <w:noWrap w:val="0"/>
            <w:vAlign w:val="center"/>
          </w:tcPr>
          <w:p w14:paraId="6090AA05">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建设内容</w:t>
            </w:r>
          </w:p>
        </w:tc>
        <w:tc>
          <w:tcPr>
            <w:tcW w:w="4750" w:type="pct"/>
            <w:noWrap w:val="0"/>
            <w:vAlign w:val="top"/>
          </w:tcPr>
          <w:p w14:paraId="092172C1">
            <w:pPr>
              <w:pStyle w:val="41"/>
              <w:bidi w:val="0"/>
              <w:rPr>
                <w:rFonts w:hint="default"/>
                <w:color w:val="auto"/>
                <w:highlight w:val="none"/>
                <w:lang w:val="en-US" w:eastAsia="zh-CN"/>
              </w:rPr>
            </w:pPr>
            <w:r>
              <w:rPr>
                <w:rFonts w:hint="eastAsia"/>
                <w:color w:val="auto"/>
                <w:highlight w:val="none"/>
                <w:lang w:val="en-US" w:eastAsia="zh-CN"/>
              </w:rPr>
              <w:t>一、项目主要建设内容</w:t>
            </w:r>
          </w:p>
          <w:p w14:paraId="04B30F4F">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bCs/>
                <w:color w:val="auto"/>
                <w:sz w:val="24"/>
                <w:szCs w:val="24"/>
                <w:highlight w:val="none"/>
              </w:rPr>
            </w:pPr>
            <w:r>
              <w:rPr>
                <w:rFonts w:hint="eastAsia"/>
                <w:color w:val="auto"/>
                <w:highlight w:val="none"/>
                <w:lang w:val="en-US" w:eastAsia="zh-CN"/>
              </w:rPr>
              <w:t>本项目</w:t>
            </w:r>
            <w:r>
              <w:rPr>
                <w:rFonts w:hint="eastAsia"/>
                <w:color w:val="auto"/>
                <w:highlight w:val="none"/>
              </w:rPr>
              <w:t>建设一条年产100万吨</w:t>
            </w:r>
            <w:r>
              <w:rPr>
                <w:rFonts w:hint="eastAsia"/>
                <w:bCs/>
                <w:color w:val="auto"/>
                <w:highlight w:val="none"/>
              </w:rPr>
              <w:t>蒸压硅酸盐功能骨料生产线，及年产50万m</w:t>
            </w:r>
            <w:r>
              <w:rPr>
                <w:rFonts w:hint="eastAsia"/>
                <w:bCs/>
                <w:color w:val="auto"/>
                <w:highlight w:val="none"/>
                <w:vertAlign w:val="superscript"/>
              </w:rPr>
              <w:t>3</w:t>
            </w:r>
            <w:r>
              <w:rPr>
                <w:rFonts w:hint="eastAsia"/>
                <w:bCs/>
                <w:color w:val="auto"/>
                <w:highlight w:val="none"/>
              </w:rPr>
              <w:t>绿色智能化预拌混凝土生产线。蒸压硅酸盐功能骨料生产线产品部分用作混凝土生产线原料，其余直接外售；同时配套建设辅助、公用工程及相关附属设施。</w:t>
            </w:r>
            <w:r>
              <w:rPr>
                <w:rFonts w:hint="eastAsia" w:ascii="Times New Roman" w:hAnsi="Times New Roman" w:cs="Times New Roman"/>
                <w:b w:val="0"/>
                <w:bCs w:val="0"/>
                <w:color w:val="auto"/>
                <w:sz w:val="24"/>
                <w:szCs w:val="24"/>
                <w:highlight w:val="none"/>
                <w:lang w:val="en-US" w:eastAsia="zh-CN"/>
              </w:rPr>
              <w:t>根据设计资料，</w:t>
            </w:r>
            <w:r>
              <w:rPr>
                <w:bCs/>
                <w:color w:val="auto"/>
                <w:sz w:val="24"/>
                <w:highlight w:val="none"/>
              </w:rPr>
              <w:t>项目组成见</w:t>
            </w:r>
            <w:r>
              <w:rPr>
                <w:bCs/>
                <w:color w:val="auto"/>
                <w:sz w:val="24"/>
                <w:highlight w:val="none"/>
              </w:rPr>
              <w:fldChar w:fldCharType="begin"/>
            </w:r>
            <w:r>
              <w:rPr>
                <w:bCs/>
                <w:color w:val="auto"/>
                <w:sz w:val="24"/>
                <w:highlight w:val="none"/>
              </w:rPr>
              <w:instrText xml:space="preserve"> REF _Ref1773 \h </w:instrText>
            </w:r>
            <w:r>
              <w:rPr>
                <w:bCs/>
                <w:color w:val="auto"/>
                <w:sz w:val="24"/>
                <w:highlight w:val="none"/>
              </w:rPr>
              <w:fldChar w:fldCharType="separate"/>
            </w:r>
            <w:r>
              <w:rPr>
                <w:color w:val="auto"/>
                <w:highlight w:val="none"/>
              </w:rPr>
              <w:t>表2-1</w:t>
            </w:r>
            <w:r>
              <w:rPr>
                <w:bCs/>
                <w:color w:val="auto"/>
                <w:sz w:val="24"/>
                <w:highlight w:val="none"/>
              </w:rPr>
              <w:fldChar w:fldCharType="end"/>
            </w:r>
            <w:r>
              <w:rPr>
                <w:bCs/>
                <w:color w:val="auto"/>
                <w:sz w:val="24"/>
                <w:highlight w:val="none"/>
              </w:rPr>
              <w:t>。</w:t>
            </w:r>
          </w:p>
          <w:p w14:paraId="22E0704C">
            <w:pPr>
              <w:pStyle w:val="7"/>
              <w:keepNext w:val="0"/>
              <w:keepLines w:val="0"/>
              <w:pageBreakBefore w:val="0"/>
              <w:widowControl w:val="0"/>
              <w:kinsoku/>
              <w:wordWrap/>
              <w:overflowPunct/>
              <w:topLinePunct w:val="0"/>
              <w:autoSpaceDE/>
              <w:autoSpaceDN/>
              <w:bidi w:val="0"/>
              <w:adjustRightInd/>
              <w:snapToGrid/>
              <w:spacing w:before="0" w:beforeLines="0"/>
              <w:textAlignment w:val="auto"/>
              <w:rPr>
                <w:color w:val="auto"/>
                <w:highlight w:val="none"/>
              </w:rPr>
            </w:pPr>
            <w:bookmarkStart w:id="9" w:name="_Ref1773"/>
            <w:r>
              <w:rPr>
                <w:color w:val="auto"/>
                <w:highlight w:val="none"/>
              </w:rPr>
              <w:t>表2-</w:t>
            </w:r>
            <w:r>
              <w:rPr>
                <w:color w:val="auto"/>
                <w:highlight w:val="none"/>
              </w:rPr>
              <w:fldChar w:fldCharType="begin"/>
            </w:r>
            <w:r>
              <w:rPr>
                <w:color w:val="auto"/>
                <w:highlight w:val="none"/>
              </w:rPr>
              <w:instrText xml:space="preserve"> SEQ 表2- \* ARABIC </w:instrText>
            </w:r>
            <w:r>
              <w:rPr>
                <w:color w:val="auto"/>
                <w:highlight w:val="none"/>
              </w:rPr>
              <w:fldChar w:fldCharType="separate"/>
            </w:r>
            <w:r>
              <w:rPr>
                <w:color w:val="auto"/>
                <w:highlight w:val="none"/>
              </w:rPr>
              <w:t>1</w:t>
            </w:r>
            <w:r>
              <w:rPr>
                <w:color w:val="auto"/>
                <w:highlight w:val="none"/>
              </w:rPr>
              <w:fldChar w:fldCharType="end"/>
            </w:r>
            <w:bookmarkEnd w:id="9"/>
            <w:r>
              <w:rPr>
                <w:color w:val="auto"/>
                <w:highlight w:val="none"/>
              </w:rPr>
              <w:t xml:space="preserve">  项目组成一览表</w:t>
            </w:r>
          </w:p>
          <w:tbl>
            <w:tblPr>
              <w:tblStyle w:val="25"/>
              <w:tblW w:w="8392"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98"/>
              <w:gridCol w:w="398"/>
              <w:gridCol w:w="399"/>
              <w:gridCol w:w="623"/>
              <w:gridCol w:w="623"/>
              <w:gridCol w:w="5951"/>
            </w:tblGrid>
            <w:tr w14:paraId="577705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tcBorders>
                    <w:tl2br w:val="nil"/>
                    <w:tr2bl w:val="nil"/>
                  </w:tcBorders>
                  <w:vAlign w:val="center"/>
                </w:tcPr>
                <w:p w14:paraId="5AB680C4">
                  <w:pPr>
                    <w:pStyle w:val="40"/>
                    <w:bidi w:val="0"/>
                    <w:jc w:val="center"/>
                    <w:rPr>
                      <w:rFonts w:hint="eastAsia" w:eastAsia="宋体"/>
                      <w:color w:val="auto"/>
                      <w:highlight w:val="none"/>
                      <w:lang w:val="en-US" w:eastAsia="zh-CN"/>
                    </w:rPr>
                  </w:pPr>
                  <w:r>
                    <w:rPr>
                      <w:rFonts w:hint="eastAsia"/>
                      <w:color w:val="auto"/>
                      <w:highlight w:val="none"/>
                      <w:lang w:val="en-US" w:eastAsia="zh-CN"/>
                    </w:rPr>
                    <w:t>项目</w:t>
                  </w:r>
                </w:p>
              </w:tc>
              <w:tc>
                <w:tcPr>
                  <w:tcW w:w="2043" w:type="dxa"/>
                  <w:gridSpan w:val="4"/>
                  <w:tcBorders>
                    <w:tl2br w:val="nil"/>
                    <w:tr2bl w:val="nil"/>
                  </w:tcBorders>
                  <w:vAlign w:val="center"/>
                </w:tcPr>
                <w:p w14:paraId="3282C2C1">
                  <w:pPr>
                    <w:pStyle w:val="40"/>
                    <w:bidi w:val="0"/>
                    <w:jc w:val="center"/>
                    <w:rPr>
                      <w:rFonts w:hint="default"/>
                      <w:color w:val="auto"/>
                      <w:highlight w:val="none"/>
                    </w:rPr>
                  </w:pPr>
                  <w:r>
                    <w:rPr>
                      <w:rFonts w:hint="eastAsia"/>
                      <w:color w:val="auto"/>
                      <w:highlight w:val="none"/>
                      <w:lang w:val="en-US" w:eastAsia="zh-CN"/>
                    </w:rPr>
                    <w:t>类别</w:t>
                  </w:r>
                </w:p>
              </w:tc>
              <w:tc>
                <w:tcPr>
                  <w:tcW w:w="5951" w:type="dxa"/>
                  <w:tcBorders>
                    <w:tl2br w:val="nil"/>
                    <w:tr2bl w:val="nil"/>
                  </w:tcBorders>
                  <w:vAlign w:val="center"/>
                </w:tcPr>
                <w:p w14:paraId="61CFF6A6">
                  <w:pPr>
                    <w:pStyle w:val="40"/>
                    <w:bidi w:val="0"/>
                    <w:jc w:val="center"/>
                    <w:rPr>
                      <w:rFonts w:hint="eastAsia" w:eastAsia="宋体"/>
                      <w:color w:val="auto"/>
                      <w:highlight w:val="none"/>
                      <w:lang w:val="en-US" w:eastAsia="zh-CN"/>
                    </w:rPr>
                  </w:pPr>
                  <w:r>
                    <w:rPr>
                      <w:rFonts w:hint="eastAsia"/>
                      <w:color w:val="auto"/>
                      <w:highlight w:val="none"/>
                      <w:lang w:val="en-US" w:eastAsia="zh-CN"/>
                    </w:rPr>
                    <w:t>建设内容</w:t>
                  </w:r>
                </w:p>
              </w:tc>
            </w:tr>
            <w:tr w14:paraId="0A93A8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restart"/>
                  <w:tcBorders>
                    <w:tl2br w:val="nil"/>
                    <w:tr2bl w:val="nil"/>
                  </w:tcBorders>
                  <w:vAlign w:val="center"/>
                </w:tcPr>
                <w:p w14:paraId="09CEAA40">
                  <w:pPr>
                    <w:pStyle w:val="40"/>
                    <w:bidi w:val="0"/>
                    <w:jc w:val="center"/>
                    <w:rPr>
                      <w:rFonts w:hint="eastAsia" w:eastAsia="宋体"/>
                      <w:color w:val="auto"/>
                      <w:highlight w:val="none"/>
                      <w:lang w:val="en-US" w:eastAsia="zh-CN"/>
                    </w:rPr>
                  </w:pPr>
                  <w:r>
                    <w:rPr>
                      <w:rFonts w:hint="eastAsia"/>
                      <w:color w:val="auto"/>
                      <w:highlight w:val="none"/>
                      <w:lang w:val="en-US" w:eastAsia="zh-CN"/>
                    </w:rPr>
                    <w:t>主体工程</w:t>
                  </w:r>
                </w:p>
              </w:tc>
              <w:tc>
                <w:tcPr>
                  <w:tcW w:w="398" w:type="dxa"/>
                  <w:vMerge w:val="restart"/>
                  <w:tcBorders>
                    <w:tl2br w:val="nil"/>
                    <w:tr2bl w:val="nil"/>
                  </w:tcBorders>
                  <w:vAlign w:val="center"/>
                </w:tcPr>
                <w:p w14:paraId="25A34CCA">
                  <w:pPr>
                    <w:pStyle w:val="40"/>
                    <w:bidi w:val="0"/>
                    <w:jc w:val="center"/>
                    <w:rPr>
                      <w:rFonts w:hint="default" w:eastAsia="宋体"/>
                      <w:color w:val="auto"/>
                      <w:highlight w:val="none"/>
                      <w:lang w:val="en-US" w:eastAsia="zh-CN"/>
                    </w:rPr>
                  </w:pPr>
                  <w:r>
                    <w:rPr>
                      <w:rFonts w:hint="eastAsia"/>
                      <w:color w:val="auto"/>
                      <w:highlight w:val="none"/>
                      <w:lang w:val="en-US" w:eastAsia="zh-CN"/>
                    </w:rPr>
                    <w:t>蒸压硅酸盐功能骨料生产车间</w:t>
                  </w:r>
                </w:p>
              </w:tc>
              <w:tc>
                <w:tcPr>
                  <w:tcW w:w="7596" w:type="dxa"/>
                  <w:gridSpan w:val="4"/>
                  <w:tcBorders>
                    <w:tl2br w:val="nil"/>
                    <w:tr2bl w:val="nil"/>
                  </w:tcBorders>
                  <w:vAlign w:val="center"/>
                </w:tcPr>
                <w:p w14:paraId="78E8BB9C">
                  <w:pPr>
                    <w:pStyle w:val="40"/>
                    <w:bidi w:val="0"/>
                    <w:jc w:val="center"/>
                    <w:rPr>
                      <w:rFonts w:hint="default"/>
                      <w:color w:val="auto"/>
                      <w:highlight w:val="none"/>
                    </w:rPr>
                  </w:pPr>
                  <w:r>
                    <w:rPr>
                      <w:rFonts w:hint="default"/>
                      <w:color w:val="auto"/>
                      <w:highlight w:val="none"/>
                    </w:rPr>
                    <w:t>1座，单层轻钢结构，为全封闭式储棚，占地面积为</w:t>
                  </w:r>
                  <w:r>
                    <w:rPr>
                      <w:rFonts w:hint="eastAsia"/>
                      <w:color w:val="auto"/>
                      <w:highlight w:val="none"/>
                      <w:lang w:val="en-US" w:eastAsia="zh-CN"/>
                    </w:rPr>
                    <w:t>10000</w:t>
                  </w:r>
                  <w:r>
                    <w:rPr>
                      <w:rFonts w:hint="default"/>
                      <w:color w:val="auto"/>
                      <w:highlight w:val="none"/>
                    </w:rPr>
                    <w:t>m</w:t>
                  </w:r>
                  <w:r>
                    <w:rPr>
                      <w:rFonts w:hint="default"/>
                      <w:color w:val="auto"/>
                      <w:highlight w:val="none"/>
                      <w:vertAlign w:val="superscript"/>
                    </w:rPr>
                    <w:t>2</w:t>
                  </w:r>
                  <w:r>
                    <w:rPr>
                      <w:rFonts w:hint="default"/>
                      <w:color w:val="auto"/>
                      <w:highlight w:val="none"/>
                    </w:rPr>
                    <w:t>，预留车辆出入口（出入口采用软帘封闭），</w:t>
                  </w:r>
                  <w:r>
                    <w:rPr>
                      <w:rFonts w:hint="eastAsia"/>
                      <w:color w:val="auto"/>
                      <w:highlight w:val="none"/>
                      <w:lang w:val="en-US" w:eastAsia="zh-CN"/>
                    </w:rPr>
                    <w:t>车间</w:t>
                  </w:r>
                  <w:r>
                    <w:rPr>
                      <w:rFonts w:hint="default"/>
                      <w:color w:val="auto"/>
                      <w:highlight w:val="none"/>
                    </w:rPr>
                    <w:t>设喷雾降尘设施，用于布置骨料生产线</w:t>
                  </w:r>
                </w:p>
              </w:tc>
            </w:tr>
            <w:tr w14:paraId="672B32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7B3B04DB">
                  <w:pPr>
                    <w:pStyle w:val="40"/>
                    <w:bidi w:val="0"/>
                    <w:jc w:val="center"/>
                    <w:rPr>
                      <w:rFonts w:hint="default"/>
                      <w:color w:val="auto"/>
                      <w:highlight w:val="none"/>
                    </w:rPr>
                  </w:pPr>
                </w:p>
              </w:tc>
              <w:tc>
                <w:tcPr>
                  <w:tcW w:w="398" w:type="dxa"/>
                  <w:vMerge w:val="continue"/>
                  <w:tcBorders>
                    <w:tl2br w:val="nil"/>
                    <w:tr2bl w:val="nil"/>
                  </w:tcBorders>
                  <w:vAlign w:val="center"/>
                </w:tcPr>
                <w:p w14:paraId="28DE1206">
                  <w:pPr>
                    <w:pStyle w:val="40"/>
                    <w:bidi w:val="0"/>
                    <w:jc w:val="center"/>
                    <w:rPr>
                      <w:rFonts w:hint="default"/>
                      <w:color w:val="auto"/>
                      <w:highlight w:val="none"/>
                    </w:rPr>
                  </w:pPr>
                </w:p>
              </w:tc>
              <w:tc>
                <w:tcPr>
                  <w:tcW w:w="1645" w:type="dxa"/>
                  <w:gridSpan w:val="3"/>
                  <w:tcBorders>
                    <w:tl2br w:val="nil"/>
                    <w:tr2bl w:val="nil"/>
                  </w:tcBorders>
                  <w:shd w:val="clear" w:color="auto" w:fill="auto"/>
                  <w:vAlign w:val="center"/>
                </w:tcPr>
                <w:p w14:paraId="19061AF6">
                  <w:pPr>
                    <w:pStyle w:val="40"/>
                    <w:bidi w:val="0"/>
                    <w:rPr>
                      <w:rFonts w:hint="default"/>
                      <w:color w:val="auto"/>
                      <w:highlight w:val="none"/>
                      <w:lang w:val="en-US" w:eastAsia="zh-CN"/>
                    </w:rPr>
                  </w:pPr>
                  <w:r>
                    <w:rPr>
                      <w:rFonts w:hint="eastAsia"/>
                      <w:color w:val="auto"/>
                      <w:highlight w:val="none"/>
                    </w:rPr>
                    <w:t>原料区</w:t>
                  </w:r>
                </w:p>
              </w:tc>
              <w:tc>
                <w:tcPr>
                  <w:tcW w:w="5951" w:type="dxa"/>
                  <w:tcBorders>
                    <w:tl2br w:val="nil"/>
                    <w:tr2bl w:val="nil"/>
                  </w:tcBorders>
                  <w:shd w:val="clear" w:color="auto" w:fill="auto"/>
                  <w:vAlign w:val="center"/>
                </w:tcPr>
                <w:p w14:paraId="70FFBE31">
                  <w:pPr>
                    <w:pStyle w:val="40"/>
                    <w:bidi w:val="0"/>
                    <w:rPr>
                      <w:rFonts w:hint="default"/>
                      <w:color w:val="auto"/>
                      <w:highlight w:val="none"/>
                      <w:lang w:val="en-US" w:eastAsia="zh-CN"/>
                    </w:rPr>
                  </w:pPr>
                  <w:r>
                    <w:rPr>
                      <w:rFonts w:hint="eastAsia"/>
                      <w:color w:val="auto"/>
                      <w:highlight w:val="none"/>
                    </w:rPr>
                    <w:t>占地面积为3000m</w:t>
                  </w:r>
                  <w:r>
                    <w:rPr>
                      <w:rFonts w:hint="eastAsia"/>
                      <w:color w:val="auto"/>
                      <w:highlight w:val="none"/>
                      <w:vertAlign w:val="superscript"/>
                    </w:rPr>
                    <w:t>2</w:t>
                  </w:r>
                  <w:r>
                    <w:rPr>
                      <w:color w:val="auto"/>
                      <w:highlight w:val="none"/>
                    </w:rPr>
                    <w:t>，</w:t>
                  </w:r>
                  <w:r>
                    <w:rPr>
                      <w:rFonts w:hint="eastAsia"/>
                      <w:color w:val="auto"/>
                      <w:highlight w:val="none"/>
                    </w:rPr>
                    <w:t>用于储存镁渣、炉渣和脱硫石膏</w:t>
                  </w:r>
                </w:p>
              </w:tc>
            </w:tr>
            <w:tr w14:paraId="520712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5A8F6369">
                  <w:pPr>
                    <w:pStyle w:val="40"/>
                    <w:bidi w:val="0"/>
                    <w:jc w:val="center"/>
                    <w:rPr>
                      <w:rFonts w:hint="default"/>
                      <w:color w:val="auto"/>
                      <w:highlight w:val="none"/>
                    </w:rPr>
                  </w:pPr>
                </w:p>
              </w:tc>
              <w:tc>
                <w:tcPr>
                  <w:tcW w:w="398" w:type="dxa"/>
                  <w:vMerge w:val="continue"/>
                  <w:tcBorders>
                    <w:tl2br w:val="nil"/>
                    <w:tr2bl w:val="nil"/>
                  </w:tcBorders>
                  <w:vAlign w:val="center"/>
                </w:tcPr>
                <w:p w14:paraId="526DC578">
                  <w:pPr>
                    <w:pStyle w:val="40"/>
                    <w:bidi w:val="0"/>
                    <w:jc w:val="center"/>
                    <w:rPr>
                      <w:rFonts w:hint="default"/>
                      <w:color w:val="auto"/>
                      <w:highlight w:val="none"/>
                    </w:rPr>
                  </w:pPr>
                </w:p>
              </w:tc>
              <w:tc>
                <w:tcPr>
                  <w:tcW w:w="1645" w:type="dxa"/>
                  <w:gridSpan w:val="3"/>
                  <w:tcBorders>
                    <w:tl2br w:val="nil"/>
                    <w:tr2bl w:val="nil"/>
                  </w:tcBorders>
                  <w:shd w:val="clear" w:color="auto" w:fill="auto"/>
                  <w:vAlign w:val="center"/>
                </w:tcPr>
                <w:p w14:paraId="576234C0">
                  <w:pPr>
                    <w:pStyle w:val="40"/>
                    <w:bidi w:val="0"/>
                    <w:rPr>
                      <w:rFonts w:hint="default"/>
                      <w:color w:val="auto"/>
                      <w:highlight w:val="none"/>
                      <w:lang w:val="en-US" w:eastAsia="zh-CN"/>
                    </w:rPr>
                  </w:pPr>
                  <w:r>
                    <w:rPr>
                      <w:rFonts w:hint="eastAsia"/>
                      <w:color w:val="auto"/>
                      <w:highlight w:val="none"/>
                    </w:rPr>
                    <w:t>预处理区</w:t>
                  </w:r>
                </w:p>
              </w:tc>
              <w:tc>
                <w:tcPr>
                  <w:tcW w:w="5951" w:type="dxa"/>
                  <w:tcBorders>
                    <w:tl2br w:val="nil"/>
                    <w:tr2bl w:val="nil"/>
                  </w:tcBorders>
                  <w:shd w:val="clear" w:color="auto" w:fill="auto"/>
                  <w:vAlign w:val="center"/>
                </w:tcPr>
                <w:p w14:paraId="310A11AB">
                  <w:pPr>
                    <w:pStyle w:val="40"/>
                    <w:bidi w:val="0"/>
                    <w:rPr>
                      <w:rFonts w:hint="default"/>
                      <w:color w:val="auto"/>
                      <w:highlight w:val="none"/>
                      <w:lang w:val="en-US" w:eastAsia="zh-CN"/>
                    </w:rPr>
                  </w:pPr>
                  <w:r>
                    <w:rPr>
                      <w:rFonts w:hint="eastAsia"/>
                      <w:color w:val="auto"/>
                      <w:highlight w:val="none"/>
                    </w:rPr>
                    <w:t>占地面积为</w:t>
                  </w:r>
                  <w:r>
                    <w:rPr>
                      <w:rFonts w:hint="eastAsia"/>
                      <w:color w:val="auto"/>
                      <w:highlight w:val="none"/>
                      <w:lang w:val="en-US" w:eastAsia="zh-CN"/>
                    </w:rPr>
                    <w:t>1000</w:t>
                  </w:r>
                  <w:r>
                    <w:rPr>
                      <w:rFonts w:hint="eastAsia"/>
                      <w:color w:val="auto"/>
                      <w:highlight w:val="none"/>
                    </w:rPr>
                    <w:t>m</w:t>
                  </w:r>
                  <w:r>
                    <w:rPr>
                      <w:rFonts w:hint="eastAsia"/>
                      <w:color w:val="auto"/>
                      <w:highlight w:val="none"/>
                      <w:vertAlign w:val="superscript"/>
                    </w:rPr>
                    <w:t>2</w:t>
                  </w:r>
                  <w:r>
                    <w:rPr>
                      <w:rFonts w:hint="eastAsia"/>
                      <w:color w:val="auto"/>
                      <w:highlight w:val="none"/>
                    </w:rPr>
                    <w:t>，用于炉渣的粗磨、原料配比及细磨；主要设备有粗磨机、炉渣中间仓、镁渣中间仓、球磨机、预处理灰仓，其中球磨机</w:t>
                  </w:r>
                  <w:r>
                    <w:rPr>
                      <w:rFonts w:hint="eastAsia"/>
                      <w:color w:val="auto"/>
                      <w:highlight w:val="none"/>
                      <w:lang w:val="en-US" w:eastAsia="zh-CN"/>
                    </w:rPr>
                    <w:t>2</w:t>
                  </w:r>
                  <w:r>
                    <w:rPr>
                      <w:rFonts w:hint="eastAsia"/>
                      <w:color w:val="auto"/>
                      <w:highlight w:val="none"/>
                    </w:rPr>
                    <w:t>台，</w:t>
                  </w:r>
                  <w:r>
                    <w:rPr>
                      <w:rFonts w:hint="eastAsia"/>
                      <w:color w:val="auto"/>
                      <w:highlight w:val="none"/>
                      <w:lang w:val="en-US" w:eastAsia="zh-CN"/>
                    </w:rPr>
                    <w:t>1</w:t>
                  </w:r>
                  <w:r>
                    <w:rPr>
                      <w:color w:val="auto"/>
                      <w:highlight w:val="none"/>
                    </w:rPr>
                    <w:t>台Ø3.5×13m</w:t>
                  </w:r>
                  <w:r>
                    <w:rPr>
                      <w:rFonts w:hint="eastAsia"/>
                      <w:color w:val="auto"/>
                      <w:highlight w:val="none"/>
                    </w:rPr>
                    <w:t>（处理能力90t/h），</w:t>
                  </w:r>
                  <w:r>
                    <w:rPr>
                      <w:rFonts w:hint="eastAsia"/>
                      <w:color w:val="auto"/>
                      <w:highlight w:val="none"/>
                      <w:lang w:val="en-US" w:eastAsia="zh-CN"/>
                    </w:rPr>
                    <w:t>1</w:t>
                  </w:r>
                  <w:r>
                    <w:rPr>
                      <w:rFonts w:hint="eastAsia"/>
                      <w:color w:val="auto"/>
                      <w:highlight w:val="none"/>
                    </w:rPr>
                    <w:t>台</w:t>
                  </w:r>
                  <w:r>
                    <w:rPr>
                      <w:color w:val="auto"/>
                      <w:highlight w:val="none"/>
                    </w:rPr>
                    <w:t>Ø2.8×13m</w:t>
                  </w:r>
                  <w:r>
                    <w:rPr>
                      <w:rFonts w:hint="eastAsia"/>
                      <w:color w:val="auto"/>
                      <w:highlight w:val="none"/>
                    </w:rPr>
                    <w:t>（处理能力60t/h）</w:t>
                  </w:r>
                </w:p>
              </w:tc>
            </w:tr>
            <w:tr w14:paraId="1936BA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3DE709BB">
                  <w:pPr>
                    <w:pStyle w:val="40"/>
                    <w:bidi w:val="0"/>
                    <w:jc w:val="center"/>
                    <w:rPr>
                      <w:rFonts w:hint="default"/>
                      <w:color w:val="auto"/>
                      <w:highlight w:val="none"/>
                    </w:rPr>
                  </w:pPr>
                </w:p>
              </w:tc>
              <w:tc>
                <w:tcPr>
                  <w:tcW w:w="398" w:type="dxa"/>
                  <w:vMerge w:val="continue"/>
                  <w:tcBorders>
                    <w:tl2br w:val="nil"/>
                    <w:tr2bl w:val="nil"/>
                  </w:tcBorders>
                  <w:vAlign w:val="center"/>
                </w:tcPr>
                <w:p w14:paraId="48755125">
                  <w:pPr>
                    <w:pStyle w:val="40"/>
                    <w:bidi w:val="0"/>
                    <w:jc w:val="center"/>
                    <w:rPr>
                      <w:rFonts w:hint="default"/>
                      <w:color w:val="auto"/>
                      <w:highlight w:val="none"/>
                    </w:rPr>
                  </w:pPr>
                </w:p>
              </w:tc>
              <w:tc>
                <w:tcPr>
                  <w:tcW w:w="1645" w:type="dxa"/>
                  <w:gridSpan w:val="3"/>
                  <w:tcBorders>
                    <w:tl2br w:val="nil"/>
                    <w:tr2bl w:val="nil"/>
                  </w:tcBorders>
                  <w:shd w:val="clear" w:color="auto" w:fill="auto"/>
                  <w:vAlign w:val="center"/>
                </w:tcPr>
                <w:p w14:paraId="681D9DA2">
                  <w:pPr>
                    <w:pStyle w:val="40"/>
                    <w:bidi w:val="0"/>
                    <w:rPr>
                      <w:rFonts w:hint="default"/>
                      <w:color w:val="auto"/>
                      <w:highlight w:val="none"/>
                      <w:lang w:val="en-US" w:eastAsia="zh-CN"/>
                    </w:rPr>
                  </w:pPr>
                  <w:r>
                    <w:rPr>
                      <w:rFonts w:hint="eastAsia"/>
                      <w:color w:val="auto"/>
                      <w:spacing w:val="-6"/>
                      <w:sz w:val="21"/>
                      <w:highlight w:val="none"/>
                    </w:rPr>
                    <w:t>搅拌及成核区</w:t>
                  </w:r>
                </w:p>
              </w:tc>
              <w:tc>
                <w:tcPr>
                  <w:tcW w:w="5951" w:type="dxa"/>
                  <w:tcBorders>
                    <w:tl2br w:val="nil"/>
                    <w:tr2bl w:val="nil"/>
                  </w:tcBorders>
                  <w:shd w:val="clear" w:color="auto" w:fill="auto"/>
                  <w:vAlign w:val="center"/>
                </w:tcPr>
                <w:p w14:paraId="40D47330">
                  <w:pPr>
                    <w:pStyle w:val="40"/>
                    <w:bidi w:val="0"/>
                    <w:rPr>
                      <w:rFonts w:hint="default"/>
                      <w:color w:val="auto"/>
                      <w:highlight w:val="none"/>
                      <w:lang w:val="en-US" w:eastAsia="zh-CN"/>
                    </w:rPr>
                  </w:pPr>
                  <w:r>
                    <w:rPr>
                      <w:rFonts w:hint="eastAsia"/>
                      <w:color w:val="auto"/>
                      <w:highlight w:val="none"/>
                    </w:rPr>
                    <w:t>占地面积为</w:t>
                  </w:r>
                  <w:r>
                    <w:rPr>
                      <w:rFonts w:hint="eastAsia"/>
                      <w:color w:val="auto"/>
                      <w:highlight w:val="none"/>
                      <w:lang w:val="en-US" w:eastAsia="zh-CN"/>
                    </w:rPr>
                    <w:t>1000</w:t>
                  </w:r>
                  <w:r>
                    <w:rPr>
                      <w:rFonts w:hint="eastAsia"/>
                      <w:color w:val="auto"/>
                      <w:highlight w:val="none"/>
                    </w:rPr>
                    <w:t>m</w:t>
                  </w:r>
                  <w:r>
                    <w:rPr>
                      <w:rFonts w:hint="eastAsia"/>
                      <w:color w:val="auto"/>
                      <w:highlight w:val="none"/>
                      <w:vertAlign w:val="superscript"/>
                    </w:rPr>
                    <w:t>2</w:t>
                  </w:r>
                  <w:r>
                    <w:rPr>
                      <w:rFonts w:hint="eastAsia"/>
                      <w:color w:val="auto"/>
                      <w:highlight w:val="none"/>
                    </w:rPr>
                    <w:t>，搅拌机5台，每台处理能力为30t/h，用于搅拌湿混合料并形成微小球核料；均化机5台，用于将出搅拌机的生料进一步均化</w:t>
                  </w:r>
                </w:p>
              </w:tc>
            </w:tr>
            <w:tr w14:paraId="0EFA17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5BFF0FD9">
                  <w:pPr>
                    <w:pStyle w:val="40"/>
                    <w:bidi w:val="0"/>
                    <w:jc w:val="center"/>
                    <w:rPr>
                      <w:rFonts w:hint="default"/>
                      <w:color w:val="auto"/>
                      <w:highlight w:val="none"/>
                    </w:rPr>
                  </w:pPr>
                </w:p>
              </w:tc>
              <w:tc>
                <w:tcPr>
                  <w:tcW w:w="398" w:type="dxa"/>
                  <w:vMerge w:val="continue"/>
                  <w:tcBorders>
                    <w:tl2br w:val="nil"/>
                    <w:tr2bl w:val="nil"/>
                  </w:tcBorders>
                  <w:vAlign w:val="center"/>
                </w:tcPr>
                <w:p w14:paraId="0F11D06E">
                  <w:pPr>
                    <w:pStyle w:val="40"/>
                    <w:bidi w:val="0"/>
                    <w:jc w:val="center"/>
                    <w:rPr>
                      <w:rFonts w:hint="default"/>
                      <w:color w:val="auto"/>
                      <w:highlight w:val="none"/>
                    </w:rPr>
                  </w:pPr>
                </w:p>
              </w:tc>
              <w:tc>
                <w:tcPr>
                  <w:tcW w:w="1645" w:type="dxa"/>
                  <w:gridSpan w:val="3"/>
                  <w:tcBorders>
                    <w:tl2br w:val="nil"/>
                    <w:tr2bl w:val="nil"/>
                  </w:tcBorders>
                  <w:shd w:val="clear" w:color="auto" w:fill="auto"/>
                  <w:vAlign w:val="center"/>
                </w:tcPr>
                <w:p w14:paraId="46A8759A">
                  <w:pPr>
                    <w:pStyle w:val="40"/>
                    <w:bidi w:val="0"/>
                    <w:rPr>
                      <w:rFonts w:hint="default"/>
                      <w:color w:val="auto"/>
                      <w:highlight w:val="none"/>
                      <w:lang w:val="en-US" w:eastAsia="zh-CN"/>
                    </w:rPr>
                  </w:pPr>
                  <w:r>
                    <w:rPr>
                      <w:rFonts w:hint="eastAsia"/>
                      <w:color w:val="auto"/>
                      <w:highlight w:val="none"/>
                    </w:rPr>
                    <w:t>成球包膜区</w:t>
                  </w:r>
                </w:p>
              </w:tc>
              <w:tc>
                <w:tcPr>
                  <w:tcW w:w="5951" w:type="dxa"/>
                  <w:tcBorders>
                    <w:tl2br w:val="nil"/>
                    <w:tr2bl w:val="nil"/>
                  </w:tcBorders>
                  <w:shd w:val="clear" w:color="auto" w:fill="auto"/>
                  <w:vAlign w:val="center"/>
                </w:tcPr>
                <w:p w14:paraId="6B44E537">
                  <w:pPr>
                    <w:pStyle w:val="40"/>
                    <w:bidi w:val="0"/>
                    <w:rPr>
                      <w:rFonts w:hint="default"/>
                      <w:color w:val="auto"/>
                      <w:highlight w:val="none"/>
                      <w:lang w:val="en-US" w:eastAsia="zh-CN"/>
                    </w:rPr>
                  </w:pPr>
                  <w:r>
                    <w:rPr>
                      <w:rFonts w:hint="eastAsia"/>
                      <w:color w:val="auto"/>
                      <w:highlight w:val="none"/>
                    </w:rPr>
                    <w:t>占地面积为</w:t>
                  </w:r>
                  <w:r>
                    <w:rPr>
                      <w:rFonts w:hint="eastAsia"/>
                      <w:color w:val="auto"/>
                      <w:highlight w:val="none"/>
                      <w:lang w:val="en-US" w:eastAsia="zh-CN"/>
                    </w:rPr>
                    <w:t>1000</w:t>
                  </w:r>
                  <w:r>
                    <w:rPr>
                      <w:rFonts w:hint="eastAsia"/>
                      <w:color w:val="auto"/>
                      <w:highlight w:val="none"/>
                    </w:rPr>
                    <w:t>m</w:t>
                  </w:r>
                  <w:r>
                    <w:rPr>
                      <w:rFonts w:hint="eastAsia"/>
                      <w:color w:val="auto"/>
                      <w:highlight w:val="none"/>
                      <w:vertAlign w:val="superscript"/>
                    </w:rPr>
                    <w:t>2</w:t>
                  </w:r>
                  <w:r>
                    <w:rPr>
                      <w:rFonts w:hint="eastAsia"/>
                      <w:color w:val="auto"/>
                      <w:highlight w:val="none"/>
                    </w:rPr>
                    <w:t>，成球机、包膜机各5台，用于增大微小球核的粒径形成合格生料球</w:t>
                  </w:r>
                </w:p>
              </w:tc>
            </w:tr>
            <w:tr w14:paraId="6BC155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20207DAB">
                  <w:pPr>
                    <w:pStyle w:val="40"/>
                    <w:bidi w:val="0"/>
                    <w:jc w:val="center"/>
                    <w:rPr>
                      <w:rFonts w:hint="default"/>
                      <w:color w:val="auto"/>
                      <w:highlight w:val="none"/>
                    </w:rPr>
                  </w:pPr>
                </w:p>
              </w:tc>
              <w:tc>
                <w:tcPr>
                  <w:tcW w:w="398" w:type="dxa"/>
                  <w:vMerge w:val="continue"/>
                  <w:tcBorders>
                    <w:tl2br w:val="nil"/>
                    <w:tr2bl w:val="nil"/>
                  </w:tcBorders>
                  <w:vAlign w:val="center"/>
                </w:tcPr>
                <w:p w14:paraId="06D6B225">
                  <w:pPr>
                    <w:pStyle w:val="40"/>
                    <w:bidi w:val="0"/>
                    <w:jc w:val="center"/>
                    <w:rPr>
                      <w:rFonts w:hint="default"/>
                      <w:color w:val="auto"/>
                      <w:highlight w:val="none"/>
                    </w:rPr>
                  </w:pPr>
                </w:p>
              </w:tc>
              <w:tc>
                <w:tcPr>
                  <w:tcW w:w="1645" w:type="dxa"/>
                  <w:gridSpan w:val="3"/>
                  <w:tcBorders>
                    <w:tl2br w:val="nil"/>
                    <w:tr2bl w:val="nil"/>
                  </w:tcBorders>
                  <w:shd w:val="clear" w:color="auto" w:fill="auto"/>
                  <w:vAlign w:val="center"/>
                </w:tcPr>
                <w:p w14:paraId="54EF95BB">
                  <w:pPr>
                    <w:pStyle w:val="40"/>
                    <w:bidi w:val="0"/>
                    <w:rPr>
                      <w:rFonts w:hint="default"/>
                      <w:color w:val="auto"/>
                      <w:highlight w:val="none"/>
                      <w:lang w:val="en-US" w:eastAsia="zh-CN"/>
                    </w:rPr>
                  </w:pPr>
                  <w:r>
                    <w:rPr>
                      <w:rFonts w:hint="eastAsia"/>
                      <w:color w:val="auto"/>
                      <w:highlight w:val="none"/>
                    </w:rPr>
                    <w:t>静养筛分区</w:t>
                  </w:r>
                </w:p>
              </w:tc>
              <w:tc>
                <w:tcPr>
                  <w:tcW w:w="5951" w:type="dxa"/>
                  <w:tcBorders>
                    <w:tl2br w:val="nil"/>
                    <w:tr2bl w:val="nil"/>
                  </w:tcBorders>
                  <w:shd w:val="clear" w:color="auto" w:fill="auto"/>
                  <w:vAlign w:val="center"/>
                </w:tcPr>
                <w:p w14:paraId="4F791C20">
                  <w:pPr>
                    <w:pStyle w:val="40"/>
                    <w:bidi w:val="0"/>
                    <w:rPr>
                      <w:rFonts w:hint="default"/>
                      <w:color w:val="auto"/>
                      <w:highlight w:val="none"/>
                      <w:lang w:val="en-US" w:eastAsia="zh-CN"/>
                    </w:rPr>
                  </w:pPr>
                  <w:r>
                    <w:rPr>
                      <w:rFonts w:hint="eastAsia"/>
                      <w:color w:val="auto"/>
                      <w:highlight w:val="none"/>
                    </w:rPr>
                    <w:t>占地面积为</w:t>
                  </w:r>
                  <w:r>
                    <w:rPr>
                      <w:rFonts w:hint="eastAsia"/>
                      <w:color w:val="auto"/>
                      <w:highlight w:val="none"/>
                      <w:lang w:val="en-US" w:eastAsia="zh-CN"/>
                    </w:rPr>
                    <w:t>1000</w:t>
                  </w:r>
                  <w:r>
                    <w:rPr>
                      <w:rFonts w:hint="eastAsia"/>
                      <w:color w:val="auto"/>
                      <w:highlight w:val="none"/>
                    </w:rPr>
                    <w:t>m</w:t>
                  </w:r>
                  <w:r>
                    <w:rPr>
                      <w:rFonts w:hint="eastAsia"/>
                      <w:color w:val="auto"/>
                      <w:highlight w:val="none"/>
                      <w:vertAlign w:val="superscript"/>
                    </w:rPr>
                    <w:t>2</w:t>
                  </w:r>
                  <w:r>
                    <w:rPr>
                      <w:rFonts w:hint="eastAsia"/>
                      <w:color w:val="auto"/>
                      <w:highlight w:val="none"/>
                    </w:rPr>
                    <w:t>，静养机5台，每台处理能力为30t/h，通过调节环境温度和湿度增加生料球的强度；静养技术后，筛除过大或过小的生料球</w:t>
                  </w:r>
                </w:p>
              </w:tc>
            </w:tr>
            <w:tr w14:paraId="553E6B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058F709E">
                  <w:pPr>
                    <w:pStyle w:val="40"/>
                    <w:bidi w:val="0"/>
                    <w:jc w:val="center"/>
                    <w:rPr>
                      <w:rFonts w:hint="default"/>
                      <w:color w:val="auto"/>
                      <w:highlight w:val="none"/>
                    </w:rPr>
                  </w:pPr>
                </w:p>
              </w:tc>
              <w:tc>
                <w:tcPr>
                  <w:tcW w:w="398" w:type="dxa"/>
                  <w:vMerge w:val="continue"/>
                  <w:tcBorders>
                    <w:tl2br w:val="nil"/>
                    <w:tr2bl w:val="nil"/>
                  </w:tcBorders>
                  <w:vAlign w:val="center"/>
                </w:tcPr>
                <w:p w14:paraId="603C3386">
                  <w:pPr>
                    <w:pStyle w:val="40"/>
                    <w:bidi w:val="0"/>
                    <w:jc w:val="center"/>
                    <w:rPr>
                      <w:rFonts w:hint="default"/>
                      <w:color w:val="auto"/>
                      <w:highlight w:val="none"/>
                    </w:rPr>
                  </w:pPr>
                </w:p>
              </w:tc>
              <w:tc>
                <w:tcPr>
                  <w:tcW w:w="1645" w:type="dxa"/>
                  <w:gridSpan w:val="3"/>
                  <w:tcBorders>
                    <w:tl2br w:val="nil"/>
                    <w:tr2bl w:val="nil"/>
                  </w:tcBorders>
                  <w:shd w:val="clear" w:color="auto" w:fill="auto"/>
                  <w:vAlign w:val="center"/>
                </w:tcPr>
                <w:p w14:paraId="5312ABE0">
                  <w:pPr>
                    <w:pStyle w:val="40"/>
                    <w:bidi w:val="0"/>
                    <w:rPr>
                      <w:rFonts w:hint="default"/>
                      <w:color w:val="auto"/>
                      <w:highlight w:val="none"/>
                      <w:lang w:val="en-US" w:eastAsia="zh-CN"/>
                    </w:rPr>
                  </w:pPr>
                  <w:r>
                    <w:rPr>
                      <w:rFonts w:hint="eastAsia"/>
                      <w:color w:val="auto"/>
                      <w:highlight w:val="none"/>
                    </w:rPr>
                    <w:t>蒸养区</w:t>
                  </w:r>
                </w:p>
              </w:tc>
              <w:tc>
                <w:tcPr>
                  <w:tcW w:w="5951" w:type="dxa"/>
                  <w:tcBorders>
                    <w:tl2br w:val="nil"/>
                    <w:tr2bl w:val="nil"/>
                  </w:tcBorders>
                  <w:shd w:val="clear" w:color="auto" w:fill="auto"/>
                  <w:vAlign w:val="center"/>
                </w:tcPr>
                <w:p w14:paraId="1E5B970E">
                  <w:pPr>
                    <w:pStyle w:val="40"/>
                    <w:bidi w:val="0"/>
                    <w:rPr>
                      <w:rFonts w:hint="default"/>
                      <w:color w:val="auto"/>
                      <w:highlight w:val="none"/>
                      <w:lang w:val="en-US" w:eastAsia="zh-CN"/>
                    </w:rPr>
                  </w:pPr>
                  <w:r>
                    <w:rPr>
                      <w:rFonts w:hint="eastAsia"/>
                      <w:color w:val="auto"/>
                      <w:highlight w:val="none"/>
                    </w:rPr>
                    <w:t>占地面积为</w:t>
                  </w:r>
                  <w:r>
                    <w:rPr>
                      <w:rFonts w:hint="eastAsia"/>
                      <w:color w:val="auto"/>
                      <w:highlight w:val="none"/>
                      <w:lang w:val="en-US" w:eastAsia="zh-CN"/>
                    </w:rPr>
                    <w:t>1000</w:t>
                  </w:r>
                  <w:r>
                    <w:rPr>
                      <w:rFonts w:hint="eastAsia"/>
                      <w:color w:val="auto"/>
                      <w:highlight w:val="none"/>
                    </w:rPr>
                    <w:t>m</w:t>
                  </w:r>
                  <w:r>
                    <w:rPr>
                      <w:rFonts w:hint="eastAsia"/>
                      <w:color w:val="auto"/>
                      <w:highlight w:val="none"/>
                      <w:vertAlign w:val="superscript"/>
                    </w:rPr>
                    <w:t>2</w:t>
                  </w:r>
                  <w:r>
                    <w:rPr>
                      <w:rFonts w:hint="eastAsia"/>
                      <w:color w:val="auto"/>
                      <w:highlight w:val="none"/>
                    </w:rPr>
                    <w:t>，蒸压釜10台，用于养护生料球，形成成品蒸压硅酸盐功能骨料</w:t>
                  </w:r>
                </w:p>
              </w:tc>
            </w:tr>
            <w:tr w14:paraId="49B862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64752DF7">
                  <w:pPr>
                    <w:pStyle w:val="40"/>
                    <w:bidi w:val="0"/>
                    <w:jc w:val="center"/>
                    <w:rPr>
                      <w:rFonts w:hint="default"/>
                      <w:color w:val="auto"/>
                      <w:highlight w:val="none"/>
                    </w:rPr>
                  </w:pPr>
                </w:p>
              </w:tc>
              <w:tc>
                <w:tcPr>
                  <w:tcW w:w="398" w:type="dxa"/>
                  <w:vMerge w:val="continue"/>
                  <w:tcBorders>
                    <w:tl2br w:val="nil"/>
                    <w:tr2bl w:val="nil"/>
                  </w:tcBorders>
                  <w:vAlign w:val="center"/>
                </w:tcPr>
                <w:p w14:paraId="25A99B42">
                  <w:pPr>
                    <w:pStyle w:val="40"/>
                    <w:bidi w:val="0"/>
                    <w:jc w:val="center"/>
                    <w:rPr>
                      <w:rFonts w:hint="default"/>
                      <w:color w:val="auto"/>
                      <w:highlight w:val="none"/>
                    </w:rPr>
                  </w:pPr>
                </w:p>
              </w:tc>
              <w:tc>
                <w:tcPr>
                  <w:tcW w:w="1645" w:type="dxa"/>
                  <w:gridSpan w:val="3"/>
                  <w:tcBorders>
                    <w:tl2br w:val="nil"/>
                    <w:tr2bl w:val="nil"/>
                  </w:tcBorders>
                  <w:shd w:val="clear" w:color="auto" w:fill="auto"/>
                  <w:vAlign w:val="center"/>
                </w:tcPr>
                <w:p w14:paraId="35A44AA7">
                  <w:pPr>
                    <w:pStyle w:val="40"/>
                    <w:bidi w:val="0"/>
                    <w:rPr>
                      <w:rFonts w:hint="default"/>
                      <w:color w:val="auto"/>
                      <w:highlight w:val="none"/>
                      <w:lang w:val="en-US" w:eastAsia="zh-CN"/>
                    </w:rPr>
                  </w:pPr>
                  <w:r>
                    <w:rPr>
                      <w:rFonts w:hint="eastAsia"/>
                      <w:color w:val="auto"/>
                      <w:highlight w:val="none"/>
                    </w:rPr>
                    <w:t>成品筛分区</w:t>
                  </w:r>
                </w:p>
              </w:tc>
              <w:tc>
                <w:tcPr>
                  <w:tcW w:w="5951" w:type="dxa"/>
                  <w:tcBorders>
                    <w:tl2br w:val="nil"/>
                    <w:tr2bl w:val="nil"/>
                  </w:tcBorders>
                  <w:shd w:val="clear" w:color="auto" w:fill="auto"/>
                  <w:vAlign w:val="center"/>
                </w:tcPr>
                <w:p w14:paraId="1D6AD6C4">
                  <w:pPr>
                    <w:pStyle w:val="40"/>
                    <w:bidi w:val="0"/>
                    <w:rPr>
                      <w:rFonts w:hint="default"/>
                      <w:color w:val="auto"/>
                      <w:highlight w:val="none"/>
                      <w:lang w:val="en-US" w:eastAsia="zh-CN"/>
                    </w:rPr>
                  </w:pPr>
                  <w:r>
                    <w:rPr>
                      <w:rFonts w:hint="eastAsia"/>
                      <w:color w:val="auto"/>
                      <w:highlight w:val="none"/>
                    </w:rPr>
                    <w:t>占地面积为</w:t>
                  </w:r>
                  <w:r>
                    <w:rPr>
                      <w:rFonts w:hint="eastAsia"/>
                      <w:color w:val="auto"/>
                      <w:highlight w:val="none"/>
                      <w:lang w:val="en-US" w:eastAsia="zh-CN"/>
                    </w:rPr>
                    <w:t>1000</w:t>
                  </w:r>
                  <w:r>
                    <w:rPr>
                      <w:rFonts w:hint="eastAsia"/>
                      <w:color w:val="auto"/>
                      <w:highlight w:val="none"/>
                    </w:rPr>
                    <w:t>m</w:t>
                  </w:r>
                  <w:r>
                    <w:rPr>
                      <w:rFonts w:hint="eastAsia"/>
                      <w:color w:val="auto"/>
                      <w:highlight w:val="none"/>
                      <w:vertAlign w:val="superscript"/>
                    </w:rPr>
                    <w:t>2</w:t>
                  </w:r>
                  <w:r>
                    <w:rPr>
                      <w:rFonts w:hint="eastAsia"/>
                      <w:color w:val="auto"/>
                      <w:highlight w:val="none"/>
                    </w:rPr>
                    <w:t>，用于产品粒径分级、暂存，设置6座成品中间仓</w:t>
                  </w:r>
                </w:p>
              </w:tc>
            </w:tr>
            <w:tr w14:paraId="4D103F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6E0A4D24">
                  <w:pPr>
                    <w:pStyle w:val="40"/>
                    <w:bidi w:val="0"/>
                    <w:jc w:val="center"/>
                    <w:rPr>
                      <w:rFonts w:hint="default"/>
                      <w:color w:val="auto"/>
                      <w:highlight w:val="none"/>
                    </w:rPr>
                  </w:pPr>
                </w:p>
              </w:tc>
              <w:tc>
                <w:tcPr>
                  <w:tcW w:w="398" w:type="dxa"/>
                  <w:vMerge w:val="continue"/>
                  <w:tcBorders>
                    <w:tl2br w:val="nil"/>
                    <w:tr2bl w:val="nil"/>
                  </w:tcBorders>
                  <w:vAlign w:val="center"/>
                </w:tcPr>
                <w:p w14:paraId="702BAD26">
                  <w:pPr>
                    <w:pStyle w:val="40"/>
                    <w:bidi w:val="0"/>
                    <w:jc w:val="center"/>
                    <w:rPr>
                      <w:rFonts w:hint="default"/>
                      <w:color w:val="auto"/>
                      <w:highlight w:val="none"/>
                    </w:rPr>
                  </w:pPr>
                </w:p>
              </w:tc>
              <w:tc>
                <w:tcPr>
                  <w:tcW w:w="1645" w:type="dxa"/>
                  <w:gridSpan w:val="3"/>
                  <w:tcBorders>
                    <w:tl2br w:val="nil"/>
                    <w:tr2bl w:val="nil"/>
                  </w:tcBorders>
                  <w:shd w:val="clear" w:color="auto" w:fill="auto"/>
                  <w:vAlign w:val="center"/>
                </w:tcPr>
                <w:p w14:paraId="49E7C26F">
                  <w:pPr>
                    <w:pStyle w:val="40"/>
                    <w:bidi w:val="0"/>
                    <w:rPr>
                      <w:rFonts w:hint="default"/>
                      <w:color w:val="auto"/>
                      <w:highlight w:val="none"/>
                      <w:lang w:val="en-US" w:eastAsia="zh-CN"/>
                    </w:rPr>
                  </w:pPr>
                  <w:r>
                    <w:rPr>
                      <w:rFonts w:hint="eastAsia"/>
                      <w:color w:val="auto"/>
                      <w:highlight w:val="none"/>
                    </w:rPr>
                    <w:t>包装贮存区</w:t>
                  </w:r>
                </w:p>
              </w:tc>
              <w:tc>
                <w:tcPr>
                  <w:tcW w:w="5951" w:type="dxa"/>
                  <w:tcBorders>
                    <w:tl2br w:val="nil"/>
                    <w:tr2bl w:val="nil"/>
                  </w:tcBorders>
                  <w:shd w:val="clear" w:color="auto" w:fill="auto"/>
                  <w:vAlign w:val="center"/>
                </w:tcPr>
                <w:p w14:paraId="608EE82C">
                  <w:pPr>
                    <w:pStyle w:val="40"/>
                    <w:bidi w:val="0"/>
                    <w:rPr>
                      <w:rFonts w:hint="default"/>
                      <w:color w:val="auto"/>
                      <w:highlight w:val="none"/>
                      <w:lang w:val="en-US" w:eastAsia="zh-CN"/>
                    </w:rPr>
                  </w:pPr>
                  <w:r>
                    <w:rPr>
                      <w:rFonts w:hint="eastAsia"/>
                      <w:color w:val="auto"/>
                      <w:highlight w:val="none"/>
                    </w:rPr>
                    <w:t>占地面积为</w:t>
                  </w:r>
                  <w:r>
                    <w:rPr>
                      <w:rFonts w:hint="eastAsia"/>
                      <w:color w:val="auto"/>
                      <w:highlight w:val="none"/>
                      <w:lang w:val="en-US" w:eastAsia="zh-CN"/>
                    </w:rPr>
                    <w:t>600</w:t>
                  </w:r>
                  <w:r>
                    <w:rPr>
                      <w:rFonts w:hint="eastAsia"/>
                      <w:color w:val="auto"/>
                      <w:highlight w:val="none"/>
                    </w:rPr>
                    <w:t>m</w:t>
                  </w:r>
                  <w:r>
                    <w:rPr>
                      <w:rFonts w:hint="eastAsia"/>
                      <w:color w:val="auto"/>
                      <w:highlight w:val="none"/>
                      <w:vertAlign w:val="superscript"/>
                    </w:rPr>
                    <w:t>2</w:t>
                  </w:r>
                  <w:r>
                    <w:rPr>
                      <w:rFonts w:hint="eastAsia"/>
                      <w:color w:val="auto"/>
                      <w:highlight w:val="none"/>
                    </w:rPr>
                    <w:t>，利用成品中间仓仓底的两台散装机和一个大袋包装机，将产品直接外售或装袋贮存</w:t>
                  </w:r>
                </w:p>
              </w:tc>
            </w:tr>
            <w:tr w14:paraId="0DA77F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398" w:type="dxa"/>
                  <w:vMerge w:val="continue"/>
                  <w:tcBorders>
                    <w:tl2br w:val="nil"/>
                    <w:tr2bl w:val="nil"/>
                  </w:tcBorders>
                  <w:vAlign w:val="center"/>
                </w:tcPr>
                <w:p w14:paraId="1238D166">
                  <w:pPr>
                    <w:pStyle w:val="40"/>
                    <w:bidi w:val="0"/>
                    <w:jc w:val="center"/>
                    <w:rPr>
                      <w:rFonts w:hint="default"/>
                      <w:color w:val="auto"/>
                      <w:highlight w:val="none"/>
                    </w:rPr>
                  </w:pPr>
                </w:p>
              </w:tc>
              <w:tc>
                <w:tcPr>
                  <w:tcW w:w="398" w:type="dxa"/>
                  <w:vMerge w:val="restart"/>
                  <w:tcBorders>
                    <w:tl2br w:val="nil"/>
                    <w:tr2bl w:val="nil"/>
                  </w:tcBorders>
                  <w:vAlign w:val="center"/>
                </w:tcPr>
                <w:p w14:paraId="1A534E63">
                  <w:pPr>
                    <w:pStyle w:val="40"/>
                    <w:bidi w:val="0"/>
                    <w:jc w:val="center"/>
                    <w:rPr>
                      <w:rFonts w:hint="default" w:eastAsia="宋体"/>
                      <w:color w:val="auto"/>
                      <w:highlight w:val="none"/>
                      <w:lang w:val="en-US" w:eastAsia="zh-CN"/>
                    </w:rPr>
                  </w:pPr>
                  <w:r>
                    <w:rPr>
                      <w:rFonts w:hint="eastAsia"/>
                      <w:color w:val="auto"/>
                      <w:highlight w:val="none"/>
                      <w:lang w:val="en-US" w:eastAsia="zh-CN"/>
                    </w:rPr>
                    <w:t>混凝土生产线</w:t>
                  </w:r>
                </w:p>
              </w:tc>
              <w:tc>
                <w:tcPr>
                  <w:tcW w:w="1645" w:type="dxa"/>
                  <w:gridSpan w:val="3"/>
                  <w:tcBorders>
                    <w:tl2br w:val="nil"/>
                    <w:tr2bl w:val="nil"/>
                  </w:tcBorders>
                  <w:shd w:val="clear" w:color="auto" w:fill="auto"/>
                  <w:vAlign w:val="center"/>
                </w:tcPr>
                <w:p w14:paraId="6A9C3B87">
                  <w:pPr>
                    <w:pStyle w:val="4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rPr>
                    <w:t>原料棚</w:t>
                  </w:r>
                </w:p>
              </w:tc>
              <w:tc>
                <w:tcPr>
                  <w:tcW w:w="5951" w:type="dxa"/>
                  <w:tcBorders>
                    <w:tl2br w:val="nil"/>
                    <w:tr2bl w:val="nil"/>
                  </w:tcBorders>
                  <w:shd w:val="clear" w:color="auto" w:fill="auto"/>
                  <w:vAlign w:val="center"/>
                </w:tcPr>
                <w:p w14:paraId="3CC081AD">
                  <w:pPr>
                    <w:pStyle w:val="4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1座，</w:t>
                  </w:r>
                  <w:r>
                    <w:rPr>
                      <w:rFonts w:hint="eastAsia"/>
                      <w:color w:val="auto"/>
                      <w:highlight w:val="none"/>
                    </w:rPr>
                    <w:t>占地面积为1500m</w:t>
                  </w:r>
                  <w:r>
                    <w:rPr>
                      <w:rFonts w:hint="eastAsia"/>
                      <w:color w:val="auto"/>
                      <w:highlight w:val="none"/>
                      <w:vertAlign w:val="superscript"/>
                    </w:rPr>
                    <w:t>2</w:t>
                  </w:r>
                  <w:r>
                    <w:rPr>
                      <w:color w:val="auto"/>
                      <w:highlight w:val="none"/>
                    </w:rPr>
                    <w:t>，</w:t>
                  </w:r>
                  <w:r>
                    <w:rPr>
                      <w:rFonts w:hint="eastAsia"/>
                      <w:color w:val="auto"/>
                      <w:highlight w:val="none"/>
                      <w:lang w:val="en-US" w:eastAsia="zh-CN"/>
                    </w:rPr>
                    <w:t>棚内设喷雾降尘设施，</w:t>
                  </w:r>
                  <w:r>
                    <w:rPr>
                      <w:rFonts w:hint="eastAsia"/>
                      <w:color w:val="auto"/>
                      <w:highlight w:val="none"/>
                    </w:rPr>
                    <w:t>用于储存砂子、石子，同时设置料仓</w:t>
                  </w:r>
                </w:p>
              </w:tc>
            </w:tr>
            <w:tr w14:paraId="6F859C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398" w:type="dxa"/>
                  <w:vMerge w:val="continue"/>
                  <w:tcBorders>
                    <w:tl2br w:val="nil"/>
                    <w:tr2bl w:val="nil"/>
                  </w:tcBorders>
                  <w:vAlign w:val="center"/>
                </w:tcPr>
                <w:p w14:paraId="3D00FEB2">
                  <w:pPr>
                    <w:pStyle w:val="40"/>
                    <w:bidi w:val="0"/>
                    <w:jc w:val="center"/>
                    <w:rPr>
                      <w:rFonts w:hint="default"/>
                      <w:color w:val="auto"/>
                      <w:highlight w:val="none"/>
                    </w:rPr>
                  </w:pPr>
                </w:p>
              </w:tc>
              <w:tc>
                <w:tcPr>
                  <w:tcW w:w="398" w:type="dxa"/>
                  <w:vMerge w:val="continue"/>
                  <w:tcBorders>
                    <w:tl2br w:val="nil"/>
                    <w:tr2bl w:val="nil"/>
                  </w:tcBorders>
                  <w:vAlign w:val="center"/>
                </w:tcPr>
                <w:p w14:paraId="48091F79">
                  <w:pPr>
                    <w:pStyle w:val="40"/>
                    <w:bidi w:val="0"/>
                    <w:jc w:val="center"/>
                    <w:rPr>
                      <w:rFonts w:hint="default"/>
                      <w:color w:val="auto"/>
                      <w:highlight w:val="none"/>
                    </w:rPr>
                  </w:pPr>
                </w:p>
              </w:tc>
              <w:tc>
                <w:tcPr>
                  <w:tcW w:w="1645" w:type="dxa"/>
                  <w:gridSpan w:val="3"/>
                  <w:tcBorders>
                    <w:tl2br w:val="nil"/>
                    <w:tr2bl w:val="nil"/>
                  </w:tcBorders>
                  <w:shd w:val="clear" w:color="auto" w:fill="auto"/>
                  <w:vAlign w:val="center"/>
                </w:tcPr>
                <w:p w14:paraId="79180D1A">
                  <w:pPr>
                    <w:pStyle w:val="4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rPr>
                    <w:t>搅拌楼</w:t>
                  </w:r>
                </w:p>
              </w:tc>
              <w:tc>
                <w:tcPr>
                  <w:tcW w:w="5951" w:type="dxa"/>
                  <w:tcBorders>
                    <w:tl2br w:val="nil"/>
                    <w:tr2bl w:val="nil"/>
                  </w:tcBorders>
                  <w:shd w:val="clear" w:color="auto" w:fill="auto"/>
                  <w:vAlign w:val="center"/>
                </w:tcPr>
                <w:p w14:paraId="4D34E881">
                  <w:pPr>
                    <w:pStyle w:val="4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color w:val="auto"/>
                      <w:highlight w:val="none"/>
                    </w:rPr>
                    <w:t>1座</w:t>
                  </w:r>
                  <w:r>
                    <w:rPr>
                      <w:rFonts w:hint="eastAsia"/>
                      <w:color w:val="auto"/>
                      <w:highlight w:val="none"/>
                    </w:rPr>
                    <w:t>，位于厂区下部台阶中央，配置120</w:t>
                  </w:r>
                  <w:r>
                    <w:rPr>
                      <w:color w:val="auto"/>
                      <w:highlight w:val="none"/>
                    </w:rPr>
                    <w:t>m</w:t>
                  </w:r>
                  <w:r>
                    <w:rPr>
                      <w:color w:val="auto"/>
                      <w:highlight w:val="none"/>
                      <w:vertAlign w:val="superscript"/>
                    </w:rPr>
                    <w:t>3</w:t>
                  </w:r>
                  <w:r>
                    <w:rPr>
                      <w:color w:val="auto"/>
                      <w:highlight w:val="none"/>
                    </w:rPr>
                    <w:t>/h</w:t>
                  </w:r>
                  <w:r>
                    <w:rPr>
                      <w:rFonts w:hint="eastAsia"/>
                      <w:color w:val="auto"/>
                      <w:highlight w:val="none"/>
                    </w:rPr>
                    <w:t>搅拌设备2台，</w:t>
                  </w:r>
                  <w:r>
                    <w:rPr>
                      <w:color w:val="auto"/>
                      <w:highlight w:val="none"/>
                    </w:rPr>
                    <w:t>搅拌</w:t>
                  </w:r>
                  <w:r>
                    <w:rPr>
                      <w:rFonts w:hint="eastAsia"/>
                      <w:color w:val="auto"/>
                      <w:highlight w:val="none"/>
                    </w:rPr>
                    <w:t>楼</w:t>
                  </w:r>
                  <w:r>
                    <w:rPr>
                      <w:color w:val="auto"/>
                      <w:highlight w:val="none"/>
                    </w:rPr>
                    <w:t>整体</w:t>
                  </w:r>
                  <w:r>
                    <w:rPr>
                      <w:rFonts w:hint="eastAsia"/>
                      <w:color w:val="auto"/>
                      <w:highlight w:val="none"/>
                    </w:rPr>
                    <w:t>全封闭</w:t>
                  </w:r>
                  <w:r>
                    <w:rPr>
                      <w:color w:val="auto"/>
                      <w:highlight w:val="none"/>
                    </w:rPr>
                    <w:t>，主要用于商品混凝土的拌合</w:t>
                  </w:r>
                </w:p>
              </w:tc>
            </w:tr>
            <w:tr w14:paraId="7D95D1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restart"/>
                  <w:tcBorders>
                    <w:tl2br w:val="nil"/>
                    <w:tr2bl w:val="nil"/>
                  </w:tcBorders>
                  <w:vAlign w:val="center"/>
                </w:tcPr>
                <w:p w14:paraId="4147C494">
                  <w:pPr>
                    <w:pStyle w:val="40"/>
                    <w:bidi w:val="0"/>
                    <w:jc w:val="center"/>
                    <w:rPr>
                      <w:rFonts w:hint="eastAsia" w:eastAsia="宋体"/>
                      <w:color w:val="auto"/>
                      <w:highlight w:val="none"/>
                      <w:lang w:val="en-US" w:eastAsia="zh-CN"/>
                    </w:rPr>
                  </w:pPr>
                  <w:r>
                    <w:rPr>
                      <w:rFonts w:hint="eastAsia"/>
                      <w:color w:val="auto"/>
                      <w:highlight w:val="none"/>
                      <w:lang w:val="en-US" w:eastAsia="zh-CN"/>
                    </w:rPr>
                    <w:t>储运工程</w:t>
                  </w:r>
                </w:p>
              </w:tc>
              <w:tc>
                <w:tcPr>
                  <w:tcW w:w="398" w:type="dxa"/>
                  <w:vMerge w:val="restart"/>
                  <w:tcBorders>
                    <w:tl2br w:val="nil"/>
                    <w:tr2bl w:val="nil"/>
                  </w:tcBorders>
                  <w:vAlign w:val="center"/>
                </w:tcPr>
                <w:p w14:paraId="32148BC5">
                  <w:pPr>
                    <w:pStyle w:val="40"/>
                    <w:bidi w:val="0"/>
                    <w:jc w:val="center"/>
                    <w:rPr>
                      <w:rFonts w:hint="default"/>
                      <w:color w:val="auto"/>
                      <w:highlight w:val="none"/>
                    </w:rPr>
                  </w:pPr>
                  <w:r>
                    <w:rPr>
                      <w:rFonts w:hint="eastAsia"/>
                      <w:color w:val="auto"/>
                      <w:highlight w:val="none"/>
                      <w:lang w:val="en-US" w:eastAsia="zh-CN"/>
                    </w:rPr>
                    <w:t>蒸压硅酸盐骨料生产车间</w:t>
                  </w:r>
                </w:p>
              </w:tc>
              <w:tc>
                <w:tcPr>
                  <w:tcW w:w="1645" w:type="dxa"/>
                  <w:gridSpan w:val="3"/>
                  <w:tcBorders>
                    <w:tl2br w:val="nil"/>
                    <w:tr2bl w:val="nil"/>
                  </w:tcBorders>
                  <w:shd w:val="clear" w:color="auto" w:fill="auto"/>
                  <w:vAlign w:val="center"/>
                </w:tcPr>
                <w:p w14:paraId="66E9A0C4">
                  <w:pPr>
                    <w:pStyle w:val="4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rPr>
                    <w:t>粉煤灰筒仓</w:t>
                  </w:r>
                </w:p>
              </w:tc>
              <w:tc>
                <w:tcPr>
                  <w:tcW w:w="5951" w:type="dxa"/>
                  <w:tcBorders>
                    <w:tl2br w:val="nil"/>
                    <w:tr2bl w:val="nil"/>
                  </w:tcBorders>
                  <w:shd w:val="clear" w:color="auto" w:fill="auto"/>
                  <w:vAlign w:val="center"/>
                </w:tcPr>
                <w:p w14:paraId="611FF970">
                  <w:pPr>
                    <w:pStyle w:val="4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rPr>
                    <w:t>5座</w:t>
                  </w:r>
                  <w:r>
                    <w:rPr>
                      <w:color w:val="auto"/>
                      <w:highlight w:val="none"/>
                    </w:rPr>
                    <w:t>，</w:t>
                  </w:r>
                  <w:r>
                    <w:rPr>
                      <w:rFonts w:hint="eastAsia"/>
                      <w:color w:val="auto"/>
                      <w:highlight w:val="none"/>
                    </w:rPr>
                    <w:t>单仓</w:t>
                  </w:r>
                  <w:r>
                    <w:rPr>
                      <w:color w:val="auto"/>
                      <w:highlight w:val="none"/>
                    </w:rPr>
                    <w:t>储量</w:t>
                  </w:r>
                  <w:r>
                    <w:rPr>
                      <w:rFonts w:hint="eastAsia"/>
                      <w:color w:val="auto"/>
                      <w:highlight w:val="none"/>
                    </w:rPr>
                    <w:t>4</w:t>
                  </w:r>
                  <w:r>
                    <w:rPr>
                      <w:color w:val="auto"/>
                      <w:highlight w:val="none"/>
                    </w:rPr>
                    <w:t>00t，</w:t>
                  </w:r>
                  <w:r>
                    <w:rPr>
                      <w:rFonts w:hint="eastAsia"/>
                      <w:color w:val="auto"/>
                      <w:highlight w:val="none"/>
                    </w:rPr>
                    <w:t>每个筒仓直径</w:t>
                  </w:r>
                  <w:r>
                    <w:rPr>
                      <w:color w:val="auto"/>
                      <w:highlight w:val="none"/>
                    </w:rPr>
                    <w:t>D=</w:t>
                  </w:r>
                  <w:r>
                    <w:rPr>
                      <w:rFonts w:hint="eastAsia"/>
                      <w:color w:val="auto"/>
                      <w:highlight w:val="none"/>
                    </w:rPr>
                    <w:t>6</w:t>
                  </w:r>
                  <w:r>
                    <w:rPr>
                      <w:color w:val="auto"/>
                      <w:highlight w:val="none"/>
                    </w:rPr>
                    <w:t>m，罐高H=1</w:t>
                  </w:r>
                  <w:r>
                    <w:rPr>
                      <w:rFonts w:hint="eastAsia"/>
                      <w:color w:val="auto"/>
                      <w:highlight w:val="none"/>
                    </w:rPr>
                    <w:t>5</w:t>
                  </w:r>
                  <w:r>
                    <w:rPr>
                      <w:color w:val="auto"/>
                      <w:highlight w:val="none"/>
                    </w:rPr>
                    <w:t>m</w:t>
                  </w:r>
                  <w:r>
                    <w:rPr>
                      <w:rFonts w:hint="eastAsia"/>
                      <w:color w:val="auto"/>
                      <w:highlight w:val="none"/>
                    </w:rPr>
                    <w:t>，</w:t>
                  </w:r>
                  <w:r>
                    <w:rPr>
                      <w:color w:val="auto"/>
                      <w:highlight w:val="none"/>
                    </w:rPr>
                    <w:t>仓顶设脉冲</w:t>
                  </w:r>
                  <w:r>
                    <w:rPr>
                      <w:rFonts w:hint="eastAsia"/>
                      <w:color w:val="auto"/>
                      <w:highlight w:val="none"/>
                    </w:rPr>
                    <w:t>式</w:t>
                  </w:r>
                  <w:r>
                    <w:rPr>
                      <w:color w:val="auto"/>
                      <w:highlight w:val="none"/>
                    </w:rPr>
                    <w:t>布袋除尘器</w:t>
                  </w:r>
                  <w:r>
                    <w:rPr>
                      <w:rFonts w:hint="eastAsia"/>
                      <w:color w:val="auto"/>
                      <w:highlight w:val="none"/>
                    </w:rPr>
                    <w:t>，露天设置</w:t>
                  </w:r>
                </w:p>
              </w:tc>
            </w:tr>
            <w:tr w14:paraId="6498CF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683A916E">
                  <w:pPr>
                    <w:pStyle w:val="40"/>
                    <w:bidi w:val="0"/>
                    <w:jc w:val="center"/>
                    <w:rPr>
                      <w:rFonts w:hint="default"/>
                      <w:color w:val="auto"/>
                      <w:highlight w:val="none"/>
                    </w:rPr>
                  </w:pPr>
                </w:p>
              </w:tc>
              <w:tc>
                <w:tcPr>
                  <w:tcW w:w="398" w:type="dxa"/>
                  <w:vMerge w:val="continue"/>
                  <w:tcBorders>
                    <w:tl2br w:val="nil"/>
                    <w:tr2bl w:val="nil"/>
                  </w:tcBorders>
                  <w:vAlign w:val="center"/>
                </w:tcPr>
                <w:p w14:paraId="7E500565">
                  <w:pPr>
                    <w:pStyle w:val="40"/>
                    <w:bidi w:val="0"/>
                    <w:jc w:val="center"/>
                    <w:rPr>
                      <w:rFonts w:hint="default"/>
                      <w:color w:val="auto"/>
                      <w:highlight w:val="none"/>
                    </w:rPr>
                  </w:pPr>
                </w:p>
              </w:tc>
              <w:tc>
                <w:tcPr>
                  <w:tcW w:w="1645" w:type="dxa"/>
                  <w:gridSpan w:val="3"/>
                  <w:tcBorders>
                    <w:tl2br w:val="nil"/>
                    <w:tr2bl w:val="nil"/>
                  </w:tcBorders>
                  <w:shd w:val="clear" w:color="auto" w:fill="auto"/>
                  <w:vAlign w:val="center"/>
                </w:tcPr>
                <w:p w14:paraId="40C55753">
                  <w:pPr>
                    <w:pStyle w:val="4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rPr>
                    <w:t>活化剂筒仓</w:t>
                  </w:r>
                </w:p>
              </w:tc>
              <w:tc>
                <w:tcPr>
                  <w:tcW w:w="5951" w:type="dxa"/>
                  <w:tcBorders>
                    <w:tl2br w:val="nil"/>
                    <w:tr2bl w:val="nil"/>
                  </w:tcBorders>
                  <w:shd w:val="clear" w:color="auto" w:fill="auto"/>
                  <w:vAlign w:val="center"/>
                </w:tcPr>
                <w:p w14:paraId="45268F7F">
                  <w:pPr>
                    <w:pStyle w:val="4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rPr>
                    <w:t>5座，单仓储量10t，用于暂存经自动拆包机拆包后的活化剂，位于骨料生产车间内</w:t>
                  </w:r>
                </w:p>
              </w:tc>
            </w:tr>
            <w:tr w14:paraId="389359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4AEBC601">
                  <w:pPr>
                    <w:pStyle w:val="40"/>
                    <w:bidi w:val="0"/>
                    <w:jc w:val="center"/>
                    <w:rPr>
                      <w:rFonts w:hint="default"/>
                      <w:color w:val="auto"/>
                      <w:highlight w:val="none"/>
                    </w:rPr>
                  </w:pPr>
                </w:p>
              </w:tc>
              <w:tc>
                <w:tcPr>
                  <w:tcW w:w="398" w:type="dxa"/>
                  <w:vMerge w:val="continue"/>
                  <w:tcBorders>
                    <w:tl2br w:val="nil"/>
                    <w:tr2bl w:val="nil"/>
                  </w:tcBorders>
                  <w:vAlign w:val="center"/>
                </w:tcPr>
                <w:p w14:paraId="78826C3D">
                  <w:pPr>
                    <w:pStyle w:val="40"/>
                    <w:bidi w:val="0"/>
                    <w:jc w:val="center"/>
                    <w:rPr>
                      <w:rFonts w:hint="default"/>
                      <w:color w:val="auto"/>
                      <w:highlight w:val="none"/>
                    </w:rPr>
                  </w:pPr>
                </w:p>
              </w:tc>
              <w:tc>
                <w:tcPr>
                  <w:tcW w:w="1645" w:type="dxa"/>
                  <w:gridSpan w:val="3"/>
                  <w:tcBorders>
                    <w:tl2br w:val="nil"/>
                    <w:tr2bl w:val="nil"/>
                  </w:tcBorders>
                  <w:shd w:val="clear" w:color="auto" w:fill="auto"/>
                  <w:vAlign w:val="center"/>
                </w:tcPr>
                <w:p w14:paraId="04C7EB6E">
                  <w:pPr>
                    <w:pStyle w:val="4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rPr>
                    <w:t>炉渣中间仓</w:t>
                  </w:r>
                </w:p>
              </w:tc>
              <w:tc>
                <w:tcPr>
                  <w:tcW w:w="5951" w:type="dxa"/>
                  <w:tcBorders>
                    <w:tl2br w:val="nil"/>
                    <w:tr2bl w:val="nil"/>
                  </w:tcBorders>
                  <w:shd w:val="clear" w:color="auto" w:fill="auto"/>
                  <w:vAlign w:val="center"/>
                </w:tcPr>
                <w:p w14:paraId="43BB2A3F">
                  <w:pPr>
                    <w:pStyle w:val="4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spacing w:val="-6"/>
                      <w:sz w:val="21"/>
                      <w:highlight w:val="none"/>
                    </w:rPr>
                    <w:t>2座，单仓储量10t，用于暂存粗磨后的炉渣，位于骨料生产车间内</w:t>
                  </w:r>
                </w:p>
              </w:tc>
            </w:tr>
            <w:tr w14:paraId="525F44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6E56763D">
                  <w:pPr>
                    <w:pStyle w:val="40"/>
                    <w:bidi w:val="0"/>
                    <w:jc w:val="center"/>
                    <w:rPr>
                      <w:rFonts w:hint="default"/>
                      <w:color w:val="auto"/>
                      <w:highlight w:val="none"/>
                    </w:rPr>
                  </w:pPr>
                </w:p>
              </w:tc>
              <w:tc>
                <w:tcPr>
                  <w:tcW w:w="398" w:type="dxa"/>
                  <w:vMerge w:val="continue"/>
                  <w:tcBorders>
                    <w:tl2br w:val="nil"/>
                    <w:tr2bl w:val="nil"/>
                  </w:tcBorders>
                  <w:vAlign w:val="center"/>
                </w:tcPr>
                <w:p w14:paraId="2675C4E9">
                  <w:pPr>
                    <w:pStyle w:val="40"/>
                    <w:bidi w:val="0"/>
                    <w:jc w:val="center"/>
                    <w:rPr>
                      <w:rFonts w:hint="default"/>
                      <w:color w:val="auto"/>
                      <w:highlight w:val="none"/>
                    </w:rPr>
                  </w:pPr>
                </w:p>
              </w:tc>
              <w:tc>
                <w:tcPr>
                  <w:tcW w:w="1645" w:type="dxa"/>
                  <w:gridSpan w:val="3"/>
                  <w:tcBorders>
                    <w:tl2br w:val="nil"/>
                    <w:tr2bl w:val="nil"/>
                  </w:tcBorders>
                  <w:shd w:val="clear" w:color="auto" w:fill="auto"/>
                  <w:vAlign w:val="center"/>
                </w:tcPr>
                <w:p w14:paraId="0541A787">
                  <w:pPr>
                    <w:pStyle w:val="4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rPr>
                    <w:t>镁渣中间仓</w:t>
                  </w:r>
                </w:p>
              </w:tc>
              <w:tc>
                <w:tcPr>
                  <w:tcW w:w="5951" w:type="dxa"/>
                  <w:tcBorders>
                    <w:tl2br w:val="nil"/>
                    <w:tr2bl w:val="nil"/>
                  </w:tcBorders>
                  <w:shd w:val="clear" w:color="auto" w:fill="auto"/>
                  <w:vAlign w:val="center"/>
                </w:tcPr>
                <w:p w14:paraId="4B8584BD">
                  <w:pPr>
                    <w:pStyle w:val="4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rPr>
                    <w:t>2座，单仓储量10t，用于暂存进球磨机的镁渣、脱硫石膏，位于骨料生产车间内</w:t>
                  </w:r>
                </w:p>
              </w:tc>
            </w:tr>
            <w:tr w14:paraId="7437A4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18317658">
                  <w:pPr>
                    <w:pStyle w:val="40"/>
                    <w:bidi w:val="0"/>
                    <w:jc w:val="center"/>
                    <w:rPr>
                      <w:rFonts w:hint="default"/>
                      <w:color w:val="auto"/>
                      <w:highlight w:val="none"/>
                    </w:rPr>
                  </w:pPr>
                </w:p>
              </w:tc>
              <w:tc>
                <w:tcPr>
                  <w:tcW w:w="398" w:type="dxa"/>
                  <w:vMerge w:val="continue"/>
                  <w:tcBorders>
                    <w:tl2br w:val="nil"/>
                    <w:tr2bl w:val="nil"/>
                  </w:tcBorders>
                  <w:vAlign w:val="center"/>
                </w:tcPr>
                <w:p w14:paraId="2887DD94">
                  <w:pPr>
                    <w:pStyle w:val="40"/>
                    <w:bidi w:val="0"/>
                    <w:jc w:val="center"/>
                    <w:rPr>
                      <w:rFonts w:hint="default"/>
                      <w:color w:val="auto"/>
                      <w:highlight w:val="none"/>
                    </w:rPr>
                  </w:pPr>
                </w:p>
              </w:tc>
              <w:tc>
                <w:tcPr>
                  <w:tcW w:w="1645" w:type="dxa"/>
                  <w:gridSpan w:val="3"/>
                  <w:tcBorders>
                    <w:tl2br w:val="nil"/>
                    <w:tr2bl w:val="nil"/>
                  </w:tcBorders>
                  <w:shd w:val="clear" w:color="auto" w:fill="auto"/>
                  <w:vAlign w:val="center"/>
                </w:tcPr>
                <w:p w14:paraId="7C21F5B9">
                  <w:pPr>
                    <w:pStyle w:val="4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rPr>
                    <w:t>预处理灰仓</w:t>
                  </w:r>
                </w:p>
              </w:tc>
              <w:tc>
                <w:tcPr>
                  <w:tcW w:w="5951" w:type="dxa"/>
                  <w:tcBorders>
                    <w:tl2br w:val="nil"/>
                    <w:tr2bl w:val="nil"/>
                  </w:tcBorders>
                  <w:shd w:val="clear" w:color="auto" w:fill="auto"/>
                  <w:vAlign w:val="center"/>
                </w:tcPr>
                <w:p w14:paraId="590B6CF4">
                  <w:pPr>
                    <w:pStyle w:val="4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rPr>
                    <w:t>5座，单仓储量10t，用于暂存球磨合格的混合物料，位于骨料生产车间内</w:t>
                  </w:r>
                </w:p>
              </w:tc>
            </w:tr>
            <w:tr w14:paraId="4CC62A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1B90117D">
                  <w:pPr>
                    <w:pStyle w:val="40"/>
                    <w:bidi w:val="0"/>
                    <w:jc w:val="center"/>
                    <w:rPr>
                      <w:rFonts w:hint="default"/>
                      <w:color w:val="auto"/>
                      <w:highlight w:val="none"/>
                    </w:rPr>
                  </w:pPr>
                </w:p>
              </w:tc>
              <w:tc>
                <w:tcPr>
                  <w:tcW w:w="398" w:type="dxa"/>
                  <w:vMerge w:val="continue"/>
                  <w:tcBorders>
                    <w:tl2br w:val="nil"/>
                    <w:tr2bl w:val="nil"/>
                  </w:tcBorders>
                  <w:vAlign w:val="center"/>
                </w:tcPr>
                <w:p w14:paraId="6CBE0EED">
                  <w:pPr>
                    <w:pStyle w:val="40"/>
                    <w:bidi w:val="0"/>
                    <w:jc w:val="center"/>
                    <w:rPr>
                      <w:rFonts w:hint="default"/>
                      <w:color w:val="auto"/>
                      <w:highlight w:val="none"/>
                    </w:rPr>
                  </w:pPr>
                </w:p>
              </w:tc>
              <w:tc>
                <w:tcPr>
                  <w:tcW w:w="1645" w:type="dxa"/>
                  <w:gridSpan w:val="3"/>
                  <w:tcBorders>
                    <w:tl2br w:val="nil"/>
                    <w:tr2bl w:val="nil"/>
                  </w:tcBorders>
                  <w:shd w:val="clear" w:color="auto" w:fill="auto"/>
                  <w:vAlign w:val="center"/>
                </w:tcPr>
                <w:p w14:paraId="4B0AD804">
                  <w:pPr>
                    <w:pStyle w:val="4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rPr>
                    <w:t>骨料成品仓</w:t>
                  </w:r>
                </w:p>
              </w:tc>
              <w:tc>
                <w:tcPr>
                  <w:tcW w:w="5951" w:type="dxa"/>
                  <w:tcBorders>
                    <w:tl2br w:val="nil"/>
                    <w:tr2bl w:val="nil"/>
                  </w:tcBorders>
                  <w:shd w:val="clear" w:color="auto" w:fill="auto"/>
                  <w:vAlign w:val="center"/>
                </w:tcPr>
                <w:p w14:paraId="18BD7E38">
                  <w:pPr>
                    <w:pStyle w:val="4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rPr>
                    <w:t>6座，单仓储量10t，按不同粒径暂存骨料产品，位于骨料生产车间内</w:t>
                  </w:r>
                </w:p>
              </w:tc>
            </w:tr>
            <w:tr w14:paraId="23BDBE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2D3E0833">
                  <w:pPr>
                    <w:pStyle w:val="40"/>
                    <w:bidi w:val="0"/>
                    <w:jc w:val="center"/>
                    <w:rPr>
                      <w:rFonts w:hint="default"/>
                      <w:color w:val="auto"/>
                      <w:highlight w:val="none"/>
                    </w:rPr>
                  </w:pPr>
                </w:p>
              </w:tc>
              <w:tc>
                <w:tcPr>
                  <w:tcW w:w="398" w:type="dxa"/>
                  <w:vMerge w:val="restart"/>
                  <w:tcBorders>
                    <w:tl2br w:val="nil"/>
                    <w:tr2bl w:val="nil"/>
                  </w:tcBorders>
                  <w:vAlign w:val="center"/>
                </w:tcPr>
                <w:p w14:paraId="6995633D">
                  <w:pPr>
                    <w:pStyle w:val="40"/>
                    <w:bidi w:val="0"/>
                    <w:jc w:val="center"/>
                    <w:rPr>
                      <w:rFonts w:hint="default"/>
                      <w:color w:val="auto"/>
                      <w:highlight w:val="none"/>
                    </w:rPr>
                  </w:pPr>
                  <w:r>
                    <w:rPr>
                      <w:rFonts w:hint="eastAsia"/>
                      <w:color w:val="auto"/>
                      <w:highlight w:val="none"/>
                    </w:rPr>
                    <w:t>混凝土生产线</w:t>
                  </w:r>
                </w:p>
              </w:tc>
              <w:tc>
                <w:tcPr>
                  <w:tcW w:w="1645" w:type="dxa"/>
                  <w:gridSpan w:val="3"/>
                  <w:tcBorders>
                    <w:tl2br w:val="nil"/>
                    <w:tr2bl w:val="nil"/>
                  </w:tcBorders>
                  <w:shd w:val="clear" w:color="auto" w:fill="auto"/>
                  <w:vAlign w:val="center"/>
                </w:tcPr>
                <w:p w14:paraId="648BD94F">
                  <w:pPr>
                    <w:pStyle w:val="4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rPr>
                    <w:t>粉煤灰筒仓</w:t>
                  </w:r>
                </w:p>
              </w:tc>
              <w:tc>
                <w:tcPr>
                  <w:tcW w:w="5951" w:type="dxa"/>
                  <w:tcBorders>
                    <w:tl2br w:val="nil"/>
                    <w:tr2bl w:val="nil"/>
                  </w:tcBorders>
                  <w:shd w:val="clear" w:color="auto" w:fill="auto"/>
                  <w:vAlign w:val="center"/>
                </w:tcPr>
                <w:p w14:paraId="61CAFA44">
                  <w:pPr>
                    <w:pStyle w:val="4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rPr>
                    <w:t>2座</w:t>
                  </w:r>
                  <w:r>
                    <w:rPr>
                      <w:color w:val="auto"/>
                      <w:highlight w:val="none"/>
                    </w:rPr>
                    <w:t>，</w:t>
                  </w:r>
                  <w:r>
                    <w:rPr>
                      <w:rFonts w:hint="eastAsia"/>
                      <w:color w:val="auto"/>
                      <w:highlight w:val="none"/>
                    </w:rPr>
                    <w:t>单仓</w:t>
                  </w:r>
                  <w:r>
                    <w:rPr>
                      <w:color w:val="auto"/>
                      <w:highlight w:val="none"/>
                    </w:rPr>
                    <w:t>储量</w:t>
                  </w:r>
                  <w:r>
                    <w:rPr>
                      <w:rFonts w:hint="eastAsia"/>
                      <w:color w:val="auto"/>
                      <w:highlight w:val="none"/>
                    </w:rPr>
                    <w:t>2</w:t>
                  </w:r>
                  <w:r>
                    <w:rPr>
                      <w:color w:val="auto"/>
                      <w:highlight w:val="none"/>
                    </w:rPr>
                    <w:t>00t，</w:t>
                  </w:r>
                  <w:r>
                    <w:rPr>
                      <w:rFonts w:hint="eastAsia"/>
                      <w:color w:val="auto"/>
                      <w:highlight w:val="none"/>
                    </w:rPr>
                    <w:t>每个筒仓直径</w:t>
                  </w:r>
                  <w:r>
                    <w:rPr>
                      <w:color w:val="auto"/>
                      <w:highlight w:val="none"/>
                    </w:rPr>
                    <w:t>D=</w:t>
                  </w:r>
                  <w:r>
                    <w:rPr>
                      <w:rFonts w:hint="eastAsia"/>
                      <w:color w:val="auto"/>
                      <w:highlight w:val="none"/>
                    </w:rPr>
                    <w:t>4</w:t>
                  </w:r>
                  <w:r>
                    <w:rPr>
                      <w:color w:val="auto"/>
                      <w:highlight w:val="none"/>
                    </w:rPr>
                    <w:t>m，罐高H=1</w:t>
                  </w:r>
                  <w:r>
                    <w:rPr>
                      <w:rFonts w:hint="eastAsia"/>
                      <w:color w:val="auto"/>
                      <w:highlight w:val="none"/>
                    </w:rPr>
                    <w:t>2</w:t>
                  </w:r>
                  <w:r>
                    <w:rPr>
                      <w:color w:val="auto"/>
                      <w:highlight w:val="none"/>
                    </w:rPr>
                    <w:t>m</w:t>
                  </w:r>
                  <w:r>
                    <w:rPr>
                      <w:rFonts w:hint="eastAsia"/>
                      <w:color w:val="auto"/>
                      <w:highlight w:val="none"/>
                    </w:rPr>
                    <w:t>，</w:t>
                  </w:r>
                  <w:r>
                    <w:rPr>
                      <w:color w:val="auto"/>
                      <w:highlight w:val="none"/>
                    </w:rPr>
                    <w:t>仓顶设脉冲</w:t>
                  </w:r>
                  <w:r>
                    <w:rPr>
                      <w:rFonts w:hint="eastAsia"/>
                      <w:color w:val="auto"/>
                      <w:highlight w:val="none"/>
                    </w:rPr>
                    <w:t>式</w:t>
                  </w:r>
                  <w:r>
                    <w:rPr>
                      <w:color w:val="auto"/>
                      <w:highlight w:val="none"/>
                    </w:rPr>
                    <w:t>布袋除尘器</w:t>
                  </w:r>
                  <w:r>
                    <w:rPr>
                      <w:rFonts w:hint="eastAsia"/>
                      <w:color w:val="auto"/>
                      <w:highlight w:val="none"/>
                    </w:rPr>
                    <w:t>，露天设置</w:t>
                  </w:r>
                </w:p>
              </w:tc>
            </w:tr>
            <w:tr w14:paraId="40F1AF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11E8F03C">
                  <w:pPr>
                    <w:pStyle w:val="40"/>
                    <w:bidi w:val="0"/>
                    <w:jc w:val="center"/>
                    <w:rPr>
                      <w:rFonts w:hint="default"/>
                      <w:color w:val="auto"/>
                      <w:highlight w:val="none"/>
                    </w:rPr>
                  </w:pPr>
                </w:p>
              </w:tc>
              <w:tc>
                <w:tcPr>
                  <w:tcW w:w="398" w:type="dxa"/>
                  <w:vMerge w:val="continue"/>
                  <w:tcBorders>
                    <w:tl2br w:val="nil"/>
                    <w:tr2bl w:val="nil"/>
                  </w:tcBorders>
                  <w:vAlign w:val="center"/>
                </w:tcPr>
                <w:p w14:paraId="641BDD89">
                  <w:pPr>
                    <w:pStyle w:val="40"/>
                    <w:bidi w:val="0"/>
                    <w:jc w:val="center"/>
                    <w:rPr>
                      <w:rFonts w:hint="default"/>
                      <w:color w:val="auto"/>
                      <w:highlight w:val="none"/>
                    </w:rPr>
                  </w:pPr>
                </w:p>
              </w:tc>
              <w:tc>
                <w:tcPr>
                  <w:tcW w:w="1645" w:type="dxa"/>
                  <w:gridSpan w:val="3"/>
                  <w:tcBorders>
                    <w:tl2br w:val="nil"/>
                    <w:tr2bl w:val="nil"/>
                  </w:tcBorders>
                  <w:shd w:val="clear" w:color="auto" w:fill="auto"/>
                  <w:vAlign w:val="center"/>
                </w:tcPr>
                <w:p w14:paraId="0BB8976F">
                  <w:pPr>
                    <w:pStyle w:val="4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rPr>
                    <w:t>水泥筒仓</w:t>
                  </w:r>
                </w:p>
              </w:tc>
              <w:tc>
                <w:tcPr>
                  <w:tcW w:w="5951" w:type="dxa"/>
                  <w:tcBorders>
                    <w:tl2br w:val="nil"/>
                    <w:tr2bl w:val="nil"/>
                  </w:tcBorders>
                  <w:shd w:val="clear" w:color="auto" w:fill="auto"/>
                  <w:vAlign w:val="center"/>
                </w:tcPr>
                <w:p w14:paraId="721D880E">
                  <w:pPr>
                    <w:pStyle w:val="4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rPr>
                    <w:t>6座</w:t>
                  </w:r>
                  <w:r>
                    <w:rPr>
                      <w:color w:val="auto"/>
                      <w:highlight w:val="none"/>
                    </w:rPr>
                    <w:t>，</w:t>
                  </w:r>
                  <w:r>
                    <w:rPr>
                      <w:rFonts w:hint="eastAsia"/>
                      <w:color w:val="auto"/>
                      <w:highlight w:val="none"/>
                    </w:rPr>
                    <w:t>单仓</w:t>
                  </w:r>
                  <w:r>
                    <w:rPr>
                      <w:color w:val="auto"/>
                      <w:highlight w:val="none"/>
                    </w:rPr>
                    <w:t>储量</w:t>
                  </w:r>
                  <w:r>
                    <w:rPr>
                      <w:rFonts w:hint="eastAsia"/>
                      <w:color w:val="auto"/>
                      <w:highlight w:val="none"/>
                    </w:rPr>
                    <w:t>2</w:t>
                  </w:r>
                  <w:r>
                    <w:rPr>
                      <w:color w:val="auto"/>
                      <w:highlight w:val="none"/>
                    </w:rPr>
                    <w:t>00t，</w:t>
                  </w:r>
                  <w:r>
                    <w:rPr>
                      <w:rFonts w:hint="eastAsia"/>
                      <w:color w:val="auto"/>
                      <w:highlight w:val="none"/>
                    </w:rPr>
                    <w:t>每个筒仓直径</w:t>
                  </w:r>
                  <w:r>
                    <w:rPr>
                      <w:color w:val="auto"/>
                      <w:highlight w:val="none"/>
                    </w:rPr>
                    <w:t>D=</w:t>
                  </w:r>
                  <w:r>
                    <w:rPr>
                      <w:rFonts w:hint="eastAsia"/>
                      <w:color w:val="auto"/>
                      <w:highlight w:val="none"/>
                    </w:rPr>
                    <w:t>4</w:t>
                  </w:r>
                  <w:r>
                    <w:rPr>
                      <w:color w:val="auto"/>
                      <w:highlight w:val="none"/>
                    </w:rPr>
                    <w:t>m，罐高H=1</w:t>
                  </w:r>
                  <w:r>
                    <w:rPr>
                      <w:rFonts w:hint="eastAsia"/>
                      <w:color w:val="auto"/>
                      <w:highlight w:val="none"/>
                    </w:rPr>
                    <w:t>2</w:t>
                  </w:r>
                  <w:r>
                    <w:rPr>
                      <w:color w:val="auto"/>
                      <w:highlight w:val="none"/>
                    </w:rPr>
                    <w:t>m</w:t>
                  </w:r>
                  <w:r>
                    <w:rPr>
                      <w:rFonts w:hint="eastAsia"/>
                      <w:color w:val="auto"/>
                      <w:highlight w:val="none"/>
                    </w:rPr>
                    <w:t>，</w:t>
                  </w:r>
                  <w:r>
                    <w:rPr>
                      <w:color w:val="auto"/>
                      <w:highlight w:val="none"/>
                    </w:rPr>
                    <w:t>仓顶设脉冲</w:t>
                  </w:r>
                  <w:r>
                    <w:rPr>
                      <w:rFonts w:hint="eastAsia"/>
                      <w:color w:val="auto"/>
                      <w:highlight w:val="none"/>
                    </w:rPr>
                    <w:t>式</w:t>
                  </w:r>
                  <w:r>
                    <w:rPr>
                      <w:color w:val="auto"/>
                      <w:highlight w:val="none"/>
                    </w:rPr>
                    <w:t>布袋除尘器</w:t>
                  </w:r>
                  <w:r>
                    <w:rPr>
                      <w:rFonts w:hint="eastAsia"/>
                      <w:color w:val="auto"/>
                      <w:highlight w:val="none"/>
                    </w:rPr>
                    <w:t>，露天设置</w:t>
                  </w:r>
                </w:p>
              </w:tc>
            </w:tr>
            <w:tr w14:paraId="5431A3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3CD0BFA8">
                  <w:pPr>
                    <w:pStyle w:val="40"/>
                    <w:bidi w:val="0"/>
                    <w:jc w:val="center"/>
                    <w:rPr>
                      <w:rFonts w:hint="default"/>
                      <w:color w:val="auto"/>
                      <w:highlight w:val="none"/>
                    </w:rPr>
                  </w:pPr>
                </w:p>
              </w:tc>
              <w:tc>
                <w:tcPr>
                  <w:tcW w:w="398" w:type="dxa"/>
                  <w:vMerge w:val="continue"/>
                  <w:tcBorders>
                    <w:tl2br w:val="nil"/>
                    <w:tr2bl w:val="nil"/>
                  </w:tcBorders>
                  <w:vAlign w:val="center"/>
                </w:tcPr>
                <w:p w14:paraId="6F11E188">
                  <w:pPr>
                    <w:pStyle w:val="40"/>
                    <w:bidi w:val="0"/>
                    <w:jc w:val="center"/>
                    <w:rPr>
                      <w:rFonts w:hint="default"/>
                      <w:color w:val="auto"/>
                      <w:highlight w:val="none"/>
                    </w:rPr>
                  </w:pPr>
                </w:p>
              </w:tc>
              <w:tc>
                <w:tcPr>
                  <w:tcW w:w="1645" w:type="dxa"/>
                  <w:gridSpan w:val="3"/>
                  <w:tcBorders>
                    <w:tl2br w:val="nil"/>
                    <w:tr2bl w:val="nil"/>
                  </w:tcBorders>
                  <w:shd w:val="clear" w:color="auto" w:fill="auto"/>
                  <w:vAlign w:val="center"/>
                </w:tcPr>
                <w:p w14:paraId="27D759B0">
                  <w:pPr>
                    <w:pStyle w:val="4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rPr>
                    <w:t>添加剂储罐</w:t>
                  </w:r>
                </w:p>
              </w:tc>
              <w:tc>
                <w:tcPr>
                  <w:tcW w:w="5951" w:type="dxa"/>
                  <w:tcBorders>
                    <w:tl2br w:val="nil"/>
                    <w:tr2bl w:val="nil"/>
                  </w:tcBorders>
                  <w:shd w:val="clear" w:color="auto" w:fill="auto"/>
                  <w:vAlign w:val="center"/>
                </w:tcPr>
                <w:p w14:paraId="0FC6F199">
                  <w:pPr>
                    <w:pStyle w:val="4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rPr>
                    <w:t>3个钢制结构，立式，储量分别为10</w:t>
                  </w:r>
                  <w:r>
                    <w:rPr>
                      <w:color w:val="auto"/>
                      <w:highlight w:val="none"/>
                    </w:rPr>
                    <w:t>t</w:t>
                  </w:r>
                  <w:r>
                    <w:rPr>
                      <w:rFonts w:hint="eastAsia"/>
                      <w:color w:val="auto"/>
                      <w:highlight w:val="none"/>
                    </w:rPr>
                    <w:t>、8</w:t>
                  </w:r>
                  <w:r>
                    <w:rPr>
                      <w:color w:val="auto"/>
                      <w:highlight w:val="none"/>
                    </w:rPr>
                    <w:t>t</w:t>
                  </w:r>
                  <w:r>
                    <w:rPr>
                      <w:rFonts w:hint="eastAsia"/>
                      <w:color w:val="auto"/>
                      <w:highlight w:val="none"/>
                    </w:rPr>
                    <w:t>、6</w:t>
                  </w:r>
                  <w:r>
                    <w:rPr>
                      <w:color w:val="auto"/>
                      <w:highlight w:val="none"/>
                    </w:rPr>
                    <w:t>t</w:t>
                  </w:r>
                  <w:r>
                    <w:rPr>
                      <w:rFonts w:hint="eastAsia"/>
                      <w:color w:val="auto"/>
                      <w:highlight w:val="none"/>
                    </w:rPr>
                    <w:t>，</w:t>
                  </w:r>
                  <w:r>
                    <w:rPr>
                      <w:color w:val="auto"/>
                      <w:highlight w:val="none"/>
                    </w:rPr>
                    <w:t>储罐</w:t>
                  </w:r>
                  <w:r>
                    <w:rPr>
                      <w:rFonts w:hint="eastAsia"/>
                      <w:color w:val="auto"/>
                      <w:highlight w:val="none"/>
                    </w:rPr>
                    <w:t>区</w:t>
                  </w:r>
                  <w:r>
                    <w:rPr>
                      <w:color w:val="auto"/>
                      <w:highlight w:val="none"/>
                    </w:rPr>
                    <w:t>设置</w:t>
                  </w:r>
                  <w:r>
                    <w:rPr>
                      <w:rFonts w:hint="eastAsia"/>
                      <w:color w:val="auto"/>
                      <w:highlight w:val="none"/>
                    </w:rPr>
                    <w:t>5m</w:t>
                  </w:r>
                  <w:r>
                    <w:rPr>
                      <w:color w:val="auto"/>
                      <w:highlight w:val="none"/>
                    </w:rPr>
                    <w:t>×</w:t>
                  </w:r>
                  <w:r>
                    <w:rPr>
                      <w:rFonts w:hint="eastAsia"/>
                      <w:color w:val="auto"/>
                      <w:highlight w:val="none"/>
                    </w:rPr>
                    <w:t>5m</w:t>
                  </w:r>
                  <w:r>
                    <w:rPr>
                      <w:color w:val="auto"/>
                      <w:highlight w:val="none"/>
                    </w:rPr>
                    <w:t>×0.</w:t>
                  </w:r>
                  <w:r>
                    <w:rPr>
                      <w:rFonts w:hint="eastAsia"/>
                      <w:color w:val="auto"/>
                      <w:highlight w:val="none"/>
                    </w:rPr>
                    <w:t>5</w:t>
                  </w:r>
                  <w:r>
                    <w:rPr>
                      <w:color w:val="auto"/>
                      <w:highlight w:val="none"/>
                    </w:rPr>
                    <w:t>m围堰，并采取</w:t>
                  </w:r>
                  <w:r>
                    <w:rPr>
                      <w:rFonts w:hint="eastAsia"/>
                      <w:color w:val="auto"/>
                      <w:highlight w:val="none"/>
                    </w:rPr>
                    <w:t>混凝土</w:t>
                  </w:r>
                  <w:r>
                    <w:rPr>
                      <w:color w:val="auto"/>
                      <w:highlight w:val="none"/>
                    </w:rPr>
                    <w:t>防渗、导流措施</w:t>
                  </w:r>
                </w:p>
              </w:tc>
            </w:tr>
            <w:tr w14:paraId="319DDB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4033ACC2">
                  <w:pPr>
                    <w:pStyle w:val="40"/>
                    <w:bidi w:val="0"/>
                    <w:jc w:val="center"/>
                    <w:rPr>
                      <w:rFonts w:hint="default"/>
                      <w:color w:val="auto"/>
                      <w:highlight w:val="none"/>
                    </w:rPr>
                  </w:pPr>
                </w:p>
              </w:tc>
              <w:tc>
                <w:tcPr>
                  <w:tcW w:w="2043" w:type="dxa"/>
                  <w:gridSpan w:val="4"/>
                  <w:tcBorders>
                    <w:tl2br w:val="nil"/>
                    <w:tr2bl w:val="nil"/>
                  </w:tcBorders>
                  <w:shd w:val="clear" w:color="auto" w:fill="auto"/>
                  <w:vAlign w:val="center"/>
                </w:tcPr>
                <w:p w14:paraId="249E0F98">
                  <w:pPr>
                    <w:pStyle w:val="4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rPr>
                    <w:t>车辆运输</w:t>
                  </w:r>
                </w:p>
              </w:tc>
              <w:tc>
                <w:tcPr>
                  <w:tcW w:w="5951" w:type="dxa"/>
                  <w:tcBorders>
                    <w:tl2br w:val="nil"/>
                    <w:tr2bl w:val="nil"/>
                  </w:tcBorders>
                  <w:shd w:val="clear" w:color="auto" w:fill="auto"/>
                  <w:vAlign w:val="center"/>
                </w:tcPr>
                <w:p w14:paraId="36519B14">
                  <w:pPr>
                    <w:pStyle w:val="4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rPr>
                    <w:t>水泥、粉煤灰、产品混凝土采用罐车运输，其余均采用</w:t>
                  </w:r>
                  <w:r>
                    <w:rPr>
                      <w:rFonts w:hint="eastAsia"/>
                      <w:color w:val="auto"/>
                      <w:szCs w:val="32"/>
                      <w:highlight w:val="none"/>
                    </w:rPr>
                    <w:t>密闭篷布货车</w:t>
                  </w:r>
                  <w:r>
                    <w:rPr>
                      <w:color w:val="auto"/>
                      <w:szCs w:val="32"/>
                      <w:highlight w:val="none"/>
                    </w:rPr>
                    <w:t>运输</w:t>
                  </w:r>
                </w:p>
              </w:tc>
            </w:tr>
            <w:tr w14:paraId="184B2E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restart"/>
                  <w:tcBorders>
                    <w:tl2br w:val="nil"/>
                    <w:tr2bl w:val="nil"/>
                  </w:tcBorders>
                  <w:vAlign w:val="center"/>
                </w:tcPr>
                <w:p w14:paraId="6833897B">
                  <w:pPr>
                    <w:pStyle w:val="40"/>
                    <w:bidi w:val="0"/>
                    <w:jc w:val="center"/>
                    <w:rPr>
                      <w:rFonts w:hint="eastAsia" w:eastAsia="宋体"/>
                      <w:color w:val="auto"/>
                      <w:highlight w:val="none"/>
                      <w:lang w:val="en-US" w:eastAsia="zh-CN"/>
                    </w:rPr>
                  </w:pPr>
                  <w:r>
                    <w:rPr>
                      <w:rFonts w:hint="eastAsia"/>
                      <w:color w:val="auto"/>
                      <w:highlight w:val="none"/>
                      <w:lang w:val="en-US" w:eastAsia="zh-CN"/>
                    </w:rPr>
                    <w:t>辅助工程</w:t>
                  </w:r>
                </w:p>
              </w:tc>
              <w:tc>
                <w:tcPr>
                  <w:tcW w:w="2043" w:type="dxa"/>
                  <w:gridSpan w:val="4"/>
                  <w:tcBorders>
                    <w:tl2br w:val="nil"/>
                    <w:tr2bl w:val="nil"/>
                  </w:tcBorders>
                  <w:shd w:val="clear" w:color="auto" w:fill="auto"/>
                  <w:vAlign w:val="center"/>
                </w:tcPr>
                <w:p w14:paraId="51DE76A5">
                  <w:pPr>
                    <w:pStyle w:val="40"/>
                    <w:ind w:firstLine="0" w:firstLineChars="0"/>
                    <w:rPr>
                      <w:rFonts w:hint="default"/>
                      <w:color w:val="auto"/>
                      <w:highlight w:val="none"/>
                      <w:lang w:val="en-US" w:eastAsia="zh-CN"/>
                    </w:rPr>
                  </w:pPr>
                  <w:r>
                    <w:rPr>
                      <w:rFonts w:hint="eastAsia"/>
                      <w:color w:val="auto"/>
                      <w:highlight w:val="none"/>
                      <w:lang w:val="en-US" w:eastAsia="zh-CN"/>
                    </w:rPr>
                    <w:t>锅炉房</w:t>
                  </w:r>
                </w:p>
              </w:tc>
              <w:tc>
                <w:tcPr>
                  <w:tcW w:w="5951" w:type="dxa"/>
                  <w:tcBorders>
                    <w:tl2br w:val="nil"/>
                    <w:tr2bl w:val="nil"/>
                  </w:tcBorders>
                  <w:shd w:val="clear" w:color="auto" w:fill="auto"/>
                  <w:vAlign w:val="center"/>
                </w:tcPr>
                <w:p w14:paraId="099876BD">
                  <w:pPr>
                    <w:pStyle w:val="40"/>
                    <w:ind w:firstLine="0" w:firstLineChars="0"/>
                    <w:rPr>
                      <w:rFonts w:hint="default" w:eastAsia="宋体"/>
                      <w:color w:val="auto"/>
                      <w:spacing w:val="-6"/>
                      <w:highlight w:val="none"/>
                      <w:lang w:val="en-US" w:eastAsia="zh-CN"/>
                    </w:rPr>
                  </w:pPr>
                  <w:r>
                    <w:rPr>
                      <w:rFonts w:hint="eastAsia"/>
                      <w:color w:val="auto"/>
                      <w:spacing w:val="0"/>
                      <w:sz w:val="21"/>
                      <w:highlight w:val="none"/>
                      <w:lang w:val="en-US" w:eastAsia="zh-CN"/>
                    </w:rPr>
                    <w:t>1座，占地面积为100</w:t>
                  </w:r>
                  <w:r>
                    <w:rPr>
                      <w:rFonts w:hint="eastAsia"/>
                      <w:color w:val="auto"/>
                      <w:spacing w:val="0"/>
                      <w:sz w:val="21"/>
                      <w:highlight w:val="none"/>
                    </w:rPr>
                    <w:t>m</w:t>
                  </w:r>
                  <w:r>
                    <w:rPr>
                      <w:rFonts w:hint="eastAsia"/>
                      <w:color w:val="auto"/>
                      <w:spacing w:val="0"/>
                      <w:sz w:val="21"/>
                      <w:highlight w:val="none"/>
                      <w:vertAlign w:val="superscript"/>
                    </w:rPr>
                    <w:t>2</w:t>
                  </w:r>
                  <w:r>
                    <w:rPr>
                      <w:rFonts w:hint="eastAsia"/>
                      <w:color w:val="auto"/>
                      <w:spacing w:val="0"/>
                      <w:sz w:val="21"/>
                      <w:highlight w:val="none"/>
                      <w:lang w:val="en-US" w:eastAsia="zh-CN"/>
                    </w:rPr>
                    <w:t>，内设15t/h生物质蒸汽锅炉1台，用于提供蒸压硅酸盐功能骨料蒸养工段所需蒸汽</w:t>
                  </w:r>
                </w:p>
              </w:tc>
            </w:tr>
            <w:tr w14:paraId="3145E6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441EB557">
                  <w:pPr>
                    <w:pStyle w:val="40"/>
                    <w:bidi w:val="0"/>
                    <w:jc w:val="center"/>
                    <w:rPr>
                      <w:rFonts w:hint="eastAsia" w:eastAsia="宋体"/>
                      <w:color w:val="auto"/>
                      <w:highlight w:val="none"/>
                      <w:lang w:val="en-US" w:eastAsia="zh-CN"/>
                    </w:rPr>
                  </w:pPr>
                </w:p>
              </w:tc>
              <w:tc>
                <w:tcPr>
                  <w:tcW w:w="2043" w:type="dxa"/>
                  <w:gridSpan w:val="4"/>
                  <w:tcBorders>
                    <w:tl2br w:val="nil"/>
                    <w:tr2bl w:val="nil"/>
                  </w:tcBorders>
                  <w:shd w:val="clear" w:color="auto" w:fill="auto"/>
                  <w:vAlign w:val="center"/>
                </w:tcPr>
                <w:p w14:paraId="6070FF3F">
                  <w:pPr>
                    <w:pStyle w:val="40"/>
                    <w:ind w:firstLine="0" w:firstLineChars="0"/>
                    <w:rPr>
                      <w:rFonts w:hint="default" w:eastAsia="宋体"/>
                      <w:color w:val="auto"/>
                      <w:highlight w:val="none"/>
                      <w:lang w:val="en-US" w:eastAsia="zh-CN"/>
                    </w:rPr>
                  </w:pPr>
                  <w:r>
                    <w:rPr>
                      <w:rFonts w:hint="eastAsia"/>
                      <w:color w:val="auto"/>
                      <w:highlight w:val="none"/>
                      <w:lang w:val="en-US" w:eastAsia="zh-CN"/>
                    </w:rPr>
                    <w:t>生物质颗粒储库</w:t>
                  </w:r>
                </w:p>
              </w:tc>
              <w:tc>
                <w:tcPr>
                  <w:tcW w:w="5951" w:type="dxa"/>
                  <w:tcBorders>
                    <w:tl2br w:val="nil"/>
                    <w:tr2bl w:val="nil"/>
                  </w:tcBorders>
                  <w:shd w:val="clear" w:color="auto" w:fill="auto"/>
                  <w:vAlign w:val="center"/>
                </w:tcPr>
                <w:p w14:paraId="68DA51EE">
                  <w:pPr>
                    <w:pStyle w:val="40"/>
                    <w:ind w:firstLine="0" w:firstLineChars="0"/>
                    <w:rPr>
                      <w:rFonts w:hint="eastAsia"/>
                      <w:color w:val="auto"/>
                      <w:spacing w:val="0"/>
                      <w:sz w:val="21"/>
                      <w:highlight w:val="none"/>
                    </w:rPr>
                  </w:pPr>
                  <w:r>
                    <w:rPr>
                      <w:rFonts w:hint="eastAsia"/>
                      <w:color w:val="auto"/>
                      <w:spacing w:val="0"/>
                      <w:sz w:val="21"/>
                      <w:highlight w:val="none"/>
                    </w:rPr>
                    <w:t>1座，占地面积为</w:t>
                  </w:r>
                  <w:r>
                    <w:rPr>
                      <w:rFonts w:hint="eastAsia"/>
                      <w:color w:val="auto"/>
                      <w:spacing w:val="0"/>
                      <w:sz w:val="21"/>
                      <w:highlight w:val="none"/>
                      <w:lang w:val="en-US" w:eastAsia="zh-CN"/>
                    </w:rPr>
                    <w:t>200</w:t>
                  </w:r>
                  <w:r>
                    <w:rPr>
                      <w:rFonts w:hint="eastAsia"/>
                      <w:color w:val="auto"/>
                      <w:spacing w:val="0"/>
                      <w:sz w:val="21"/>
                      <w:highlight w:val="none"/>
                    </w:rPr>
                    <w:t>m</w:t>
                  </w:r>
                  <w:r>
                    <w:rPr>
                      <w:rFonts w:hint="eastAsia"/>
                      <w:color w:val="auto"/>
                      <w:spacing w:val="0"/>
                      <w:sz w:val="21"/>
                      <w:highlight w:val="none"/>
                      <w:vertAlign w:val="superscript"/>
                    </w:rPr>
                    <w:t>2</w:t>
                  </w:r>
                  <w:r>
                    <w:rPr>
                      <w:rFonts w:hint="eastAsia"/>
                      <w:color w:val="auto"/>
                      <w:spacing w:val="0"/>
                      <w:sz w:val="21"/>
                      <w:highlight w:val="none"/>
                    </w:rPr>
                    <w:t>，棚内设喷雾降尘设施，用于储存</w:t>
                  </w:r>
                  <w:r>
                    <w:rPr>
                      <w:rFonts w:hint="eastAsia"/>
                      <w:color w:val="auto"/>
                      <w:spacing w:val="0"/>
                      <w:sz w:val="21"/>
                      <w:highlight w:val="none"/>
                      <w:lang w:val="en-US" w:eastAsia="zh-CN"/>
                    </w:rPr>
                    <w:t>生物质颗粒和离子交换树脂</w:t>
                  </w:r>
                </w:p>
              </w:tc>
            </w:tr>
            <w:tr w14:paraId="611456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3FB43D21">
                  <w:pPr>
                    <w:pStyle w:val="40"/>
                    <w:bidi w:val="0"/>
                    <w:jc w:val="center"/>
                    <w:rPr>
                      <w:rFonts w:hint="eastAsia"/>
                      <w:color w:val="auto"/>
                      <w:highlight w:val="none"/>
                      <w:lang w:val="en-US" w:eastAsia="zh-CN"/>
                    </w:rPr>
                  </w:pPr>
                </w:p>
              </w:tc>
              <w:tc>
                <w:tcPr>
                  <w:tcW w:w="2043" w:type="dxa"/>
                  <w:gridSpan w:val="4"/>
                  <w:tcBorders>
                    <w:tl2br w:val="nil"/>
                    <w:tr2bl w:val="nil"/>
                  </w:tcBorders>
                  <w:shd w:val="clear" w:color="auto" w:fill="auto"/>
                  <w:vAlign w:val="center"/>
                </w:tcPr>
                <w:p w14:paraId="1E939F9A">
                  <w:pPr>
                    <w:pStyle w:val="40"/>
                    <w:ind w:firstLine="0" w:firstLineChars="0"/>
                    <w:rPr>
                      <w:rFonts w:hint="default" w:eastAsia="宋体"/>
                      <w:color w:val="auto"/>
                      <w:spacing w:val="0"/>
                      <w:sz w:val="21"/>
                      <w:highlight w:val="none"/>
                      <w:lang w:val="en-US" w:eastAsia="zh-CN"/>
                    </w:rPr>
                  </w:pPr>
                  <w:r>
                    <w:rPr>
                      <w:rFonts w:hint="eastAsia"/>
                      <w:color w:val="auto"/>
                      <w:spacing w:val="0"/>
                      <w:sz w:val="21"/>
                      <w:highlight w:val="none"/>
                      <w:lang w:val="en-US" w:eastAsia="zh-CN"/>
                    </w:rPr>
                    <w:t>锅炉灰渣储库</w:t>
                  </w:r>
                </w:p>
              </w:tc>
              <w:tc>
                <w:tcPr>
                  <w:tcW w:w="5951" w:type="dxa"/>
                  <w:tcBorders>
                    <w:tl2br w:val="nil"/>
                    <w:tr2bl w:val="nil"/>
                  </w:tcBorders>
                  <w:shd w:val="clear" w:color="auto" w:fill="auto"/>
                  <w:vAlign w:val="center"/>
                </w:tcPr>
                <w:p w14:paraId="6BF13AEC">
                  <w:pPr>
                    <w:pStyle w:val="40"/>
                    <w:ind w:firstLine="0" w:firstLineChars="0"/>
                    <w:rPr>
                      <w:rFonts w:hint="default" w:eastAsia="宋体"/>
                      <w:color w:val="auto"/>
                      <w:spacing w:val="0"/>
                      <w:sz w:val="21"/>
                      <w:highlight w:val="none"/>
                      <w:lang w:val="en-US" w:eastAsia="zh-CN"/>
                    </w:rPr>
                  </w:pPr>
                  <w:r>
                    <w:rPr>
                      <w:rFonts w:hint="eastAsia"/>
                      <w:color w:val="auto"/>
                      <w:spacing w:val="0"/>
                      <w:sz w:val="21"/>
                      <w:highlight w:val="none"/>
                    </w:rPr>
                    <w:t>1座，占地面积为</w:t>
                  </w:r>
                  <w:r>
                    <w:rPr>
                      <w:rFonts w:hint="eastAsia"/>
                      <w:color w:val="auto"/>
                      <w:spacing w:val="0"/>
                      <w:sz w:val="21"/>
                      <w:highlight w:val="none"/>
                      <w:lang w:val="en-US" w:eastAsia="zh-CN"/>
                    </w:rPr>
                    <w:t>100</w:t>
                  </w:r>
                  <w:r>
                    <w:rPr>
                      <w:rFonts w:hint="eastAsia"/>
                      <w:color w:val="auto"/>
                      <w:spacing w:val="0"/>
                      <w:sz w:val="21"/>
                      <w:highlight w:val="none"/>
                    </w:rPr>
                    <w:t>m</w:t>
                  </w:r>
                  <w:r>
                    <w:rPr>
                      <w:rFonts w:hint="eastAsia"/>
                      <w:color w:val="auto"/>
                      <w:spacing w:val="0"/>
                      <w:sz w:val="21"/>
                      <w:highlight w:val="none"/>
                      <w:vertAlign w:val="superscript"/>
                    </w:rPr>
                    <w:t>2</w:t>
                  </w:r>
                  <w:r>
                    <w:rPr>
                      <w:rFonts w:hint="eastAsia"/>
                      <w:color w:val="auto"/>
                      <w:spacing w:val="0"/>
                      <w:sz w:val="21"/>
                      <w:highlight w:val="none"/>
                    </w:rPr>
                    <w:t>，棚内设喷雾降尘设施，用于储存</w:t>
                  </w:r>
                  <w:r>
                    <w:rPr>
                      <w:rFonts w:hint="eastAsia"/>
                      <w:color w:val="auto"/>
                      <w:spacing w:val="0"/>
                      <w:sz w:val="21"/>
                      <w:highlight w:val="none"/>
                      <w:lang w:val="en-US" w:eastAsia="zh-CN"/>
                    </w:rPr>
                    <w:t>锅炉灰渣和废离子交换树脂</w:t>
                  </w:r>
                </w:p>
              </w:tc>
            </w:tr>
            <w:tr w14:paraId="5845CB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019AB600">
                  <w:pPr>
                    <w:pStyle w:val="40"/>
                    <w:bidi w:val="0"/>
                    <w:jc w:val="center"/>
                    <w:rPr>
                      <w:rFonts w:hint="eastAsia"/>
                      <w:color w:val="auto"/>
                      <w:highlight w:val="none"/>
                      <w:lang w:val="en-US" w:eastAsia="zh-CN"/>
                    </w:rPr>
                  </w:pPr>
                </w:p>
              </w:tc>
              <w:tc>
                <w:tcPr>
                  <w:tcW w:w="2043" w:type="dxa"/>
                  <w:gridSpan w:val="4"/>
                  <w:tcBorders>
                    <w:tl2br w:val="nil"/>
                    <w:tr2bl w:val="nil"/>
                  </w:tcBorders>
                  <w:shd w:val="clear" w:color="auto" w:fill="auto"/>
                  <w:vAlign w:val="center"/>
                </w:tcPr>
                <w:p w14:paraId="7282E2CC">
                  <w:pPr>
                    <w:pStyle w:val="40"/>
                    <w:ind w:firstLine="0" w:firstLineChars="0"/>
                    <w:rPr>
                      <w:rFonts w:hint="default"/>
                      <w:color w:val="auto"/>
                      <w:spacing w:val="0"/>
                      <w:sz w:val="21"/>
                      <w:highlight w:val="none"/>
                      <w:lang w:val="en-US" w:eastAsia="zh-CN"/>
                    </w:rPr>
                  </w:pPr>
                  <w:r>
                    <w:rPr>
                      <w:rFonts w:hint="eastAsia"/>
                      <w:color w:val="auto"/>
                      <w:spacing w:val="0"/>
                      <w:sz w:val="21"/>
                      <w:highlight w:val="none"/>
                      <w:lang w:val="en-US" w:eastAsia="zh-CN"/>
                    </w:rPr>
                    <w:t>烟气除尘灰筒仓</w:t>
                  </w:r>
                </w:p>
              </w:tc>
              <w:tc>
                <w:tcPr>
                  <w:tcW w:w="5951" w:type="dxa"/>
                  <w:tcBorders>
                    <w:tl2br w:val="nil"/>
                    <w:tr2bl w:val="nil"/>
                  </w:tcBorders>
                  <w:shd w:val="clear" w:color="auto" w:fill="auto"/>
                  <w:vAlign w:val="center"/>
                </w:tcPr>
                <w:p w14:paraId="32A94186">
                  <w:pPr>
                    <w:pStyle w:val="40"/>
                    <w:ind w:firstLine="0" w:firstLineChars="0"/>
                    <w:rPr>
                      <w:rFonts w:hint="default" w:eastAsia="宋体"/>
                      <w:color w:val="auto"/>
                      <w:spacing w:val="0"/>
                      <w:sz w:val="21"/>
                      <w:highlight w:val="none"/>
                      <w:lang w:val="en-US" w:eastAsia="zh-CN"/>
                    </w:rPr>
                  </w:pPr>
                  <w:r>
                    <w:rPr>
                      <w:rFonts w:hint="eastAsia"/>
                      <w:color w:val="auto"/>
                      <w:spacing w:val="0"/>
                      <w:sz w:val="21"/>
                      <w:highlight w:val="none"/>
                      <w:lang w:val="en-US" w:eastAsia="zh-CN"/>
                    </w:rPr>
                    <w:t>1座，单仓储量1t，筒仓直径D=1m，罐高H=2m，用于储存烟气除尘灰</w:t>
                  </w:r>
                </w:p>
              </w:tc>
            </w:tr>
            <w:tr w14:paraId="0938BC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05BBF1D7">
                  <w:pPr>
                    <w:pStyle w:val="40"/>
                    <w:bidi w:val="0"/>
                    <w:jc w:val="center"/>
                    <w:rPr>
                      <w:rFonts w:hint="eastAsia" w:eastAsia="宋体"/>
                      <w:color w:val="auto"/>
                      <w:highlight w:val="none"/>
                      <w:lang w:val="en-US" w:eastAsia="zh-CN"/>
                    </w:rPr>
                  </w:pPr>
                </w:p>
              </w:tc>
              <w:tc>
                <w:tcPr>
                  <w:tcW w:w="2043" w:type="dxa"/>
                  <w:gridSpan w:val="4"/>
                  <w:tcBorders>
                    <w:tl2br w:val="nil"/>
                    <w:tr2bl w:val="nil"/>
                  </w:tcBorders>
                  <w:shd w:val="clear" w:color="auto" w:fill="auto"/>
                  <w:vAlign w:val="center"/>
                </w:tcPr>
                <w:p w14:paraId="7E606185">
                  <w:pPr>
                    <w:pStyle w:val="4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rPr>
                    <w:t>综合办公楼</w:t>
                  </w:r>
                </w:p>
              </w:tc>
              <w:tc>
                <w:tcPr>
                  <w:tcW w:w="5951" w:type="dxa"/>
                  <w:tcBorders>
                    <w:tl2br w:val="nil"/>
                    <w:tr2bl w:val="nil"/>
                  </w:tcBorders>
                  <w:shd w:val="clear" w:color="auto" w:fill="auto"/>
                  <w:vAlign w:val="center"/>
                </w:tcPr>
                <w:p w14:paraId="5628499B">
                  <w:pPr>
                    <w:pStyle w:val="4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spacing w:val="-6"/>
                      <w:highlight w:val="none"/>
                    </w:rPr>
                    <w:t>双层砖混结构，占地面积765m</w:t>
                  </w:r>
                  <w:r>
                    <w:rPr>
                      <w:rFonts w:hint="eastAsia"/>
                      <w:color w:val="auto"/>
                      <w:spacing w:val="-6"/>
                      <w:highlight w:val="none"/>
                      <w:vertAlign w:val="superscript"/>
                    </w:rPr>
                    <w:t>2</w:t>
                  </w:r>
                  <w:r>
                    <w:rPr>
                      <w:rFonts w:hint="eastAsia"/>
                      <w:color w:val="auto"/>
                      <w:spacing w:val="-6"/>
                      <w:highlight w:val="none"/>
                    </w:rPr>
                    <w:t>（51×15m），用于员工日常办公</w:t>
                  </w:r>
                </w:p>
              </w:tc>
            </w:tr>
            <w:tr w14:paraId="5E90E1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5273611A">
                  <w:pPr>
                    <w:pStyle w:val="40"/>
                    <w:bidi w:val="0"/>
                    <w:jc w:val="center"/>
                    <w:rPr>
                      <w:rFonts w:hint="default"/>
                      <w:color w:val="auto"/>
                      <w:highlight w:val="none"/>
                    </w:rPr>
                  </w:pPr>
                </w:p>
              </w:tc>
              <w:tc>
                <w:tcPr>
                  <w:tcW w:w="2043" w:type="dxa"/>
                  <w:gridSpan w:val="4"/>
                  <w:tcBorders>
                    <w:tl2br w:val="nil"/>
                    <w:tr2bl w:val="nil"/>
                  </w:tcBorders>
                  <w:shd w:val="clear" w:color="auto" w:fill="auto"/>
                  <w:vAlign w:val="center"/>
                </w:tcPr>
                <w:p w14:paraId="115C6994">
                  <w:pPr>
                    <w:pStyle w:val="4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rPr>
                    <w:t>宿舍和食堂</w:t>
                  </w:r>
                </w:p>
              </w:tc>
              <w:tc>
                <w:tcPr>
                  <w:tcW w:w="5951" w:type="dxa"/>
                  <w:tcBorders>
                    <w:tl2br w:val="nil"/>
                    <w:tr2bl w:val="nil"/>
                  </w:tcBorders>
                  <w:shd w:val="clear" w:color="auto" w:fill="auto"/>
                  <w:vAlign w:val="center"/>
                </w:tcPr>
                <w:p w14:paraId="3692127D">
                  <w:pPr>
                    <w:pStyle w:val="4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spacing w:val="-6"/>
                      <w:highlight w:val="none"/>
                    </w:rPr>
                    <w:t>三层砖混结构，占地面积912m</w:t>
                  </w:r>
                  <w:r>
                    <w:rPr>
                      <w:rFonts w:hint="eastAsia"/>
                      <w:color w:val="auto"/>
                      <w:spacing w:val="-6"/>
                      <w:highlight w:val="none"/>
                      <w:vertAlign w:val="superscript"/>
                    </w:rPr>
                    <w:t>2</w:t>
                  </w:r>
                  <w:r>
                    <w:rPr>
                      <w:rFonts w:hint="eastAsia"/>
                      <w:color w:val="auto"/>
                      <w:spacing w:val="-6"/>
                      <w:highlight w:val="none"/>
                    </w:rPr>
                    <w:t>（48×19m），用于员工日常生活</w:t>
                  </w:r>
                </w:p>
              </w:tc>
            </w:tr>
            <w:tr w14:paraId="1A2DB1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1FEE38E6">
                  <w:pPr>
                    <w:pStyle w:val="40"/>
                    <w:bidi w:val="0"/>
                    <w:jc w:val="center"/>
                    <w:rPr>
                      <w:rFonts w:hint="default"/>
                      <w:color w:val="auto"/>
                      <w:highlight w:val="none"/>
                    </w:rPr>
                  </w:pPr>
                </w:p>
              </w:tc>
              <w:tc>
                <w:tcPr>
                  <w:tcW w:w="2043" w:type="dxa"/>
                  <w:gridSpan w:val="4"/>
                  <w:tcBorders>
                    <w:tl2br w:val="nil"/>
                    <w:tr2bl w:val="nil"/>
                  </w:tcBorders>
                  <w:shd w:val="clear" w:color="auto" w:fill="auto"/>
                  <w:vAlign w:val="center"/>
                </w:tcPr>
                <w:p w14:paraId="5BF1AE6E">
                  <w:pPr>
                    <w:pStyle w:val="4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rPr>
                    <w:t>中控室</w:t>
                  </w:r>
                </w:p>
              </w:tc>
              <w:tc>
                <w:tcPr>
                  <w:tcW w:w="5951" w:type="dxa"/>
                  <w:tcBorders>
                    <w:tl2br w:val="nil"/>
                    <w:tr2bl w:val="nil"/>
                  </w:tcBorders>
                  <w:shd w:val="clear" w:color="auto" w:fill="auto"/>
                  <w:vAlign w:val="center"/>
                </w:tcPr>
                <w:p w14:paraId="641300D5">
                  <w:pPr>
                    <w:pStyle w:val="4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rPr>
                    <w:t>设置在综合办公楼内，用于控制</w:t>
                  </w:r>
                  <w:r>
                    <w:rPr>
                      <w:rFonts w:hint="eastAsia"/>
                      <w:color w:val="auto"/>
                      <w:highlight w:val="none"/>
                      <w:lang w:val="en-US" w:eastAsia="zh-CN"/>
                    </w:rPr>
                    <w:t>两条</w:t>
                  </w:r>
                  <w:r>
                    <w:rPr>
                      <w:rFonts w:hint="eastAsia"/>
                      <w:color w:val="auto"/>
                      <w:highlight w:val="none"/>
                    </w:rPr>
                    <w:t>生产线</w:t>
                  </w:r>
                </w:p>
              </w:tc>
            </w:tr>
            <w:tr w14:paraId="580A7B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7532F025">
                  <w:pPr>
                    <w:pStyle w:val="40"/>
                    <w:bidi w:val="0"/>
                    <w:jc w:val="center"/>
                    <w:rPr>
                      <w:rFonts w:hint="default"/>
                      <w:color w:val="auto"/>
                      <w:highlight w:val="none"/>
                    </w:rPr>
                  </w:pPr>
                </w:p>
              </w:tc>
              <w:tc>
                <w:tcPr>
                  <w:tcW w:w="2043" w:type="dxa"/>
                  <w:gridSpan w:val="4"/>
                  <w:tcBorders>
                    <w:tl2br w:val="nil"/>
                    <w:tr2bl w:val="nil"/>
                  </w:tcBorders>
                  <w:shd w:val="clear" w:color="auto" w:fill="auto"/>
                  <w:vAlign w:val="center"/>
                </w:tcPr>
                <w:p w14:paraId="7D497940">
                  <w:pPr>
                    <w:pStyle w:val="4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rPr>
                    <w:t>化验室</w:t>
                  </w:r>
                </w:p>
              </w:tc>
              <w:tc>
                <w:tcPr>
                  <w:tcW w:w="5951" w:type="dxa"/>
                  <w:tcBorders>
                    <w:tl2br w:val="nil"/>
                    <w:tr2bl w:val="nil"/>
                  </w:tcBorders>
                  <w:shd w:val="clear" w:color="auto" w:fill="auto"/>
                  <w:vAlign w:val="center"/>
                </w:tcPr>
                <w:p w14:paraId="787CD608">
                  <w:pPr>
                    <w:pStyle w:val="4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rPr>
                    <w:t>设置在综合办公楼内，主要用于测定产品的抗压能力、坚固性等物理指标，以此指导实际生产</w:t>
                  </w:r>
                </w:p>
              </w:tc>
            </w:tr>
            <w:tr w14:paraId="3071EA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5F7A7E8D">
                  <w:pPr>
                    <w:pStyle w:val="40"/>
                    <w:bidi w:val="0"/>
                    <w:jc w:val="center"/>
                    <w:rPr>
                      <w:rFonts w:hint="default"/>
                      <w:color w:val="auto"/>
                      <w:highlight w:val="none"/>
                    </w:rPr>
                  </w:pPr>
                </w:p>
              </w:tc>
              <w:tc>
                <w:tcPr>
                  <w:tcW w:w="2043" w:type="dxa"/>
                  <w:gridSpan w:val="4"/>
                  <w:tcBorders>
                    <w:tl2br w:val="nil"/>
                    <w:tr2bl w:val="nil"/>
                  </w:tcBorders>
                  <w:shd w:val="clear" w:color="auto" w:fill="auto"/>
                  <w:vAlign w:val="center"/>
                </w:tcPr>
                <w:p w14:paraId="4241C137">
                  <w:pPr>
                    <w:pStyle w:val="4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rPr>
                    <w:t>机修间</w:t>
                  </w:r>
                </w:p>
              </w:tc>
              <w:tc>
                <w:tcPr>
                  <w:tcW w:w="5951" w:type="dxa"/>
                  <w:tcBorders>
                    <w:tl2br w:val="nil"/>
                    <w:tr2bl w:val="nil"/>
                  </w:tcBorders>
                  <w:shd w:val="clear" w:color="auto" w:fill="auto"/>
                  <w:vAlign w:val="center"/>
                </w:tcPr>
                <w:p w14:paraId="58766A7A">
                  <w:pPr>
                    <w:pStyle w:val="4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rPr>
                    <w:t>1间，占地面积50</w:t>
                  </w:r>
                  <w:r>
                    <w:rPr>
                      <w:rFonts w:hint="eastAsia"/>
                      <w:color w:val="auto"/>
                      <w:spacing w:val="-6"/>
                      <w:highlight w:val="none"/>
                    </w:rPr>
                    <w:t>m</w:t>
                  </w:r>
                  <w:r>
                    <w:rPr>
                      <w:rFonts w:hint="eastAsia"/>
                      <w:color w:val="auto"/>
                      <w:spacing w:val="-6"/>
                      <w:highlight w:val="none"/>
                      <w:vertAlign w:val="superscript"/>
                    </w:rPr>
                    <w:t>2</w:t>
                  </w:r>
                  <w:r>
                    <w:rPr>
                      <w:rFonts w:hint="eastAsia"/>
                      <w:color w:val="auto"/>
                      <w:highlight w:val="none"/>
                    </w:rPr>
                    <w:t>，为主体、公用和辅助</w:t>
                  </w:r>
                  <w:r>
                    <w:rPr>
                      <w:rFonts w:hint="eastAsia"/>
                      <w:color w:val="auto"/>
                      <w:highlight w:val="none"/>
                      <w:lang w:val="en-US" w:eastAsia="zh-CN"/>
                    </w:rPr>
                    <w:t>工程</w:t>
                  </w:r>
                  <w:r>
                    <w:rPr>
                      <w:rFonts w:hint="eastAsia"/>
                      <w:color w:val="auto"/>
                      <w:highlight w:val="none"/>
                    </w:rPr>
                    <w:t>提供机修服务</w:t>
                  </w:r>
                </w:p>
              </w:tc>
            </w:tr>
            <w:tr w14:paraId="13AC5B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46581B30">
                  <w:pPr>
                    <w:pStyle w:val="40"/>
                    <w:bidi w:val="0"/>
                    <w:jc w:val="center"/>
                    <w:rPr>
                      <w:rFonts w:hint="default"/>
                      <w:color w:val="auto"/>
                      <w:highlight w:val="none"/>
                    </w:rPr>
                  </w:pPr>
                </w:p>
              </w:tc>
              <w:tc>
                <w:tcPr>
                  <w:tcW w:w="2043" w:type="dxa"/>
                  <w:gridSpan w:val="4"/>
                  <w:tcBorders>
                    <w:tl2br w:val="nil"/>
                    <w:tr2bl w:val="nil"/>
                  </w:tcBorders>
                  <w:shd w:val="clear" w:color="auto" w:fill="auto"/>
                  <w:vAlign w:val="center"/>
                </w:tcPr>
                <w:p w14:paraId="15E2EBC3">
                  <w:pPr>
                    <w:pStyle w:val="4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rPr>
                    <w:t>洗车台</w:t>
                  </w:r>
                </w:p>
              </w:tc>
              <w:tc>
                <w:tcPr>
                  <w:tcW w:w="5951" w:type="dxa"/>
                  <w:tcBorders>
                    <w:tl2br w:val="nil"/>
                    <w:tr2bl w:val="nil"/>
                  </w:tcBorders>
                  <w:shd w:val="clear" w:color="auto" w:fill="auto"/>
                  <w:vAlign w:val="center"/>
                </w:tcPr>
                <w:p w14:paraId="18B0EACE">
                  <w:pPr>
                    <w:pStyle w:val="4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color w:val="auto"/>
                      <w:highlight w:val="none"/>
                    </w:rPr>
                    <w:t>位于厂区出</w:t>
                  </w:r>
                  <w:r>
                    <w:rPr>
                      <w:rFonts w:hint="eastAsia"/>
                      <w:color w:val="auto"/>
                      <w:highlight w:val="none"/>
                    </w:rPr>
                    <w:t>入</w:t>
                  </w:r>
                  <w:r>
                    <w:rPr>
                      <w:color w:val="auto"/>
                      <w:highlight w:val="none"/>
                    </w:rPr>
                    <w:t>口，用于车辆进出厂区时冲洗，配置20m</w:t>
                  </w:r>
                  <w:r>
                    <w:rPr>
                      <w:color w:val="auto"/>
                      <w:highlight w:val="none"/>
                      <w:vertAlign w:val="superscript"/>
                    </w:rPr>
                    <w:t>3</w:t>
                  </w:r>
                  <w:r>
                    <w:rPr>
                      <w:color w:val="auto"/>
                      <w:highlight w:val="none"/>
                    </w:rPr>
                    <w:t>沉淀池</w:t>
                  </w:r>
                </w:p>
              </w:tc>
            </w:tr>
            <w:tr w14:paraId="090C4E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4F5B5B8A">
                  <w:pPr>
                    <w:pStyle w:val="40"/>
                    <w:bidi w:val="0"/>
                    <w:jc w:val="center"/>
                    <w:rPr>
                      <w:rFonts w:hint="default"/>
                      <w:color w:val="auto"/>
                      <w:highlight w:val="none"/>
                    </w:rPr>
                  </w:pPr>
                </w:p>
              </w:tc>
              <w:tc>
                <w:tcPr>
                  <w:tcW w:w="2043" w:type="dxa"/>
                  <w:gridSpan w:val="4"/>
                  <w:tcBorders>
                    <w:tl2br w:val="nil"/>
                    <w:tr2bl w:val="nil"/>
                  </w:tcBorders>
                  <w:shd w:val="clear" w:color="auto" w:fill="auto"/>
                  <w:vAlign w:val="center"/>
                </w:tcPr>
                <w:p w14:paraId="67115E20">
                  <w:pPr>
                    <w:pStyle w:val="4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rPr>
                    <w:t>地磅</w:t>
                  </w:r>
                </w:p>
              </w:tc>
              <w:tc>
                <w:tcPr>
                  <w:tcW w:w="5951" w:type="dxa"/>
                  <w:tcBorders>
                    <w:tl2br w:val="nil"/>
                    <w:tr2bl w:val="nil"/>
                  </w:tcBorders>
                  <w:shd w:val="clear" w:color="auto" w:fill="auto"/>
                  <w:vAlign w:val="center"/>
                </w:tcPr>
                <w:p w14:paraId="1602699A">
                  <w:pPr>
                    <w:pStyle w:val="4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color w:val="auto"/>
                      <w:spacing w:val="-11"/>
                      <w:sz w:val="21"/>
                      <w:highlight w:val="none"/>
                    </w:rPr>
                    <w:t>置电子汽车衡1台，</w:t>
                  </w:r>
                  <w:r>
                    <w:rPr>
                      <w:rFonts w:hint="eastAsia"/>
                      <w:color w:val="auto"/>
                      <w:spacing w:val="-11"/>
                      <w:sz w:val="21"/>
                      <w:highlight w:val="none"/>
                    </w:rPr>
                    <w:t>用于</w:t>
                  </w:r>
                  <w:r>
                    <w:rPr>
                      <w:color w:val="auto"/>
                      <w:spacing w:val="-11"/>
                      <w:sz w:val="21"/>
                      <w:highlight w:val="none"/>
                    </w:rPr>
                    <w:t>对进出混凝土罐车</w:t>
                  </w:r>
                  <w:r>
                    <w:rPr>
                      <w:rFonts w:hint="eastAsia"/>
                      <w:color w:val="auto"/>
                      <w:spacing w:val="-11"/>
                      <w:sz w:val="21"/>
                      <w:highlight w:val="none"/>
                    </w:rPr>
                    <w:t>、运输车辆</w:t>
                  </w:r>
                  <w:r>
                    <w:rPr>
                      <w:color w:val="auto"/>
                      <w:spacing w:val="-11"/>
                      <w:sz w:val="21"/>
                      <w:highlight w:val="none"/>
                    </w:rPr>
                    <w:t>进行计量称重</w:t>
                  </w:r>
                </w:p>
              </w:tc>
            </w:tr>
            <w:tr w14:paraId="1A3236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restart"/>
                  <w:tcBorders>
                    <w:tl2br w:val="nil"/>
                    <w:tr2bl w:val="nil"/>
                  </w:tcBorders>
                  <w:vAlign w:val="center"/>
                </w:tcPr>
                <w:p w14:paraId="6955046C">
                  <w:pPr>
                    <w:pStyle w:val="40"/>
                    <w:bidi w:val="0"/>
                    <w:jc w:val="center"/>
                    <w:rPr>
                      <w:rFonts w:hint="eastAsia" w:eastAsia="宋体"/>
                      <w:color w:val="auto"/>
                      <w:highlight w:val="none"/>
                      <w:lang w:val="en-US" w:eastAsia="zh-CN"/>
                    </w:rPr>
                  </w:pPr>
                  <w:r>
                    <w:rPr>
                      <w:rFonts w:hint="eastAsia"/>
                      <w:color w:val="auto"/>
                      <w:highlight w:val="none"/>
                      <w:lang w:val="en-US" w:eastAsia="zh-CN"/>
                    </w:rPr>
                    <w:t>公用工程</w:t>
                  </w:r>
                </w:p>
              </w:tc>
              <w:tc>
                <w:tcPr>
                  <w:tcW w:w="2043" w:type="dxa"/>
                  <w:gridSpan w:val="4"/>
                  <w:tcBorders>
                    <w:tl2br w:val="nil"/>
                    <w:tr2bl w:val="nil"/>
                  </w:tcBorders>
                  <w:shd w:val="clear" w:color="auto" w:fill="auto"/>
                  <w:vAlign w:val="center"/>
                </w:tcPr>
                <w:p w14:paraId="31E12E9C">
                  <w:pPr>
                    <w:pStyle w:val="4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rPr>
                    <w:t>供水</w:t>
                  </w:r>
                </w:p>
              </w:tc>
              <w:tc>
                <w:tcPr>
                  <w:tcW w:w="5951" w:type="dxa"/>
                  <w:tcBorders>
                    <w:tl2br w:val="nil"/>
                    <w:tr2bl w:val="nil"/>
                  </w:tcBorders>
                  <w:shd w:val="clear" w:color="auto" w:fill="auto"/>
                  <w:vAlign w:val="center"/>
                </w:tcPr>
                <w:p w14:paraId="2CBFC1BA">
                  <w:pPr>
                    <w:pStyle w:val="4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color w:val="auto"/>
                      <w:highlight w:val="none"/>
                    </w:rPr>
                    <w:t>本项目供水由清水川工业园区供水管网提供</w:t>
                  </w:r>
                </w:p>
              </w:tc>
            </w:tr>
            <w:tr w14:paraId="1D6F0E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6BE0CC01">
                  <w:pPr>
                    <w:pStyle w:val="40"/>
                    <w:bidi w:val="0"/>
                    <w:jc w:val="center"/>
                    <w:rPr>
                      <w:rFonts w:hint="default"/>
                      <w:color w:val="auto"/>
                      <w:highlight w:val="none"/>
                    </w:rPr>
                  </w:pPr>
                </w:p>
              </w:tc>
              <w:tc>
                <w:tcPr>
                  <w:tcW w:w="2043" w:type="dxa"/>
                  <w:gridSpan w:val="4"/>
                  <w:tcBorders>
                    <w:tl2br w:val="nil"/>
                    <w:tr2bl w:val="nil"/>
                  </w:tcBorders>
                  <w:shd w:val="clear" w:color="auto" w:fill="auto"/>
                  <w:vAlign w:val="center"/>
                </w:tcPr>
                <w:p w14:paraId="346EE5D2">
                  <w:pPr>
                    <w:pStyle w:val="4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rPr>
                    <w:t>供电</w:t>
                  </w:r>
                </w:p>
              </w:tc>
              <w:tc>
                <w:tcPr>
                  <w:tcW w:w="5951" w:type="dxa"/>
                  <w:tcBorders>
                    <w:tl2br w:val="nil"/>
                    <w:tr2bl w:val="nil"/>
                  </w:tcBorders>
                  <w:shd w:val="clear" w:color="auto" w:fill="auto"/>
                  <w:vAlign w:val="center"/>
                </w:tcPr>
                <w:p w14:paraId="7D9CED6F">
                  <w:pPr>
                    <w:pStyle w:val="4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color w:val="auto"/>
                      <w:highlight w:val="none"/>
                    </w:rPr>
                    <w:t>本项目供电电源由清水川工业园区110</w:t>
                  </w:r>
                  <w:r>
                    <w:rPr>
                      <w:rFonts w:hint="eastAsia"/>
                      <w:color w:val="auto"/>
                      <w:highlight w:val="none"/>
                    </w:rPr>
                    <w:t>kV</w:t>
                  </w:r>
                  <w:r>
                    <w:rPr>
                      <w:color w:val="auto"/>
                      <w:highlight w:val="none"/>
                    </w:rPr>
                    <w:t>变电站10</w:t>
                  </w:r>
                  <w:r>
                    <w:rPr>
                      <w:rFonts w:hint="eastAsia"/>
                      <w:color w:val="auto"/>
                      <w:highlight w:val="none"/>
                    </w:rPr>
                    <w:t>kV</w:t>
                  </w:r>
                  <w:r>
                    <w:rPr>
                      <w:color w:val="auto"/>
                      <w:highlight w:val="none"/>
                    </w:rPr>
                    <w:t xml:space="preserve"> Ⅰ、Ⅱ段供给。采用双回路供电，每路进线回路均满足生产线总负荷要求，敷设方式采用电缆沟方式敷设，本项目在厂区新建10</w:t>
                  </w:r>
                  <w:r>
                    <w:rPr>
                      <w:rFonts w:hint="eastAsia"/>
                      <w:color w:val="auto"/>
                      <w:highlight w:val="none"/>
                    </w:rPr>
                    <w:t>k</w:t>
                  </w:r>
                  <w:r>
                    <w:rPr>
                      <w:color w:val="auto"/>
                      <w:highlight w:val="none"/>
                    </w:rPr>
                    <w:t>V配电室和低压配电室</w:t>
                  </w:r>
                </w:p>
              </w:tc>
            </w:tr>
            <w:tr w14:paraId="6A9027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596E2C63">
                  <w:pPr>
                    <w:pStyle w:val="40"/>
                    <w:bidi w:val="0"/>
                    <w:jc w:val="center"/>
                    <w:rPr>
                      <w:rFonts w:hint="default"/>
                      <w:color w:val="auto"/>
                      <w:highlight w:val="none"/>
                    </w:rPr>
                  </w:pPr>
                </w:p>
              </w:tc>
              <w:tc>
                <w:tcPr>
                  <w:tcW w:w="2043" w:type="dxa"/>
                  <w:gridSpan w:val="4"/>
                  <w:tcBorders>
                    <w:tl2br w:val="nil"/>
                    <w:tr2bl w:val="nil"/>
                  </w:tcBorders>
                  <w:shd w:val="clear" w:color="auto" w:fill="auto"/>
                  <w:vAlign w:val="center"/>
                </w:tcPr>
                <w:p w14:paraId="0092683B">
                  <w:pPr>
                    <w:pStyle w:val="4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rPr>
                    <w:t>供热</w:t>
                  </w:r>
                </w:p>
              </w:tc>
              <w:tc>
                <w:tcPr>
                  <w:tcW w:w="5951" w:type="dxa"/>
                  <w:tcBorders>
                    <w:tl2br w:val="nil"/>
                    <w:tr2bl w:val="nil"/>
                  </w:tcBorders>
                  <w:shd w:val="clear" w:color="auto" w:fill="auto"/>
                  <w:vAlign w:val="center"/>
                </w:tcPr>
                <w:p w14:paraId="6626CE33">
                  <w:pPr>
                    <w:pStyle w:val="4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采暖热源采用本项目生物质蒸汽锅炉提供的蒸汽</w:t>
                  </w:r>
                </w:p>
              </w:tc>
            </w:tr>
            <w:tr w14:paraId="1A1155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restart"/>
                  <w:tcBorders>
                    <w:tl2br w:val="nil"/>
                    <w:tr2bl w:val="nil"/>
                  </w:tcBorders>
                  <w:vAlign w:val="center"/>
                </w:tcPr>
                <w:p w14:paraId="695F6DD7">
                  <w:pPr>
                    <w:pStyle w:val="40"/>
                    <w:bidi w:val="0"/>
                    <w:jc w:val="center"/>
                    <w:rPr>
                      <w:rFonts w:hint="eastAsia" w:eastAsia="宋体"/>
                      <w:color w:val="auto"/>
                      <w:highlight w:val="none"/>
                      <w:lang w:val="en-US" w:eastAsia="zh-CN"/>
                    </w:rPr>
                  </w:pPr>
                  <w:r>
                    <w:rPr>
                      <w:rFonts w:hint="eastAsia"/>
                      <w:color w:val="auto"/>
                      <w:highlight w:val="none"/>
                      <w:lang w:val="en-US" w:eastAsia="zh-CN"/>
                    </w:rPr>
                    <w:t>环保工程</w:t>
                  </w:r>
                </w:p>
              </w:tc>
              <w:tc>
                <w:tcPr>
                  <w:tcW w:w="398" w:type="dxa"/>
                  <w:vMerge w:val="restart"/>
                  <w:tcBorders>
                    <w:tl2br w:val="nil"/>
                    <w:tr2bl w:val="nil"/>
                  </w:tcBorders>
                  <w:vAlign w:val="center"/>
                </w:tcPr>
                <w:p w14:paraId="1B9DB825">
                  <w:pPr>
                    <w:pStyle w:val="40"/>
                    <w:bidi w:val="0"/>
                    <w:jc w:val="center"/>
                    <w:rPr>
                      <w:rFonts w:hint="eastAsia" w:eastAsia="宋体"/>
                      <w:color w:val="auto"/>
                      <w:highlight w:val="none"/>
                      <w:lang w:val="en-US" w:eastAsia="zh-CN"/>
                    </w:rPr>
                  </w:pPr>
                  <w:r>
                    <w:rPr>
                      <w:rFonts w:hint="eastAsia"/>
                      <w:color w:val="auto"/>
                      <w:highlight w:val="none"/>
                      <w:lang w:val="en-US" w:eastAsia="zh-CN"/>
                    </w:rPr>
                    <w:t>废气</w:t>
                  </w:r>
                </w:p>
              </w:tc>
              <w:tc>
                <w:tcPr>
                  <w:tcW w:w="399" w:type="dxa"/>
                  <w:vMerge w:val="restart"/>
                  <w:tcBorders>
                    <w:tl2br w:val="nil"/>
                    <w:tr2bl w:val="nil"/>
                  </w:tcBorders>
                  <w:vAlign w:val="center"/>
                </w:tcPr>
                <w:p w14:paraId="7E00AE20">
                  <w:pPr>
                    <w:pStyle w:val="40"/>
                    <w:bidi w:val="0"/>
                    <w:jc w:val="center"/>
                    <w:rPr>
                      <w:rFonts w:hint="default" w:eastAsia="宋体"/>
                      <w:color w:val="auto"/>
                      <w:highlight w:val="none"/>
                      <w:lang w:val="en-US" w:eastAsia="zh-CN"/>
                    </w:rPr>
                  </w:pPr>
                  <w:r>
                    <w:rPr>
                      <w:rFonts w:hint="eastAsia"/>
                      <w:color w:val="auto"/>
                      <w:highlight w:val="none"/>
                      <w:lang w:val="en-US" w:eastAsia="zh-CN"/>
                    </w:rPr>
                    <w:t>蒸压硅酸盐功能骨料生产车间</w:t>
                  </w:r>
                </w:p>
              </w:tc>
              <w:tc>
                <w:tcPr>
                  <w:tcW w:w="1246" w:type="dxa"/>
                  <w:gridSpan w:val="2"/>
                  <w:tcBorders>
                    <w:tl2br w:val="nil"/>
                    <w:tr2bl w:val="nil"/>
                  </w:tcBorders>
                  <w:shd w:val="clear" w:color="auto" w:fill="auto"/>
                  <w:vAlign w:val="center"/>
                </w:tcPr>
                <w:p w14:paraId="290B141E">
                  <w:pPr>
                    <w:pStyle w:val="40"/>
                    <w:bidi w:val="0"/>
                    <w:rPr>
                      <w:rFonts w:hint="default"/>
                      <w:color w:val="auto"/>
                      <w:spacing w:val="-6"/>
                      <w:sz w:val="21"/>
                      <w:highlight w:val="none"/>
                      <w:lang w:val="en-US" w:eastAsia="zh-CN"/>
                    </w:rPr>
                  </w:pPr>
                  <w:r>
                    <w:rPr>
                      <w:rFonts w:hint="eastAsia"/>
                      <w:color w:val="auto"/>
                      <w:spacing w:val="-6"/>
                      <w:sz w:val="21"/>
                      <w:highlight w:val="none"/>
                      <w:shd w:val="clear"/>
                      <w:lang w:val="en-US" w:eastAsia="zh-CN"/>
                    </w:rPr>
                    <w:t>G1骨料粉煤灰筒仓粉尘</w:t>
                  </w:r>
                </w:p>
              </w:tc>
              <w:tc>
                <w:tcPr>
                  <w:tcW w:w="5951" w:type="dxa"/>
                  <w:tcBorders>
                    <w:tl2br w:val="nil"/>
                    <w:tr2bl w:val="nil"/>
                  </w:tcBorders>
                  <w:shd w:val="clear" w:color="auto" w:fill="auto"/>
                  <w:vAlign w:val="center"/>
                </w:tcPr>
                <w:p w14:paraId="2F8CF1F0">
                  <w:pPr>
                    <w:pStyle w:val="40"/>
                    <w:bidi w:val="0"/>
                    <w:rPr>
                      <w:rFonts w:hint="eastAsia" w:eastAsia="宋体"/>
                      <w:color w:val="auto"/>
                      <w:highlight w:val="none"/>
                      <w:lang w:eastAsia="zh-CN"/>
                    </w:rPr>
                  </w:pPr>
                  <w:r>
                    <w:rPr>
                      <w:rFonts w:hint="default"/>
                      <w:color w:val="auto"/>
                      <w:highlight w:val="none"/>
                    </w:rPr>
                    <w:t>仓顶自带脉冲式布袋除尘器</w:t>
                  </w:r>
                  <w:r>
                    <w:rPr>
                      <w:color w:val="auto"/>
                      <w:highlight w:val="none"/>
                    </w:rPr>
                    <w:t>（</w:t>
                  </w:r>
                  <w:r>
                    <w:rPr>
                      <w:rFonts w:hint="eastAsia"/>
                      <w:color w:val="auto"/>
                      <w:highlight w:val="none"/>
                      <w:lang w:val="en-US" w:eastAsia="zh-CN"/>
                    </w:rPr>
                    <w:t>5</w:t>
                  </w:r>
                  <w:r>
                    <w:rPr>
                      <w:color w:val="auto"/>
                      <w:highlight w:val="none"/>
                    </w:rPr>
                    <w:t>套）</w:t>
                  </w:r>
                  <w:r>
                    <w:rPr>
                      <w:rFonts w:hint="default"/>
                      <w:color w:val="auto"/>
                      <w:highlight w:val="none"/>
                    </w:rPr>
                    <w:t>，除尘效率为99.7%</w:t>
                  </w:r>
                  <w:r>
                    <w:rPr>
                      <w:rFonts w:hint="eastAsia"/>
                      <w:color w:val="auto"/>
                      <w:highlight w:val="none"/>
                      <w:lang w:eastAsia="zh-CN"/>
                    </w:rPr>
                    <w:t>，</w:t>
                  </w:r>
                  <w:r>
                    <w:rPr>
                      <w:rFonts w:hint="eastAsia"/>
                      <w:color w:val="auto"/>
                      <w:highlight w:val="none"/>
                    </w:rPr>
                    <w:t>粉尘</w:t>
                  </w:r>
                  <w:r>
                    <w:rPr>
                      <w:color w:val="auto"/>
                      <w:highlight w:val="none"/>
                    </w:rPr>
                    <w:t>经</w:t>
                  </w:r>
                  <w:r>
                    <w:rPr>
                      <w:rFonts w:hint="eastAsia"/>
                      <w:color w:val="auto"/>
                      <w:highlight w:val="none"/>
                    </w:rPr>
                    <w:t>处理后</w:t>
                  </w:r>
                  <w:r>
                    <w:rPr>
                      <w:rFonts w:hint="eastAsia"/>
                      <w:color w:val="auto"/>
                      <w:highlight w:val="none"/>
                      <w:lang w:val="en-US" w:eastAsia="zh-CN"/>
                    </w:rPr>
                    <w:t>由</w:t>
                  </w:r>
                  <w:r>
                    <w:rPr>
                      <w:color w:val="auto"/>
                      <w:highlight w:val="none"/>
                    </w:rPr>
                    <w:t>各</w:t>
                  </w:r>
                  <w:r>
                    <w:rPr>
                      <w:rFonts w:hint="eastAsia"/>
                      <w:color w:val="auto"/>
                      <w:highlight w:val="none"/>
                    </w:rPr>
                    <w:t>除尘器出口</w:t>
                  </w:r>
                  <w:r>
                    <w:rPr>
                      <w:rFonts w:hint="eastAsia"/>
                      <w:color w:val="auto"/>
                      <w:highlight w:val="none"/>
                      <w:lang w:val="en-US" w:eastAsia="zh-CN"/>
                    </w:rPr>
                    <w:t>无组织</w:t>
                  </w:r>
                  <w:r>
                    <w:rPr>
                      <w:rFonts w:hint="eastAsia"/>
                      <w:color w:val="auto"/>
                      <w:highlight w:val="none"/>
                    </w:rPr>
                    <w:t>排放</w:t>
                  </w:r>
                </w:p>
              </w:tc>
            </w:tr>
            <w:tr w14:paraId="15A027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05E8640B">
                  <w:pPr>
                    <w:pStyle w:val="40"/>
                    <w:bidi w:val="0"/>
                    <w:jc w:val="center"/>
                    <w:rPr>
                      <w:rFonts w:hint="default"/>
                      <w:color w:val="auto"/>
                      <w:highlight w:val="none"/>
                    </w:rPr>
                  </w:pPr>
                </w:p>
              </w:tc>
              <w:tc>
                <w:tcPr>
                  <w:tcW w:w="398" w:type="dxa"/>
                  <w:vMerge w:val="continue"/>
                  <w:tcBorders>
                    <w:tl2br w:val="nil"/>
                    <w:tr2bl w:val="nil"/>
                  </w:tcBorders>
                  <w:vAlign w:val="center"/>
                </w:tcPr>
                <w:p w14:paraId="5B7123E3">
                  <w:pPr>
                    <w:pStyle w:val="40"/>
                    <w:bidi w:val="0"/>
                    <w:jc w:val="center"/>
                    <w:rPr>
                      <w:rFonts w:hint="default"/>
                      <w:color w:val="auto"/>
                      <w:highlight w:val="none"/>
                    </w:rPr>
                  </w:pPr>
                </w:p>
              </w:tc>
              <w:tc>
                <w:tcPr>
                  <w:tcW w:w="399" w:type="dxa"/>
                  <w:vMerge w:val="continue"/>
                  <w:tcBorders>
                    <w:tl2br w:val="nil"/>
                    <w:tr2bl w:val="nil"/>
                  </w:tcBorders>
                  <w:vAlign w:val="center"/>
                </w:tcPr>
                <w:p w14:paraId="5F945582">
                  <w:pPr>
                    <w:pStyle w:val="40"/>
                    <w:bidi w:val="0"/>
                    <w:jc w:val="center"/>
                    <w:rPr>
                      <w:rFonts w:hint="default"/>
                      <w:color w:val="auto"/>
                      <w:highlight w:val="none"/>
                    </w:rPr>
                  </w:pPr>
                </w:p>
              </w:tc>
              <w:tc>
                <w:tcPr>
                  <w:tcW w:w="1246" w:type="dxa"/>
                  <w:gridSpan w:val="2"/>
                  <w:tcBorders>
                    <w:tl2br w:val="nil"/>
                    <w:tr2bl w:val="nil"/>
                  </w:tcBorders>
                  <w:vAlign w:val="center"/>
                </w:tcPr>
                <w:p w14:paraId="35362130">
                  <w:pPr>
                    <w:pStyle w:val="40"/>
                    <w:bidi w:val="0"/>
                    <w:jc w:val="center"/>
                    <w:rPr>
                      <w:rFonts w:hint="default" w:eastAsia="宋体"/>
                      <w:color w:val="auto"/>
                      <w:spacing w:val="-6"/>
                      <w:sz w:val="21"/>
                      <w:highlight w:val="none"/>
                      <w:lang w:val="en-US" w:eastAsia="zh-CN"/>
                    </w:rPr>
                  </w:pPr>
                  <w:r>
                    <w:rPr>
                      <w:rFonts w:hint="eastAsia"/>
                      <w:color w:val="auto"/>
                      <w:spacing w:val="-6"/>
                      <w:sz w:val="21"/>
                      <w:highlight w:val="none"/>
                      <w:lang w:val="en-US" w:eastAsia="zh-CN"/>
                    </w:rPr>
                    <w:t>G2骨料原料区扬尘</w:t>
                  </w:r>
                </w:p>
              </w:tc>
              <w:tc>
                <w:tcPr>
                  <w:tcW w:w="5951" w:type="dxa"/>
                  <w:tcBorders>
                    <w:tl2br w:val="nil"/>
                    <w:tr2bl w:val="nil"/>
                  </w:tcBorders>
                  <w:vAlign w:val="center"/>
                </w:tcPr>
                <w:p w14:paraId="1DFE39F9">
                  <w:pPr>
                    <w:pStyle w:val="40"/>
                    <w:bidi w:val="0"/>
                    <w:jc w:val="center"/>
                    <w:rPr>
                      <w:rFonts w:hint="default" w:eastAsia="宋体"/>
                      <w:color w:val="auto"/>
                      <w:highlight w:val="none"/>
                      <w:lang w:val="en-US" w:eastAsia="zh-CN"/>
                    </w:rPr>
                  </w:pPr>
                  <w:r>
                    <w:rPr>
                      <w:rFonts w:hint="default" w:eastAsia="宋体"/>
                      <w:color w:val="auto"/>
                      <w:highlight w:val="none"/>
                      <w:lang w:val="en-US" w:eastAsia="zh-CN"/>
                    </w:rPr>
                    <w:t>喷雾降尘</w:t>
                  </w:r>
                  <w:r>
                    <w:rPr>
                      <w:rFonts w:hint="eastAsia"/>
                      <w:color w:val="auto"/>
                      <w:highlight w:val="none"/>
                      <w:lang w:val="en-US" w:eastAsia="zh-CN"/>
                    </w:rPr>
                    <w:t>设施</w:t>
                  </w:r>
                  <w:r>
                    <w:rPr>
                      <w:rFonts w:hint="default" w:eastAsia="宋体"/>
                      <w:color w:val="auto"/>
                      <w:highlight w:val="none"/>
                      <w:lang w:val="en-US" w:eastAsia="zh-CN"/>
                    </w:rPr>
                    <w:t>+封闭厂房，除尘效率90%</w:t>
                  </w:r>
                </w:p>
              </w:tc>
            </w:tr>
            <w:tr w14:paraId="4D2BAA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1A1C0A7F">
                  <w:pPr>
                    <w:pStyle w:val="40"/>
                    <w:bidi w:val="0"/>
                    <w:jc w:val="center"/>
                    <w:rPr>
                      <w:rFonts w:hint="default"/>
                      <w:color w:val="auto"/>
                      <w:highlight w:val="none"/>
                    </w:rPr>
                  </w:pPr>
                </w:p>
              </w:tc>
              <w:tc>
                <w:tcPr>
                  <w:tcW w:w="398" w:type="dxa"/>
                  <w:vMerge w:val="continue"/>
                  <w:tcBorders>
                    <w:tl2br w:val="nil"/>
                    <w:tr2bl w:val="nil"/>
                  </w:tcBorders>
                  <w:vAlign w:val="center"/>
                </w:tcPr>
                <w:p w14:paraId="68D50B71">
                  <w:pPr>
                    <w:pStyle w:val="40"/>
                    <w:bidi w:val="0"/>
                    <w:jc w:val="center"/>
                    <w:rPr>
                      <w:rFonts w:hint="default"/>
                      <w:color w:val="auto"/>
                      <w:highlight w:val="none"/>
                    </w:rPr>
                  </w:pPr>
                </w:p>
              </w:tc>
              <w:tc>
                <w:tcPr>
                  <w:tcW w:w="399" w:type="dxa"/>
                  <w:vMerge w:val="continue"/>
                  <w:tcBorders>
                    <w:tl2br w:val="nil"/>
                    <w:tr2bl w:val="nil"/>
                  </w:tcBorders>
                  <w:vAlign w:val="center"/>
                </w:tcPr>
                <w:p w14:paraId="120161CF">
                  <w:pPr>
                    <w:pStyle w:val="40"/>
                    <w:bidi w:val="0"/>
                    <w:jc w:val="center"/>
                    <w:rPr>
                      <w:rFonts w:hint="default"/>
                      <w:color w:val="auto"/>
                      <w:highlight w:val="none"/>
                    </w:rPr>
                  </w:pPr>
                </w:p>
              </w:tc>
              <w:tc>
                <w:tcPr>
                  <w:tcW w:w="1246" w:type="dxa"/>
                  <w:gridSpan w:val="2"/>
                  <w:tcBorders>
                    <w:tl2br w:val="nil"/>
                    <w:tr2bl w:val="nil"/>
                  </w:tcBorders>
                  <w:vAlign w:val="center"/>
                </w:tcPr>
                <w:p w14:paraId="7F5A5222">
                  <w:pPr>
                    <w:pStyle w:val="40"/>
                    <w:bidi w:val="0"/>
                    <w:jc w:val="center"/>
                    <w:rPr>
                      <w:rFonts w:hint="default" w:eastAsia="宋体"/>
                      <w:color w:val="auto"/>
                      <w:spacing w:val="-6"/>
                      <w:sz w:val="21"/>
                      <w:highlight w:val="none"/>
                      <w:lang w:val="en-US" w:eastAsia="zh-CN"/>
                    </w:rPr>
                  </w:pPr>
                  <w:r>
                    <w:rPr>
                      <w:rFonts w:hint="eastAsia"/>
                      <w:color w:val="auto"/>
                      <w:spacing w:val="-6"/>
                      <w:sz w:val="21"/>
                      <w:highlight w:val="none"/>
                      <w:lang w:val="en-US" w:eastAsia="zh-CN"/>
                    </w:rPr>
                    <w:t>G3活化剂筒仓粉尘</w:t>
                  </w:r>
                </w:p>
              </w:tc>
              <w:tc>
                <w:tcPr>
                  <w:tcW w:w="5951" w:type="dxa"/>
                  <w:tcBorders>
                    <w:tl2br w:val="nil"/>
                    <w:tr2bl w:val="nil"/>
                  </w:tcBorders>
                  <w:vAlign w:val="center"/>
                </w:tcPr>
                <w:p w14:paraId="3B8BF2F6">
                  <w:pPr>
                    <w:pStyle w:val="40"/>
                    <w:bidi w:val="0"/>
                    <w:jc w:val="center"/>
                    <w:rPr>
                      <w:rFonts w:hint="default"/>
                      <w:color w:val="auto"/>
                      <w:highlight w:val="none"/>
                    </w:rPr>
                  </w:pPr>
                  <w:r>
                    <w:rPr>
                      <w:rFonts w:hint="default"/>
                      <w:color w:val="auto"/>
                      <w:highlight w:val="none"/>
                    </w:rPr>
                    <w:t>仓顶自带脉冲式布袋除尘器</w:t>
                  </w:r>
                  <w:r>
                    <w:rPr>
                      <w:color w:val="auto"/>
                      <w:highlight w:val="none"/>
                    </w:rPr>
                    <w:t>（</w:t>
                  </w:r>
                  <w:r>
                    <w:rPr>
                      <w:rFonts w:hint="eastAsia"/>
                      <w:color w:val="auto"/>
                      <w:highlight w:val="none"/>
                      <w:lang w:val="en-US" w:eastAsia="zh-CN"/>
                    </w:rPr>
                    <w:t>2</w:t>
                  </w:r>
                  <w:r>
                    <w:rPr>
                      <w:color w:val="auto"/>
                      <w:highlight w:val="none"/>
                    </w:rPr>
                    <w:t>套）</w:t>
                  </w:r>
                  <w:r>
                    <w:rPr>
                      <w:rFonts w:hint="default"/>
                      <w:color w:val="auto"/>
                      <w:highlight w:val="none"/>
                    </w:rPr>
                    <w:t>，除尘效率为99.7%</w:t>
                  </w:r>
                  <w:r>
                    <w:rPr>
                      <w:rFonts w:hint="eastAsia"/>
                      <w:color w:val="auto"/>
                      <w:highlight w:val="none"/>
                      <w:lang w:eastAsia="zh-CN"/>
                    </w:rPr>
                    <w:t>，</w:t>
                  </w:r>
                  <w:r>
                    <w:rPr>
                      <w:rFonts w:hint="eastAsia"/>
                      <w:color w:val="auto"/>
                      <w:highlight w:val="none"/>
                    </w:rPr>
                    <w:t>粉尘</w:t>
                  </w:r>
                  <w:r>
                    <w:rPr>
                      <w:color w:val="auto"/>
                      <w:highlight w:val="none"/>
                    </w:rPr>
                    <w:t>经</w:t>
                  </w:r>
                  <w:r>
                    <w:rPr>
                      <w:rFonts w:hint="eastAsia"/>
                      <w:color w:val="auto"/>
                      <w:highlight w:val="none"/>
                    </w:rPr>
                    <w:t>处理后</w:t>
                  </w:r>
                  <w:r>
                    <w:rPr>
                      <w:rFonts w:hint="eastAsia"/>
                      <w:color w:val="auto"/>
                      <w:highlight w:val="none"/>
                      <w:lang w:val="en-US" w:eastAsia="zh-CN"/>
                    </w:rPr>
                    <w:t>由</w:t>
                  </w:r>
                  <w:r>
                    <w:rPr>
                      <w:color w:val="auto"/>
                      <w:highlight w:val="none"/>
                    </w:rPr>
                    <w:t>各</w:t>
                  </w:r>
                  <w:r>
                    <w:rPr>
                      <w:rFonts w:hint="eastAsia"/>
                      <w:color w:val="auto"/>
                      <w:highlight w:val="none"/>
                    </w:rPr>
                    <w:t>除尘器出口</w:t>
                  </w:r>
                  <w:r>
                    <w:rPr>
                      <w:rFonts w:hint="eastAsia"/>
                      <w:color w:val="auto"/>
                      <w:highlight w:val="none"/>
                      <w:lang w:val="en-US" w:eastAsia="zh-CN"/>
                    </w:rPr>
                    <w:t>无组织</w:t>
                  </w:r>
                  <w:r>
                    <w:rPr>
                      <w:rFonts w:hint="eastAsia"/>
                      <w:color w:val="auto"/>
                      <w:highlight w:val="none"/>
                    </w:rPr>
                    <w:t>排放</w:t>
                  </w:r>
                </w:p>
              </w:tc>
            </w:tr>
            <w:tr w14:paraId="6C2EF8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40089F3B">
                  <w:pPr>
                    <w:pStyle w:val="40"/>
                    <w:bidi w:val="0"/>
                    <w:jc w:val="center"/>
                    <w:rPr>
                      <w:rFonts w:hint="default"/>
                      <w:color w:val="auto"/>
                      <w:highlight w:val="none"/>
                    </w:rPr>
                  </w:pPr>
                </w:p>
              </w:tc>
              <w:tc>
                <w:tcPr>
                  <w:tcW w:w="398" w:type="dxa"/>
                  <w:vMerge w:val="continue"/>
                  <w:tcBorders>
                    <w:tl2br w:val="nil"/>
                    <w:tr2bl w:val="nil"/>
                  </w:tcBorders>
                  <w:vAlign w:val="center"/>
                </w:tcPr>
                <w:p w14:paraId="4B72F605">
                  <w:pPr>
                    <w:pStyle w:val="40"/>
                    <w:bidi w:val="0"/>
                    <w:jc w:val="center"/>
                    <w:rPr>
                      <w:rFonts w:hint="default"/>
                      <w:color w:val="auto"/>
                      <w:highlight w:val="none"/>
                    </w:rPr>
                  </w:pPr>
                </w:p>
              </w:tc>
              <w:tc>
                <w:tcPr>
                  <w:tcW w:w="399" w:type="dxa"/>
                  <w:vMerge w:val="continue"/>
                  <w:tcBorders>
                    <w:tl2br w:val="nil"/>
                    <w:tr2bl w:val="nil"/>
                  </w:tcBorders>
                  <w:vAlign w:val="center"/>
                </w:tcPr>
                <w:p w14:paraId="0293435E">
                  <w:pPr>
                    <w:pStyle w:val="40"/>
                    <w:bidi w:val="0"/>
                    <w:jc w:val="center"/>
                    <w:rPr>
                      <w:rFonts w:hint="default"/>
                      <w:color w:val="auto"/>
                      <w:highlight w:val="none"/>
                    </w:rPr>
                  </w:pPr>
                </w:p>
              </w:tc>
              <w:tc>
                <w:tcPr>
                  <w:tcW w:w="1246" w:type="dxa"/>
                  <w:gridSpan w:val="2"/>
                  <w:tcBorders>
                    <w:tl2br w:val="nil"/>
                    <w:tr2bl w:val="nil"/>
                  </w:tcBorders>
                  <w:vAlign w:val="center"/>
                </w:tcPr>
                <w:p w14:paraId="40F4BBCE">
                  <w:pPr>
                    <w:pStyle w:val="40"/>
                    <w:bidi w:val="0"/>
                    <w:jc w:val="center"/>
                    <w:rPr>
                      <w:rFonts w:hint="default" w:eastAsia="宋体"/>
                      <w:color w:val="auto"/>
                      <w:spacing w:val="-6"/>
                      <w:sz w:val="21"/>
                      <w:highlight w:val="none"/>
                      <w:lang w:val="en-US" w:eastAsia="zh-CN"/>
                    </w:rPr>
                  </w:pPr>
                  <w:r>
                    <w:rPr>
                      <w:rFonts w:hint="eastAsia"/>
                      <w:color w:val="auto"/>
                      <w:spacing w:val="-6"/>
                      <w:sz w:val="21"/>
                      <w:highlight w:val="none"/>
                      <w:lang w:val="en-US" w:eastAsia="zh-CN"/>
                    </w:rPr>
                    <w:t>G4炉渣粗磨粉尘</w:t>
                  </w:r>
                </w:p>
              </w:tc>
              <w:tc>
                <w:tcPr>
                  <w:tcW w:w="5951" w:type="dxa"/>
                  <w:tcBorders>
                    <w:tl2br w:val="nil"/>
                    <w:tr2bl w:val="nil"/>
                  </w:tcBorders>
                  <w:vAlign w:val="center"/>
                </w:tcPr>
                <w:p w14:paraId="23D34CAA">
                  <w:pPr>
                    <w:pStyle w:val="40"/>
                    <w:bidi w:val="0"/>
                    <w:jc w:val="center"/>
                    <w:rPr>
                      <w:rFonts w:hint="default" w:eastAsia="宋体"/>
                      <w:color w:val="auto"/>
                      <w:highlight w:val="none"/>
                      <w:lang w:val="en-US" w:eastAsia="zh-CN"/>
                    </w:rPr>
                  </w:pPr>
                  <w:r>
                    <w:rPr>
                      <w:rFonts w:hint="default"/>
                      <w:color w:val="auto"/>
                      <w:spacing w:val="-6"/>
                      <w:sz w:val="21"/>
                      <w:highlight w:val="none"/>
                    </w:rPr>
                    <w:t>球磨机有固定排放口直接与风管连接，</w:t>
                  </w:r>
                  <w:r>
                    <w:rPr>
                      <w:rFonts w:hint="eastAsia"/>
                      <w:color w:val="auto"/>
                      <w:spacing w:val="-6"/>
                      <w:sz w:val="21"/>
                      <w:highlight w:val="none"/>
                      <w:lang w:val="en-US" w:eastAsia="zh-CN"/>
                    </w:rPr>
                    <w:t>封闭负压，</w:t>
                  </w:r>
                  <w:r>
                    <w:rPr>
                      <w:rFonts w:hint="eastAsia"/>
                      <w:color w:val="auto"/>
                      <w:spacing w:val="-6"/>
                      <w:sz w:val="21"/>
                      <w:highlight w:val="none"/>
                      <w:lang w:eastAsia="zh-CN"/>
                    </w:rPr>
                    <w:t>有组织收集效率为99.5%，</w:t>
                  </w:r>
                  <w:r>
                    <w:rPr>
                      <w:rFonts w:hint="default"/>
                      <w:color w:val="auto"/>
                      <w:spacing w:val="-6"/>
                      <w:sz w:val="21"/>
                      <w:highlight w:val="none"/>
                    </w:rPr>
                    <w:t>末端设置脉冲式布袋除尘器，除尘效率为99.7%，处理达标后经</w:t>
                  </w:r>
                  <w:r>
                    <w:rPr>
                      <w:rFonts w:hint="eastAsia"/>
                      <w:color w:val="auto"/>
                      <w:spacing w:val="-6"/>
                      <w:sz w:val="21"/>
                      <w:highlight w:val="none"/>
                      <w:lang w:val="en-US" w:eastAsia="zh-CN"/>
                    </w:rPr>
                    <w:t>1根</w:t>
                  </w:r>
                  <w:r>
                    <w:rPr>
                      <w:rFonts w:hint="default"/>
                      <w:color w:val="auto"/>
                      <w:spacing w:val="-6"/>
                      <w:sz w:val="21"/>
                      <w:highlight w:val="none"/>
                    </w:rPr>
                    <w:t>15m高排气筒</w:t>
                  </w:r>
                  <w:r>
                    <w:rPr>
                      <w:rFonts w:hint="eastAsia"/>
                      <w:color w:val="auto"/>
                      <w:spacing w:val="-6"/>
                      <w:sz w:val="21"/>
                      <w:highlight w:val="none"/>
                      <w:lang w:val="en-US" w:eastAsia="zh-CN"/>
                    </w:rPr>
                    <w:t>有组织</w:t>
                  </w:r>
                  <w:r>
                    <w:rPr>
                      <w:rFonts w:hint="default"/>
                      <w:color w:val="auto"/>
                      <w:spacing w:val="-6"/>
                      <w:sz w:val="21"/>
                      <w:highlight w:val="none"/>
                    </w:rPr>
                    <w:t>排放</w:t>
                  </w:r>
                  <w:r>
                    <w:rPr>
                      <w:rFonts w:hint="eastAsia"/>
                      <w:color w:val="auto"/>
                      <w:spacing w:val="-6"/>
                      <w:sz w:val="21"/>
                      <w:highlight w:val="none"/>
                      <w:lang w:eastAsia="zh-CN"/>
                    </w:rPr>
                    <w:t>（</w:t>
                  </w:r>
                  <w:r>
                    <w:rPr>
                      <w:rFonts w:hint="default"/>
                      <w:color w:val="auto"/>
                      <w:spacing w:val="-6"/>
                      <w:sz w:val="21"/>
                      <w:highlight w:val="none"/>
                    </w:rPr>
                    <w:t>DA001</w:t>
                  </w:r>
                  <w:r>
                    <w:rPr>
                      <w:rFonts w:hint="eastAsia"/>
                      <w:color w:val="auto"/>
                      <w:spacing w:val="-6"/>
                      <w:sz w:val="21"/>
                      <w:highlight w:val="none"/>
                      <w:lang w:eastAsia="zh-CN"/>
                    </w:rPr>
                    <w:t>）；</w:t>
                  </w:r>
                  <w:r>
                    <w:rPr>
                      <w:rFonts w:hint="eastAsia"/>
                      <w:color w:val="auto"/>
                      <w:spacing w:val="-6"/>
                      <w:sz w:val="21"/>
                      <w:highlight w:val="none"/>
                      <w:lang w:val="en-US" w:eastAsia="zh-CN"/>
                    </w:rPr>
                    <w:t>其余未收集粉尘通过</w:t>
                  </w:r>
                  <w:r>
                    <w:rPr>
                      <w:rFonts w:hint="default" w:eastAsia="宋体"/>
                      <w:color w:val="auto"/>
                      <w:spacing w:val="-6"/>
                      <w:sz w:val="21"/>
                      <w:highlight w:val="none"/>
                      <w:lang w:val="en-US" w:eastAsia="zh-CN"/>
                    </w:rPr>
                    <w:t>喷雾降尘</w:t>
                  </w:r>
                  <w:r>
                    <w:rPr>
                      <w:rFonts w:hint="eastAsia"/>
                      <w:color w:val="auto"/>
                      <w:spacing w:val="-6"/>
                      <w:sz w:val="21"/>
                      <w:highlight w:val="none"/>
                      <w:lang w:val="en-US" w:eastAsia="zh-CN"/>
                    </w:rPr>
                    <w:t>设施</w:t>
                  </w:r>
                  <w:r>
                    <w:rPr>
                      <w:rFonts w:hint="default" w:eastAsia="宋体"/>
                      <w:color w:val="auto"/>
                      <w:spacing w:val="-6"/>
                      <w:sz w:val="21"/>
                      <w:highlight w:val="none"/>
                      <w:lang w:val="en-US" w:eastAsia="zh-CN"/>
                    </w:rPr>
                    <w:t>+封闭厂房</w:t>
                  </w:r>
                  <w:r>
                    <w:rPr>
                      <w:rFonts w:hint="eastAsia"/>
                      <w:color w:val="auto"/>
                      <w:spacing w:val="-6"/>
                      <w:sz w:val="21"/>
                      <w:highlight w:val="none"/>
                      <w:lang w:val="en-US" w:eastAsia="zh-CN"/>
                    </w:rPr>
                    <w:t>处理后无组织排放</w:t>
                  </w:r>
                  <w:r>
                    <w:rPr>
                      <w:rFonts w:hint="default" w:eastAsia="宋体"/>
                      <w:color w:val="auto"/>
                      <w:spacing w:val="-6"/>
                      <w:sz w:val="21"/>
                      <w:highlight w:val="none"/>
                      <w:lang w:val="en-US" w:eastAsia="zh-CN"/>
                    </w:rPr>
                    <w:t>，除尘效率90%</w:t>
                  </w:r>
                </w:p>
              </w:tc>
            </w:tr>
            <w:tr w14:paraId="7084C5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6B7DBA16">
                  <w:pPr>
                    <w:pStyle w:val="40"/>
                    <w:bidi w:val="0"/>
                    <w:jc w:val="center"/>
                    <w:rPr>
                      <w:rFonts w:hint="default"/>
                      <w:color w:val="auto"/>
                      <w:highlight w:val="none"/>
                    </w:rPr>
                  </w:pPr>
                </w:p>
              </w:tc>
              <w:tc>
                <w:tcPr>
                  <w:tcW w:w="398" w:type="dxa"/>
                  <w:vMerge w:val="continue"/>
                  <w:tcBorders>
                    <w:tl2br w:val="nil"/>
                    <w:tr2bl w:val="nil"/>
                  </w:tcBorders>
                  <w:vAlign w:val="center"/>
                </w:tcPr>
                <w:p w14:paraId="4854E094">
                  <w:pPr>
                    <w:pStyle w:val="40"/>
                    <w:bidi w:val="0"/>
                    <w:jc w:val="center"/>
                    <w:rPr>
                      <w:rFonts w:hint="default"/>
                      <w:color w:val="auto"/>
                      <w:highlight w:val="none"/>
                    </w:rPr>
                  </w:pPr>
                </w:p>
              </w:tc>
              <w:tc>
                <w:tcPr>
                  <w:tcW w:w="399" w:type="dxa"/>
                  <w:vMerge w:val="continue"/>
                  <w:tcBorders>
                    <w:tl2br w:val="nil"/>
                    <w:tr2bl w:val="nil"/>
                  </w:tcBorders>
                  <w:vAlign w:val="center"/>
                </w:tcPr>
                <w:p w14:paraId="4C1E36CD">
                  <w:pPr>
                    <w:pStyle w:val="40"/>
                    <w:bidi w:val="0"/>
                    <w:jc w:val="center"/>
                    <w:rPr>
                      <w:rFonts w:hint="default"/>
                      <w:color w:val="auto"/>
                      <w:highlight w:val="none"/>
                    </w:rPr>
                  </w:pPr>
                </w:p>
              </w:tc>
              <w:tc>
                <w:tcPr>
                  <w:tcW w:w="1246" w:type="dxa"/>
                  <w:gridSpan w:val="2"/>
                  <w:tcBorders>
                    <w:tl2br w:val="nil"/>
                    <w:tr2bl w:val="nil"/>
                  </w:tcBorders>
                  <w:vAlign w:val="center"/>
                </w:tcPr>
                <w:p w14:paraId="5D86405B">
                  <w:pPr>
                    <w:pStyle w:val="40"/>
                    <w:bidi w:val="0"/>
                    <w:jc w:val="center"/>
                    <w:rPr>
                      <w:rFonts w:hint="default" w:eastAsia="宋体"/>
                      <w:color w:val="auto"/>
                      <w:spacing w:val="-6"/>
                      <w:sz w:val="21"/>
                      <w:highlight w:val="none"/>
                      <w:lang w:val="en-US" w:eastAsia="zh-CN"/>
                    </w:rPr>
                  </w:pPr>
                  <w:r>
                    <w:rPr>
                      <w:rFonts w:hint="eastAsia"/>
                      <w:color w:val="auto"/>
                      <w:spacing w:val="-6"/>
                      <w:sz w:val="21"/>
                      <w:highlight w:val="none"/>
                      <w:lang w:val="en-US" w:eastAsia="zh-CN"/>
                    </w:rPr>
                    <w:t>G5炉渣中间仓粉尘</w:t>
                  </w:r>
                </w:p>
              </w:tc>
              <w:tc>
                <w:tcPr>
                  <w:tcW w:w="5951" w:type="dxa"/>
                  <w:tcBorders>
                    <w:tl2br w:val="nil"/>
                    <w:tr2bl w:val="nil"/>
                  </w:tcBorders>
                  <w:vAlign w:val="center"/>
                </w:tcPr>
                <w:p w14:paraId="5B83E236">
                  <w:pPr>
                    <w:pStyle w:val="40"/>
                    <w:bidi w:val="0"/>
                    <w:jc w:val="center"/>
                    <w:rPr>
                      <w:rFonts w:hint="default" w:eastAsia="宋体"/>
                      <w:color w:val="auto"/>
                      <w:highlight w:val="none"/>
                      <w:lang w:val="en-US" w:eastAsia="zh-CN"/>
                    </w:rPr>
                  </w:pPr>
                  <w:r>
                    <w:rPr>
                      <w:rFonts w:hint="eastAsia"/>
                      <w:color w:val="auto"/>
                      <w:highlight w:val="none"/>
                      <w:lang w:val="en-US" w:eastAsia="zh-CN"/>
                    </w:rPr>
                    <w:t>同G1</w:t>
                  </w:r>
                </w:p>
              </w:tc>
            </w:tr>
            <w:tr w14:paraId="0BF44E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98" w:type="dxa"/>
                  <w:vMerge w:val="continue"/>
                  <w:tcBorders>
                    <w:tl2br w:val="nil"/>
                    <w:tr2bl w:val="nil"/>
                  </w:tcBorders>
                  <w:vAlign w:val="center"/>
                </w:tcPr>
                <w:p w14:paraId="342698F3">
                  <w:pPr>
                    <w:pStyle w:val="40"/>
                    <w:bidi w:val="0"/>
                    <w:jc w:val="center"/>
                    <w:rPr>
                      <w:rFonts w:hint="default"/>
                      <w:color w:val="auto"/>
                      <w:highlight w:val="none"/>
                    </w:rPr>
                  </w:pPr>
                </w:p>
              </w:tc>
              <w:tc>
                <w:tcPr>
                  <w:tcW w:w="398" w:type="dxa"/>
                  <w:vMerge w:val="continue"/>
                  <w:tcBorders>
                    <w:tl2br w:val="nil"/>
                    <w:tr2bl w:val="nil"/>
                  </w:tcBorders>
                  <w:vAlign w:val="center"/>
                </w:tcPr>
                <w:p w14:paraId="241ACF97">
                  <w:pPr>
                    <w:pStyle w:val="40"/>
                    <w:bidi w:val="0"/>
                    <w:jc w:val="center"/>
                    <w:rPr>
                      <w:rFonts w:hint="default"/>
                      <w:color w:val="auto"/>
                      <w:highlight w:val="none"/>
                    </w:rPr>
                  </w:pPr>
                </w:p>
              </w:tc>
              <w:tc>
                <w:tcPr>
                  <w:tcW w:w="399" w:type="dxa"/>
                  <w:vMerge w:val="continue"/>
                  <w:tcBorders>
                    <w:tl2br w:val="nil"/>
                    <w:tr2bl w:val="nil"/>
                  </w:tcBorders>
                  <w:vAlign w:val="center"/>
                </w:tcPr>
                <w:p w14:paraId="4576A708">
                  <w:pPr>
                    <w:pStyle w:val="40"/>
                    <w:bidi w:val="0"/>
                    <w:jc w:val="center"/>
                    <w:rPr>
                      <w:rFonts w:hint="default"/>
                      <w:color w:val="auto"/>
                      <w:highlight w:val="none"/>
                    </w:rPr>
                  </w:pPr>
                </w:p>
              </w:tc>
              <w:tc>
                <w:tcPr>
                  <w:tcW w:w="1246" w:type="dxa"/>
                  <w:gridSpan w:val="2"/>
                  <w:tcBorders>
                    <w:tl2br w:val="nil"/>
                    <w:tr2bl w:val="nil"/>
                  </w:tcBorders>
                  <w:vAlign w:val="center"/>
                </w:tcPr>
                <w:p w14:paraId="0242ACD8">
                  <w:pPr>
                    <w:pStyle w:val="40"/>
                    <w:bidi w:val="0"/>
                    <w:jc w:val="center"/>
                    <w:rPr>
                      <w:rFonts w:hint="default"/>
                      <w:color w:val="auto"/>
                      <w:spacing w:val="-6"/>
                      <w:sz w:val="21"/>
                      <w:highlight w:val="none"/>
                      <w:lang w:val="en-US" w:eastAsia="zh-CN"/>
                    </w:rPr>
                  </w:pPr>
                  <w:r>
                    <w:rPr>
                      <w:rFonts w:hint="eastAsia"/>
                      <w:color w:val="auto"/>
                      <w:spacing w:val="-6"/>
                      <w:sz w:val="21"/>
                      <w:highlight w:val="none"/>
                      <w:lang w:val="en-US" w:eastAsia="zh-CN"/>
                    </w:rPr>
                    <w:t>G6镁渣中间仓粉尘</w:t>
                  </w:r>
                </w:p>
              </w:tc>
              <w:tc>
                <w:tcPr>
                  <w:tcW w:w="5951" w:type="dxa"/>
                  <w:tcBorders>
                    <w:tl2br w:val="nil"/>
                    <w:tr2bl w:val="nil"/>
                  </w:tcBorders>
                  <w:shd w:val="clear" w:color="auto" w:fill="auto"/>
                  <w:vAlign w:val="center"/>
                </w:tcPr>
                <w:p w14:paraId="5F9E191F">
                  <w:pPr>
                    <w:pStyle w:val="40"/>
                    <w:bidi w:val="0"/>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同G1</w:t>
                  </w:r>
                </w:p>
              </w:tc>
            </w:tr>
            <w:tr w14:paraId="3EE116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52158BAD">
                  <w:pPr>
                    <w:pStyle w:val="40"/>
                    <w:bidi w:val="0"/>
                    <w:jc w:val="center"/>
                    <w:rPr>
                      <w:rFonts w:hint="default"/>
                      <w:color w:val="auto"/>
                      <w:highlight w:val="none"/>
                    </w:rPr>
                  </w:pPr>
                </w:p>
              </w:tc>
              <w:tc>
                <w:tcPr>
                  <w:tcW w:w="398" w:type="dxa"/>
                  <w:vMerge w:val="continue"/>
                  <w:tcBorders>
                    <w:tl2br w:val="nil"/>
                    <w:tr2bl w:val="nil"/>
                  </w:tcBorders>
                  <w:vAlign w:val="center"/>
                </w:tcPr>
                <w:p w14:paraId="32F58461">
                  <w:pPr>
                    <w:pStyle w:val="40"/>
                    <w:bidi w:val="0"/>
                    <w:jc w:val="center"/>
                    <w:rPr>
                      <w:rFonts w:hint="default"/>
                      <w:color w:val="auto"/>
                      <w:highlight w:val="none"/>
                    </w:rPr>
                  </w:pPr>
                </w:p>
              </w:tc>
              <w:tc>
                <w:tcPr>
                  <w:tcW w:w="399" w:type="dxa"/>
                  <w:vMerge w:val="continue"/>
                  <w:tcBorders>
                    <w:tl2br w:val="nil"/>
                    <w:tr2bl w:val="nil"/>
                  </w:tcBorders>
                  <w:vAlign w:val="center"/>
                </w:tcPr>
                <w:p w14:paraId="4C9219F0">
                  <w:pPr>
                    <w:pStyle w:val="40"/>
                    <w:bidi w:val="0"/>
                    <w:jc w:val="center"/>
                    <w:rPr>
                      <w:rFonts w:hint="default"/>
                      <w:color w:val="auto"/>
                      <w:highlight w:val="none"/>
                    </w:rPr>
                  </w:pPr>
                </w:p>
              </w:tc>
              <w:tc>
                <w:tcPr>
                  <w:tcW w:w="1246" w:type="dxa"/>
                  <w:gridSpan w:val="2"/>
                  <w:tcBorders>
                    <w:tl2br w:val="nil"/>
                    <w:tr2bl w:val="nil"/>
                  </w:tcBorders>
                  <w:vAlign w:val="center"/>
                </w:tcPr>
                <w:p w14:paraId="509D3D1D">
                  <w:pPr>
                    <w:pStyle w:val="40"/>
                    <w:bidi w:val="0"/>
                    <w:jc w:val="center"/>
                    <w:rPr>
                      <w:rFonts w:hint="default" w:eastAsia="宋体"/>
                      <w:color w:val="auto"/>
                      <w:spacing w:val="-6"/>
                      <w:sz w:val="21"/>
                      <w:highlight w:val="none"/>
                      <w:lang w:val="en-US" w:eastAsia="zh-CN"/>
                    </w:rPr>
                  </w:pPr>
                  <w:r>
                    <w:rPr>
                      <w:rFonts w:hint="eastAsia"/>
                      <w:color w:val="auto"/>
                      <w:spacing w:val="-6"/>
                      <w:sz w:val="21"/>
                      <w:highlight w:val="none"/>
                      <w:lang w:val="en-US" w:eastAsia="zh-CN"/>
                    </w:rPr>
                    <w:t>G7球磨粉尘</w:t>
                  </w:r>
                </w:p>
              </w:tc>
              <w:tc>
                <w:tcPr>
                  <w:tcW w:w="5951" w:type="dxa"/>
                  <w:tcBorders>
                    <w:tl2br w:val="nil"/>
                    <w:tr2bl w:val="nil"/>
                  </w:tcBorders>
                  <w:shd w:val="clear" w:color="auto" w:fill="auto"/>
                  <w:vAlign w:val="center"/>
                </w:tcPr>
                <w:p w14:paraId="113C6FAD">
                  <w:pPr>
                    <w:pStyle w:val="40"/>
                    <w:bidi w:val="0"/>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同G4</w:t>
                  </w:r>
                </w:p>
              </w:tc>
            </w:tr>
            <w:tr w14:paraId="2EF000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3EE1A041">
                  <w:pPr>
                    <w:pStyle w:val="40"/>
                    <w:bidi w:val="0"/>
                    <w:jc w:val="center"/>
                    <w:rPr>
                      <w:rFonts w:hint="default"/>
                      <w:color w:val="auto"/>
                      <w:highlight w:val="none"/>
                    </w:rPr>
                  </w:pPr>
                </w:p>
              </w:tc>
              <w:tc>
                <w:tcPr>
                  <w:tcW w:w="398" w:type="dxa"/>
                  <w:vMerge w:val="continue"/>
                  <w:tcBorders>
                    <w:tl2br w:val="nil"/>
                    <w:tr2bl w:val="nil"/>
                  </w:tcBorders>
                  <w:vAlign w:val="center"/>
                </w:tcPr>
                <w:p w14:paraId="7056B6D4">
                  <w:pPr>
                    <w:pStyle w:val="40"/>
                    <w:bidi w:val="0"/>
                    <w:jc w:val="center"/>
                    <w:rPr>
                      <w:rFonts w:hint="default"/>
                      <w:color w:val="auto"/>
                      <w:highlight w:val="none"/>
                    </w:rPr>
                  </w:pPr>
                </w:p>
              </w:tc>
              <w:tc>
                <w:tcPr>
                  <w:tcW w:w="399" w:type="dxa"/>
                  <w:vMerge w:val="continue"/>
                  <w:tcBorders>
                    <w:tl2br w:val="nil"/>
                    <w:tr2bl w:val="nil"/>
                  </w:tcBorders>
                  <w:vAlign w:val="center"/>
                </w:tcPr>
                <w:p w14:paraId="59A82E4D">
                  <w:pPr>
                    <w:pStyle w:val="40"/>
                    <w:bidi w:val="0"/>
                    <w:jc w:val="center"/>
                    <w:rPr>
                      <w:rFonts w:hint="default"/>
                      <w:color w:val="auto"/>
                      <w:highlight w:val="none"/>
                    </w:rPr>
                  </w:pPr>
                </w:p>
              </w:tc>
              <w:tc>
                <w:tcPr>
                  <w:tcW w:w="1246" w:type="dxa"/>
                  <w:gridSpan w:val="2"/>
                  <w:tcBorders>
                    <w:tl2br w:val="nil"/>
                    <w:tr2bl w:val="nil"/>
                  </w:tcBorders>
                  <w:vAlign w:val="center"/>
                </w:tcPr>
                <w:p w14:paraId="404CFE88">
                  <w:pPr>
                    <w:pStyle w:val="40"/>
                    <w:bidi w:val="0"/>
                    <w:jc w:val="center"/>
                    <w:rPr>
                      <w:rFonts w:hint="default" w:eastAsia="宋体"/>
                      <w:color w:val="auto"/>
                      <w:spacing w:val="-6"/>
                      <w:sz w:val="21"/>
                      <w:highlight w:val="none"/>
                      <w:lang w:val="en-US" w:eastAsia="zh-CN"/>
                    </w:rPr>
                  </w:pPr>
                  <w:r>
                    <w:rPr>
                      <w:rFonts w:hint="eastAsia"/>
                      <w:color w:val="auto"/>
                      <w:spacing w:val="-6"/>
                      <w:sz w:val="21"/>
                      <w:highlight w:val="none"/>
                      <w:lang w:val="en-US" w:eastAsia="zh-CN"/>
                    </w:rPr>
                    <w:t>G8预处理灰仓粉尘</w:t>
                  </w:r>
                </w:p>
              </w:tc>
              <w:tc>
                <w:tcPr>
                  <w:tcW w:w="5951" w:type="dxa"/>
                  <w:tcBorders>
                    <w:tl2br w:val="nil"/>
                    <w:tr2bl w:val="nil"/>
                  </w:tcBorders>
                  <w:vAlign w:val="center"/>
                </w:tcPr>
                <w:p w14:paraId="476CEEFC">
                  <w:pPr>
                    <w:pStyle w:val="40"/>
                    <w:bidi w:val="0"/>
                    <w:jc w:val="center"/>
                    <w:rPr>
                      <w:rFonts w:hint="default"/>
                      <w:color w:val="auto"/>
                      <w:highlight w:val="none"/>
                    </w:rPr>
                  </w:pPr>
                  <w:r>
                    <w:rPr>
                      <w:rFonts w:hint="eastAsia"/>
                      <w:color w:val="auto"/>
                      <w:highlight w:val="none"/>
                      <w:lang w:val="en-US" w:eastAsia="zh-CN"/>
                    </w:rPr>
                    <w:t>同G1</w:t>
                  </w:r>
                </w:p>
              </w:tc>
            </w:tr>
            <w:tr w14:paraId="4AD9E1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2A716B40">
                  <w:pPr>
                    <w:pStyle w:val="40"/>
                    <w:bidi w:val="0"/>
                    <w:jc w:val="center"/>
                    <w:rPr>
                      <w:rFonts w:hint="default"/>
                      <w:color w:val="auto"/>
                      <w:highlight w:val="none"/>
                    </w:rPr>
                  </w:pPr>
                </w:p>
              </w:tc>
              <w:tc>
                <w:tcPr>
                  <w:tcW w:w="398" w:type="dxa"/>
                  <w:vMerge w:val="continue"/>
                  <w:tcBorders>
                    <w:tl2br w:val="nil"/>
                    <w:tr2bl w:val="nil"/>
                  </w:tcBorders>
                  <w:vAlign w:val="center"/>
                </w:tcPr>
                <w:p w14:paraId="321B3CD4">
                  <w:pPr>
                    <w:pStyle w:val="40"/>
                    <w:bidi w:val="0"/>
                    <w:jc w:val="center"/>
                    <w:rPr>
                      <w:rFonts w:hint="default"/>
                      <w:color w:val="auto"/>
                      <w:highlight w:val="none"/>
                    </w:rPr>
                  </w:pPr>
                </w:p>
              </w:tc>
              <w:tc>
                <w:tcPr>
                  <w:tcW w:w="399" w:type="dxa"/>
                  <w:vMerge w:val="continue"/>
                  <w:tcBorders>
                    <w:tl2br w:val="nil"/>
                    <w:tr2bl w:val="nil"/>
                  </w:tcBorders>
                  <w:vAlign w:val="center"/>
                </w:tcPr>
                <w:p w14:paraId="4ADCE8D9">
                  <w:pPr>
                    <w:pStyle w:val="40"/>
                    <w:bidi w:val="0"/>
                    <w:jc w:val="center"/>
                    <w:rPr>
                      <w:rFonts w:hint="default"/>
                      <w:color w:val="auto"/>
                      <w:highlight w:val="none"/>
                    </w:rPr>
                  </w:pPr>
                </w:p>
              </w:tc>
              <w:tc>
                <w:tcPr>
                  <w:tcW w:w="1246" w:type="dxa"/>
                  <w:gridSpan w:val="2"/>
                  <w:tcBorders>
                    <w:tl2br w:val="nil"/>
                    <w:tr2bl w:val="nil"/>
                  </w:tcBorders>
                  <w:vAlign w:val="center"/>
                </w:tcPr>
                <w:p w14:paraId="05608C28">
                  <w:pPr>
                    <w:pStyle w:val="40"/>
                    <w:bidi w:val="0"/>
                    <w:jc w:val="center"/>
                    <w:rPr>
                      <w:rFonts w:hint="default" w:eastAsia="宋体"/>
                      <w:color w:val="auto"/>
                      <w:spacing w:val="-6"/>
                      <w:sz w:val="21"/>
                      <w:highlight w:val="none"/>
                      <w:lang w:val="en-US" w:eastAsia="zh-CN"/>
                    </w:rPr>
                  </w:pPr>
                  <w:r>
                    <w:rPr>
                      <w:rFonts w:hint="eastAsia"/>
                      <w:color w:val="auto"/>
                      <w:spacing w:val="-6"/>
                      <w:sz w:val="21"/>
                      <w:highlight w:val="none"/>
                      <w:lang w:val="en-US" w:eastAsia="zh-CN"/>
                    </w:rPr>
                    <w:t>G9骨料搅拌粉尘</w:t>
                  </w:r>
                </w:p>
              </w:tc>
              <w:tc>
                <w:tcPr>
                  <w:tcW w:w="5951" w:type="dxa"/>
                  <w:tcBorders>
                    <w:tl2br w:val="nil"/>
                    <w:tr2bl w:val="nil"/>
                  </w:tcBorders>
                  <w:vAlign w:val="center"/>
                </w:tcPr>
                <w:p w14:paraId="4D5D3EE4">
                  <w:pPr>
                    <w:pStyle w:val="40"/>
                    <w:bidi w:val="0"/>
                    <w:rPr>
                      <w:rFonts w:hint="default" w:eastAsia="宋体"/>
                      <w:color w:val="auto"/>
                      <w:highlight w:val="none"/>
                      <w:lang w:val="en-US" w:eastAsia="zh-CN"/>
                    </w:rPr>
                  </w:pPr>
                  <w:r>
                    <w:rPr>
                      <w:rFonts w:hint="default"/>
                      <w:color w:val="auto"/>
                      <w:highlight w:val="none"/>
                    </w:rPr>
                    <w:t>搅拌机有固定排放口直接与风管连接，有组织收集效率为90%</w:t>
                  </w:r>
                  <w:r>
                    <w:rPr>
                      <w:rFonts w:hint="eastAsia"/>
                      <w:color w:val="auto"/>
                      <w:highlight w:val="none"/>
                      <w:lang w:eastAsia="zh-CN"/>
                    </w:rPr>
                    <w:t>，</w:t>
                  </w:r>
                  <w:r>
                    <w:rPr>
                      <w:rFonts w:hint="default"/>
                      <w:color w:val="auto"/>
                      <w:highlight w:val="none"/>
                    </w:rPr>
                    <w:t>末端设置</w:t>
                  </w:r>
                  <w:r>
                    <w:rPr>
                      <w:rFonts w:hint="eastAsia"/>
                      <w:color w:val="auto"/>
                      <w:highlight w:val="none"/>
                      <w:lang w:val="en-US" w:eastAsia="zh-CN"/>
                    </w:rPr>
                    <w:t>脉冲式布袋除尘器</w:t>
                  </w:r>
                  <w:r>
                    <w:rPr>
                      <w:rFonts w:hint="default"/>
                      <w:color w:val="auto"/>
                      <w:highlight w:val="none"/>
                    </w:rPr>
                    <w:t>，除尘效率为99.7%，处理达标后经1根15m高排气筒</w:t>
                  </w:r>
                  <w:r>
                    <w:rPr>
                      <w:rFonts w:hint="eastAsia"/>
                      <w:color w:val="auto"/>
                      <w:highlight w:val="none"/>
                      <w:lang w:val="en-US" w:eastAsia="zh-CN"/>
                    </w:rPr>
                    <w:t>有组织</w:t>
                  </w:r>
                  <w:r>
                    <w:rPr>
                      <w:rFonts w:hint="default"/>
                      <w:color w:val="auto"/>
                      <w:highlight w:val="none"/>
                    </w:rPr>
                    <w:t>排放（DA00</w:t>
                  </w:r>
                  <w:r>
                    <w:rPr>
                      <w:rFonts w:hint="eastAsia"/>
                      <w:color w:val="auto"/>
                      <w:highlight w:val="none"/>
                      <w:lang w:val="en-US" w:eastAsia="zh-CN"/>
                    </w:rPr>
                    <w:t>2</w:t>
                  </w:r>
                  <w:r>
                    <w:rPr>
                      <w:rFonts w:hint="default"/>
                      <w:color w:val="auto"/>
                      <w:highlight w:val="none"/>
                    </w:rPr>
                    <w:t>）</w:t>
                  </w:r>
                  <w:r>
                    <w:rPr>
                      <w:rFonts w:hint="eastAsia"/>
                      <w:color w:val="auto"/>
                      <w:highlight w:val="none"/>
                      <w:lang w:eastAsia="zh-CN"/>
                    </w:rPr>
                    <w:t>；</w:t>
                  </w:r>
                  <w:r>
                    <w:rPr>
                      <w:rFonts w:hint="eastAsia"/>
                      <w:color w:val="auto"/>
                      <w:spacing w:val="0"/>
                      <w:sz w:val="21"/>
                      <w:highlight w:val="none"/>
                      <w:lang w:val="en-US" w:eastAsia="zh-CN"/>
                    </w:rPr>
                    <w:t>其余未收集粉尘通过</w:t>
                  </w:r>
                  <w:r>
                    <w:rPr>
                      <w:rFonts w:hint="default" w:eastAsia="宋体"/>
                      <w:color w:val="auto"/>
                      <w:spacing w:val="0"/>
                      <w:sz w:val="21"/>
                      <w:highlight w:val="none"/>
                      <w:lang w:val="en-US" w:eastAsia="zh-CN"/>
                    </w:rPr>
                    <w:t>喷雾降尘</w:t>
                  </w:r>
                  <w:r>
                    <w:rPr>
                      <w:rFonts w:hint="eastAsia"/>
                      <w:color w:val="auto"/>
                      <w:spacing w:val="0"/>
                      <w:sz w:val="21"/>
                      <w:highlight w:val="none"/>
                      <w:lang w:val="en-US" w:eastAsia="zh-CN"/>
                    </w:rPr>
                    <w:t>设施</w:t>
                  </w:r>
                  <w:r>
                    <w:rPr>
                      <w:rFonts w:hint="default" w:eastAsia="宋体"/>
                      <w:color w:val="auto"/>
                      <w:spacing w:val="0"/>
                      <w:sz w:val="21"/>
                      <w:highlight w:val="none"/>
                      <w:lang w:val="en-US" w:eastAsia="zh-CN"/>
                    </w:rPr>
                    <w:t>+封闭厂房</w:t>
                  </w:r>
                  <w:r>
                    <w:rPr>
                      <w:rFonts w:hint="eastAsia"/>
                      <w:color w:val="auto"/>
                      <w:spacing w:val="0"/>
                      <w:sz w:val="21"/>
                      <w:highlight w:val="none"/>
                      <w:lang w:val="en-US" w:eastAsia="zh-CN"/>
                    </w:rPr>
                    <w:t>处理后无组织排放</w:t>
                  </w:r>
                  <w:r>
                    <w:rPr>
                      <w:rFonts w:hint="default" w:eastAsia="宋体"/>
                      <w:color w:val="auto"/>
                      <w:spacing w:val="0"/>
                      <w:sz w:val="21"/>
                      <w:highlight w:val="none"/>
                      <w:lang w:val="en-US" w:eastAsia="zh-CN"/>
                    </w:rPr>
                    <w:t>，除尘效率90%</w:t>
                  </w:r>
                </w:p>
              </w:tc>
            </w:tr>
            <w:tr w14:paraId="71B430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32D0C0E7">
                  <w:pPr>
                    <w:pStyle w:val="40"/>
                    <w:bidi w:val="0"/>
                    <w:jc w:val="center"/>
                    <w:rPr>
                      <w:rFonts w:hint="default"/>
                      <w:color w:val="auto"/>
                      <w:highlight w:val="none"/>
                    </w:rPr>
                  </w:pPr>
                </w:p>
              </w:tc>
              <w:tc>
                <w:tcPr>
                  <w:tcW w:w="398" w:type="dxa"/>
                  <w:vMerge w:val="continue"/>
                  <w:tcBorders>
                    <w:tl2br w:val="nil"/>
                    <w:tr2bl w:val="nil"/>
                  </w:tcBorders>
                  <w:vAlign w:val="center"/>
                </w:tcPr>
                <w:p w14:paraId="5305B6A5">
                  <w:pPr>
                    <w:pStyle w:val="40"/>
                    <w:bidi w:val="0"/>
                    <w:jc w:val="center"/>
                    <w:rPr>
                      <w:rFonts w:hint="default"/>
                      <w:color w:val="auto"/>
                      <w:highlight w:val="none"/>
                    </w:rPr>
                  </w:pPr>
                </w:p>
              </w:tc>
              <w:tc>
                <w:tcPr>
                  <w:tcW w:w="399" w:type="dxa"/>
                  <w:vMerge w:val="continue"/>
                  <w:tcBorders>
                    <w:tl2br w:val="nil"/>
                    <w:tr2bl w:val="nil"/>
                  </w:tcBorders>
                  <w:vAlign w:val="center"/>
                </w:tcPr>
                <w:p w14:paraId="0D207517">
                  <w:pPr>
                    <w:pStyle w:val="40"/>
                    <w:bidi w:val="0"/>
                    <w:jc w:val="center"/>
                    <w:rPr>
                      <w:rFonts w:hint="default"/>
                      <w:color w:val="auto"/>
                      <w:highlight w:val="none"/>
                    </w:rPr>
                  </w:pPr>
                </w:p>
              </w:tc>
              <w:tc>
                <w:tcPr>
                  <w:tcW w:w="1246" w:type="dxa"/>
                  <w:gridSpan w:val="2"/>
                  <w:tcBorders>
                    <w:tl2br w:val="nil"/>
                    <w:tr2bl w:val="nil"/>
                  </w:tcBorders>
                  <w:vAlign w:val="center"/>
                </w:tcPr>
                <w:p w14:paraId="4DB2AE48">
                  <w:pPr>
                    <w:pStyle w:val="40"/>
                    <w:bidi w:val="0"/>
                    <w:jc w:val="center"/>
                    <w:rPr>
                      <w:rFonts w:hint="default" w:eastAsia="宋体"/>
                      <w:color w:val="auto"/>
                      <w:spacing w:val="-6"/>
                      <w:sz w:val="21"/>
                      <w:highlight w:val="none"/>
                      <w:lang w:val="en-US" w:eastAsia="zh-CN"/>
                    </w:rPr>
                  </w:pPr>
                  <w:r>
                    <w:rPr>
                      <w:rFonts w:hint="eastAsia"/>
                      <w:color w:val="auto"/>
                      <w:spacing w:val="-6"/>
                      <w:sz w:val="21"/>
                      <w:highlight w:val="none"/>
                      <w:lang w:val="en-US" w:eastAsia="zh-CN"/>
                    </w:rPr>
                    <w:t>G10成球包膜粉尘</w:t>
                  </w:r>
                </w:p>
              </w:tc>
              <w:tc>
                <w:tcPr>
                  <w:tcW w:w="5951" w:type="dxa"/>
                  <w:tcBorders>
                    <w:tl2br w:val="nil"/>
                    <w:tr2bl w:val="nil"/>
                  </w:tcBorders>
                  <w:vAlign w:val="center"/>
                </w:tcPr>
                <w:p w14:paraId="54281E6D">
                  <w:pPr>
                    <w:pStyle w:val="40"/>
                    <w:bidi w:val="0"/>
                    <w:rPr>
                      <w:rFonts w:hint="eastAsia" w:eastAsia="宋体"/>
                      <w:color w:val="auto"/>
                      <w:highlight w:val="none"/>
                      <w:lang w:eastAsia="zh-CN"/>
                    </w:rPr>
                  </w:pPr>
                  <w:r>
                    <w:rPr>
                      <w:rFonts w:hint="default"/>
                      <w:color w:val="auto"/>
                      <w:highlight w:val="none"/>
                    </w:rPr>
                    <w:t>成球机和包膜机有固定排放口直接与风管连接，有组织收集效率为90%</w:t>
                  </w:r>
                  <w:r>
                    <w:rPr>
                      <w:rFonts w:hint="eastAsia"/>
                      <w:color w:val="auto"/>
                      <w:highlight w:val="none"/>
                      <w:lang w:eastAsia="zh-CN"/>
                    </w:rPr>
                    <w:t>，</w:t>
                  </w:r>
                  <w:r>
                    <w:rPr>
                      <w:rFonts w:hint="default"/>
                      <w:color w:val="auto"/>
                      <w:highlight w:val="none"/>
                    </w:rPr>
                    <w:t>末端设置</w:t>
                  </w:r>
                  <w:r>
                    <w:rPr>
                      <w:rFonts w:hint="eastAsia"/>
                      <w:color w:val="auto"/>
                      <w:highlight w:val="none"/>
                      <w:lang w:val="en-US" w:eastAsia="zh-CN"/>
                    </w:rPr>
                    <w:t>脉冲式布袋除尘器</w:t>
                  </w:r>
                  <w:r>
                    <w:rPr>
                      <w:rFonts w:hint="default"/>
                      <w:color w:val="auto"/>
                      <w:highlight w:val="none"/>
                    </w:rPr>
                    <w:t>，除尘效率为99.7%，处理达标后经1根15m高排气筒</w:t>
                  </w:r>
                  <w:r>
                    <w:rPr>
                      <w:rFonts w:hint="eastAsia"/>
                      <w:color w:val="auto"/>
                      <w:highlight w:val="none"/>
                      <w:lang w:val="en-US" w:eastAsia="zh-CN"/>
                    </w:rPr>
                    <w:t>有组织</w:t>
                  </w:r>
                  <w:r>
                    <w:rPr>
                      <w:rFonts w:hint="default"/>
                      <w:color w:val="auto"/>
                      <w:highlight w:val="none"/>
                    </w:rPr>
                    <w:t>排放（DA00</w:t>
                  </w:r>
                  <w:r>
                    <w:rPr>
                      <w:rFonts w:hint="eastAsia"/>
                      <w:color w:val="auto"/>
                      <w:highlight w:val="none"/>
                      <w:lang w:val="en-US" w:eastAsia="zh-CN"/>
                    </w:rPr>
                    <w:t>3</w:t>
                  </w:r>
                  <w:r>
                    <w:rPr>
                      <w:rFonts w:hint="default"/>
                      <w:color w:val="auto"/>
                      <w:highlight w:val="none"/>
                    </w:rPr>
                    <w:t>）</w:t>
                  </w:r>
                  <w:r>
                    <w:rPr>
                      <w:rFonts w:hint="eastAsia"/>
                      <w:color w:val="auto"/>
                      <w:highlight w:val="none"/>
                      <w:lang w:eastAsia="zh-CN"/>
                    </w:rPr>
                    <w:t>；</w:t>
                  </w:r>
                  <w:r>
                    <w:rPr>
                      <w:rFonts w:hint="eastAsia"/>
                      <w:color w:val="auto"/>
                      <w:spacing w:val="0"/>
                      <w:sz w:val="21"/>
                      <w:highlight w:val="none"/>
                      <w:lang w:val="en-US" w:eastAsia="zh-CN"/>
                    </w:rPr>
                    <w:t>其余未收集粉尘通过</w:t>
                  </w:r>
                  <w:r>
                    <w:rPr>
                      <w:rFonts w:hint="default" w:eastAsia="宋体"/>
                      <w:color w:val="auto"/>
                      <w:spacing w:val="0"/>
                      <w:sz w:val="21"/>
                      <w:highlight w:val="none"/>
                      <w:lang w:val="en-US" w:eastAsia="zh-CN"/>
                    </w:rPr>
                    <w:t>喷雾降尘</w:t>
                  </w:r>
                  <w:r>
                    <w:rPr>
                      <w:rFonts w:hint="eastAsia"/>
                      <w:color w:val="auto"/>
                      <w:spacing w:val="0"/>
                      <w:sz w:val="21"/>
                      <w:highlight w:val="none"/>
                      <w:lang w:val="en-US" w:eastAsia="zh-CN"/>
                    </w:rPr>
                    <w:t>设施</w:t>
                  </w:r>
                  <w:r>
                    <w:rPr>
                      <w:rFonts w:hint="default" w:eastAsia="宋体"/>
                      <w:color w:val="auto"/>
                      <w:spacing w:val="0"/>
                      <w:sz w:val="21"/>
                      <w:highlight w:val="none"/>
                      <w:lang w:val="en-US" w:eastAsia="zh-CN"/>
                    </w:rPr>
                    <w:t>+封闭厂房</w:t>
                  </w:r>
                  <w:r>
                    <w:rPr>
                      <w:rFonts w:hint="eastAsia"/>
                      <w:color w:val="auto"/>
                      <w:spacing w:val="0"/>
                      <w:sz w:val="21"/>
                      <w:highlight w:val="none"/>
                      <w:lang w:val="en-US" w:eastAsia="zh-CN"/>
                    </w:rPr>
                    <w:t>处理后无组织排放</w:t>
                  </w:r>
                  <w:r>
                    <w:rPr>
                      <w:rFonts w:hint="default" w:eastAsia="宋体"/>
                      <w:color w:val="auto"/>
                      <w:spacing w:val="0"/>
                      <w:sz w:val="21"/>
                      <w:highlight w:val="none"/>
                      <w:lang w:val="en-US" w:eastAsia="zh-CN"/>
                    </w:rPr>
                    <w:t>，除尘效率90%</w:t>
                  </w:r>
                </w:p>
              </w:tc>
            </w:tr>
            <w:tr w14:paraId="17956E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7502B15D">
                  <w:pPr>
                    <w:pStyle w:val="40"/>
                    <w:bidi w:val="0"/>
                    <w:jc w:val="center"/>
                    <w:rPr>
                      <w:rFonts w:hint="default"/>
                      <w:color w:val="auto"/>
                      <w:highlight w:val="none"/>
                    </w:rPr>
                  </w:pPr>
                </w:p>
              </w:tc>
              <w:tc>
                <w:tcPr>
                  <w:tcW w:w="398" w:type="dxa"/>
                  <w:vMerge w:val="continue"/>
                  <w:tcBorders>
                    <w:tl2br w:val="nil"/>
                    <w:tr2bl w:val="nil"/>
                  </w:tcBorders>
                  <w:vAlign w:val="center"/>
                </w:tcPr>
                <w:p w14:paraId="4DDBE4E8">
                  <w:pPr>
                    <w:pStyle w:val="40"/>
                    <w:bidi w:val="0"/>
                    <w:jc w:val="center"/>
                    <w:rPr>
                      <w:rFonts w:hint="default"/>
                      <w:color w:val="auto"/>
                      <w:highlight w:val="none"/>
                    </w:rPr>
                  </w:pPr>
                </w:p>
              </w:tc>
              <w:tc>
                <w:tcPr>
                  <w:tcW w:w="399" w:type="dxa"/>
                  <w:vMerge w:val="continue"/>
                  <w:tcBorders>
                    <w:tl2br w:val="nil"/>
                    <w:tr2bl w:val="nil"/>
                  </w:tcBorders>
                  <w:vAlign w:val="center"/>
                </w:tcPr>
                <w:p w14:paraId="102C577F">
                  <w:pPr>
                    <w:pStyle w:val="40"/>
                    <w:bidi w:val="0"/>
                    <w:jc w:val="center"/>
                    <w:rPr>
                      <w:rFonts w:hint="default"/>
                      <w:color w:val="auto"/>
                      <w:highlight w:val="none"/>
                    </w:rPr>
                  </w:pPr>
                </w:p>
              </w:tc>
              <w:tc>
                <w:tcPr>
                  <w:tcW w:w="1246" w:type="dxa"/>
                  <w:gridSpan w:val="2"/>
                  <w:tcBorders>
                    <w:tl2br w:val="nil"/>
                    <w:tr2bl w:val="nil"/>
                  </w:tcBorders>
                  <w:vAlign w:val="center"/>
                </w:tcPr>
                <w:p w14:paraId="07C4116D">
                  <w:pPr>
                    <w:pStyle w:val="40"/>
                    <w:bidi w:val="0"/>
                    <w:jc w:val="center"/>
                    <w:rPr>
                      <w:rFonts w:hint="default"/>
                      <w:color w:val="auto"/>
                      <w:spacing w:val="-6"/>
                      <w:sz w:val="21"/>
                      <w:highlight w:val="none"/>
                      <w:lang w:val="en-US" w:eastAsia="zh-CN"/>
                    </w:rPr>
                  </w:pPr>
                  <w:r>
                    <w:rPr>
                      <w:rFonts w:hint="eastAsia"/>
                      <w:color w:val="auto"/>
                      <w:spacing w:val="-6"/>
                      <w:sz w:val="21"/>
                      <w:highlight w:val="none"/>
                      <w:lang w:val="en-US" w:eastAsia="zh-CN"/>
                    </w:rPr>
                    <w:t>G11生料球筛分粉尘</w:t>
                  </w:r>
                </w:p>
              </w:tc>
              <w:tc>
                <w:tcPr>
                  <w:tcW w:w="5951" w:type="dxa"/>
                  <w:tcBorders>
                    <w:tl2br w:val="nil"/>
                    <w:tr2bl w:val="nil"/>
                  </w:tcBorders>
                  <w:vAlign w:val="center"/>
                </w:tcPr>
                <w:p w14:paraId="506583D7">
                  <w:pPr>
                    <w:pStyle w:val="40"/>
                    <w:bidi w:val="0"/>
                    <w:rPr>
                      <w:rFonts w:hint="eastAsia" w:eastAsia="宋体"/>
                      <w:color w:val="auto"/>
                      <w:highlight w:val="none"/>
                      <w:lang w:eastAsia="zh-CN"/>
                    </w:rPr>
                  </w:pPr>
                  <w:r>
                    <w:rPr>
                      <w:rFonts w:hint="default"/>
                      <w:color w:val="auto"/>
                      <w:highlight w:val="none"/>
                      <w:lang w:val="en-US" w:eastAsia="zh-CN"/>
                    </w:rPr>
                    <w:t>振动筛机有固定排放口直接与风管连接，</w:t>
                  </w:r>
                  <w:r>
                    <w:rPr>
                      <w:rFonts w:hint="default"/>
                      <w:color w:val="auto"/>
                      <w:highlight w:val="none"/>
                    </w:rPr>
                    <w:t>有组织收集效率为90%</w:t>
                  </w:r>
                  <w:r>
                    <w:rPr>
                      <w:rFonts w:hint="eastAsia"/>
                      <w:color w:val="auto"/>
                      <w:highlight w:val="none"/>
                      <w:lang w:eastAsia="zh-CN"/>
                    </w:rPr>
                    <w:t>，</w:t>
                  </w:r>
                  <w:r>
                    <w:rPr>
                      <w:rFonts w:hint="default"/>
                      <w:color w:val="auto"/>
                      <w:highlight w:val="none"/>
                      <w:lang w:val="en-US" w:eastAsia="zh-CN"/>
                    </w:rPr>
                    <w:t>末端设置</w:t>
                  </w:r>
                  <w:r>
                    <w:rPr>
                      <w:rFonts w:hint="eastAsia"/>
                      <w:color w:val="auto"/>
                      <w:highlight w:val="none"/>
                      <w:lang w:val="en-US" w:eastAsia="zh-CN"/>
                    </w:rPr>
                    <w:t>脉冲式布袋除尘器</w:t>
                  </w:r>
                  <w:r>
                    <w:rPr>
                      <w:rFonts w:hint="default"/>
                      <w:color w:val="auto"/>
                      <w:highlight w:val="none"/>
                      <w:lang w:val="en-US" w:eastAsia="zh-CN"/>
                    </w:rPr>
                    <w:t>，除尘效率为99.7%，</w:t>
                  </w:r>
                  <w:r>
                    <w:rPr>
                      <w:rFonts w:hint="default"/>
                      <w:color w:val="auto"/>
                      <w:highlight w:val="none"/>
                    </w:rPr>
                    <w:t>处理达</w:t>
                  </w:r>
                  <w:r>
                    <w:rPr>
                      <w:rFonts w:hint="default"/>
                      <w:color w:val="auto"/>
                      <w:spacing w:val="-6"/>
                      <w:sz w:val="21"/>
                      <w:highlight w:val="none"/>
                    </w:rPr>
                    <w:t>标后经1根15m高排气筒</w:t>
                  </w:r>
                  <w:r>
                    <w:rPr>
                      <w:rFonts w:hint="eastAsia"/>
                      <w:color w:val="auto"/>
                      <w:spacing w:val="-6"/>
                      <w:sz w:val="21"/>
                      <w:highlight w:val="none"/>
                      <w:lang w:val="en-US" w:eastAsia="zh-CN"/>
                    </w:rPr>
                    <w:t>有组织</w:t>
                  </w:r>
                  <w:r>
                    <w:rPr>
                      <w:rFonts w:hint="default"/>
                      <w:color w:val="auto"/>
                      <w:spacing w:val="-6"/>
                      <w:sz w:val="21"/>
                      <w:highlight w:val="none"/>
                    </w:rPr>
                    <w:t>排放（DA00</w:t>
                  </w:r>
                  <w:r>
                    <w:rPr>
                      <w:rFonts w:hint="eastAsia"/>
                      <w:color w:val="auto"/>
                      <w:spacing w:val="-6"/>
                      <w:sz w:val="21"/>
                      <w:highlight w:val="none"/>
                      <w:lang w:val="en-US" w:eastAsia="zh-CN"/>
                    </w:rPr>
                    <w:t>4</w:t>
                  </w:r>
                  <w:r>
                    <w:rPr>
                      <w:rFonts w:hint="default"/>
                      <w:color w:val="auto"/>
                      <w:spacing w:val="-6"/>
                      <w:sz w:val="21"/>
                      <w:highlight w:val="none"/>
                    </w:rPr>
                    <w:t>）</w:t>
                  </w:r>
                  <w:r>
                    <w:rPr>
                      <w:rFonts w:hint="eastAsia"/>
                      <w:color w:val="auto"/>
                      <w:spacing w:val="-6"/>
                      <w:sz w:val="21"/>
                      <w:highlight w:val="none"/>
                      <w:lang w:eastAsia="zh-CN"/>
                    </w:rPr>
                    <w:t>；</w:t>
                  </w:r>
                  <w:r>
                    <w:rPr>
                      <w:rFonts w:hint="eastAsia"/>
                      <w:color w:val="auto"/>
                      <w:spacing w:val="-6"/>
                      <w:sz w:val="21"/>
                      <w:highlight w:val="none"/>
                      <w:lang w:val="en-US" w:eastAsia="zh-CN"/>
                    </w:rPr>
                    <w:t>其余未收集粉尘通过</w:t>
                  </w:r>
                  <w:r>
                    <w:rPr>
                      <w:rFonts w:hint="default" w:eastAsia="宋体"/>
                      <w:color w:val="auto"/>
                      <w:spacing w:val="-6"/>
                      <w:sz w:val="21"/>
                      <w:highlight w:val="none"/>
                      <w:lang w:val="en-US" w:eastAsia="zh-CN"/>
                    </w:rPr>
                    <w:t>喷雾降尘</w:t>
                  </w:r>
                  <w:r>
                    <w:rPr>
                      <w:rFonts w:hint="eastAsia"/>
                      <w:color w:val="auto"/>
                      <w:spacing w:val="-6"/>
                      <w:sz w:val="21"/>
                      <w:highlight w:val="none"/>
                      <w:lang w:val="en-US" w:eastAsia="zh-CN"/>
                    </w:rPr>
                    <w:t>设施</w:t>
                  </w:r>
                  <w:r>
                    <w:rPr>
                      <w:rFonts w:hint="default" w:eastAsia="宋体"/>
                      <w:color w:val="auto"/>
                      <w:spacing w:val="-6"/>
                      <w:sz w:val="21"/>
                      <w:highlight w:val="none"/>
                      <w:lang w:val="en-US" w:eastAsia="zh-CN"/>
                    </w:rPr>
                    <w:t>+封闭厂房</w:t>
                  </w:r>
                  <w:r>
                    <w:rPr>
                      <w:rFonts w:hint="eastAsia"/>
                      <w:color w:val="auto"/>
                      <w:spacing w:val="-6"/>
                      <w:sz w:val="21"/>
                      <w:highlight w:val="none"/>
                      <w:lang w:val="en-US" w:eastAsia="zh-CN"/>
                    </w:rPr>
                    <w:t>处理后无组织排放</w:t>
                  </w:r>
                  <w:r>
                    <w:rPr>
                      <w:rFonts w:hint="default" w:eastAsia="宋体"/>
                      <w:color w:val="auto"/>
                      <w:spacing w:val="-6"/>
                      <w:sz w:val="21"/>
                      <w:highlight w:val="none"/>
                      <w:lang w:val="en-US" w:eastAsia="zh-CN"/>
                    </w:rPr>
                    <w:t>，除尘效率90%</w:t>
                  </w:r>
                </w:p>
              </w:tc>
            </w:tr>
            <w:tr w14:paraId="4526F2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5D49FAEB">
                  <w:pPr>
                    <w:pStyle w:val="40"/>
                    <w:bidi w:val="0"/>
                    <w:jc w:val="center"/>
                    <w:rPr>
                      <w:rFonts w:hint="default"/>
                      <w:color w:val="auto"/>
                      <w:highlight w:val="none"/>
                    </w:rPr>
                  </w:pPr>
                </w:p>
              </w:tc>
              <w:tc>
                <w:tcPr>
                  <w:tcW w:w="398" w:type="dxa"/>
                  <w:vMerge w:val="continue"/>
                  <w:tcBorders>
                    <w:tl2br w:val="nil"/>
                    <w:tr2bl w:val="nil"/>
                  </w:tcBorders>
                  <w:vAlign w:val="center"/>
                </w:tcPr>
                <w:p w14:paraId="599A69A7">
                  <w:pPr>
                    <w:pStyle w:val="40"/>
                    <w:bidi w:val="0"/>
                    <w:jc w:val="center"/>
                    <w:rPr>
                      <w:rFonts w:hint="default"/>
                      <w:color w:val="auto"/>
                      <w:highlight w:val="none"/>
                    </w:rPr>
                  </w:pPr>
                </w:p>
              </w:tc>
              <w:tc>
                <w:tcPr>
                  <w:tcW w:w="399" w:type="dxa"/>
                  <w:vMerge w:val="continue"/>
                  <w:tcBorders>
                    <w:tl2br w:val="nil"/>
                    <w:tr2bl w:val="nil"/>
                  </w:tcBorders>
                  <w:vAlign w:val="center"/>
                </w:tcPr>
                <w:p w14:paraId="08E29FCB">
                  <w:pPr>
                    <w:pStyle w:val="40"/>
                    <w:bidi w:val="0"/>
                    <w:jc w:val="center"/>
                    <w:rPr>
                      <w:rFonts w:hint="default"/>
                      <w:color w:val="auto"/>
                      <w:highlight w:val="none"/>
                    </w:rPr>
                  </w:pPr>
                </w:p>
              </w:tc>
              <w:tc>
                <w:tcPr>
                  <w:tcW w:w="623" w:type="dxa"/>
                  <w:vMerge w:val="restart"/>
                  <w:tcBorders>
                    <w:tl2br w:val="nil"/>
                    <w:tr2bl w:val="nil"/>
                  </w:tcBorders>
                  <w:vAlign w:val="center"/>
                </w:tcPr>
                <w:p w14:paraId="22464CE8">
                  <w:pPr>
                    <w:pStyle w:val="40"/>
                    <w:bidi w:val="0"/>
                    <w:jc w:val="center"/>
                    <w:rPr>
                      <w:rFonts w:hint="default"/>
                      <w:color w:val="auto"/>
                      <w:spacing w:val="-6"/>
                      <w:sz w:val="21"/>
                      <w:highlight w:val="none"/>
                      <w:lang w:val="en-US" w:eastAsia="zh-CN"/>
                    </w:rPr>
                  </w:pPr>
                  <w:r>
                    <w:rPr>
                      <w:rFonts w:hint="eastAsia"/>
                      <w:color w:val="auto"/>
                      <w:spacing w:val="-6"/>
                      <w:sz w:val="21"/>
                      <w:highlight w:val="none"/>
                      <w:lang w:val="en-US" w:eastAsia="zh-CN"/>
                    </w:rPr>
                    <w:t>G12锅炉烟气</w:t>
                  </w:r>
                </w:p>
              </w:tc>
              <w:tc>
                <w:tcPr>
                  <w:tcW w:w="623" w:type="dxa"/>
                  <w:tcBorders>
                    <w:tl2br w:val="nil"/>
                    <w:tr2bl w:val="nil"/>
                  </w:tcBorders>
                  <w:vAlign w:val="center"/>
                </w:tcPr>
                <w:p w14:paraId="3260B98C">
                  <w:pPr>
                    <w:pStyle w:val="40"/>
                    <w:bidi w:val="0"/>
                    <w:jc w:val="center"/>
                    <w:rPr>
                      <w:rFonts w:hint="default"/>
                      <w:color w:val="auto"/>
                      <w:spacing w:val="-6"/>
                      <w:sz w:val="21"/>
                      <w:highlight w:val="none"/>
                      <w:lang w:val="en-US" w:eastAsia="zh-CN"/>
                    </w:rPr>
                  </w:pPr>
                  <w:r>
                    <w:rPr>
                      <w:rFonts w:hint="eastAsia"/>
                      <w:color w:val="auto"/>
                      <w:spacing w:val="-6"/>
                      <w:sz w:val="21"/>
                      <w:highlight w:val="none"/>
                      <w:lang w:val="en-US" w:eastAsia="zh-CN"/>
                    </w:rPr>
                    <w:t>SO</w:t>
                  </w:r>
                  <w:r>
                    <w:rPr>
                      <w:rFonts w:hint="eastAsia"/>
                      <w:color w:val="auto"/>
                      <w:spacing w:val="-6"/>
                      <w:sz w:val="21"/>
                      <w:highlight w:val="none"/>
                      <w:vertAlign w:val="subscript"/>
                      <w:lang w:val="en-US" w:eastAsia="zh-CN"/>
                    </w:rPr>
                    <w:t>2</w:t>
                  </w:r>
                </w:p>
              </w:tc>
              <w:tc>
                <w:tcPr>
                  <w:tcW w:w="5951" w:type="dxa"/>
                  <w:vMerge w:val="restart"/>
                  <w:tcBorders>
                    <w:tl2br w:val="nil"/>
                    <w:tr2bl w:val="nil"/>
                  </w:tcBorders>
                  <w:vAlign w:val="center"/>
                </w:tcPr>
                <w:p w14:paraId="417D0610">
                  <w:pPr>
                    <w:pStyle w:val="40"/>
                    <w:bidi w:val="0"/>
                    <w:rPr>
                      <w:rFonts w:hint="default"/>
                      <w:color w:val="auto"/>
                      <w:highlight w:val="none"/>
                    </w:rPr>
                  </w:pPr>
                  <w:r>
                    <w:rPr>
                      <w:rFonts w:hint="default"/>
                      <w:color w:val="auto"/>
                      <w:highlight w:val="none"/>
                    </w:rPr>
                    <w:t>低氮燃烧+多管除尘器+脉冲布袋除尘器，氮氧化物产生量降低30%，颗粒物除尘效率90%，处理达标后经1根</w:t>
                  </w:r>
                  <w:r>
                    <w:rPr>
                      <w:rFonts w:hint="eastAsia"/>
                      <w:color w:val="auto"/>
                      <w:highlight w:val="none"/>
                      <w:lang w:val="en-US" w:eastAsia="zh-CN"/>
                    </w:rPr>
                    <w:t>40</w:t>
                  </w:r>
                  <w:r>
                    <w:rPr>
                      <w:rFonts w:hint="default"/>
                      <w:color w:val="auto"/>
                      <w:highlight w:val="none"/>
                    </w:rPr>
                    <w:t>m高排气筒</w:t>
                  </w:r>
                  <w:r>
                    <w:rPr>
                      <w:rFonts w:hint="eastAsia"/>
                      <w:color w:val="auto"/>
                      <w:highlight w:val="none"/>
                      <w:lang w:val="en-US" w:eastAsia="zh-CN"/>
                    </w:rPr>
                    <w:t>有组织</w:t>
                  </w:r>
                  <w:r>
                    <w:rPr>
                      <w:rFonts w:hint="default"/>
                      <w:color w:val="auto"/>
                      <w:highlight w:val="none"/>
                    </w:rPr>
                    <w:t>排放（DA00</w:t>
                  </w:r>
                  <w:r>
                    <w:rPr>
                      <w:rFonts w:hint="eastAsia"/>
                      <w:color w:val="auto"/>
                      <w:highlight w:val="none"/>
                      <w:lang w:val="en-US" w:eastAsia="zh-CN"/>
                    </w:rPr>
                    <w:t>5</w:t>
                  </w:r>
                  <w:r>
                    <w:rPr>
                      <w:rFonts w:hint="default"/>
                      <w:color w:val="auto"/>
                      <w:highlight w:val="none"/>
                    </w:rPr>
                    <w:t>）</w:t>
                  </w:r>
                </w:p>
              </w:tc>
            </w:tr>
            <w:tr w14:paraId="7AD6A8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038DD9F9">
                  <w:pPr>
                    <w:pStyle w:val="40"/>
                    <w:bidi w:val="0"/>
                    <w:jc w:val="center"/>
                    <w:rPr>
                      <w:rFonts w:hint="default"/>
                      <w:color w:val="auto"/>
                      <w:highlight w:val="none"/>
                    </w:rPr>
                  </w:pPr>
                </w:p>
              </w:tc>
              <w:tc>
                <w:tcPr>
                  <w:tcW w:w="398" w:type="dxa"/>
                  <w:vMerge w:val="continue"/>
                  <w:tcBorders>
                    <w:tl2br w:val="nil"/>
                    <w:tr2bl w:val="nil"/>
                  </w:tcBorders>
                  <w:vAlign w:val="center"/>
                </w:tcPr>
                <w:p w14:paraId="26EC4E6B">
                  <w:pPr>
                    <w:pStyle w:val="40"/>
                    <w:bidi w:val="0"/>
                    <w:jc w:val="center"/>
                    <w:rPr>
                      <w:rFonts w:hint="default"/>
                      <w:color w:val="auto"/>
                      <w:highlight w:val="none"/>
                    </w:rPr>
                  </w:pPr>
                </w:p>
              </w:tc>
              <w:tc>
                <w:tcPr>
                  <w:tcW w:w="399" w:type="dxa"/>
                  <w:vMerge w:val="continue"/>
                  <w:tcBorders>
                    <w:tl2br w:val="nil"/>
                    <w:tr2bl w:val="nil"/>
                  </w:tcBorders>
                  <w:vAlign w:val="center"/>
                </w:tcPr>
                <w:p w14:paraId="6CAD3404">
                  <w:pPr>
                    <w:pStyle w:val="40"/>
                    <w:bidi w:val="0"/>
                    <w:jc w:val="center"/>
                    <w:rPr>
                      <w:rFonts w:hint="default"/>
                      <w:color w:val="auto"/>
                      <w:highlight w:val="none"/>
                    </w:rPr>
                  </w:pPr>
                </w:p>
              </w:tc>
              <w:tc>
                <w:tcPr>
                  <w:tcW w:w="623" w:type="dxa"/>
                  <w:vMerge w:val="continue"/>
                  <w:tcBorders>
                    <w:tl2br w:val="nil"/>
                    <w:tr2bl w:val="nil"/>
                  </w:tcBorders>
                  <w:vAlign w:val="center"/>
                </w:tcPr>
                <w:p w14:paraId="67C23F90">
                  <w:pPr>
                    <w:pStyle w:val="40"/>
                    <w:bidi w:val="0"/>
                    <w:jc w:val="center"/>
                    <w:rPr>
                      <w:rFonts w:hint="eastAsia"/>
                      <w:color w:val="auto"/>
                      <w:spacing w:val="-6"/>
                      <w:sz w:val="21"/>
                      <w:highlight w:val="none"/>
                      <w:lang w:val="en-US" w:eastAsia="zh-CN"/>
                    </w:rPr>
                  </w:pPr>
                </w:p>
              </w:tc>
              <w:tc>
                <w:tcPr>
                  <w:tcW w:w="623" w:type="dxa"/>
                  <w:tcBorders>
                    <w:tl2br w:val="nil"/>
                    <w:tr2bl w:val="nil"/>
                  </w:tcBorders>
                  <w:vAlign w:val="center"/>
                </w:tcPr>
                <w:p w14:paraId="0FCDC220">
                  <w:pPr>
                    <w:pStyle w:val="40"/>
                    <w:bidi w:val="0"/>
                    <w:jc w:val="center"/>
                    <w:rPr>
                      <w:rFonts w:hint="default"/>
                      <w:color w:val="auto"/>
                      <w:spacing w:val="-6"/>
                      <w:sz w:val="21"/>
                      <w:highlight w:val="none"/>
                      <w:lang w:val="en-US" w:eastAsia="zh-CN"/>
                    </w:rPr>
                  </w:pPr>
                  <w:r>
                    <w:rPr>
                      <w:rFonts w:hint="eastAsia"/>
                      <w:color w:val="auto"/>
                      <w:spacing w:val="-6"/>
                      <w:sz w:val="21"/>
                      <w:highlight w:val="none"/>
                      <w:lang w:val="en-US" w:eastAsia="zh-CN"/>
                    </w:rPr>
                    <w:t>颗粒物</w:t>
                  </w:r>
                </w:p>
              </w:tc>
              <w:tc>
                <w:tcPr>
                  <w:tcW w:w="5951" w:type="dxa"/>
                  <w:vMerge w:val="continue"/>
                  <w:tcBorders>
                    <w:tl2br w:val="nil"/>
                    <w:tr2bl w:val="nil"/>
                  </w:tcBorders>
                  <w:vAlign w:val="center"/>
                </w:tcPr>
                <w:p w14:paraId="62530575">
                  <w:pPr>
                    <w:pStyle w:val="40"/>
                    <w:bidi w:val="0"/>
                    <w:jc w:val="center"/>
                    <w:rPr>
                      <w:rFonts w:hint="default"/>
                      <w:color w:val="auto"/>
                      <w:highlight w:val="none"/>
                    </w:rPr>
                  </w:pPr>
                </w:p>
              </w:tc>
            </w:tr>
            <w:tr w14:paraId="13915F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15E219E6">
                  <w:pPr>
                    <w:pStyle w:val="40"/>
                    <w:bidi w:val="0"/>
                    <w:jc w:val="center"/>
                    <w:rPr>
                      <w:rFonts w:hint="default"/>
                      <w:color w:val="auto"/>
                      <w:highlight w:val="none"/>
                    </w:rPr>
                  </w:pPr>
                </w:p>
              </w:tc>
              <w:tc>
                <w:tcPr>
                  <w:tcW w:w="398" w:type="dxa"/>
                  <w:vMerge w:val="continue"/>
                  <w:tcBorders>
                    <w:tl2br w:val="nil"/>
                    <w:tr2bl w:val="nil"/>
                  </w:tcBorders>
                  <w:vAlign w:val="center"/>
                </w:tcPr>
                <w:p w14:paraId="0EF185CD">
                  <w:pPr>
                    <w:pStyle w:val="40"/>
                    <w:bidi w:val="0"/>
                    <w:jc w:val="center"/>
                    <w:rPr>
                      <w:rFonts w:hint="default"/>
                      <w:color w:val="auto"/>
                      <w:highlight w:val="none"/>
                    </w:rPr>
                  </w:pPr>
                </w:p>
              </w:tc>
              <w:tc>
                <w:tcPr>
                  <w:tcW w:w="399" w:type="dxa"/>
                  <w:vMerge w:val="continue"/>
                  <w:tcBorders>
                    <w:tl2br w:val="nil"/>
                    <w:tr2bl w:val="nil"/>
                  </w:tcBorders>
                  <w:vAlign w:val="center"/>
                </w:tcPr>
                <w:p w14:paraId="42C39593">
                  <w:pPr>
                    <w:pStyle w:val="40"/>
                    <w:bidi w:val="0"/>
                    <w:jc w:val="center"/>
                    <w:rPr>
                      <w:rFonts w:hint="default"/>
                      <w:color w:val="auto"/>
                      <w:highlight w:val="none"/>
                    </w:rPr>
                  </w:pPr>
                </w:p>
              </w:tc>
              <w:tc>
                <w:tcPr>
                  <w:tcW w:w="623" w:type="dxa"/>
                  <w:vMerge w:val="continue"/>
                  <w:tcBorders>
                    <w:tl2br w:val="nil"/>
                    <w:tr2bl w:val="nil"/>
                  </w:tcBorders>
                  <w:vAlign w:val="center"/>
                </w:tcPr>
                <w:p w14:paraId="03322069">
                  <w:pPr>
                    <w:pStyle w:val="40"/>
                    <w:bidi w:val="0"/>
                    <w:jc w:val="center"/>
                    <w:rPr>
                      <w:rFonts w:hint="eastAsia"/>
                      <w:color w:val="auto"/>
                      <w:spacing w:val="-6"/>
                      <w:sz w:val="21"/>
                      <w:highlight w:val="none"/>
                      <w:lang w:val="en-US" w:eastAsia="zh-CN"/>
                    </w:rPr>
                  </w:pPr>
                </w:p>
              </w:tc>
              <w:tc>
                <w:tcPr>
                  <w:tcW w:w="623" w:type="dxa"/>
                  <w:tcBorders>
                    <w:tl2br w:val="nil"/>
                    <w:tr2bl w:val="nil"/>
                  </w:tcBorders>
                  <w:vAlign w:val="center"/>
                </w:tcPr>
                <w:p w14:paraId="0BA8E434">
                  <w:pPr>
                    <w:pStyle w:val="40"/>
                    <w:bidi w:val="0"/>
                    <w:jc w:val="center"/>
                    <w:rPr>
                      <w:rFonts w:hint="default"/>
                      <w:color w:val="auto"/>
                      <w:spacing w:val="-6"/>
                      <w:sz w:val="21"/>
                      <w:highlight w:val="none"/>
                      <w:lang w:val="en-US" w:eastAsia="zh-CN"/>
                    </w:rPr>
                  </w:pPr>
                  <w:r>
                    <w:rPr>
                      <w:rFonts w:hint="eastAsia"/>
                      <w:color w:val="auto"/>
                      <w:spacing w:val="-6"/>
                      <w:sz w:val="21"/>
                      <w:highlight w:val="none"/>
                      <w:lang w:val="en-US" w:eastAsia="zh-CN"/>
                    </w:rPr>
                    <w:t>NO</w:t>
                  </w:r>
                  <w:r>
                    <w:rPr>
                      <w:rFonts w:hint="eastAsia"/>
                      <w:color w:val="auto"/>
                      <w:spacing w:val="-6"/>
                      <w:sz w:val="21"/>
                      <w:highlight w:val="none"/>
                      <w:vertAlign w:val="subscript"/>
                      <w:lang w:val="en-US" w:eastAsia="zh-CN"/>
                    </w:rPr>
                    <w:t>X</w:t>
                  </w:r>
                </w:p>
              </w:tc>
              <w:tc>
                <w:tcPr>
                  <w:tcW w:w="5951" w:type="dxa"/>
                  <w:vMerge w:val="continue"/>
                  <w:tcBorders>
                    <w:tl2br w:val="nil"/>
                    <w:tr2bl w:val="nil"/>
                  </w:tcBorders>
                  <w:vAlign w:val="center"/>
                </w:tcPr>
                <w:p w14:paraId="37FECBAF">
                  <w:pPr>
                    <w:pStyle w:val="40"/>
                    <w:bidi w:val="0"/>
                    <w:jc w:val="center"/>
                    <w:rPr>
                      <w:rFonts w:hint="default"/>
                      <w:color w:val="auto"/>
                      <w:highlight w:val="none"/>
                    </w:rPr>
                  </w:pPr>
                </w:p>
              </w:tc>
            </w:tr>
            <w:tr w14:paraId="0F993B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1DCEED46">
                  <w:pPr>
                    <w:pStyle w:val="40"/>
                    <w:bidi w:val="0"/>
                    <w:jc w:val="center"/>
                    <w:rPr>
                      <w:rFonts w:hint="default"/>
                      <w:color w:val="auto"/>
                      <w:highlight w:val="none"/>
                    </w:rPr>
                  </w:pPr>
                </w:p>
              </w:tc>
              <w:tc>
                <w:tcPr>
                  <w:tcW w:w="398" w:type="dxa"/>
                  <w:vMerge w:val="continue"/>
                  <w:tcBorders>
                    <w:tl2br w:val="nil"/>
                    <w:tr2bl w:val="nil"/>
                  </w:tcBorders>
                  <w:vAlign w:val="center"/>
                </w:tcPr>
                <w:p w14:paraId="483B9C24">
                  <w:pPr>
                    <w:pStyle w:val="40"/>
                    <w:bidi w:val="0"/>
                    <w:jc w:val="center"/>
                    <w:rPr>
                      <w:rFonts w:hint="default"/>
                      <w:color w:val="auto"/>
                      <w:highlight w:val="none"/>
                    </w:rPr>
                  </w:pPr>
                </w:p>
              </w:tc>
              <w:tc>
                <w:tcPr>
                  <w:tcW w:w="399" w:type="dxa"/>
                  <w:vMerge w:val="continue"/>
                  <w:tcBorders>
                    <w:tl2br w:val="nil"/>
                    <w:tr2bl w:val="nil"/>
                  </w:tcBorders>
                  <w:vAlign w:val="center"/>
                </w:tcPr>
                <w:p w14:paraId="03A6F7A6">
                  <w:pPr>
                    <w:pStyle w:val="40"/>
                    <w:bidi w:val="0"/>
                    <w:jc w:val="center"/>
                    <w:rPr>
                      <w:rFonts w:hint="default"/>
                      <w:color w:val="auto"/>
                      <w:highlight w:val="none"/>
                    </w:rPr>
                  </w:pPr>
                </w:p>
              </w:tc>
              <w:tc>
                <w:tcPr>
                  <w:tcW w:w="1246" w:type="dxa"/>
                  <w:gridSpan w:val="2"/>
                  <w:tcBorders>
                    <w:tl2br w:val="nil"/>
                    <w:tr2bl w:val="nil"/>
                  </w:tcBorders>
                  <w:vAlign w:val="center"/>
                </w:tcPr>
                <w:p w14:paraId="4EC3C131">
                  <w:pPr>
                    <w:pStyle w:val="40"/>
                    <w:bidi w:val="0"/>
                    <w:jc w:val="center"/>
                    <w:rPr>
                      <w:rFonts w:hint="default"/>
                      <w:color w:val="auto"/>
                      <w:spacing w:val="-6"/>
                      <w:sz w:val="21"/>
                      <w:highlight w:val="none"/>
                      <w:lang w:val="en-US" w:eastAsia="zh-CN"/>
                    </w:rPr>
                  </w:pPr>
                  <w:r>
                    <w:rPr>
                      <w:rFonts w:hint="eastAsia"/>
                      <w:color w:val="auto"/>
                      <w:spacing w:val="-6"/>
                      <w:sz w:val="21"/>
                      <w:highlight w:val="none"/>
                      <w:lang w:val="en-US" w:eastAsia="zh-CN"/>
                    </w:rPr>
                    <w:t>G13成品筛分粉尘</w:t>
                  </w:r>
                </w:p>
              </w:tc>
              <w:tc>
                <w:tcPr>
                  <w:tcW w:w="5951" w:type="dxa"/>
                  <w:tcBorders>
                    <w:tl2br w:val="nil"/>
                    <w:tr2bl w:val="nil"/>
                  </w:tcBorders>
                  <w:vAlign w:val="center"/>
                </w:tcPr>
                <w:p w14:paraId="6AFFE854">
                  <w:pPr>
                    <w:pStyle w:val="40"/>
                    <w:bidi w:val="0"/>
                    <w:jc w:val="center"/>
                    <w:rPr>
                      <w:rFonts w:hint="default" w:eastAsia="宋体"/>
                      <w:color w:val="auto"/>
                      <w:highlight w:val="none"/>
                      <w:lang w:val="en-US" w:eastAsia="zh-CN"/>
                    </w:rPr>
                  </w:pPr>
                  <w:r>
                    <w:rPr>
                      <w:rFonts w:hint="eastAsia"/>
                      <w:color w:val="auto"/>
                      <w:highlight w:val="none"/>
                      <w:lang w:val="en-US" w:eastAsia="zh-CN"/>
                    </w:rPr>
                    <w:t>同G11</w:t>
                  </w:r>
                </w:p>
              </w:tc>
            </w:tr>
            <w:tr w14:paraId="749D33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6D1F8255">
                  <w:pPr>
                    <w:pStyle w:val="40"/>
                    <w:bidi w:val="0"/>
                    <w:jc w:val="center"/>
                    <w:rPr>
                      <w:rFonts w:hint="default"/>
                      <w:color w:val="auto"/>
                      <w:highlight w:val="none"/>
                    </w:rPr>
                  </w:pPr>
                </w:p>
              </w:tc>
              <w:tc>
                <w:tcPr>
                  <w:tcW w:w="398" w:type="dxa"/>
                  <w:vMerge w:val="continue"/>
                  <w:tcBorders>
                    <w:tl2br w:val="nil"/>
                    <w:tr2bl w:val="nil"/>
                  </w:tcBorders>
                  <w:vAlign w:val="center"/>
                </w:tcPr>
                <w:p w14:paraId="1B78B7DC">
                  <w:pPr>
                    <w:pStyle w:val="40"/>
                    <w:bidi w:val="0"/>
                    <w:jc w:val="center"/>
                    <w:rPr>
                      <w:rFonts w:hint="default"/>
                      <w:color w:val="auto"/>
                      <w:highlight w:val="none"/>
                    </w:rPr>
                  </w:pPr>
                </w:p>
              </w:tc>
              <w:tc>
                <w:tcPr>
                  <w:tcW w:w="399" w:type="dxa"/>
                  <w:vMerge w:val="restart"/>
                  <w:tcBorders>
                    <w:tl2br w:val="nil"/>
                    <w:tr2bl w:val="nil"/>
                  </w:tcBorders>
                  <w:vAlign w:val="center"/>
                </w:tcPr>
                <w:p w14:paraId="193F993E">
                  <w:pPr>
                    <w:pStyle w:val="40"/>
                    <w:bidi w:val="0"/>
                    <w:jc w:val="center"/>
                    <w:rPr>
                      <w:rFonts w:hint="default" w:eastAsia="宋体"/>
                      <w:color w:val="auto"/>
                      <w:highlight w:val="none"/>
                      <w:lang w:val="en-US" w:eastAsia="zh-CN"/>
                    </w:rPr>
                  </w:pPr>
                  <w:r>
                    <w:rPr>
                      <w:rFonts w:hint="eastAsia"/>
                      <w:color w:val="auto"/>
                      <w:highlight w:val="none"/>
                      <w:lang w:val="en-US" w:eastAsia="zh-CN"/>
                    </w:rPr>
                    <w:t>混凝土生产车间</w:t>
                  </w:r>
                </w:p>
              </w:tc>
              <w:tc>
                <w:tcPr>
                  <w:tcW w:w="1246" w:type="dxa"/>
                  <w:gridSpan w:val="2"/>
                  <w:tcBorders>
                    <w:tl2br w:val="nil"/>
                    <w:tr2bl w:val="nil"/>
                  </w:tcBorders>
                  <w:vAlign w:val="center"/>
                </w:tcPr>
                <w:p w14:paraId="10232174">
                  <w:pPr>
                    <w:pStyle w:val="40"/>
                    <w:bidi w:val="0"/>
                    <w:jc w:val="center"/>
                    <w:rPr>
                      <w:rFonts w:hint="default"/>
                      <w:color w:val="auto"/>
                      <w:spacing w:val="-6"/>
                      <w:sz w:val="21"/>
                      <w:highlight w:val="none"/>
                      <w:lang w:val="en-US" w:eastAsia="zh-CN"/>
                    </w:rPr>
                  </w:pPr>
                  <w:r>
                    <w:rPr>
                      <w:rFonts w:hint="eastAsia"/>
                      <w:color w:val="auto"/>
                      <w:spacing w:val="-6"/>
                      <w:sz w:val="21"/>
                      <w:highlight w:val="none"/>
                      <w:lang w:val="en-US" w:eastAsia="zh-CN"/>
                    </w:rPr>
                    <w:t>G14混凝土粉煤灰筒仓粉尘</w:t>
                  </w:r>
                </w:p>
              </w:tc>
              <w:tc>
                <w:tcPr>
                  <w:tcW w:w="5951" w:type="dxa"/>
                  <w:tcBorders>
                    <w:tl2br w:val="nil"/>
                    <w:tr2bl w:val="nil"/>
                  </w:tcBorders>
                  <w:vAlign w:val="center"/>
                </w:tcPr>
                <w:p w14:paraId="2EC765D9">
                  <w:pPr>
                    <w:pStyle w:val="40"/>
                    <w:bidi w:val="0"/>
                    <w:jc w:val="center"/>
                    <w:rPr>
                      <w:rFonts w:hint="default"/>
                      <w:color w:val="auto"/>
                      <w:highlight w:val="none"/>
                    </w:rPr>
                  </w:pPr>
                  <w:r>
                    <w:rPr>
                      <w:rFonts w:hint="default"/>
                      <w:color w:val="auto"/>
                      <w:highlight w:val="none"/>
                    </w:rPr>
                    <w:t>仓顶自带脉冲式布袋除尘器</w:t>
                  </w:r>
                  <w:r>
                    <w:rPr>
                      <w:color w:val="auto"/>
                      <w:highlight w:val="none"/>
                    </w:rPr>
                    <w:t>（</w:t>
                  </w:r>
                  <w:r>
                    <w:rPr>
                      <w:rFonts w:hint="eastAsia"/>
                      <w:color w:val="auto"/>
                      <w:highlight w:val="none"/>
                      <w:lang w:val="en-US" w:eastAsia="zh-CN"/>
                    </w:rPr>
                    <w:t>2</w:t>
                  </w:r>
                  <w:r>
                    <w:rPr>
                      <w:color w:val="auto"/>
                      <w:highlight w:val="none"/>
                    </w:rPr>
                    <w:t>套）</w:t>
                  </w:r>
                  <w:r>
                    <w:rPr>
                      <w:rFonts w:hint="default"/>
                      <w:color w:val="auto"/>
                      <w:highlight w:val="none"/>
                    </w:rPr>
                    <w:t>，除尘效率为99.7%</w:t>
                  </w:r>
                  <w:r>
                    <w:rPr>
                      <w:rFonts w:hint="eastAsia"/>
                      <w:color w:val="auto"/>
                      <w:highlight w:val="none"/>
                      <w:lang w:eastAsia="zh-CN"/>
                    </w:rPr>
                    <w:t>，</w:t>
                  </w:r>
                  <w:r>
                    <w:rPr>
                      <w:rFonts w:hint="eastAsia"/>
                      <w:color w:val="auto"/>
                      <w:highlight w:val="none"/>
                    </w:rPr>
                    <w:t>粉尘</w:t>
                  </w:r>
                  <w:r>
                    <w:rPr>
                      <w:color w:val="auto"/>
                      <w:highlight w:val="none"/>
                    </w:rPr>
                    <w:t>经</w:t>
                  </w:r>
                  <w:r>
                    <w:rPr>
                      <w:rFonts w:hint="eastAsia"/>
                      <w:color w:val="auto"/>
                      <w:highlight w:val="none"/>
                    </w:rPr>
                    <w:t>处理后</w:t>
                  </w:r>
                  <w:r>
                    <w:rPr>
                      <w:rFonts w:hint="eastAsia"/>
                      <w:color w:val="auto"/>
                      <w:highlight w:val="none"/>
                      <w:lang w:val="en-US" w:eastAsia="zh-CN"/>
                    </w:rPr>
                    <w:t>由</w:t>
                  </w:r>
                  <w:r>
                    <w:rPr>
                      <w:color w:val="auto"/>
                      <w:highlight w:val="none"/>
                    </w:rPr>
                    <w:t>各</w:t>
                  </w:r>
                  <w:r>
                    <w:rPr>
                      <w:rFonts w:hint="eastAsia"/>
                      <w:color w:val="auto"/>
                      <w:highlight w:val="none"/>
                    </w:rPr>
                    <w:t>除尘器出口</w:t>
                  </w:r>
                  <w:r>
                    <w:rPr>
                      <w:rFonts w:hint="eastAsia"/>
                      <w:color w:val="auto"/>
                      <w:highlight w:val="none"/>
                      <w:lang w:val="en-US" w:eastAsia="zh-CN"/>
                    </w:rPr>
                    <w:t>无组织</w:t>
                  </w:r>
                  <w:r>
                    <w:rPr>
                      <w:rFonts w:hint="eastAsia"/>
                      <w:color w:val="auto"/>
                      <w:highlight w:val="none"/>
                    </w:rPr>
                    <w:t>排放</w:t>
                  </w:r>
                </w:p>
              </w:tc>
            </w:tr>
            <w:tr w14:paraId="3261C9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2FE7021C">
                  <w:pPr>
                    <w:pStyle w:val="40"/>
                    <w:bidi w:val="0"/>
                    <w:jc w:val="center"/>
                    <w:rPr>
                      <w:rFonts w:hint="default"/>
                      <w:color w:val="auto"/>
                      <w:highlight w:val="none"/>
                    </w:rPr>
                  </w:pPr>
                </w:p>
              </w:tc>
              <w:tc>
                <w:tcPr>
                  <w:tcW w:w="398" w:type="dxa"/>
                  <w:vMerge w:val="continue"/>
                  <w:tcBorders>
                    <w:tl2br w:val="nil"/>
                    <w:tr2bl w:val="nil"/>
                  </w:tcBorders>
                  <w:vAlign w:val="center"/>
                </w:tcPr>
                <w:p w14:paraId="7BF917CE">
                  <w:pPr>
                    <w:pStyle w:val="40"/>
                    <w:bidi w:val="0"/>
                    <w:jc w:val="center"/>
                    <w:rPr>
                      <w:rFonts w:hint="default"/>
                      <w:color w:val="auto"/>
                      <w:highlight w:val="none"/>
                    </w:rPr>
                  </w:pPr>
                </w:p>
              </w:tc>
              <w:tc>
                <w:tcPr>
                  <w:tcW w:w="399" w:type="dxa"/>
                  <w:vMerge w:val="continue"/>
                  <w:tcBorders>
                    <w:tl2br w:val="nil"/>
                    <w:tr2bl w:val="nil"/>
                  </w:tcBorders>
                  <w:vAlign w:val="center"/>
                </w:tcPr>
                <w:p w14:paraId="644AACF0">
                  <w:pPr>
                    <w:pStyle w:val="40"/>
                    <w:bidi w:val="0"/>
                    <w:jc w:val="center"/>
                    <w:rPr>
                      <w:rFonts w:hint="default"/>
                      <w:color w:val="auto"/>
                      <w:highlight w:val="none"/>
                    </w:rPr>
                  </w:pPr>
                </w:p>
              </w:tc>
              <w:tc>
                <w:tcPr>
                  <w:tcW w:w="1246" w:type="dxa"/>
                  <w:gridSpan w:val="2"/>
                  <w:tcBorders>
                    <w:tl2br w:val="nil"/>
                    <w:tr2bl w:val="nil"/>
                  </w:tcBorders>
                  <w:vAlign w:val="center"/>
                </w:tcPr>
                <w:p w14:paraId="23F2E6B2">
                  <w:pPr>
                    <w:pStyle w:val="40"/>
                    <w:bidi w:val="0"/>
                    <w:jc w:val="center"/>
                    <w:rPr>
                      <w:rFonts w:hint="default"/>
                      <w:color w:val="auto"/>
                      <w:spacing w:val="-6"/>
                      <w:sz w:val="21"/>
                      <w:highlight w:val="none"/>
                      <w:lang w:val="en-US" w:eastAsia="zh-CN"/>
                    </w:rPr>
                  </w:pPr>
                  <w:r>
                    <w:rPr>
                      <w:rFonts w:hint="eastAsia"/>
                      <w:color w:val="auto"/>
                      <w:spacing w:val="-6"/>
                      <w:sz w:val="21"/>
                      <w:highlight w:val="none"/>
                      <w:lang w:val="en-US" w:eastAsia="zh-CN"/>
                    </w:rPr>
                    <w:t>G15水泥筒仓粉尘</w:t>
                  </w:r>
                </w:p>
              </w:tc>
              <w:tc>
                <w:tcPr>
                  <w:tcW w:w="5951" w:type="dxa"/>
                  <w:tcBorders>
                    <w:tl2br w:val="nil"/>
                    <w:tr2bl w:val="nil"/>
                  </w:tcBorders>
                  <w:vAlign w:val="center"/>
                </w:tcPr>
                <w:p w14:paraId="7C516E92">
                  <w:pPr>
                    <w:pStyle w:val="40"/>
                    <w:bidi w:val="0"/>
                    <w:jc w:val="center"/>
                    <w:rPr>
                      <w:rFonts w:hint="default"/>
                      <w:color w:val="auto"/>
                      <w:highlight w:val="none"/>
                    </w:rPr>
                  </w:pPr>
                  <w:r>
                    <w:rPr>
                      <w:rFonts w:hint="default"/>
                      <w:color w:val="auto"/>
                      <w:highlight w:val="none"/>
                    </w:rPr>
                    <w:t>仓顶自带脉冲式布袋除尘器</w:t>
                  </w:r>
                  <w:r>
                    <w:rPr>
                      <w:color w:val="auto"/>
                      <w:highlight w:val="none"/>
                    </w:rPr>
                    <w:t>（</w:t>
                  </w:r>
                  <w:r>
                    <w:rPr>
                      <w:rFonts w:hint="eastAsia"/>
                      <w:color w:val="auto"/>
                      <w:highlight w:val="none"/>
                      <w:lang w:val="en-US" w:eastAsia="zh-CN"/>
                    </w:rPr>
                    <w:t>6</w:t>
                  </w:r>
                  <w:r>
                    <w:rPr>
                      <w:color w:val="auto"/>
                      <w:highlight w:val="none"/>
                    </w:rPr>
                    <w:t>套）</w:t>
                  </w:r>
                  <w:r>
                    <w:rPr>
                      <w:rFonts w:hint="default"/>
                      <w:color w:val="auto"/>
                      <w:highlight w:val="none"/>
                    </w:rPr>
                    <w:t>，除尘效率为99.7%</w:t>
                  </w:r>
                  <w:r>
                    <w:rPr>
                      <w:rFonts w:hint="eastAsia"/>
                      <w:color w:val="auto"/>
                      <w:highlight w:val="none"/>
                      <w:lang w:eastAsia="zh-CN"/>
                    </w:rPr>
                    <w:t>，</w:t>
                  </w:r>
                  <w:r>
                    <w:rPr>
                      <w:rFonts w:hint="eastAsia"/>
                      <w:color w:val="auto"/>
                      <w:highlight w:val="none"/>
                    </w:rPr>
                    <w:t>粉尘</w:t>
                  </w:r>
                  <w:r>
                    <w:rPr>
                      <w:color w:val="auto"/>
                      <w:highlight w:val="none"/>
                    </w:rPr>
                    <w:t>经</w:t>
                  </w:r>
                  <w:r>
                    <w:rPr>
                      <w:rFonts w:hint="eastAsia"/>
                      <w:color w:val="auto"/>
                      <w:highlight w:val="none"/>
                    </w:rPr>
                    <w:t>处理后</w:t>
                  </w:r>
                  <w:r>
                    <w:rPr>
                      <w:rFonts w:hint="eastAsia"/>
                      <w:color w:val="auto"/>
                      <w:highlight w:val="none"/>
                      <w:lang w:val="en-US" w:eastAsia="zh-CN"/>
                    </w:rPr>
                    <w:t>由</w:t>
                  </w:r>
                  <w:r>
                    <w:rPr>
                      <w:color w:val="auto"/>
                      <w:highlight w:val="none"/>
                    </w:rPr>
                    <w:t>各</w:t>
                  </w:r>
                  <w:r>
                    <w:rPr>
                      <w:rFonts w:hint="eastAsia"/>
                      <w:color w:val="auto"/>
                      <w:highlight w:val="none"/>
                    </w:rPr>
                    <w:t>除尘器出口</w:t>
                  </w:r>
                  <w:r>
                    <w:rPr>
                      <w:rFonts w:hint="eastAsia"/>
                      <w:color w:val="auto"/>
                      <w:highlight w:val="none"/>
                      <w:lang w:val="en-US" w:eastAsia="zh-CN"/>
                    </w:rPr>
                    <w:t>无组织</w:t>
                  </w:r>
                  <w:r>
                    <w:rPr>
                      <w:rFonts w:hint="eastAsia"/>
                      <w:color w:val="auto"/>
                      <w:highlight w:val="none"/>
                    </w:rPr>
                    <w:t>排放</w:t>
                  </w:r>
                </w:p>
              </w:tc>
            </w:tr>
            <w:tr w14:paraId="4D53CC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0D6BA588">
                  <w:pPr>
                    <w:pStyle w:val="40"/>
                    <w:bidi w:val="0"/>
                    <w:jc w:val="center"/>
                    <w:rPr>
                      <w:rFonts w:hint="default"/>
                      <w:color w:val="auto"/>
                      <w:highlight w:val="none"/>
                    </w:rPr>
                  </w:pPr>
                </w:p>
              </w:tc>
              <w:tc>
                <w:tcPr>
                  <w:tcW w:w="398" w:type="dxa"/>
                  <w:vMerge w:val="continue"/>
                  <w:tcBorders>
                    <w:tl2br w:val="nil"/>
                    <w:tr2bl w:val="nil"/>
                  </w:tcBorders>
                  <w:vAlign w:val="center"/>
                </w:tcPr>
                <w:p w14:paraId="28B99748">
                  <w:pPr>
                    <w:pStyle w:val="40"/>
                    <w:bidi w:val="0"/>
                    <w:jc w:val="center"/>
                    <w:rPr>
                      <w:rFonts w:hint="default"/>
                      <w:color w:val="auto"/>
                      <w:highlight w:val="none"/>
                    </w:rPr>
                  </w:pPr>
                </w:p>
              </w:tc>
              <w:tc>
                <w:tcPr>
                  <w:tcW w:w="399" w:type="dxa"/>
                  <w:vMerge w:val="continue"/>
                  <w:tcBorders>
                    <w:tl2br w:val="nil"/>
                    <w:tr2bl w:val="nil"/>
                  </w:tcBorders>
                  <w:vAlign w:val="center"/>
                </w:tcPr>
                <w:p w14:paraId="1D8160DA">
                  <w:pPr>
                    <w:pStyle w:val="40"/>
                    <w:bidi w:val="0"/>
                    <w:jc w:val="center"/>
                    <w:rPr>
                      <w:rFonts w:hint="default"/>
                      <w:color w:val="auto"/>
                      <w:highlight w:val="none"/>
                    </w:rPr>
                  </w:pPr>
                </w:p>
              </w:tc>
              <w:tc>
                <w:tcPr>
                  <w:tcW w:w="1246" w:type="dxa"/>
                  <w:gridSpan w:val="2"/>
                  <w:tcBorders>
                    <w:tl2br w:val="nil"/>
                    <w:tr2bl w:val="nil"/>
                  </w:tcBorders>
                  <w:vAlign w:val="center"/>
                </w:tcPr>
                <w:p w14:paraId="04D91D50">
                  <w:pPr>
                    <w:pStyle w:val="40"/>
                    <w:bidi w:val="0"/>
                    <w:jc w:val="center"/>
                    <w:rPr>
                      <w:rFonts w:hint="default"/>
                      <w:color w:val="auto"/>
                      <w:spacing w:val="-6"/>
                      <w:sz w:val="21"/>
                      <w:highlight w:val="none"/>
                      <w:lang w:val="en-US" w:eastAsia="zh-CN"/>
                    </w:rPr>
                  </w:pPr>
                  <w:r>
                    <w:rPr>
                      <w:rFonts w:hint="eastAsia"/>
                      <w:color w:val="auto"/>
                      <w:spacing w:val="-6"/>
                      <w:sz w:val="21"/>
                      <w:highlight w:val="none"/>
                      <w:lang w:val="en-US" w:eastAsia="zh-CN"/>
                    </w:rPr>
                    <w:t>G16砂石原料棚扬尘</w:t>
                  </w:r>
                </w:p>
              </w:tc>
              <w:tc>
                <w:tcPr>
                  <w:tcW w:w="5951" w:type="dxa"/>
                  <w:tcBorders>
                    <w:tl2br w:val="nil"/>
                    <w:tr2bl w:val="nil"/>
                  </w:tcBorders>
                  <w:vAlign w:val="center"/>
                </w:tcPr>
                <w:p w14:paraId="16257766">
                  <w:pPr>
                    <w:pStyle w:val="40"/>
                    <w:bidi w:val="0"/>
                    <w:jc w:val="center"/>
                    <w:rPr>
                      <w:rFonts w:hint="default"/>
                      <w:color w:val="auto"/>
                      <w:highlight w:val="none"/>
                      <w:lang w:val="en-US"/>
                    </w:rPr>
                  </w:pPr>
                  <w:r>
                    <w:rPr>
                      <w:rFonts w:hint="eastAsia"/>
                      <w:color w:val="auto"/>
                      <w:highlight w:val="none"/>
                      <w:lang w:val="en-US" w:eastAsia="zh-CN"/>
                    </w:rPr>
                    <w:t>同G2</w:t>
                  </w:r>
                </w:p>
              </w:tc>
            </w:tr>
            <w:tr w14:paraId="526977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39AF9D10">
                  <w:pPr>
                    <w:pStyle w:val="40"/>
                    <w:bidi w:val="0"/>
                    <w:jc w:val="center"/>
                    <w:rPr>
                      <w:rFonts w:hint="default"/>
                      <w:color w:val="auto"/>
                      <w:highlight w:val="none"/>
                    </w:rPr>
                  </w:pPr>
                </w:p>
              </w:tc>
              <w:tc>
                <w:tcPr>
                  <w:tcW w:w="398" w:type="dxa"/>
                  <w:vMerge w:val="continue"/>
                  <w:tcBorders>
                    <w:tl2br w:val="nil"/>
                    <w:tr2bl w:val="nil"/>
                  </w:tcBorders>
                  <w:vAlign w:val="center"/>
                </w:tcPr>
                <w:p w14:paraId="170348D6">
                  <w:pPr>
                    <w:pStyle w:val="40"/>
                    <w:bidi w:val="0"/>
                    <w:jc w:val="center"/>
                    <w:rPr>
                      <w:rFonts w:hint="default"/>
                      <w:color w:val="auto"/>
                      <w:highlight w:val="none"/>
                    </w:rPr>
                  </w:pPr>
                </w:p>
              </w:tc>
              <w:tc>
                <w:tcPr>
                  <w:tcW w:w="399" w:type="dxa"/>
                  <w:vMerge w:val="continue"/>
                  <w:tcBorders>
                    <w:tl2br w:val="nil"/>
                    <w:tr2bl w:val="nil"/>
                  </w:tcBorders>
                  <w:vAlign w:val="center"/>
                </w:tcPr>
                <w:p w14:paraId="25853B6B">
                  <w:pPr>
                    <w:pStyle w:val="40"/>
                    <w:bidi w:val="0"/>
                    <w:jc w:val="center"/>
                    <w:rPr>
                      <w:rFonts w:hint="default"/>
                      <w:color w:val="auto"/>
                      <w:highlight w:val="none"/>
                    </w:rPr>
                  </w:pPr>
                </w:p>
              </w:tc>
              <w:tc>
                <w:tcPr>
                  <w:tcW w:w="1246" w:type="dxa"/>
                  <w:gridSpan w:val="2"/>
                  <w:tcBorders>
                    <w:tl2br w:val="nil"/>
                    <w:tr2bl w:val="nil"/>
                  </w:tcBorders>
                  <w:vAlign w:val="center"/>
                </w:tcPr>
                <w:p w14:paraId="5805082A">
                  <w:pPr>
                    <w:pStyle w:val="40"/>
                    <w:bidi w:val="0"/>
                    <w:jc w:val="center"/>
                    <w:rPr>
                      <w:rFonts w:hint="default"/>
                      <w:color w:val="auto"/>
                      <w:spacing w:val="-6"/>
                      <w:sz w:val="21"/>
                      <w:highlight w:val="none"/>
                      <w:lang w:val="en-US" w:eastAsia="zh-CN"/>
                    </w:rPr>
                  </w:pPr>
                  <w:r>
                    <w:rPr>
                      <w:rFonts w:hint="eastAsia"/>
                      <w:color w:val="auto"/>
                      <w:spacing w:val="-6"/>
                      <w:sz w:val="21"/>
                      <w:highlight w:val="none"/>
                      <w:lang w:val="en-US" w:eastAsia="zh-CN"/>
                    </w:rPr>
                    <w:t>G17混凝土搅拌粉尘</w:t>
                  </w:r>
                </w:p>
              </w:tc>
              <w:tc>
                <w:tcPr>
                  <w:tcW w:w="5951" w:type="dxa"/>
                  <w:tcBorders>
                    <w:tl2br w:val="nil"/>
                    <w:tr2bl w:val="nil"/>
                  </w:tcBorders>
                  <w:vAlign w:val="center"/>
                </w:tcPr>
                <w:p w14:paraId="53916428">
                  <w:pPr>
                    <w:pStyle w:val="40"/>
                    <w:bidi w:val="0"/>
                    <w:jc w:val="center"/>
                    <w:rPr>
                      <w:rFonts w:hint="default"/>
                      <w:color w:val="auto"/>
                      <w:highlight w:val="none"/>
                    </w:rPr>
                  </w:pPr>
                  <w:r>
                    <w:rPr>
                      <w:rFonts w:hint="default"/>
                      <w:color w:val="auto"/>
                      <w:highlight w:val="none"/>
                    </w:rPr>
                    <w:t>搅拌机有固定排放口直接与风管连接，有组织收集效率为90%</w:t>
                  </w:r>
                  <w:r>
                    <w:rPr>
                      <w:rFonts w:hint="eastAsia"/>
                      <w:color w:val="auto"/>
                      <w:highlight w:val="none"/>
                      <w:lang w:eastAsia="zh-CN"/>
                    </w:rPr>
                    <w:t>，</w:t>
                  </w:r>
                  <w:r>
                    <w:rPr>
                      <w:rFonts w:hint="default"/>
                      <w:color w:val="auto"/>
                      <w:highlight w:val="none"/>
                    </w:rPr>
                    <w:t>末端设置</w:t>
                  </w:r>
                  <w:r>
                    <w:rPr>
                      <w:rFonts w:hint="eastAsia"/>
                      <w:color w:val="auto"/>
                      <w:highlight w:val="none"/>
                      <w:lang w:val="en-US" w:eastAsia="zh-CN"/>
                    </w:rPr>
                    <w:t>脉冲式布袋除尘器</w:t>
                  </w:r>
                  <w:r>
                    <w:rPr>
                      <w:rFonts w:hint="default"/>
                      <w:color w:val="auto"/>
                      <w:highlight w:val="none"/>
                    </w:rPr>
                    <w:t>，除尘效率为99.7%，处理后同其他</w:t>
                  </w:r>
                  <w:r>
                    <w:rPr>
                      <w:rFonts w:hint="eastAsia"/>
                      <w:color w:val="auto"/>
                      <w:highlight w:val="none"/>
                      <w:lang w:val="en-US" w:eastAsia="zh-CN"/>
                    </w:rPr>
                    <w:t>未</w:t>
                  </w:r>
                  <w:r>
                    <w:rPr>
                      <w:rFonts w:hint="default"/>
                      <w:color w:val="auto"/>
                      <w:highlight w:val="none"/>
                    </w:rPr>
                    <w:t>收集的粉尘在封闭搅拌楼无组织排放，搅拌楼内设置喷雾降尘设施，处理效率为90%</w:t>
                  </w:r>
                </w:p>
              </w:tc>
            </w:tr>
            <w:tr w14:paraId="6A4269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236AE9D5">
                  <w:pPr>
                    <w:pStyle w:val="40"/>
                    <w:bidi w:val="0"/>
                    <w:jc w:val="center"/>
                    <w:rPr>
                      <w:rFonts w:hint="default"/>
                      <w:color w:val="auto"/>
                      <w:highlight w:val="none"/>
                    </w:rPr>
                  </w:pPr>
                </w:p>
              </w:tc>
              <w:tc>
                <w:tcPr>
                  <w:tcW w:w="398" w:type="dxa"/>
                  <w:vMerge w:val="continue"/>
                  <w:tcBorders>
                    <w:tl2br w:val="nil"/>
                    <w:tr2bl w:val="nil"/>
                  </w:tcBorders>
                  <w:vAlign w:val="center"/>
                </w:tcPr>
                <w:p w14:paraId="44BD41D3">
                  <w:pPr>
                    <w:pStyle w:val="40"/>
                    <w:bidi w:val="0"/>
                    <w:jc w:val="center"/>
                    <w:rPr>
                      <w:rFonts w:hint="default"/>
                      <w:color w:val="auto"/>
                      <w:highlight w:val="none"/>
                    </w:rPr>
                  </w:pPr>
                </w:p>
              </w:tc>
              <w:tc>
                <w:tcPr>
                  <w:tcW w:w="1645" w:type="dxa"/>
                  <w:gridSpan w:val="3"/>
                  <w:tcBorders>
                    <w:tl2br w:val="nil"/>
                    <w:tr2bl w:val="nil"/>
                  </w:tcBorders>
                  <w:vAlign w:val="center"/>
                </w:tcPr>
                <w:p w14:paraId="7D5A5053">
                  <w:pPr>
                    <w:pStyle w:val="40"/>
                    <w:bidi w:val="0"/>
                    <w:rPr>
                      <w:rFonts w:hint="eastAsia"/>
                      <w:color w:val="auto"/>
                      <w:spacing w:val="-6"/>
                      <w:sz w:val="21"/>
                      <w:highlight w:val="none"/>
                      <w:lang w:val="en-US" w:eastAsia="zh-CN"/>
                    </w:rPr>
                  </w:pPr>
                  <w:r>
                    <w:rPr>
                      <w:color w:val="auto"/>
                      <w:spacing w:val="-6"/>
                      <w:sz w:val="21"/>
                      <w:highlight w:val="none"/>
                    </w:rPr>
                    <w:t>道路、运输扬尘</w:t>
                  </w:r>
                </w:p>
              </w:tc>
              <w:tc>
                <w:tcPr>
                  <w:tcW w:w="5951" w:type="dxa"/>
                  <w:tcBorders>
                    <w:tl2br w:val="nil"/>
                    <w:tr2bl w:val="nil"/>
                  </w:tcBorders>
                  <w:vAlign w:val="center"/>
                </w:tcPr>
                <w:p w14:paraId="3F9768B4">
                  <w:pPr>
                    <w:pStyle w:val="40"/>
                    <w:bidi w:val="0"/>
                    <w:rPr>
                      <w:rFonts w:hint="default"/>
                      <w:color w:val="auto"/>
                      <w:highlight w:val="none"/>
                    </w:rPr>
                  </w:pPr>
                  <w:r>
                    <w:rPr>
                      <w:color w:val="auto"/>
                      <w:highlight w:val="none"/>
                    </w:rPr>
                    <w:t>道路进行硬化，定期清扫和洒水，车辆限速，在</w:t>
                  </w:r>
                  <w:r>
                    <w:rPr>
                      <w:rFonts w:hint="eastAsia"/>
                      <w:color w:val="auto"/>
                      <w:highlight w:val="none"/>
                    </w:rPr>
                    <w:t>厂区</w:t>
                  </w:r>
                  <w:r>
                    <w:rPr>
                      <w:rFonts w:hint="eastAsia"/>
                      <w:color w:val="auto"/>
                      <w:highlight w:val="none"/>
                      <w:lang w:val="en-US" w:eastAsia="zh-CN"/>
                    </w:rPr>
                    <w:t>出入口设置</w:t>
                  </w:r>
                  <w:r>
                    <w:rPr>
                      <w:color w:val="auto"/>
                      <w:highlight w:val="none"/>
                    </w:rPr>
                    <w:t>洗车台</w:t>
                  </w:r>
                </w:p>
              </w:tc>
            </w:tr>
            <w:tr w14:paraId="1313BB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6C492E93">
                  <w:pPr>
                    <w:pStyle w:val="40"/>
                    <w:bidi w:val="0"/>
                    <w:jc w:val="center"/>
                    <w:rPr>
                      <w:rFonts w:hint="default"/>
                      <w:color w:val="auto"/>
                      <w:highlight w:val="none"/>
                    </w:rPr>
                  </w:pPr>
                </w:p>
              </w:tc>
              <w:tc>
                <w:tcPr>
                  <w:tcW w:w="398" w:type="dxa"/>
                  <w:vMerge w:val="continue"/>
                  <w:tcBorders>
                    <w:tl2br w:val="nil"/>
                    <w:tr2bl w:val="nil"/>
                  </w:tcBorders>
                  <w:vAlign w:val="center"/>
                </w:tcPr>
                <w:p w14:paraId="7B775567">
                  <w:pPr>
                    <w:pStyle w:val="40"/>
                    <w:bidi w:val="0"/>
                    <w:jc w:val="center"/>
                    <w:rPr>
                      <w:rFonts w:hint="default"/>
                      <w:color w:val="auto"/>
                      <w:highlight w:val="none"/>
                    </w:rPr>
                  </w:pPr>
                </w:p>
              </w:tc>
              <w:tc>
                <w:tcPr>
                  <w:tcW w:w="1645" w:type="dxa"/>
                  <w:gridSpan w:val="3"/>
                  <w:tcBorders>
                    <w:tl2br w:val="nil"/>
                    <w:tr2bl w:val="nil"/>
                  </w:tcBorders>
                  <w:vAlign w:val="center"/>
                </w:tcPr>
                <w:p w14:paraId="58A9C75C">
                  <w:pPr>
                    <w:pStyle w:val="40"/>
                    <w:bidi w:val="0"/>
                    <w:rPr>
                      <w:rFonts w:hint="eastAsia"/>
                      <w:color w:val="auto"/>
                      <w:spacing w:val="-6"/>
                      <w:sz w:val="21"/>
                      <w:highlight w:val="none"/>
                      <w:lang w:val="en-US" w:eastAsia="zh-CN"/>
                    </w:rPr>
                  </w:pPr>
                  <w:r>
                    <w:rPr>
                      <w:rFonts w:hint="eastAsia"/>
                      <w:color w:val="auto"/>
                      <w:spacing w:val="-6"/>
                      <w:sz w:val="21"/>
                      <w:highlight w:val="none"/>
                    </w:rPr>
                    <w:t>厂界无组织粉尘</w:t>
                  </w:r>
                </w:p>
              </w:tc>
              <w:tc>
                <w:tcPr>
                  <w:tcW w:w="5951" w:type="dxa"/>
                  <w:tcBorders>
                    <w:tl2br w:val="nil"/>
                    <w:tr2bl w:val="nil"/>
                  </w:tcBorders>
                  <w:vAlign w:val="center"/>
                </w:tcPr>
                <w:p w14:paraId="59744826">
                  <w:pPr>
                    <w:pStyle w:val="40"/>
                    <w:bidi w:val="0"/>
                    <w:rPr>
                      <w:rFonts w:hint="default"/>
                      <w:color w:val="auto"/>
                      <w:highlight w:val="none"/>
                    </w:rPr>
                  </w:pPr>
                  <w:r>
                    <w:rPr>
                      <w:rFonts w:hint="eastAsia"/>
                      <w:color w:val="auto"/>
                      <w:highlight w:val="none"/>
                    </w:rPr>
                    <w:t>在厂界四周设4台扬尘在线监测设备</w:t>
                  </w:r>
                  <w:r>
                    <w:rPr>
                      <w:rFonts w:hint="eastAsia"/>
                      <w:color w:val="auto"/>
                      <w:highlight w:val="none"/>
                      <w:lang w:val="en-US" w:eastAsia="zh-CN"/>
                    </w:rPr>
                    <w:t>及</w:t>
                  </w:r>
                  <w:r>
                    <w:rPr>
                      <w:rFonts w:hint="eastAsia"/>
                      <w:color w:val="auto"/>
                      <w:highlight w:val="none"/>
                    </w:rPr>
                    <w:t>门禁系统</w:t>
                  </w:r>
                </w:p>
              </w:tc>
            </w:tr>
            <w:tr w14:paraId="576AA5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7F5402F3">
                  <w:pPr>
                    <w:pStyle w:val="40"/>
                    <w:bidi w:val="0"/>
                    <w:jc w:val="center"/>
                    <w:rPr>
                      <w:rFonts w:hint="default"/>
                      <w:color w:val="auto"/>
                      <w:highlight w:val="none"/>
                    </w:rPr>
                  </w:pPr>
                </w:p>
              </w:tc>
              <w:tc>
                <w:tcPr>
                  <w:tcW w:w="398" w:type="dxa"/>
                  <w:vMerge w:val="restart"/>
                  <w:tcBorders>
                    <w:tl2br w:val="nil"/>
                    <w:tr2bl w:val="nil"/>
                  </w:tcBorders>
                  <w:vAlign w:val="center"/>
                </w:tcPr>
                <w:p w14:paraId="5D222F2E">
                  <w:pPr>
                    <w:pStyle w:val="40"/>
                    <w:bidi w:val="0"/>
                    <w:jc w:val="center"/>
                    <w:rPr>
                      <w:rFonts w:hint="default" w:eastAsia="宋体"/>
                      <w:color w:val="auto"/>
                      <w:highlight w:val="none"/>
                      <w:lang w:val="en-US" w:eastAsia="zh-CN"/>
                    </w:rPr>
                  </w:pPr>
                  <w:r>
                    <w:rPr>
                      <w:rFonts w:hint="eastAsia"/>
                      <w:color w:val="auto"/>
                      <w:highlight w:val="none"/>
                      <w:lang w:val="en-US" w:eastAsia="zh-CN"/>
                    </w:rPr>
                    <w:t>废水</w:t>
                  </w:r>
                </w:p>
              </w:tc>
              <w:tc>
                <w:tcPr>
                  <w:tcW w:w="1645" w:type="dxa"/>
                  <w:gridSpan w:val="3"/>
                  <w:tcBorders>
                    <w:tl2br w:val="nil"/>
                    <w:tr2bl w:val="nil"/>
                  </w:tcBorders>
                  <w:vAlign w:val="center"/>
                </w:tcPr>
                <w:p w14:paraId="35E7848C">
                  <w:pPr>
                    <w:pStyle w:val="40"/>
                    <w:bidi w:val="0"/>
                    <w:jc w:val="center"/>
                    <w:rPr>
                      <w:rFonts w:hint="default"/>
                      <w:color w:val="auto"/>
                      <w:spacing w:val="-6"/>
                      <w:sz w:val="21"/>
                      <w:highlight w:val="none"/>
                      <w:lang w:val="en-US" w:eastAsia="zh-CN"/>
                    </w:rPr>
                  </w:pPr>
                  <w:r>
                    <w:rPr>
                      <w:rFonts w:hint="eastAsia"/>
                      <w:color w:val="auto"/>
                      <w:spacing w:val="-6"/>
                      <w:sz w:val="21"/>
                      <w:highlight w:val="none"/>
                      <w:lang w:val="en-US" w:eastAsia="zh-CN"/>
                    </w:rPr>
                    <w:t>生活污水</w:t>
                  </w:r>
                </w:p>
              </w:tc>
              <w:tc>
                <w:tcPr>
                  <w:tcW w:w="5951" w:type="dxa"/>
                  <w:tcBorders>
                    <w:tl2br w:val="nil"/>
                    <w:tr2bl w:val="nil"/>
                  </w:tcBorders>
                  <w:vAlign w:val="center"/>
                </w:tcPr>
                <w:p w14:paraId="34CB24CC">
                  <w:pPr>
                    <w:pStyle w:val="40"/>
                    <w:bidi w:val="0"/>
                    <w:rPr>
                      <w:rFonts w:hint="default"/>
                      <w:b/>
                      <w:bCs/>
                      <w:color w:val="auto"/>
                      <w:highlight w:val="none"/>
                    </w:rPr>
                  </w:pPr>
                  <w:r>
                    <w:rPr>
                      <w:rFonts w:hint="eastAsia"/>
                      <w:color w:val="auto"/>
                      <w:highlight w:val="none"/>
                      <w:lang w:val="en-US" w:eastAsia="zh-CN"/>
                    </w:rPr>
                    <w:t>设置</w:t>
                  </w:r>
                  <w:r>
                    <w:rPr>
                      <w:rFonts w:hint="eastAsia"/>
                      <w:color w:val="auto"/>
                      <w:highlight w:val="none"/>
                    </w:rPr>
                    <w:t>卫生防渗旱厕，</w:t>
                  </w:r>
                  <w:r>
                    <w:rPr>
                      <w:color w:val="auto"/>
                      <w:highlight w:val="none"/>
                    </w:rPr>
                    <w:t>定期清掏外运用作农肥</w:t>
                  </w:r>
                  <w:r>
                    <w:rPr>
                      <w:rFonts w:hint="eastAsia"/>
                      <w:color w:val="auto"/>
                      <w:highlight w:val="none"/>
                    </w:rPr>
                    <w:t>，</w:t>
                  </w:r>
                  <w:r>
                    <w:rPr>
                      <w:color w:val="auto"/>
                      <w:highlight w:val="none"/>
                    </w:rPr>
                    <w:t>不外排</w:t>
                  </w:r>
                  <w:r>
                    <w:rPr>
                      <w:rFonts w:hint="eastAsia"/>
                      <w:color w:val="auto"/>
                      <w:highlight w:val="none"/>
                    </w:rPr>
                    <w:t>；</w:t>
                  </w:r>
                  <w:r>
                    <w:rPr>
                      <w:color w:val="auto"/>
                      <w:highlight w:val="none"/>
                    </w:rPr>
                    <w:t>生活污水</w:t>
                  </w:r>
                  <w:r>
                    <w:rPr>
                      <w:rFonts w:hint="eastAsia"/>
                      <w:color w:val="auto"/>
                      <w:highlight w:val="none"/>
                    </w:rPr>
                    <w:t>主要为生活盥洗废水和食堂废水，经沉淀池（</w:t>
                  </w:r>
                  <w:r>
                    <w:rPr>
                      <w:rFonts w:hint="eastAsia"/>
                      <w:color w:val="auto"/>
                      <w:highlight w:val="none"/>
                      <w:lang w:val="en-US" w:eastAsia="zh-CN"/>
                    </w:rPr>
                    <w:t>2</w:t>
                  </w:r>
                  <w:r>
                    <w:rPr>
                      <w:rFonts w:hint="eastAsia"/>
                      <w:color w:val="auto"/>
                      <w:highlight w:val="none"/>
                    </w:rPr>
                    <w:t>m</w:t>
                  </w:r>
                  <w:r>
                    <w:rPr>
                      <w:rFonts w:hint="eastAsia"/>
                      <w:color w:val="auto"/>
                      <w:highlight w:val="none"/>
                      <w:vertAlign w:val="superscript"/>
                    </w:rPr>
                    <w:t>3</w:t>
                  </w:r>
                  <w:r>
                    <w:rPr>
                      <w:rFonts w:hint="eastAsia"/>
                      <w:color w:val="auto"/>
                      <w:highlight w:val="none"/>
                    </w:rPr>
                    <w:t>）处理后用于厂区洒水抑尘，不外排</w:t>
                  </w:r>
                </w:p>
              </w:tc>
            </w:tr>
            <w:tr w14:paraId="5A6121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35BE73CD">
                  <w:pPr>
                    <w:pStyle w:val="40"/>
                    <w:bidi w:val="0"/>
                    <w:jc w:val="center"/>
                    <w:rPr>
                      <w:rFonts w:hint="default"/>
                      <w:color w:val="auto"/>
                      <w:highlight w:val="none"/>
                    </w:rPr>
                  </w:pPr>
                </w:p>
              </w:tc>
              <w:tc>
                <w:tcPr>
                  <w:tcW w:w="398" w:type="dxa"/>
                  <w:vMerge w:val="continue"/>
                  <w:tcBorders>
                    <w:tl2br w:val="nil"/>
                    <w:tr2bl w:val="nil"/>
                  </w:tcBorders>
                  <w:vAlign w:val="center"/>
                </w:tcPr>
                <w:p w14:paraId="013F5D96">
                  <w:pPr>
                    <w:pStyle w:val="40"/>
                    <w:bidi w:val="0"/>
                    <w:jc w:val="center"/>
                    <w:rPr>
                      <w:rFonts w:hint="default"/>
                      <w:color w:val="auto"/>
                      <w:highlight w:val="none"/>
                    </w:rPr>
                  </w:pPr>
                </w:p>
              </w:tc>
              <w:tc>
                <w:tcPr>
                  <w:tcW w:w="399" w:type="dxa"/>
                  <w:vMerge w:val="restart"/>
                  <w:tcBorders>
                    <w:tl2br w:val="nil"/>
                    <w:tr2bl w:val="nil"/>
                  </w:tcBorders>
                  <w:shd w:val="clear" w:color="auto" w:fill="auto"/>
                  <w:vAlign w:val="center"/>
                </w:tcPr>
                <w:p w14:paraId="4E272313">
                  <w:pPr>
                    <w:pStyle w:val="40"/>
                    <w:bidi w:val="0"/>
                    <w:ind w:firstLine="0" w:firstLineChars="0"/>
                    <w:jc w:val="center"/>
                    <w:rPr>
                      <w:rFonts w:hint="eastAsia"/>
                      <w:color w:val="auto"/>
                      <w:spacing w:val="-6"/>
                      <w:sz w:val="21"/>
                      <w:highlight w:val="none"/>
                      <w:lang w:val="en-US" w:eastAsia="zh-CN"/>
                    </w:rPr>
                  </w:pPr>
                  <w:r>
                    <w:rPr>
                      <w:rFonts w:hint="eastAsia"/>
                      <w:color w:val="auto"/>
                      <w:highlight w:val="none"/>
                      <w:lang w:val="en-US" w:eastAsia="zh-CN"/>
                    </w:rPr>
                    <w:t>锅炉</w:t>
                  </w:r>
                </w:p>
              </w:tc>
              <w:tc>
                <w:tcPr>
                  <w:tcW w:w="1246" w:type="dxa"/>
                  <w:gridSpan w:val="2"/>
                  <w:tcBorders>
                    <w:tl2br w:val="nil"/>
                    <w:tr2bl w:val="nil"/>
                  </w:tcBorders>
                  <w:shd w:val="clear" w:color="auto" w:fill="auto"/>
                  <w:vAlign w:val="center"/>
                </w:tcPr>
                <w:p w14:paraId="4C7C8855">
                  <w:pPr>
                    <w:pStyle w:val="40"/>
                    <w:bidi w:val="0"/>
                    <w:ind w:firstLine="0" w:firstLineChars="0"/>
                    <w:jc w:val="center"/>
                    <w:rPr>
                      <w:rFonts w:hint="eastAsia"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sz w:val="21"/>
                      <w:highlight w:val="none"/>
                      <w:lang w:val="en-US" w:eastAsia="zh-CN"/>
                    </w:rPr>
                    <w:t>W1锅炉定排水</w:t>
                  </w:r>
                </w:p>
              </w:tc>
              <w:tc>
                <w:tcPr>
                  <w:tcW w:w="5951" w:type="dxa"/>
                  <w:vMerge w:val="restart"/>
                  <w:tcBorders>
                    <w:tl2br w:val="nil"/>
                    <w:tr2bl w:val="nil"/>
                  </w:tcBorders>
                  <w:vAlign w:val="center"/>
                </w:tcPr>
                <w:p w14:paraId="528AB202">
                  <w:pPr>
                    <w:pStyle w:val="40"/>
                    <w:bidi w:val="0"/>
                    <w:rPr>
                      <w:color w:val="auto"/>
                      <w:sz w:val="21"/>
                      <w:szCs w:val="21"/>
                      <w:highlight w:val="none"/>
                    </w:rPr>
                  </w:pPr>
                  <w:r>
                    <w:rPr>
                      <w:rFonts w:hint="eastAsia"/>
                      <w:color w:val="auto"/>
                      <w:highlight w:val="none"/>
                    </w:rPr>
                    <w:t>设置暂存池</w:t>
                  </w:r>
                  <w:r>
                    <w:rPr>
                      <w:rFonts w:hint="eastAsia"/>
                      <w:color w:val="auto"/>
                      <w:highlight w:val="none"/>
                      <w:lang w:eastAsia="zh-CN"/>
                    </w:rPr>
                    <w:t>（</w:t>
                  </w:r>
                  <w:r>
                    <w:rPr>
                      <w:rFonts w:hint="eastAsia"/>
                      <w:color w:val="auto"/>
                      <w:highlight w:val="none"/>
                      <w:lang w:val="en-US" w:eastAsia="zh-CN"/>
                    </w:rPr>
                    <w:t>10</w:t>
                  </w:r>
                  <w:r>
                    <w:rPr>
                      <w:rFonts w:hint="eastAsia"/>
                      <w:color w:val="auto"/>
                      <w:highlight w:val="none"/>
                    </w:rPr>
                    <w:t>m</w:t>
                  </w:r>
                  <w:r>
                    <w:rPr>
                      <w:rFonts w:hint="eastAsia"/>
                      <w:color w:val="auto"/>
                      <w:highlight w:val="none"/>
                      <w:vertAlign w:val="superscript"/>
                    </w:rPr>
                    <w:t>3</w:t>
                  </w:r>
                  <w:r>
                    <w:rPr>
                      <w:rFonts w:hint="eastAsia"/>
                      <w:color w:val="auto"/>
                      <w:highlight w:val="none"/>
                      <w:lang w:eastAsia="zh-CN"/>
                    </w:rPr>
                    <w:t>）</w:t>
                  </w:r>
                  <w:r>
                    <w:rPr>
                      <w:rFonts w:hint="eastAsia"/>
                      <w:color w:val="auto"/>
                      <w:highlight w:val="none"/>
                      <w:lang w:val="en-US" w:eastAsia="zh-CN"/>
                    </w:rPr>
                    <w:t>1</w:t>
                  </w:r>
                  <w:r>
                    <w:rPr>
                      <w:rFonts w:hint="eastAsia"/>
                      <w:color w:val="auto"/>
                      <w:highlight w:val="none"/>
                    </w:rPr>
                    <w:t>座，收集后回用于</w:t>
                  </w:r>
                  <w:r>
                    <w:rPr>
                      <w:rFonts w:hint="eastAsia"/>
                      <w:color w:val="auto"/>
                      <w:highlight w:val="none"/>
                      <w:lang w:val="en-US" w:eastAsia="zh-CN"/>
                    </w:rPr>
                    <w:t>混凝土搅拌工序</w:t>
                  </w:r>
                  <w:r>
                    <w:rPr>
                      <w:rFonts w:hint="eastAsia"/>
                      <w:color w:val="auto"/>
                      <w:highlight w:val="none"/>
                    </w:rPr>
                    <w:t>，不外排</w:t>
                  </w:r>
                </w:p>
              </w:tc>
            </w:tr>
            <w:tr w14:paraId="72AB67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7CCA7D93">
                  <w:pPr>
                    <w:pStyle w:val="40"/>
                    <w:bidi w:val="0"/>
                    <w:jc w:val="center"/>
                    <w:rPr>
                      <w:rFonts w:hint="default"/>
                      <w:color w:val="auto"/>
                      <w:highlight w:val="none"/>
                    </w:rPr>
                  </w:pPr>
                </w:p>
              </w:tc>
              <w:tc>
                <w:tcPr>
                  <w:tcW w:w="398" w:type="dxa"/>
                  <w:vMerge w:val="continue"/>
                  <w:tcBorders>
                    <w:tl2br w:val="nil"/>
                    <w:tr2bl w:val="nil"/>
                  </w:tcBorders>
                  <w:vAlign w:val="center"/>
                </w:tcPr>
                <w:p w14:paraId="791843DA">
                  <w:pPr>
                    <w:pStyle w:val="40"/>
                    <w:bidi w:val="0"/>
                    <w:jc w:val="center"/>
                    <w:rPr>
                      <w:rFonts w:hint="default"/>
                      <w:color w:val="auto"/>
                      <w:highlight w:val="none"/>
                    </w:rPr>
                  </w:pPr>
                </w:p>
              </w:tc>
              <w:tc>
                <w:tcPr>
                  <w:tcW w:w="399" w:type="dxa"/>
                  <w:vMerge w:val="continue"/>
                  <w:tcBorders>
                    <w:tl2br w:val="nil"/>
                    <w:tr2bl w:val="nil"/>
                  </w:tcBorders>
                  <w:vAlign w:val="center"/>
                </w:tcPr>
                <w:p w14:paraId="63FF5C30">
                  <w:pPr>
                    <w:pStyle w:val="40"/>
                    <w:bidi w:val="0"/>
                    <w:jc w:val="center"/>
                    <w:rPr>
                      <w:rFonts w:hint="eastAsia"/>
                      <w:color w:val="auto"/>
                      <w:spacing w:val="-6"/>
                      <w:sz w:val="21"/>
                      <w:highlight w:val="none"/>
                      <w:lang w:val="en-US" w:eastAsia="zh-CN"/>
                    </w:rPr>
                  </w:pPr>
                </w:p>
              </w:tc>
              <w:tc>
                <w:tcPr>
                  <w:tcW w:w="1246" w:type="dxa"/>
                  <w:gridSpan w:val="2"/>
                  <w:tcBorders>
                    <w:tl2br w:val="nil"/>
                    <w:tr2bl w:val="nil"/>
                  </w:tcBorders>
                  <w:shd w:val="clear" w:color="auto" w:fill="auto"/>
                  <w:vAlign w:val="center"/>
                </w:tcPr>
                <w:p w14:paraId="611622F1">
                  <w:pPr>
                    <w:pStyle w:val="40"/>
                    <w:bidi w:val="0"/>
                    <w:ind w:firstLine="0" w:firstLineChars="0"/>
                    <w:jc w:val="center"/>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sz w:val="21"/>
                      <w:highlight w:val="none"/>
                      <w:lang w:val="en-US" w:eastAsia="zh-CN"/>
                    </w:rPr>
                    <w:t>W2蒸汽凝结水</w:t>
                  </w:r>
                </w:p>
              </w:tc>
              <w:tc>
                <w:tcPr>
                  <w:tcW w:w="5951" w:type="dxa"/>
                  <w:vMerge w:val="continue"/>
                  <w:tcBorders>
                    <w:tl2br w:val="nil"/>
                    <w:tr2bl w:val="nil"/>
                  </w:tcBorders>
                  <w:vAlign w:val="center"/>
                </w:tcPr>
                <w:p w14:paraId="7FB812A1">
                  <w:pPr>
                    <w:pStyle w:val="40"/>
                    <w:bidi w:val="0"/>
                    <w:jc w:val="center"/>
                    <w:rPr>
                      <w:color w:val="auto"/>
                      <w:sz w:val="21"/>
                      <w:szCs w:val="21"/>
                      <w:highlight w:val="none"/>
                    </w:rPr>
                  </w:pPr>
                </w:p>
              </w:tc>
            </w:tr>
            <w:tr w14:paraId="7D8BF6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2795BF4C">
                  <w:pPr>
                    <w:pStyle w:val="40"/>
                    <w:bidi w:val="0"/>
                    <w:jc w:val="center"/>
                    <w:rPr>
                      <w:rFonts w:hint="default"/>
                      <w:color w:val="auto"/>
                      <w:highlight w:val="none"/>
                    </w:rPr>
                  </w:pPr>
                </w:p>
              </w:tc>
              <w:tc>
                <w:tcPr>
                  <w:tcW w:w="398" w:type="dxa"/>
                  <w:vMerge w:val="continue"/>
                  <w:tcBorders>
                    <w:tl2br w:val="nil"/>
                    <w:tr2bl w:val="nil"/>
                  </w:tcBorders>
                  <w:vAlign w:val="center"/>
                </w:tcPr>
                <w:p w14:paraId="4B1B9664">
                  <w:pPr>
                    <w:pStyle w:val="40"/>
                    <w:bidi w:val="0"/>
                    <w:jc w:val="center"/>
                    <w:rPr>
                      <w:rFonts w:hint="default"/>
                      <w:color w:val="auto"/>
                      <w:highlight w:val="none"/>
                    </w:rPr>
                  </w:pPr>
                </w:p>
              </w:tc>
              <w:tc>
                <w:tcPr>
                  <w:tcW w:w="399" w:type="dxa"/>
                  <w:vMerge w:val="continue"/>
                  <w:tcBorders>
                    <w:tl2br w:val="nil"/>
                    <w:tr2bl w:val="nil"/>
                  </w:tcBorders>
                  <w:vAlign w:val="center"/>
                </w:tcPr>
                <w:p w14:paraId="52EDC705">
                  <w:pPr>
                    <w:pStyle w:val="40"/>
                    <w:bidi w:val="0"/>
                    <w:jc w:val="center"/>
                    <w:rPr>
                      <w:rFonts w:hint="eastAsia"/>
                      <w:color w:val="auto"/>
                      <w:spacing w:val="-6"/>
                      <w:sz w:val="21"/>
                      <w:highlight w:val="none"/>
                      <w:lang w:val="en-US" w:eastAsia="zh-CN"/>
                    </w:rPr>
                  </w:pPr>
                </w:p>
              </w:tc>
              <w:tc>
                <w:tcPr>
                  <w:tcW w:w="1246" w:type="dxa"/>
                  <w:gridSpan w:val="2"/>
                  <w:tcBorders>
                    <w:tl2br w:val="nil"/>
                    <w:tr2bl w:val="nil"/>
                  </w:tcBorders>
                  <w:shd w:val="clear" w:color="auto" w:fill="auto"/>
                  <w:vAlign w:val="center"/>
                </w:tcPr>
                <w:p w14:paraId="6B70B32B">
                  <w:pPr>
                    <w:pStyle w:val="40"/>
                    <w:bidi w:val="0"/>
                    <w:ind w:firstLine="0" w:firstLineChars="0"/>
                    <w:jc w:val="center"/>
                    <w:rPr>
                      <w:rFonts w:hint="eastAsia"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sz w:val="21"/>
                      <w:highlight w:val="none"/>
                      <w:lang w:val="en-US" w:eastAsia="zh-CN"/>
                    </w:rPr>
                    <w:t>W3</w:t>
                  </w:r>
                  <w:r>
                    <w:rPr>
                      <w:rFonts w:hint="eastAsia"/>
                      <w:color w:val="auto"/>
                      <w:highlight w:val="none"/>
                      <w:lang w:val="en-US" w:eastAsia="zh-CN"/>
                    </w:rPr>
                    <w:t>离子交换树脂再生废水</w:t>
                  </w:r>
                </w:p>
              </w:tc>
              <w:tc>
                <w:tcPr>
                  <w:tcW w:w="5951" w:type="dxa"/>
                  <w:vMerge w:val="continue"/>
                  <w:tcBorders>
                    <w:tl2br w:val="nil"/>
                    <w:tr2bl w:val="nil"/>
                  </w:tcBorders>
                  <w:vAlign w:val="center"/>
                </w:tcPr>
                <w:p w14:paraId="105EA465">
                  <w:pPr>
                    <w:pStyle w:val="40"/>
                    <w:bidi w:val="0"/>
                    <w:jc w:val="center"/>
                    <w:rPr>
                      <w:color w:val="auto"/>
                      <w:sz w:val="21"/>
                      <w:szCs w:val="21"/>
                      <w:highlight w:val="none"/>
                    </w:rPr>
                  </w:pPr>
                </w:p>
              </w:tc>
            </w:tr>
            <w:tr w14:paraId="05D7D7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28874837">
                  <w:pPr>
                    <w:pStyle w:val="40"/>
                    <w:bidi w:val="0"/>
                    <w:jc w:val="center"/>
                    <w:rPr>
                      <w:rFonts w:hint="default"/>
                      <w:color w:val="auto"/>
                      <w:highlight w:val="none"/>
                    </w:rPr>
                  </w:pPr>
                </w:p>
              </w:tc>
              <w:tc>
                <w:tcPr>
                  <w:tcW w:w="398" w:type="dxa"/>
                  <w:vMerge w:val="continue"/>
                  <w:tcBorders>
                    <w:tl2br w:val="nil"/>
                    <w:tr2bl w:val="nil"/>
                  </w:tcBorders>
                  <w:vAlign w:val="center"/>
                </w:tcPr>
                <w:p w14:paraId="20E56405">
                  <w:pPr>
                    <w:pStyle w:val="40"/>
                    <w:bidi w:val="0"/>
                    <w:jc w:val="center"/>
                    <w:rPr>
                      <w:rFonts w:hint="default"/>
                      <w:color w:val="auto"/>
                      <w:highlight w:val="none"/>
                    </w:rPr>
                  </w:pPr>
                </w:p>
              </w:tc>
              <w:tc>
                <w:tcPr>
                  <w:tcW w:w="399" w:type="dxa"/>
                  <w:vMerge w:val="restart"/>
                  <w:tcBorders>
                    <w:tl2br w:val="nil"/>
                    <w:tr2bl w:val="nil"/>
                  </w:tcBorders>
                  <w:vAlign w:val="center"/>
                </w:tcPr>
                <w:p w14:paraId="4B017E61">
                  <w:pPr>
                    <w:pStyle w:val="40"/>
                    <w:bidi w:val="0"/>
                    <w:jc w:val="center"/>
                    <w:rPr>
                      <w:rFonts w:hint="default"/>
                      <w:color w:val="auto"/>
                      <w:spacing w:val="-6"/>
                      <w:sz w:val="21"/>
                      <w:highlight w:val="none"/>
                      <w:lang w:val="en-US" w:eastAsia="zh-CN"/>
                    </w:rPr>
                  </w:pPr>
                  <w:r>
                    <w:rPr>
                      <w:rFonts w:hint="eastAsia"/>
                      <w:color w:val="auto"/>
                      <w:spacing w:val="-6"/>
                      <w:sz w:val="21"/>
                      <w:highlight w:val="none"/>
                      <w:lang w:val="en-US" w:eastAsia="zh-CN"/>
                    </w:rPr>
                    <w:t>生产废水</w:t>
                  </w:r>
                </w:p>
              </w:tc>
              <w:tc>
                <w:tcPr>
                  <w:tcW w:w="1246" w:type="dxa"/>
                  <w:gridSpan w:val="2"/>
                  <w:tcBorders>
                    <w:tl2br w:val="nil"/>
                    <w:tr2bl w:val="nil"/>
                  </w:tcBorders>
                  <w:vAlign w:val="center"/>
                </w:tcPr>
                <w:p w14:paraId="626E03A6">
                  <w:pPr>
                    <w:pStyle w:val="40"/>
                    <w:bidi w:val="0"/>
                    <w:jc w:val="center"/>
                    <w:rPr>
                      <w:rFonts w:hint="default"/>
                      <w:color w:val="auto"/>
                      <w:spacing w:val="-6"/>
                      <w:sz w:val="21"/>
                      <w:highlight w:val="none"/>
                      <w:lang w:val="en-US" w:eastAsia="zh-CN"/>
                    </w:rPr>
                  </w:pPr>
                  <w:r>
                    <w:rPr>
                      <w:rFonts w:hint="eastAsia"/>
                      <w:color w:val="auto"/>
                      <w:spacing w:val="-6"/>
                      <w:sz w:val="21"/>
                      <w:highlight w:val="none"/>
                      <w:lang w:val="en-US" w:eastAsia="zh-CN"/>
                    </w:rPr>
                    <w:t>W4设备清洗废水</w:t>
                  </w:r>
                </w:p>
              </w:tc>
              <w:tc>
                <w:tcPr>
                  <w:tcW w:w="5951" w:type="dxa"/>
                  <w:tcBorders>
                    <w:tl2br w:val="nil"/>
                    <w:tr2bl w:val="nil"/>
                  </w:tcBorders>
                  <w:vAlign w:val="center"/>
                </w:tcPr>
                <w:p w14:paraId="055C2DE4">
                  <w:pPr>
                    <w:pStyle w:val="40"/>
                    <w:bidi w:val="0"/>
                    <w:jc w:val="center"/>
                    <w:rPr>
                      <w:rFonts w:hint="default"/>
                      <w:color w:val="auto"/>
                      <w:highlight w:val="none"/>
                    </w:rPr>
                  </w:pPr>
                  <w:r>
                    <w:rPr>
                      <w:color w:val="auto"/>
                      <w:sz w:val="21"/>
                      <w:szCs w:val="21"/>
                      <w:highlight w:val="none"/>
                    </w:rPr>
                    <w:t>设置</w:t>
                  </w:r>
                  <w:r>
                    <w:rPr>
                      <w:rFonts w:hint="eastAsia"/>
                      <w:color w:val="auto"/>
                      <w:sz w:val="21"/>
                      <w:szCs w:val="21"/>
                      <w:highlight w:val="none"/>
                      <w:lang w:val="en-US" w:eastAsia="zh-CN"/>
                    </w:rPr>
                    <w:t>三级</w:t>
                  </w:r>
                  <w:r>
                    <w:rPr>
                      <w:color w:val="auto"/>
                      <w:sz w:val="21"/>
                      <w:szCs w:val="21"/>
                      <w:highlight w:val="none"/>
                    </w:rPr>
                    <w:t>沉淀池</w:t>
                  </w:r>
                  <w:r>
                    <w:rPr>
                      <w:rFonts w:hint="eastAsia"/>
                      <w:color w:val="auto"/>
                      <w:sz w:val="21"/>
                      <w:szCs w:val="21"/>
                      <w:highlight w:val="none"/>
                      <w:lang w:eastAsia="zh-CN"/>
                    </w:rPr>
                    <w:t>（</w:t>
                  </w:r>
                  <w:r>
                    <w:rPr>
                      <w:rFonts w:hint="eastAsia"/>
                      <w:color w:val="auto"/>
                      <w:sz w:val="21"/>
                      <w:szCs w:val="21"/>
                      <w:highlight w:val="none"/>
                      <w:lang w:val="en-US" w:eastAsia="zh-CN"/>
                    </w:rPr>
                    <w:t>3×20m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w:t>
                  </w:r>
                  <w:r>
                    <w:rPr>
                      <w:color w:val="auto"/>
                      <w:sz w:val="21"/>
                      <w:szCs w:val="21"/>
                      <w:highlight w:val="none"/>
                    </w:rPr>
                    <w:t>1座，</w:t>
                  </w:r>
                  <w:r>
                    <w:rPr>
                      <w:rFonts w:hint="eastAsia"/>
                      <w:color w:val="auto"/>
                      <w:sz w:val="21"/>
                      <w:szCs w:val="21"/>
                      <w:highlight w:val="none"/>
                      <w:lang w:val="en-US" w:eastAsia="zh-CN"/>
                    </w:rPr>
                    <w:t>砂石分离机1台。</w:t>
                  </w:r>
                  <w:r>
                    <w:rPr>
                      <w:rFonts w:hint="eastAsia"/>
                      <w:color w:val="auto"/>
                      <w:sz w:val="21"/>
                      <w:szCs w:val="21"/>
                      <w:highlight w:val="none"/>
                    </w:rPr>
                    <w:t>设备</w:t>
                  </w:r>
                  <w:r>
                    <w:rPr>
                      <w:rFonts w:hint="eastAsia"/>
                      <w:color w:val="auto"/>
                      <w:sz w:val="21"/>
                      <w:szCs w:val="21"/>
                      <w:highlight w:val="none"/>
                      <w:lang w:val="en-US" w:eastAsia="zh-CN"/>
                    </w:rPr>
                    <w:t>清洗</w:t>
                  </w:r>
                  <w:r>
                    <w:rPr>
                      <w:color w:val="auto"/>
                      <w:sz w:val="21"/>
                      <w:szCs w:val="21"/>
                      <w:highlight w:val="none"/>
                    </w:rPr>
                    <w:t>废水经砂石分离</w:t>
                  </w:r>
                  <w:r>
                    <w:rPr>
                      <w:rFonts w:hint="eastAsia"/>
                      <w:color w:val="auto"/>
                      <w:sz w:val="21"/>
                      <w:szCs w:val="21"/>
                      <w:highlight w:val="none"/>
                    </w:rPr>
                    <w:t>机</w:t>
                  </w:r>
                  <w:r>
                    <w:rPr>
                      <w:color w:val="auto"/>
                      <w:sz w:val="21"/>
                      <w:szCs w:val="21"/>
                      <w:highlight w:val="none"/>
                    </w:rPr>
                    <w:t>、</w:t>
                  </w:r>
                  <w:r>
                    <w:rPr>
                      <w:rFonts w:hint="eastAsia"/>
                      <w:color w:val="auto"/>
                      <w:sz w:val="21"/>
                      <w:szCs w:val="21"/>
                      <w:highlight w:val="none"/>
                      <w:lang w:val="en-US" w:eastAsia="zh-CN"/>
                    </w:rPr>
                    <w:t>三级</w:t>
                  </w:r>
                  <w:r>
                    <w:rPr>
                      <w:color w:val="auto"/>
                      <w:sz w:val="21"/>
                      <w:szCs w:val="21"/>
                      <w:highlight w:val="none"/>
                    </w:rPr>
                    <w:t>沉淀池沉淀处理后</w:t>
                  </w:r>
                  <w:r>
                    <w:rPr>
                      <w:rFonts w:hint="eastAsia"/>
                      <w:color w:val="auto"/>
                      <w:sz w:val="21"/>
                      <w:szCs w:val="21"/>
                      <w:highlight w:val="none"/>
                      <w:lang w:val="en-US" w:eastAsia="zh-CN"/>
                    </w:rPr>
                    <w:t>回</w:t>
                  </w:r>
                  <w:r>
                    <w:rPr>
                      <w:color w:val="auto"/>
                      <w:sz w:val="21"/>
                      <w:szCs w:val="21"/>
                      <w:highlight w:val="none"/>
                    </w:rPr>
                    <w:t>用于搅拌工序</w:t>
                  </w:r>
                </w:p>
              </w:tc>
            </w:tr>
            <w:tr w14:paraId="52F506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44A4F1EC">
                  <w:pPr>
                    <w:pStyle w:val="40"/>
                    <w:bidi w:val="0"/>
                    <w:jc w:val="center"/>
                    <w:rPr>
                      <w:color w:val="auto"/>
                      <w:highlight w:val="none"/>
                    </w:rPr>
                  </w:pPr>
                </w:p>
              </w:tc>
              <w:tc>
                <w:tcPr>
                  <w:tcW w:w="398" w:type="dxa"/>
                  <w:vMerge w:val="continue"/>
                  <w:tcBorders>
                    <w:tl2br w:val="nil"/>
                    <w:tr2bl w:val="nil"/>
                  </w:tcBorders>
                  <w:vAlign w:val="center"/>
                </w:tcPr>
                <w:p w14:paraId="592A90D5">
                  <w:pPr>
                    <w:pStyle w:val="40"/>
                    <w:bidi w:val="0"/>
                    <w:jc w:val="center"/>
                    <w:rPr>
                      <w:color w:val="auto"/>
                      <w:highlight w:val="none"/>
                    </w:rPr>
                  </w:pPr>
                </w:p>
              </w:tc>
              <w:tc>
                <w:tcPr>
                  <w:tcW w:w="399" w:type="dxa"/>
                  <w:vMerge w:val="continue"/>
                  <w:tcBorders>
                    <w:tl2br w:val="nil"/>
                    <w:tr2bl w:val="nil"/>
                  </w:tcBorders>
                  <w:vAlign w:val="center"/>
                </w:tcPr>
                <w:p w14:paraId="6E67C1E6">
                  <w:pPr>
                    <w:pStyle w:val="40"/>
                    <w:bidi w:val="0"/>
                    <w:jc w:val="center"/>
                    <w:rPr>
                      <w:color w:val="auto"/>
                      <w:highlight w:val="none"/>
                    </w:rPr>
                  </w:pPr>
                </w:p>
              </w:tc>
              <w:tc>
                <w:tcPr>
                  <w:tcW w:w="1246" w:type="dxa"/>
                  <w:gridSpan w:val="2"/>
                  <w:tcBorders>
                    <w:tl2br w:val="nil"/>
                    <w:tr2bl w:val="nil"/>
                  </w:tcBorders>
                  <w:vAlign w:val="center"/>
                </w:tcPr>
                <w:p w14:paraId="66FA209B">
                  <w:pPr>
                    <w:pStyle w:val="40"/>
                    <w:bidi w:val="0"/>
                    <w:jc w:val="center"/>
                    <w:rPr>
                      <w:rFonts w:hint="default"/>
                      <w:color w:val="auto"/>
                      <w:spacing w:val="-6"/>
                      <w:sz w:val="21"/>
                      <w:highlight w:val="none"/>
                      <w:lang w:val="en-US" w:eastAsia="zh-CN"/>
                    </w:rPr>
                  </w:pPr>
                  <w:r>
                    <w:rPr>
                      <w:rFonts w:hint="eastAsia"/>
                      <w:color w:val="auto"/>
                      <w:spacing w:val="-6"/>
                      <w:sz w:val="21"/>
                      <w:highlight w:val="none"/>
                      <w:lang w:val="en-US" w:eastAsia="zh-CN"/>
                    </w:rPr>
                    <w:t>W5车辆冲洗废水</w:t>
                  </w:r>
                </w:p>
              </w:tc>
              <w:tc>
                <w:tcPr>
                  <w:tcW w:w="5951" w:type="dxa"/>
                  <w:tcBorders>
                    <w:tl2br w:val="nil"/>
                    <w:tr2bl w:val="nil"/>
                  </w:tcBorders>
                  <w:vAlign w:val="center"/>
                </w:tcPr>
                <w:p w14:paraId="439A378E">
                  <w:pPr>
                    <w:pStyle w:val="40"/>
                    <w:bidi w:val="0"/>
                    <w:jc w:val="center"/>
                    <w:rPr>
                      <w:rFonts w:hint="eastAsia" w:eastAsia="宋体"/>
                      <w:color w:val="auto"/>
                      <w:spacing w:val="-6"/>
                      <w:sz w:val="21"/>
                      <w:highlight w:val="none"/>
                      <w:lang w:val="en-US" w:eastAsia="zh-CN"/>
                    </w:rPr>
                  </w:pPr>
                  <w:r>
                    <w:rPr>
                      <w:color w:val="auto"/>
                      <w:sz w:val="21"/>
                      <w:szCs w:val="21"/>
                      <w:highlight w:val="none"/>
                    </w:rPr>
                    <w:t>设置</w:t>
                  </w:r>
                  <w:r>
                    <w:rPr>
                      <w:rFonts w:hint="eastAsia"/>
                      <w:color w:val="auto"/>
                      <w:sz w:val="21"/>
                      <w:szCs w:val="21"/>
                      <w:highlight w:val="none"/>
                      <w:lang w:val="en-US" w:eastAsia="zh-CN"/>
                    </w:rPr>
                    <w:t>沉淀池</w:t>
                  </w:r>
                  <w:r>
                    <w:rPr>
                      <w:rFonts w:hint="eastAsia"/>
                      <w:color w:val="auto"/>
                      <w:sz w:val="21"/>
                      <w:szCs w:val="21"/>
                      <w:highlight w:val="none"/>
                      <w:lang w:eastAsia="zh-CN"/>
                    </w:rPr>
                    <w:t>（</w:t>
                  </w:r>
                  <w:r>
                    <w:rPr>
                      <w:rFonts w:hint="eastAsia"/>
                      <w:color w:val="auto"/>
                      <w:sz w:val="21"/>
                      <w:szCs w:val="21"/>
                      <w:highlight w:val="none"/>
                      <w:lang w:val="en-US" w:eastAsia="zh-CN"/>
                    </w:rPr>
                    <w:t>20m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w:t>
                  </w:r>
                  <w:r>
                    <w:rPr>
                      <w:color w:val="auto"/>
                      <w:sz w:val="21"/>
                      <w:szCs w:val="21"/>
                      <w:highlight w:val="none"/>
                    </w:rPr>
                    <w:t>1座</w:t>
                  </w:r>
                  <w:r>
                    <w:rPr>
                      <w:rFonts w:hint="eastAsia"/>
                      <w:color w:val="auto"/>
                      <w:sz w:val="21"/>
                      <w:szCs w:val="21"/>
                      <w:highlight w:val="none"/>
                      <w:lang w:eastAsia="zh-CN"/>
                    </w:rPr>
                    <w:t>，</w:t>
                  </w:r>
                  <w:r>
                    <w:rPr>
                      <w:color w:val="auto"/>
                      <w:sz w:val="21"/>
                      <w:szCs w:val="21"/>
                      <w:highlight w:val="none"/>
                    </w:rPr>
                    <w:t>车辆冲洗废水</w:t>
                  </w:r>
                  <w:r>
                    <w:rPr>
                      <w:rFonts w:hint="eastAsia"/>
                      <w:color w:val="auto"/>
                      <w:sz w:val="21"/>
                      <w:szCs w:val="21"/>
                      <w:highlight w:val="none"/>
                    </w:rPr>
                    <w:t>经</w:t>
                  </w:r>
                  <w:r>
                    <w:rPr>
                      <w:color w:val="auto"/>
                      <w:sz w:val="21"/>
                      <w:szCs w:val="21"/>
                      <w:highlight w:val="none"/>
                    </w:rPr>
                    <w:t>沉淀池</w:t>
                  </w:r>
                  <w:r>
                    <w:rPr>
                      <w:color w:val="auto"/>
                      <w:sz w:val="21"/>
                      <w:szCs w:val="21"/>
                      <w:highlight w:val="none"/>
                      <w:lang w:val="zh-TW"/>
                    </w:rPr>
                    <w:t>沉淀</w:t>
                  </w:r>
                  <w:r>
                    <w:rPr>
                      <w:rFonts w:hint="eastAsia"/>
                      <w:color w:val="auto"/>
                      <w:sz w:val="21"/>
                      <w:szCs w:val="21"/>
                      <w:highlight w:val="none"/>
                    </w:rPr>
                    <w:t>后</w:t>
                  </w:r>
                  <w:r>
                    <w:rPr>
                      <w:color w:val="auto"/>
                      <w:sz w:val="21"/>
                      <w:szCs w:val="21"/>
                      <w:highlight w:val="none"/>
                      <w:lang w:val="zh-TW"/>
                    </w:rPr>
                    <w:t>循环使用</w:t>
                  </w:r>
                </w:p>
              </w:tc>
            </w:tr>
            <w:tr w14:paraId="5D1707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5B48352D">
                  <w:pPr>
                    <w:pStyle w:val="40"/>
                    <w:bidi w:val="0"/>
                    <w:jc w:val="center"/>
                    <w:rPr>
                      <w:rFonts w:hint="default"/>
                      <w:color w:val="auto"/>
                      <w:highlight w:val="none"/>
                    </w:rPr>
                  </w:pPr>
                </w:p>
              </w:tc>
              <w:tc>
                <w:tcPr>
                  <w:tcW w:w="398" w:type="dxa"/>
                  <w:vMerge w:val="continue"/>
                  <w:tcBorders>
                    <w:tl2br w:val="nil"/>
                    <w:tr2bl w:val="nil"/>
                  </w:tcBorders>
                  <w:vAlign w:val="center"/>
                </w:tcPr>
                <w:p w14:paraId="078B7A3E">
                  <w:pPr>
                    <w:pStyle w:val="40"/>
                    <w:bidi w:val="0"/>
                    <w:jc w:val="center"/>
                    <w:rPr>
                      <w:rFonts w:hint="default"/>
                      <w:color w:val="auto"/>
                      <w:highlight w:val="none"/>
                    </w:rPr>
                  </w:pPr>
                </w:p>
              </w:tc>
              <w:tc>
                <w:tcPr>
                  <w:tcW w:w="1645" w:type="dxa"/>
                  <w:gridSpan w:val="3"/>
                  <w:tcBorders>
                    <w:tl2br w:val="nil"/>
                    <w:tr2bl w:val="nil"/>
                  </w:tcBorders>
                  <w:vAlign w:val="center"/>
                </w:tcPr>
                <w:p w14:paraId="2A0E7E0E">
                  <w:pPr>
                    <w:pStyle w:val="40"/>
                    <w:bidi w:val="0"/>
                    <w:jc w:val="center"/>
                    <w:rPr>
                      <w:rFonts w:hint="default"/>
                      <w:color w:val="auto"/>
                      <w:spacing w:val="-6"/>
                      <w:sz w:val="21"/>
                      <w:highlight w:val="none"/>
                      <w:lang w:val="en-US" w:eastAsia="zh-CN"/>
                    </w:rPr>
                  </w:pPr>
                  <w:r>
                    <w:rPr>
                      <w:rFonts w:hint="eastAsia"/>
                      <w:color w:val="auto"/>
                      <w:spacing w:val="-6"/>
                      <w:sz w:val="21"/>
                      <w:highlight w:val="none"/>
                      <w:lang w:val="en-US" w:eastAsia="zh-CN"/>
                    </w:rPr>
                    <w:t>初期雨水</w:t>
                  </w:r>
                </w:p>
              </w:tc>
              <w:tc>
                <w:tcPr>
                  <w:tcW w:w="5951" w:type="dxa"/>
                  <w:tcBorders>
                    <w:tl2br w:val="nil"/>
                    <w:tr2bl w:val="nil"/>
                  </w:tcBorders>
                  <w:vAlign w:val="center"/>
                </w:tcPr>
                <w:p w14:paraId="0A44885F">
                  <w:pPr>
                    <w:pStyle w:val="40"/>
                    <w:bidi w:val="0"/>
                    <w:jc w:val="center"/>
                    <w:rPr>
                      <w:rFonts w:hint="default"/>
                      <w:color w:val="auto"/>
                      <w:highlight w:val="none"/>
                    </w:rPr>
                  </w:pPr>
                  <w:r>
                    <w:rPr>
                      <w:rFonts w:hint="eastAsia"/>
                      <w:color w:val="auto"/>
                      <w:spacing w:val="4"/>
                      <w:sz w:val="21"/>
                      <w:szCs w:val="21"/>
                      <w:highlight w:val="none"/>
                      <w:vertAlign w:val="baseline"/>
                      <w:lang w:val="en-US" w:eastAsia="zh-CN"/>
                    </w:rPr>
                    <w:t>设置初期</w:t>
                  </w:r>
                  <w:r>
                    <w:rPr>
                      <w:rFonts w:hint="eastAsia"/>
                      <w:color w:val="auto"/>
                      <w:spacing w:val="4"/>
                      <w:sz w:val="21"/>
                      <w:szCs w:val="21"/>
                      <w:highlight w:val="none"/>
                    </w:rPr>
                    <w:t>雨水收集池</w:t>
                  </w:r>
                  <w:r>
                    <w:rPr>
                      <w:rFonts w:hint="eastAsia"/>
                      <w:color w:val="auto"/>
                      <w:spacing w:val="4"/>
                      <w:sz w:val="21"/>
                      <w:szCs w:val="21"/>
                      <w:highlight w:val="none"/>
                      <w:lang w:eastAsia="zh-CN"/>
                    </w:rPr>
                    <w:t>（</w:t>
                  </w:r>
                  <w:r>
                    <w:rPr>
                      <w:rFonts w:hint="eastAsia"/>
                      <w:color w:val="auto"/>
                      <w:spacing w:val="4"/>
                      <w:sz w:val="21"/>
                      <w:szCs w:val="21"/>
                      <w:highlight w:val="none"/>
                      <w:lang w:val="en-US" w:eastAsia="zh-CN"/>
                    </w:rPr>
                    <w:t>6</w:t>
                  </w:r>
                  <w:r>
                    <w:rPr>
                      <w:color w:val="auto"/>
                      <w:spacing w:val="4"/>
                      <w:sz w:val="21"/>
                      <w:szCs w:val="21"/>
                      <w:highlight w:val="none"/>
                    </w:rPr>
                    <w:t>00m</w:t>
                  </w:r>
                  <w:r>
                    <w:rPr>
                      <w:rFonts w:hint="eastAsia"/>
                      <w:color w:val="auto"/>
                      <w:spacing w:val="4"/>
                      <w:sz w:val="21"/>
                      <w:szCs w:val="21"/>
                      <w:highlight w:val="none"/>
                      <w:vertAlign w:val="superscript"/>
                      <w:lang w:val="en-US" w:eastAsia="zh-CN"/>
                    </w:rPr>
                    <w:t>3</w:t>
                  </w:r>
                  <w:r>
                    <w:rPr>
                      <w:rFonts w:hint="eastAsia"/>
                      <w:color w:val="auto"/>
                      <w:spacing w:val="4"/>
                      <w:sz w:val="21"/>
                      <w:szCs w:val="21"/>
                      <w:highlight w:val="none"/>
                      <w:vertAlign w:val="baseline"/>
                      <w:lang w:val="en-US" w:eastAsia="zh-CN"/>
                    </w:rPr>
                    <w:t>）</w:t>
                  </w:r>
                  <w:r>
                    <w:rPr>
                      <w:rFonts w:hint="eastAsia"/>
                      <w:color w:val="auto"/>
                      <w:spacing w:val="4"/>
                      <w:sz w:val="21"/>
                      <w:szCs w:val="21"/>
                      <w:highlight w:val="none"/>
                      <w:lang w:val="en-US" w:eastAsia="zh-CN"/>
                    </w:rPr>
                    <w:t>1</w:t>
                  </w:r>
                  <w:r>
                    <w:rPr>
                      <w:color w:val="auto"/>
                      <w:spacing w:val="4"/>
                      <w:sz w:val="21"/>
                      <w:szCs w:val="21"/>
                      <w:highlight w:val="none"/>
                    </w:rPr>
                    <w:t>座，配套铺设收集管网，</w:t>
                  </w:r>
                  <w:r>
                    <w:rPr>
                      <w:rFonts w:hint="eastAsia"/>
                      <w:color w:val="auto"/>
                      <w:spacing w:val="4"/>
                      <w:sz w:val="21"/>
                      <w:szCs w:val="21"/>
                      <w:highlight w:val="none"/>
                      <w:lang w:val="en-US" w:eastAsia="zh-CN"/>
                    </w:rPr>
                    <w:t>初期</w:t>
                  </w:r>
                  <w:r>
                    <w:rPr>
                      <w:color w:val="auto"/>
                      <w:spacing w:val="4"/>
                      <w:sz w:val="21"/>
                      <w:szCs w:val="21"/>
                      <w:highlight w:val="none"/>
                    </w:rPr>
                    <w:t>雨水经沉淀处理后回用于项目</w:t>
                  </w:r>
                  <w:r>
                    <w:rPr>
                      <w:rFonts w:hint="eastAsia"/>
                      <w:color w:val="auto"/>
                      <w:spacing w:val="4"/>
                      <w:sz w:val="21"/>
                      <w:szCs w:val="21"/>
                      <w:highlight w:val="none"/>
                    </w:rPr>
                    <w:t>场地降尘</w:t>
                  </w:r>
                  <w:r>
                    <w:rPr>
                      <w:color w:val="auto"/>
                      <w:spacing w:val="4"/>
                      <w:sz w:val="21"/>
                      <w:szCs w:val="21"/>
                      <w:highlight w:val="none"/>
                    </w:rPr>
                    <w:t>用水</w:t>
                  </w:r>
                </w:p>
              </w:tc>
            </w:tr>
            <w:tr w14:paraId="609E85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46DB5ABB">
                  <w:pPr>
                    <w:pStyle w:val="40"/>
                    <w:bidi w:val="0"/>
                    <w:jc w:val="center"/>
                    <w:rPr>
                      <w:rFonts w:hint="default"/>
                      <w:color w:val="auto"/>
                      <w:highlight w:val="none"/>
                    </w:rPr>
                  </w:pPr>
                </w:p>
              </w:tc>
              <w:tc>
                <w:tcPr>
                  <w:tcW w:w="2043" w:type="dxa"/>
                  <w:gridSpan w:val="4"/>
                  <w:tcBorders>
                    <w:tl2br w:val="nil"/>
                    <w:tr2bl w:val="nil"/>
                  </w:tcBorders>
                  <w:vAlign w:val="center"/>
                </w:tcPr>
                <w:p w14:paraId="1BF509D7">
                  <w:pPr>
                    <w:pStyle w:val="40"/>
                    <w:bidi w:val="0"/>
                    <w:jc w:val="center"/>
                    <w:rPr>
                      <w:rFonts w:hint="default"/>
                      <w:color w:val="auto"/>
                      <w:spacing w:val="-6"/>
                      <w:sz w:val="21"/>
                      <w:highlight w:val="none"/>
                      <w:lang w:val="en-US" w:eastAsia="zh-CN"/>
                    </w:rPr>
                  </w:pPr>
                  <w:r>
                    <w:rPr>
                      <w:rFonts w:hint="eastAsia"/>
                      <w:color w:val="auto"/>
                      <w:spacing w:val="-6"/>
                      <w:sz w:val="21"/>
                      <w:highlight w:val="none"/>
                      <w:lang w:val="en-US" w:eastAsia="zh-CN"/>
                    </w:rPr>
                    <w:t>噪声</w:t>
                  </w:r>
                </w:p>
              </w:tc>
              <w:tc>
                <w:tcPr>
                  <w:tcW w:w="5951" w:type="dxa"/>
                  <w:tcBorders>
                    <w:tl2br w:val="nil"/>
                    <w:tr2bl w:val="nil"/>
                  </w:tcBorders>
                  <w:vAlign w:val="center"/>
                </w:tcPr>
                <w:p w14:paraId="12E524E0">
                  <w:pPr>
                    <w:pStyle w:val="40"/>
                    <w:bidi w:val="0"/>
                    <w:jc w:val="center"/>
                    <w:rPr>
                      <w:rFonts w:hint="default"/>
                      <w:color w:val="auto"/>
                      <w:highlight w:val="none"/>
                    </w:rPr>
                  </w:pPr>
                  <w:r>
                    <w:rPr>
                      <w:rFonts w:hint="eastAsia"/>
                      <w:color w:val="auto"/>
                      <w:spacing w:val="0"/>
                      <w:sz w:val="21"/>
                      <w:szCs w:val="21"/>
                      <w:highlight w:val="none"/>
                    </w:rPr>
                    <w:t>选用低噪声设备</w:t>
                  </w:r>
                  <w:r>
                    <w:rPr>
                      <w:rFonts w:hint="eastAsia"/>
                      <w:color w:val="auto"/>
                      <w:spacing w:val="0"/>
                      <w:sz w:val="21"/>
                      <w:szCs w:val="21"/>
                      <w:highlight w:val="none"/>
                      <w:lang w:eastAsia="zh-CN"/>
                    </w:rPr>
                    <w:t>，</w:t>
                  </w:r>
                  <w:r>
                    <w:rPr>
                      <w:rFonts w:hint="eastAsia"/>
                      <w:color w:val="auto"/>
                      <w:spacing w:val="0"/>
                      <w:sz w:val="21"/>
                      <w:szCs w:val="21"/>
                      <w:highlight w:val="none"/>
                      <w:lang w:val="en-US" w:eastAsia="zh-CN"/>
                    </w:rPr>
                    <w:t>厂房隔声</w:t>
                  </w:r>
                  <w:r>
                    <w:rPr>
                      <w:color w:val="auto"/>
                      <w:spacing w:val="0"/>
                      <w:sz w:val="21"/>
                      <w:szCs w:val="21"/>
                      <w:highlight w:val="none"/>
                    </w:rPr>
                    <w:t>，并采取减</w:t>
                  </w:r>
                  <w:r>
                    <w:rPr>
                      <w:rFonts w:hint="eastAsia"/>
                      <w:color w:val="auto"/>
                      <w:spacing w:val="0"/>
                      <w:sz w:val="21"/>
                      <w:szCs w:val="21"/>
                      <w:highlight w:val="none"/>
                    </w:rPr>
                    <w:t>振</w:t>
                  </w:r>
                  <w:r>
                    <w:rPr>
                      <w:color w:val="auto"/>
                      <w:spacing w:val="0"/>
                      <w:sz w:val="21"/>
                      <w:szCs w:val="21"/>
                      <w:highlight w:val="none"/>
                    </w:rPr>
                    <w:t>、隔声、消声等措施</w:t>
                  </w:r>
                </w:p>
              </w:tc>
            </w:tr>
            <w:tr w14:paraId="13A65D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55AACA29">
                  <w:pPr>
                    <w:pStyle w:val="40"/>
                    <w:bidi w:val="0"/>
                    <w:jc w:val="center"/>
                    <w:rPr>
                      <w:rFonts w:hint="default"/>
                      <w:color w:val="auto"/>
                      <w:highlight w:val="none"/>
                    </w:rPr>
                  </w:pPr>
                </w:p>
              </w:tc>
              <w:tc>
                <w:tcPr>
                  <w:tcW w:w="398" w:type="dxa"/>
                  <w:vMerge w:val="restart"/>
                  <w:tcBorders>
                    <w:tl2br w:val="nil"/>
                    <w:tr2bl w:val="nil"/>
                  </w:tcBorders>
                  <w:vAlign w:val="center"/>
                </w:tcPr>
                <w:p w14:paraId="263DB7F1">
                  <w:pPr>
                    <w:pStyle w:val="40"/>
                    <w:bidi w:val="0"/>
                    <w:jc w:val="center"/>
                    <w:rPr>
                      <w:rFonts w:hint="eastAsia" w:eastAsia="宋体"/>
                      <w:color w:val="auto"/>
                      <w:highlight w:val="none"/>
                      <w:lang w:val="en-US" w:eastAsia="zh-CN"/>
                    </w:rPr>
                  </w:pPr>
                  <w:r>
                    <w:rPr>
                      <w:rFonts w:hint="eastAsia"/>
                      <w:color w:val="auto"/>
                      <w:highlight w:val="none"/>
                      <w:lang w:val="en-US" w:eastAsia="zh-CN"/>
                    </w:rPr>
                    <w:t>固体废物</w:t>
                  </w:r>
                </w:p>
              </w:tc>
              <w:tc>
                <w:tcPr>
                  <w:tcW w:w="1645" w:type="dxa"/>
                  <w:gridSpan w:val="3"/>
                  <w:tcBorders>
                    <w:tl2br w:val="nil"/>
                    <w:tr2bl w:val="nil"/>
                  </w:tcBorders>
                  <w:vAlign w:val="center"/>
                </w:tcPr>
                <w:p w14:paraId="2515BAB4">
                  <w:pPr>
                    <w:pStyle w:val="40"/>
                    <w:bidi w:val="0"/>
                    <w:jc w:val="center"/>
                    <w:rPr>
                      <w:rFonts w:hint="default"/>
                      <w:color w:val="auto"/>
                      <w:spacing w:val="-6"/>
                      <w:sz w:val="21"/>
                      <w:highlight w:val="none"/>
                      <w:lang w:val="en-US" w:eastAsia="zh-CN"/>
                    </w:rPr>
                  </w:pPr>
                  <w:r>
                    <w:rPr>
                      <w:rFonts w:hint="eastAsia"/>
                      <w:color w:val="auto"/>
                      <w:spacing w:val="-6"/>
                      <w:sz w:val="21"/>
                      <w:highlight w:val="none"/>
                      <w:lang w:val="en-US" w:eastAsia="zh-CN"/>
                    </w:rPr>
                    <w:t>生活垃圾</w:t>
                  </w:r>
                </w:p>
              </w:tc>
              <w:tc>
                <w:tcPr>
                  <w:tcW w:w="5951" w:type="dxa"/>
                  <w:tcBorders>
                    <w:tl2br w:val="nil"/>
                    <w:tr2bl w:val="nil"/>
                  </w:tcBorders>
                  <w:vAlign w:val="center"/>
                </w:tcPr>
                <w:p w14:paraId="22AF17A0">
                  <w:pPr>
                    <w:pStyle w:val="40"/>
                    <w:bidi w:val="0"/>
                    <w:jc w:val="center"/>
                    <w:rPr>
                      <w:rFonts w:hint="default"/>
                      <w:color w:val="auto"/>
                      <w:highlight w:val="none"/>
                    </w:rPr>
                  </w:pPr>
                  <w:r>
                    <w:rPr>
                      <w:rFonts w:hint="eastAsia"/>
                      <w:color w:val="auto"/>
                      <w:sz w:val="21"/>
                      <w:szCs w:val="21"/>
                      <w:highlight w:val="none"/>
                    </w:rPr>
                    <w:t>生活垃圾</w:t>
                  </w:r>
                  <w:r>
                    <w:rPr>
                      <w:rFonts w:hint="eastAsia"/>
                      <w:color w:val="auto"/>
                      <w:sz w:val="21"/>
                      <w:szCs w:val="21"/>
                      <w:highlight w:val="none"/>
                      <w:lang w:val="en-US" w:eastAsia="zh-CN"/>
                    </w:rPr>
                    <w:t>分类</w:t>
                  </w:r>
                  <w:r>
                    <w:rPr>
                      <w:color w:val="auto"/>
                      <w:sz w:val="21"/>
                      <w:szCs w:val="21"/>
                      <w:highlight w:val="none"/>
                    </w:rPr>
                    <w:t>收集后</w:t>
                  </w:r>
                  <w:r>
                    <w:rPr>
                      <w:rFonts w:hint="eastAsia"/>
                      <w:color w:val="auto"/>
                      <w:sz w:val="21"/>
                      <w:szCs w:val="21"/>
                      <w:highlight w:val="none"/>
                      <w:lang w:val="en-US" w:eastAsia="zh-CN"/>
                    </w:rPr>
                    <w:t>交由环卫部门处置</w:t>
                  </w:r>
                </w:p>
              </w:tc>
            </w:tr>
            <w:tr w14:paraId="75AC06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3D6CCFD2">
                  <w:pPr>
                    <w:pStyle w:val="40"/>
                    <w:bidi w:val="0"/>
                    <w:jc w:val="center"/>
                    <w:rPr>
                      <w:rFonts w:hint="default"/>
                      <w:color w:val="auto"/>
                      <w:highlight w:val="none"/>
                    </w:rPr>
                  </w:pPr>
                </w:p>
              </w:tc>
              <w:tc>
                <w:tcPr>
                  <w:tcW w:w="398" w:type="dxa"/>
                  <w:vMerge w:val="continue"/>
                  <w:tcBorders>
                    <w:tl2br w:val="nil"/>
                    <w:tr2bl w:val="nil"/>
                  </w:tcBorders>
                  <w:vAlign w:val="center"/>
                </w:tcPr>
                <w:p w14:paraId="641780FF">
                  <w:pPr>
                    <w:pStyle w:val="40"/>
                    <w:bidi w:val="0"/>
                    <w:jc w:val="center"/>
                    <w:rPr>
                      <w:rFonts w:hint="default"/>
                      <w:color w:val="auto"/>
                      <w:highlight w:val="none"/>
                    </w:rPr>
                  </w:pPr>
                </w:p>
              </w:tc>
              <w:tc>
                <w:tcPr>
                  <w:tcW w:w="1645" w:type="dxa"/>
                  <w:gridSpan w:val="3"/>
                  <w:tcBorders>
                    <w:tl2br w:val="nil"/>
                    <w:tr2bl w:val="nil"/>
                  </w:tcBorders>
                  <w:vAlign w:val="center"/>
                </w:tcPr>
                <w:p w14:paraId="26DB79CD">
                  <w:pPr>
                    <w:pStyle w:val="40"/>
                    <w:bidi w:val="0"/>
                    <w:jc w:val="center"/>
                    <w:rPr>
                      <w:rFonts w:hint="eastAsia"/>
                      <w:color w:val="auto"/>
                      <w:spacing w:val="-6"/>
                      <w:sz w:val="21"/>
                      <w:highlight w:val="none"/>
                      <w:lang w:val="en-US" w:eastAsia="zh-CN"/>
                    </w:rPr>
                  </w:pPr>
                  <w:r>
                    <w:rPr>
                      <w:rFonts w:hint="eastAsia"/>
                      <w:color w:val="auto"/>
                      <w:sz w:val="21"/>
                      <w:szCs w:val="21"/>
                      <w:highlight w:val="none"/>
                      <w:lang w:val="en-US" w:eastAsia="zh-CN"/>
                    </w:rPr>
                    <w:t>废机油</w:t>
                  </w:r>
                </w:p>
              </w:tc>
              <w:tc>
                <w:tcPr>
                  <w:tcW w:w="5951" w:type="dxa"/>
                  <w:tcBorders>
                    <w:tl2br w:val="nil"/>
                    <w:tr2bl w:val="nil"/>
                  </w:tcBorders>
                  <w:vAlign w:val="center"/>
                </w:tcPr>
                <w:p w14:paraId="40E81281">
                  <w:pPr>
                    <w:pStyle w:val="40"/>
                    <w:bidi w:val="0"/>
                    <w:jc w:val="center"/>
                    <w:rPr>
                      <w:rFonts w:hint="default"/>
                      <w:color w:val="auto"/>
                      <w:highlight w:val="none"/>
                    </w:rPr>
                  </w:pPr>
                  <w:r>
                    <w:rPr>
                      <w:rFonts w:hint="eastAsia"/>
                      <w:color w:val="auto"/>
                      <w:sz w:val="21"/>
                      <w:szCs w:val="21"/>
                      <w:highlight w:val="none"/>
                    </w:rPr>
                    <w:t>废机油暂存于危险废物贮存点，定期交由有资质的单位处置</w:t>
                  </w:r>
                </w:p>
              </w:tc>
            </w:tr>
            <w:tr w14:paraId="26AE22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54C33DF3">
                  <w:pPr>
                    <w:pStyle w:val="40"/>
                    <w:bidi w:val="0"/>
                    <w:jc w:val="center"/>
                    <w:rPr>
                      <w:rFonts w:hint="default"/>
                      <w:color w:val="auto"/>
                      <w:highlight w:val="none"/>
                    </w:rPr>
                  </w:pPr>
                </w:p>
              </w:tc>
              <w:tc>
                <w:tcPr>
                  <w:tcW w:w="398" w:type="dxa"/>
                  <w:vMerge w:val="continue"/>
                  <w:tcBorders>
                    <w:tl2br w:val="nil"/>
                    <w:tr2bl w:val="nil"/>
                  </w:tcBorders>
                  <w:vAlign w:val="center"/>
                </w:tcPr>
                <w:p w14:paraId="74AC9266">
                  <w:pPr>
                    <w:pStyle w:val="40"/>
                    <w:bidi w:val="0"/>
                    <w:jc w:val="center"/>
                    <w:rPr>
                      <w:rFonts w:hint="default"/>
                      <w:color w:val="auto"/>
                      <w:highlight w:val="none"/>
                    </w:rPr>
                  </w:pPr>
                </w:p>
              </w:tc>
              <w:tc>
                <w:tcPr>
                  <w:tcW w:w="399" w:type="dxa"/>
                  <w:vMerge w:val="restart"/>
                  <w:tcBorders>
                    <w:tl2br w:val="nil"/>
                    <w:tr2bl w:val="nil"/>
                  </w:tcBorders>
                  <w:vAlign w:val="center"/>
                </w:tcPr>
                <w:p w14:paraId="44763845">
                  <w:pPr>
                    <w:pStyle w:val="40"/>
                    <w:bidi w:val="0"/>
                    <w:jc w:val="center"/>
                    <w:rPr>
                      <w:rFonts w:hint="eastAsia" w:eastAsia="宋体"/>
                      <w:color w:val="auto"/>
                      <w:highlight w:val="none"/>
                      <w:lang w:val="en-US" w:eastAsia="zh-CN"/>
                    </w:rPr>
                  </w:pPr>
                  <w:r>
                    <w:rPr>
                      <w:rFonts w:hint="eastAsia"/>
                      <w:color w:val="auto"/>
                      <w:highlight w:val="none"/>
                      <w:lang w:val="en-US" w:eastAsia="zh-CN"/>
                    </w:rPr>
                    <w:t>锅炉</w:t>
                  </w:r>
                </w:p>
              </w:tc>
              <w:tc>
                <w:tcPr>
                  <w:tcW w:w="1246" w:type="dxa"/>
                  <w:gridSpan w:val="2"/>
                  <w:tcBorders>
                    <w:tl2br w:val="nil"/>
                    <w:tr2bl w:val="nil"/>
                  </w:tcBorders>
                  <w:vAlign w:val="center"/>
                </w:tcPr>
                <w:p w14:paraId="63A3EC96">
                  <w:pPr>
                    <w:pStyle w:val="40"/>
                    <w:bidi w:val="0"/>
                    <w:jc w:val="center"/>
                    <w:rPr>
                      <w:rFonts w:hint="default"/>
                      <w:color w:val="auto"/>
                      <w:spacing w:val="-6"/>
                      <w:sz w:val="21"/>
                      <w:highlight w:val="none"/>
                      <w:lang w:val="en-US" w:eastAsia="zh-CN"/>
                    </w:rPr>
                  </w:pPr>
                  <w:r>
                    <w:rPr>
                      <w:rFonts w:hint="eastAsia"/>
                      <w:color w:val="auto"/>
                      <w:spacing w:val="-6"/>
                      <w:sz w:val="21"/>
                      <w:highlight w:val="none"/>
                      <w:lang w:val="en-US" w:eastAsia="zh-CN"/>
                    </w:rPr>
                    <w:t>灰渣</w:t>
                  </w:r>
                </w:p>
              </w:tc>
              <w:tc>
                <w:tcPr>
                  <w:tcW w:w="5951" w:type="dxa"/>
                  <w:tcBorders>
                    <w:tl2br w:val="nil"/>
                    <w:tr2bl w:val="nil"/>
                  </w:tcBorders>
                  <w:vAlign w:val="center"/>
                </w:tcPr>
                <w:p w14:paraId="084EB6D7">
                  <w:pPr>
                    <w:pStyle w:val="40"/>
                    <w:bidi w:val="0"/>
                    <w:jc w:val="center"/>
                    <w:rPr>
                      <w:rFonts w:hint="default" w:eastAsia="宋体"/>
                      <w:color w:val="auto"/>
                      <w:highlight w:val="none"/>
                      <w:lang w:val="en-US" w:eastAsia="zh-CN"/>
                    </w:rPr>
                  </w:pPr>
                  <w:r>
                    <w:rPr>
                      <w:rFonts w:hint="eastAsia"/>
                      <w:bCs/>
                      <w:color w:val="auto"/>
                      <w:sz w:val="21"/>
                      <w:szCs w:val="21"/>
                      <w:highlight w:val="none"/>
                      <w:lang w:val="en-US" w:eastAsia="zh-CN"/>
                    </w:rPr>
                    <w:t>储存于锅炉灰渣储库，</w:t>
                  </w:r>
                  <w:r>
                    <w:rPr>
                      <w:bCs/>
                      <w:color w:val="auto"/>
                      <w:sz w:val="21"/>
                      <w:szCs w:val="21"/>
                      <w:highlight w:val="none"/>
                    </w:rPr>
                    <w:t>定期</w:t>
                  </w:r>
                  <w:r>
                    <w:rPr>
                      <w:rFonts w:hint="eastAsia"/>
                      <w:bCs/>
                      <w:color w:val="auto"/>
                      <w:sz w:val="21"/>
                      <w:szCs w:val="21"/>
                      <w:highlight w:val="none"/>
                      <w:lang w:val="en-US" w:eastAsia="zh-CN"/>
                    </w:rPr>
                    <w:t>交由当地农业合作社用作</w:t>
                  </w:r>
                  <w:r>
                    <w:rPr>
                      <w:rFonts w:hint="eastAsia"/>
                      <w:color w:val="auto"/>
                      <w:highlight w:val="none"/>
                      <w:lang w:val="en-US" w:eastAsia="zh-CN"/>
                    </w:rPr>
                    <w:t>农家肥</w:t>
                  </w:r>
                </w:p>
              </w:tc>
            </w:tr>
            <w:tr w14:paraId="6221F0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39D7FCA2">
                  <w:pPr>
                    <w:pStyle w:val="40"/>
                    <w:bidi w:val="0"/>
                    <w:jc w:val="center"/>
                    <w:rPr>
                      <w:rFonts w:hint="default"/>
                      <w:color w:val="auto"/>
                      <w:highlight w:val="none"/>
                    </w:rPr>
                  </w:pPr>
                </w:p>
              </w:tc>
              <w:tc>
                <w:tcPr>
                  <w:tcW w:w="398" w:type="dxa"/>
                  <w:vMerge w:val="continue"/>
                  <w:tcBorders>
                    <w:tl2br w:val="nil"/>
                    <w:tr2bl w:val="nil"/>
                  </w:tcBorders>
                  <w:vAlign w:val="center"/>
                </w:tcPr>
                <w:p w14:paraId="68766848">
                  <w:pPr>
                    <w:pStyle w:val="40"/>
                    <w:bidi w:val="0"/>
                    <w:jc w:val="center"/>
                    <w:rPr>
                      <w:rFonts w:hint="default"/>
                      <w:color w:val="auto"/>
                      <w:highlight w:val="none"/>
                    </w:rPr>
                  </w:pPr>
                </w:p>
              </w:tc>
              <w:tc>
                <w:tcPr>
                  <w:tcW w:w="399" w:type="dxa"/>
                  <w:vMerge w:val="continue"/>
                  <w:tcBorders>
                    <w:tl2br w:val="nil"/>
                    <w:tr2bl w:val="nil"/>
                  </w:tcBorders>
                  <w:vAlign w:val="center"/>
                </w:tcPr>
                <w:p w14:paraId="1205F8DE">
                  <w:pPr>
                    <w:pStyle w:val="40"/>
                    <w:bidi w:val="0"/>
                    <w:jc w:val="center"/>
                    <w:rPr>
                      <w:rFonts w:hint="default"/>
                      <w:color w:val="auto"/>
                      <w:highlight w:val="none"/>
                    </w:rPr>
                  </w:pPr>
                </w:p>
              </w:tc>
              <w:tc>
                <w:tcPr>
                  <w:tcW w:w="1246" w:type="dxa"/>
                  <w:gridSpan w:val="2"/>
                  <w:tcBorders>
                    <w:tl2br w:val="nil"/>
                    <w:tr2bl w:val="nil"/>
                  </w:tcBorders>
                  <w:vAlign w:val="center"/>
                </w:tcPr>
                <w:p w14:paraId="498E0B7C">
                  <w:pPr>
                    <w:pStyle w:val="40"/>
                    <w:bidi w:val="0"/>
                    <w:jc w:val="center"/>
                    <w:rPr>
                      <w:rFonts w:hint="default"/>
                      <w:color w:val="auto"/>
                      <w:spacing w:val="-6"/>
                      <w:sz w:val="21"/>
                      <w:highlight w:val="none"/>
                      <w:lang w:val="en-US" w:eastAsia="zh-CN"/>
                    </w:rPr>
                  </w:pPr>
                  <w:r>
                    <w:rPr>
                      <w:rFonts w:hint="eastAsia"/>
                      <w:color w:val="auto"/>
                      <w:spacing w:val="-6"/>
                      <w:sz w:val="21"/>
                      <w:highlight w:val="none"/>
                      <w:lang w:val="en-US" w:eastAsia="zh-CN"/>
                    </w:rPr>
                    <w:t>烟气除尘灰</w:t>
                  </w:r>
                </w:p>
              </w:tc>
              <w:tc>
                <w:tcPr>
                  <w:tcW w:w="5951" w:type="dxa"/>
                  <w:tcBorders>
                    <w:tl2br w:val="nil"/>
                    <w:tr2bl w:val="nil"/>
                  </w:tcBorders>
                  <w:vAlign w:val="center"/>
                </w:tcPr>
                <w:p w14:paraId="011EA08A">
                  <w:pPr>
                    <w:pStyle w:val="40"/>
                    <w:bidi w:val="0"/>
                    <w:jc w:val="center"/>
                    <w:rPr>
                      <w:rFonts w:hint="default"/>
                      <w:color w:val="auto"/>
                      <w:highlight w:val="none"/>
                    </w:rPr>
                  </w:pPr>
                  <w:r>
                    <w:rPr>
                      <w:rFonts w:hint="eastAsia"/>
                      <w:bCs/>
                      <w:color w:val="auto"/>
                      <w:sz w:val="21"/>
                      <w:szCs w:val="21"/>
                      <w:highlight w:val="none"/>
                      <w:lang w:val="en-US" w:eastAsia="zh-CN"/>
                    </w:rPr>
                    <w:t>储存于烟气除尘灰筒仓，</w:t>
                  </w:r>
                  <w:r>
                    <w:rPr>
                      <w:bCs/>
                      <w:color w:val="auto"/>
                      <w:sz w:val="21"/>
                      <w:szCs w:val="21"/>
                      <w:highlight w:val="none"/>
                    </w:rPr>
                    <w:t>定期</w:t>
                  </w:r>
                  <w:r>
                    <w:rPr>
                      <w:rFonts w:hint="eastAsia"/>
                      <w:bCs/>
                      <w:color w:val="auto"/>
                      <w:sz w:val="21"/>
                      <w:szCs w:val="21"/>
                      <w:highlight w:val="none"/>
                      <w:lang w:val="en-US" w:eastAsia="zh-CN"/>
                    </w:rPr>
                    <w:t>交由当地农业合作社用作</w:t>
                  </w:r>
                  <w:r>
                    <w:rPr>
                      <w:rFonts w:hint="eastAsia"/>
                      <w:color w:val="auto"/>
                      <w:highlight w:val="none"/>
                      <w:lang w:val="en-US" w:eastAsia="zh-CN"/>
                    </w:rPr>
                    <w:t>农家肥</w:t>
                  </w:r>
                </w:p>
              </w:tc>
            </w:tr>
            <w:tr w14:paraId="157DE5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564DBD67">
                  <w:pPr>
                    <w:pStyle w:val="40"/>
                    <w:bidi w:val="0"/>
                    <w:jc w:val="center"/>
                    <w:rPr>
                      <w:rFonts w:hint="default"/>
                      <w:color w:val="auto"/>
                      <w:highlight w:val="none"/>
                    </w:rPr>
                  </w:pPr>
                </w:p>
              </w:tc>
              <w:tc>
                <w:tcPr>
                  <w:tcW w:w="398" w:type="dxa"/>
                  <w:vMerge w:val="continue"/>
                  <w:tcBorders>
                    <w:tl2br w:val="nil"/>
                    <w:tr2bl w:val="nil"/>
                  </w:tcBorders>
                  <w:vAlign w:val="center"/>
                </w:tcPr>
                <w:p w14:paraId="0E83BDAB">
                  <w:pPr>
                    <w:pStyle w:val="40"/>
                    <w:bidi w:val="0"/>
                    <w:jc w:val="center"/>
                    <w:rPr>
                      <w:rFonts w:hint="default"/>
                      <w:color w:val="auto"/>
                      <w:highlight w:val="none"/>
                    </w:rPr>
                  </w:pPr>
                </w:p>
              </w:tc>
              <w:tc>
                <w:tcPr>
                  <w:tcW w:w="399" w:type="dxa"/>
                  <w:vMerge w:val="continue"/>
                  <w:tcBorders>
                    <w:tl2br w:val="nil"/>
                    <w:tr2bl w:val="nil"/>
                  </w:tcBorders>
                  <w:vAlign w:val="center"/>
                </w:tcPr>
                <w:p w14:paraId="3C3C2E70">
                  <w:pPr>
                    <w:pStyle w:val="40"/>
                    <w:bidi w:val="0"/>
                    <w:jc w:val="center"/>
                    <w:rPr>
                      <w:rFonts w:hint="default"/>
                      <w:color w:val="auto"/>
                      <w:highlight w:val="none"/>
                    </w:rPr>
                  </w:pPr>
                </w:p>
              </w:tc>
              <w:tc>
                <w:tcPr>
                  <w:tcW w:w="1246" w:type="dxa"/>
                  <w:gridSpan w:val="2"/>
                  <w:tcBorders>
                    <w:tl2br w:val="nil"/>
                    <w:tr2bl w:val="nil"/>
                  </w:tcBorders>
                  <w:vAlign w:val="center"/>
                </w:tcPr>
                <w:p w14:paraId="47C093F2">
                  <w:pPr>
                    <w:pStyle w:val="40"/>
                    <w:bidi w:val="0"/>
                    <w:jc w:val="center"/>
                    <w:rPr>
                      <w:rFonts w:hint="default"/>
                      <w:color w:val="auto"/>
                      <w:spacing w:val="-6"/>
                      <w:sz w:val="21"/>
                      <w:highlight w:val="none"/>
                      <w:lang w:val="en-US" w:eastAsia="zh-CN"/>
                    </w:rPr>
                  </w:pPr>
                  <w:r>
                    <w:rPr>
                      <w:rFonts w:hint="eastAsia"/>
                      <w:color w:val="auto"/>
                      <w:spacing w:val="-6"/>
                      <w:sz w:val="21"/>
                      <w:highlight w:val="none"/>
                      <w:lang w:val="en-US" w:eastAsia="zh-CN"/>
                    </w:rPr>
                    <w:t>废离子交换树脂</w:t>
                  </w:r>
                </w:p>
              </w:tc>
              <w:tc>
                <w:tcPr>
                  <w:tcW w:w="5951" w:type="dxa"/>
                  <w:tcBorders>
                    <w:tl2br w:val="nil"/>
                    <w:tr2bl w:val="nil"/>
                  </w:tcBorders>
                  <w:vAlign w:val="center"/>
                </w:tcPr>
                <w:p w14:paraId="109EA60A">
                  <w:pPr>
                    <w:pStyle w:val="40"/>
                    <w:bidi w:val="0"/>
                    <w:jc w:val="center"/>
                    <w:rPr>
                      <w:rFonts w:hint="default"/>
                      <w:color w:val="auto"/>
                      <w:highlight w:val="none"/>
                    </w:rPr>
                  </w:pPr>
                  <w:r>
                    <w:rPr>
                      <w:rFonts w:hint="eastAsia"/>
                      <w:bCs/>
                      <w:color w:val="auto"/>
                      <w:sz w:val="21"/>
                      <w:szCs w:val="21"/>
                      <w:highlight w:val="none"/>
                      <w:lang w:val="en-US" w:eastAsia="zh-CN"/>
                    </w:rPr>
                    <w:t>储存于锅炉灰渣储库，</w:t>
                  </w:r>
                  <w:r>
                    <w:rPr>
                      <w:rFonts w:hint="eastAsia"/>
                      <w:b w:val="0"/>
                      <w:bCs/>
                      <w:color w:val="auto"/>
                      <w:sz w:val="21"/>
                      <w:szCs w:val="21"/>
                      <w:highlight w:val="none"/>
                      <w:lang w:val="en-US" w:eastAsia="zh-CN"/>
                    </w:rPr>
                    <w:t>收集后</w:t>
                  </w:r>
                  <w:r>
                    <w:rPr>
                      <w:rFonts w:hint="eastAsia"/>
                      <w:b w:val="0"/>
                      <w:color w:val="auto"/>
                      <w:kern w:val="0"/>
                      <w:sz w:val="21"/>
                      <w:szCs w:val="21"/>
                      <w:highlight w:val="none"/>
                      <w:lang w:val="en-US" w:eastAsia="zh-CN"/>
                    </w:rPr>
                    <w:t>交由厂家</w:t>
                  </w:r>
                  <w:r>
                    <w:rPr>
                      <w:b w:val="0"/>
                      <w:color w:val="auto"/>
                      <w:kern w:val="0"/>
                      <w:sz w:val="21"/>
                      <w:szCs w:val="21"/>
                      <w:highlight w:val="none"/>
                      <w:lang w:val="en-US" w:eastAsia="zh-CN"/>
                    </w:rPr>
                    <w:t>回收</w:t>
                  </w:r>
                </w:p>
              </w:tc>
            </w:tr>
            <w:tr w14:paraId="70D980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1FE3902C">
                  <w:pPr>
                    <w:pStyle w:val="40"/>
                    <w:bidi w:val="0"/>
                    <w:jc w:val="center"/>
                    <w:rPr>
                      <w:rFonts w:hint="default"/>
                      <w:color w:val="auto"/>
                      <w:highlight w:val="none"/>
                    </w:rPr>
                  </w:pPr>
                </w:p>
              </w:tc>
              <w:tc>
                <w:tcPr>
                  <w:tcW w:w="2043" w:type="dxa"/>
                  <w:gridSpan w:val="4"/>
                  <w:tcBorders>
                    <w:tl2br w:val="nil"/>
                    <w:tr2bl w:val="nil"/>
                  </w:tcBorders>
                  <w:vAlign w:val="center"/>
                </w:tcPr>
                <w:p w14:paraId="5EF0A23F">
                  <w:pPr>
                    <w:pStyle w:val="40"/>
                    <w:bidi w:val="0"/>
                    <w:jc w:val="center"/>
                    <w:rPr>
                      <w:rFonts w:hint="default"/>
                      <w:color w:val="auto"/>
                      <w:spacing w:val="-6"/>
                      <w:sz w:val="21"/>
                      <w:highlight w:val="none"/>
                      <w:lang w:val="en-US" w:eastAsia="zh-CN"/>
                    </w:rPr>
                  </w:pPr>
                  <w:r>
                    <w:rPr>
                      <w:rFonts w:hint="eastAsia"/>
                      <w:color w:val="auto"/>
                      <w:spacing w:val="-11"/>
                      <w:sz w:val="21"/>
                      <w:highlight w:val="none"/>
                      <w:lang w:val="en-US" w:eastAsia="zh-CN"/>
                    </w:rPr>
                    <w:t>地下水、土壤防渗措施</w:t>
                  </w:r>
                </w:p>
              </w:tc>
              <w:tc>
                <w:tcPr>
                  <w:tcW w:w="5951" w:type="dxa"/>
                  <w:tcBorders>
                    <w:tl2br w:val="nil"/>
                    <w:tr2bl w:val="nil"/>
                  </w:tcBorders>
                  <w:vAlign w:val="center"/>
                </w:tcPr>
                <w:p w14:paraId="2A323132">
                  <w:pPr>
                    <w:pStyle w:val="40"/>
                    <w:bidi w:val="0"/>
                    <w:rPr>
                      <w:rFonts w:hint="eastAsia"/>
                      <w:color w:val="auto"/>
                      <w:highlight w:val="none"/>
                      <w:lang w:val="en-US" w:eastAsia="zh-CN"/>
                    </w:rPr>
                  </w:pPr>
                  <w:r>
                    <w:rPr>
                      <w:rFonts w:hint="eastAsia"/>
                      <w:color w:val="auto"/>
                      <w:highlight w:val="none"/>
                    </w:rPr>
                    <w:t>采取脉冲式布袋除尘器、全封闭车间和喷雾降尘等污染防治措施，降低大气沉降对土壤的影响；危废贮存点防渗要求</w:t>
                  </w:r>
                  <w:r>
                    <w:rPr>
                      <w:rFonts w:hint="eastAsia"/>
                      <w:color w:val="auto"/>
                      <w:highlight w:val="none"/>
                      <w:lang w:val="en-US" w:eastAsia="zh-CN"/>
                    </w:rPr>
                    <w:t>执行</w:t>
                  </w:r>
                  <w:r>
                    <w:rPr>
                      <w:rFonts w:hint="eastAsia"/>
                      <w:color w:val="auto"/>
                      <w:highlight w:val="none"/>
                    </w:rPr>
                    <w:t>《危险废物贮存污染控制标准》（GB 18597-2023）；</w:t>
                  </w:r>
                  <w:r>
                    <w:rPr>
                      <w:rFonts w:hint="default"/>
                      <w:color w:val="auto"/>
                      <w:highlight w:val="none"/>
                      <w:lang w:val="en-US" w:eastAsia="zh-CN"/>
                    </w:rPr>
                    <w:t>生产车间、原料棚、添加剂储罐区、初期雨水收集池、沉淀池、三级沉淀池、暂存池、洗车台、机修间、灰渣储库、生物质颗粒储库</w:t>
                  </w:r>
                  <w:r>
                    <w:rPr>
                      <w:rFonts w:hint="eastAsia"/>
                      <w:color w:val="auto"/>
                      <w:highlight w:val="none"/>
                      <w:lang w:val="en-US" w:eastAsia="zh-CN"/>
                    </w:rPr>
                    <w:t>为</w:t>
                  </w:r>
                  <w:r>
                    <w:rPr>
                      <w:rFonts w:hint="eastAsia"/>
                      <w:color w:val="auto"/>
                      <w:highlight w:val="none"/>
                    </w:rPr>
                    <w:t>一般防渗区；其他区域设置为简单防渗区</w:t>
                  </w:r>
                </w:p>
              </w:tc>
            </w:tr>
            <w:tr w14:paraId="58FD7A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8" w:type="dxa"/>
                  <w:vMerge w:val="continue"/>
                  <w:tcBorders>
                    <w:tl2br w:val="nil"/>
                    <w:tr2bl w:val="nil"/>
                  </w:tcBorders>
                  <w:vAlign w:val="center"/>
                </w:tcPr>
                <w:p w14:paraId="5C82680A">
                  <w:pPr>
                    <w:pStyle w:val="40"/>
                    <w:bidi w:val="0"/>
                    <w:jc w:val="center"/>
                    <w:rPr>
                      <w:rFonts w:hint="default"/>
                      <w:color w:val="auto"/>
                      <w:highlight w:val="none"/>
                    </w:rPr>
                  </w:pPr>
                </w:p>
              </w:tc>
              <w:tc>
                <w:tcPr>
                  <w:tcW w:w="2043" w:type="dxa"/>
                  <w:gridSpan w:val="4"/>
                  <w:tcBorders>
                    <w:tl2br w:val="nil"/>
                    <w:tr2bl w:val="nil"/>
                  </w:tcBorders>
                  <w:vAlign w:val="center"/>
                </w:tcPr>
                <w:p w14:paraId="4F98C3CD">
                  <w:pPr>
                    <w:pStyle w:val="40"/>
                    <w:bidi w:val="0"/>
                    <w:jc w:val="center"/>
                    <w:rPr>
                      <w:rFonts w:hint="default"/>
                      <w:color w:val="auto"/>
                      <w:spacing w:val="-6"/>
                      <w:sz w:val="21"/>
                      <w:highlight w:val="none"/>
                      <w:lang w:val="en-US" w:eastAsia="zh-CN"/>
                    </w:rPr>
                  </w:pPr>
                  <w:r>
                    <w:rPr>
                      <w:rFonts w:hint="eastAsia"/>
                      <w:color w:val="auto"/>
                      <w:spacing w:val="-6"/>
                      <w:sz w:val="21"/>
                      <w:highlight w:val="none"/>
                      <w:lang w:val="en-US" w:eastAsia="zh-CN"/>
                    </w:rPr>
                    <w:t>生态</w:t>
                  </w:r>
                </w:p>
              </w:tc>
              <w:tc>
                <w:tcPr>
                  <w:tcW w:w="5951" w:type="dxa"/>
                  <w:tcBorders>
                    <w:tl2br w:val="nil"/>
                    <w:tr2bl w:val="nil"/>
                  </w:tcBorders>
                  <w:vAlign w:val="center"/>
                </w:tcPr>
                <w:p w14:paraId="3AD6A61D">
                  <w:pPr>
                    <w:pStyle w:val="40"/>
                    <w:bidi w:val="0"/>
                    <w:jc w:val="center"/>
                    <w:rPr>
                      <w:rFonts w:hint="default"/>
                      <w:color w:val="auto"/>
                      <w:highlight w:val="none"/>
                    </w:rPr>
                  </w:pPr>
                  <w:r>
                    <w:rPr>
                      <w:rFonts w:hint="eastAsia"/>
                      <w:color w:val="auto"/>
                      <w:sz w:val="21"/>
                      <w:szCs w:val="21"/>
                      <w:highlight w:val="none"/>
                      <w:lang w:val="en-US" w:eastAsia="zh-CN"/>
                    </w:rPr>
                    <w:t>厂区绿化面积为13000m</w:t>
                  </w:r>
                  <w:r>
                    <w:rPr>
                      <w:rFonts w:hint="eastAsia"/>
                      <w:color w:val="auto"/>
                      <w:sz w:val="21"/>
                      <w:szCs w:val="21"/>
                      <w:highlight w:val="none"/>
                      <w:vertAlign w:val="superscript"/>
                      <w:lang w:val="en-US" w:eastAsia="zh-CN"/>
                    </w:rPr>
                    <w:t>3</w:t>
                  </w:r>
                </w:p>
              </w:tc>
            </w:tr>
          </w:tbl>
          <w:p w14:paraId="2BA581E4">
            <w:pPr>
              <w:pStyle w:val="41"/>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color w:val="auto"/>
                <w:highlight w:val="none"/>
                <w:lang w:val="en-US" w:eastAsia="zh-CN"/>
              </w:rPr>
            </w:pPr>
            <w:r>
              <w:rPr>
                <w:rFonts w:hint="eastAsia"/>
                <w:color w:val="auto"/>
                <w:highlight w:val="none"/>
                <w:lang w:val="en-US" w:eastAsia="zh-CN"/>
              </w:rPr>
              <w:t>二、项目主要生产设备</w:t>
            </w:r>
          </w:p>
          <w:p w14:paraId="7C43473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eastAsia"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rPr>
              <w:t>蒸压硅酸盐功能骨料生产线主要生产设备见</w:t>
            </w:r>
            <w:r>
              <w:rPr>
                <w:rFonts w:hint="default" w:ascii="Times New Roman" w:hAnsi="Times New Roman" w:eastAsia="宋体" w:cs="Times New Roman"/>
                <w:bCs/>
                <w:color w:val="auto"/>
                <w:sz w:val="24"/>
                <w:szCs w:val="24"/>
                <w:highlight w:val="none"/>
              </w:rPr>
              <w:fldChar w:fldCharType="begin"/>
            </w:r>
            <w:r>
              <w:rPr>
                <w:rFonts w:hint="default" w:ascii="Times New Roman" w:hAnsi="Times New Roman" w:eastAsia="宋体" w:cs="Times New Roman"/>
                <w:bCs/>
                <w:color w:val="auto"/>
                <w:sz w:val="24"/>
                <w:szCs w:val="24"/>
                <w:highlight w:val="none"/>
              </w:rPr>
              <w:instrText xml:space="preserve"> REF _Ref4927 \h </w:instrText>
            </w:r>
            <w:r>
              <w:rPr>
                <w:rFonts w:hint="default" w:ascii="Times New Roman" w:hAnsi="Times New Roman" w:eastAsia="宋体" w:cs="Times New Roman"/>
                <w:bCs/>
                <w:color w:val="auto"/>
                <w:sz w:val="24"/>
                <w:szCs w:val="24"/>
                <w:highlight w:val="none"/>
              </w:rPr>
              <w:fldChar w:fldCharType="separate"/>
            </w:r>
            <w:r>
              <w:rPr>
                <w:color w:val="auto"/>
                <w:highlight w:val="none"/>
              </w:rPr>
              <w:t>表2-2</w:t>
            </w:r>
            <w:r>
              <w:rPr>
                <w:rFonts w:hint="default" w:ascii="Times New Roman" w:hAnsi="Times New Roman" w:eastAsia="宋体" w:cs="Times New Roman"/>
                <w:bCs/>
                <w:color w:val="auto"/>
                <w:sz w:val="24"/>
                <w:szCs w:val="24"/>
                <w:highlight w:val="none"/>
              </w:rPr>
              <w:fldChar w:fldCharType="end"/>
            </w:r>
            <w:r>
              <w:rPr>
                <w:rFonts w:hint="eastAsia" w:cs="Times New Roman"/>
                <w:bCs/>
                <w:color w:val="auto"/>
                <w:sz w:val="24"/>
                <w:szCs w:val="24"/>
                <w:highlight w:val="none"/>
                <w:lang w:val="en-US" w:eastAsia="zh-CN"/>
              </w:rPr>
              <w:t>。</w:t>
            </w:r>
          </w:p>
          <w:p w14:paraId="4F640967">
            <w:pPr>
              <w:pStyle w:val="7"/>
              <w:keepNext w:val="0"/>
              <w:keepLines w:val="0"/>
              <w:pageBreakBefore w:val="0"/>
              <w:widowControl w:val="0"/>
              <w:kinsoku/>
              <w:wordWrap/>
              <w:overflowPunct/>
              <w:topLinePunct w:val="0"/>
              <w:autoSpaceDE/>
              <w:autoSpaceDN/>
              <w:bidi w:val="0"/>
              <w:adjustRightInd/>
              <w:snapToGrid/>
              <w:spacing w:before="0" w:beforeLines="0"/>
              <w:textAlignment w:val="auto"/>
              <w:rPr>
                <w:rFonts w:hint="eastAsia"/>
                <w:color w:val="auto"/>
                <w:highlight w:val="none"/>
                <w:lang w:val="en-US" w:eastAsia="zh-CN"/>
              </w:rPr>
            </w:pPr>
            <w:bookmarkStart w:id="10" w:name="_Ref4927"/>
            <w:r>
              <w:rPr>
                <w:color w:val="auto"/>
                <w:highlight w:val="none"/>
              </w:rPr>
              <w:t>表2-</w:t>
            </w:r>
            <w:r>
              <w:rPr>
                <w:color w:val="auto"/>
                <w:highlight w:val="none"/>
              </w:rPr>
              <w:fldChar w:fldCharType="begin"/>
            </w:r>
            <w:r>
              <w:rPr>
                <w:color w:val="auto"/>
                <w:highlight w:val="none"/>
              </w:rPr>
              <w:instrText xml:space="preserve"> SEQ 表2- \* ARABIC </w:instrText>
            </w:r>
            <w:r>
              <w:rPr>
                <w:color w:val="auto"/>
                <w:highlight w:val="none"/>
              </w:rPr>
              <w:fldChar w:fldCharType="separate"/>
            </w:r>
            <w:r>
              <w:rPr>
                <w:color w:val="auto"/>
                <w:highlight w:val="none"/>
              </w:rPr>
              <w:t>2</w:t>
            </w:r>
            <w:r>
              <w:rPr>
                <w:color w:val="auto"/>
                <w:highlight w:val="none"/>
              </w:rPr>
              <w:fldChar w:fldCharType="end"/>
            </w:r>
            <w:bookmarkEnd w:id="10"/>
            <w:r>
              <w:rPr>
                <w:rFonts w:hint="eastAsia"/>
                <w:color w:val="auto"/>
                <w:highlight w:val="none"/>
                <w:lang w:val="en-US" w:eastAsia="zh-CN"/>
              </w:rPr>
              <w:t xml:space="preserve">  </w:t>
            </w:r>
            <w:r>
              <w:rPr>
                <w:rFonts w:hint="default"/>
                <w:color w:val="auto"/>
                <w:highlight w:val="none"/>
              </w:rPr>
              <w:t>蒸压硅酸盐功能骨料主要生产设备</w:t>
            </w:r>
            <w:r>
              <w:rPr>
                <w:rFonts w:hint="eastAsia"/>
                <w:color w:val="auto"/>
                <w:highlight w:val="none"/>
                <w:lang w:val="en-US" w:eastAsia="zh-CN"/>
              </w:rPr>
              <w:t>一览表</w:t>
            </w:r>
          </w:p>
          <w:tbl>
            <w:tblPr>
              <w:tblStyle w:val="25"/>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76"/>
              <w:gridCol w:w="1426"/>
              <w:gridCol w:w="2958"/>
              <w:gridCol w:w="953"/>
              <w:gridCol w:w="964"/>
              <w:gridCol w:w="1477"/>
            </w:tblGrid>
            <w:tr w14:paraId="0ED09D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tcBorders>
                    <w:tl2br w:val="nil"/>
                    <w:tr2bl w:val="nil"/>
                  </w:tcBorders>
                  <w:vAlign w:val="center"/>
                </w:tcPr>
                <w:p w14:paraId="73F8916B">
                  <w:pPr>
                    <w:pStyle w:val="40"/>
                    <w:bidi w:val="0"/>
                    <w:rPr>
                      <w:rFonts w:hint="default"/>
                      <w:color w:val="auto"/>
                      <w:highlight w:val="none"/>
                      <w:lang w:val="en-US" w:eastAsia="zh-CN"/>
                    </w:rPr>
                  </w:pPr>
                  <w:r>
                    <w:rPr>
                      <w:rFonts w:hint="default"/>
                      <w:color w:val="auto"/>
                      <w:spacing w:val="-6"/>
                      <w:sz w:val="21"/>
                      <w:highlight w:val="none"/>
                      <w:lang w:val="en-US" w:eastAsia="zh-CN"/>
                    </w:rPr>
                    <w:t>序号</w:t>
                  </w:r>
                </w:p>
              </w:tc>
              <w:tc>
                <w:tcPr>
                  <w:tcW w:w="853" w:type="pct"/>
                  <w:tcBorders>
                    <w:tl2br w:val="nil"/>
                    <w:tr2bl w:val="nil"/>
                  </w:tcBorders>
                  <w:vAlign w:val="center"/>
                </w:tcPr>
                <w:p w14:paraId="114ADB80">
                  <w:pPr>
                    <w:pStyle w:val="40"/>
                    <w:bidi w:val="0"/>
                    <w:rPr>
                      <w:rFonts w:hint="default"/>
                      <w:color w:val="auto"/>
                      <w:highlight w:val="none"/>
                      <w:lang w:val="en-US" w:eastAsia="zh-CN"/>
                    </w:rPr>
                  </w:pPr>
                  <w:r>
                    <w:rPr>
                      <w:rFonts w:hint="default"/>
                      <w:color w:val="auto"/>
                      <w:highlight w:val="none"/>
                      <w:lang w:val="en-US" w:eastAsia="zh-CN"/>
                    </w:rPr>
                    <w:t>设备名称</w:t>
                  </w:r>
                </w:p>
              </w:tc>
              <w:tc>
                <w:tcPr>
                  <w:tcW w:w="1770" w:type="pct"/>
                  <w:tcBorders>
                    <w:tl2br w:val="nil"/>
                    <w:tr2bl w:val="nil"/>
                  </w:tcBorders>
                  <w:vAlign w:val="center"/>
                </w:tcPr>
                <w:p w14:paraId="3A73AB09">
                  <w:pPr>
                    <w:pStyle w:val="40"/>
                    <w:bidi w:val="0"/>
                    <w:rPr>
                      <w:rFonts w:hint="default"/>
                      <w:color w:val="auto"/>
                      <w:highlight w:val="none"/>
                      <w:lang w:val="en-US" w:eastAsia="zh-CN"/>
                    </w:rPr>
                  </w:pPr>
                  <w:r>
                    <w:rPr>
                      <w:rFonts w:hint="default"/>
                      <w:color w:val="auto"/>
                      <w:highlight w:val="none"/>
                      <w:lang w:val="en-US" w:eastAsia="zh-CN"/>
                    </w:rPr>
                    <w:t>规格型号</w:t>
                  </w:r>
                </w:p>
              </w:tc>
              <w:tc>
                <w:tcPr>
                  <w:tcW w:w="570" w:type="pct"/>
                  <w:tcBorders>
                    <w:tl2br w:val="nil"/>
                    <w:tr2bl w:val="nil"/>
                  </w:tcBorders>
                  <w:vAlign w:val="center"/>
                </w:tcPr>
                <w:p w14:paraId="5F35E672">
                  <w:pPr>
                    <w:pStyle w:val="40"/>
                    <w:bidi w:val="0"/>
                    <w:rPr>
                      <w:rFonts w:hint="default"/>
                      <w:color w:val="auto"/>
                      <w:highlight w:val="none"/>
                      <w:lang w:val="en-US" w:eastAsia="zh-CN"/>
                    </w:rPr>
                  </w:pPr>
                  <w:r>
                    <w:rPr>
                      <w:rFonts w:hint="default"/>
                      <w:color w:val="auto"/>
                      <w:highlight w:val="none"/>
                      <w:lang w:val="en-US" w:eastAsia="zh-CN"/>
                    </w:rPr>
                    <w:t>生产能力</w:t>
                  </w:r>
                  <w:r>
                    <w:rPr>
                      <w:rFonts w:hint="eastAsia"/>
                      <w:color w:val="auto"/>
                      <w:highlight w:val="none"/>
                      <w:lang w:val="en-US" w:eastAsia="zh-CN"/>
                    </w:rPr>
                    <w:t>（</w:t>
                  </w:r>
                  <w:r>
                    <w:rPr>
                      <w:rFonts w:hint="default"/>
                      <w:color w:val="auto"/>
                      <w:highlight w:val="none"/>
                      <w:lang w:val="en-US" w:eastAsia="zh-CN"/>
                    </w:rPr>
                    <w:t>t/h</w:t>
                  </w:r>
                  <w:r>
                    <w:rPr>
                      <w:rFonts w:hint="eastAsia"/>
                      <w:color w:val="auto"/>
                      <w:highlight w:val="none"/>
                      <w:lang w:val="en-US" w:eastAsia="zh-CN"/>
                    </w:rPr>
                    <w:t>）</w:t>
                  </w:r>
                </w:p>
              </w:tc>
              <w:tc>
                <w:tcPr>
                  <w:tcW w:w="576" w:type="pct"/>
                  <w:tcBorders>
                    <w:tl2br w:val="nil"/>
                    <w:tr2bl w:val="nil"/>
                  </w:tcBorders>
                  <w:vAlign w:val="center"/>
                </w:tcPr>
                <w:p w14:paraId="099DE434">
                  <w:pPr>
                    <w:pStyle w:val="40"/>
                    <w:bidi w:val="0"/>
                    <w:rPr>
                      <w:rFonts w:hint="default"/>
                      <w:color w:val="auto"/>
                      <w:spacing w:val="-20"/>
                      <w:sz w:val="21"/>
                      <w:highlight w:val="none"/>
                      <w:lang w:val="en-US" w:eastAsia="zh-CN"/>
                    </w:rPr>
                  </w:pPr>
                  <w:r>
                    <w:rPr>
                      <w:rFonts w:hint="default"/>
                      <w:color w:val="auto"/>
                      <w:spacing w:val="0"/>
                      <w:sz w:val="21"/>
                      <w:highlight w:val="none"/>
                      <w:lang w:val="en-US" w:eastAsia="zh-CN"/>
                    </w:rPr>
                    <w:t>数量</w:t>
                  </w:r>
                </w:p>
                <w:p w14:paraId="06A40DC9">
                  <w:pPr>
                    <w:pStyle w:val="40"/>
                    <w:bidi w:val="0"/>
                    <w:rPr>
                      <w:rFonts w:hint="default"/>
                      <w:color w:val="auto"/>
                      <w:highlight w:val="none"/>
                      <w:lang w:val="en-US" w:eastAsia="zh-CN"/>
                    </w:rPr>
                  </w:pPr>
                  <w:r>
                    <w:rPr>
                      <w:rFonts w:hint="eastAsia"/>
                      <w:color w:val="auto"/>
                      <w:spacing w:val="-11"/>
                      <w:sz w:val="21"/>
                      <w:highlight w:val="none"/>
                      <w:lang w:val="en-US" w:eastAsia="zh-CN"/>
                    </w:rPr>
                    <w:t>（</w:t>
                  </w:r>
                  <w:r>
                    <w:rPr>
                      <w:rFonts w:hint="default"/>
                      <w:color w:val="auto"/>
                      <w:spacing w:val="-11"/>
                      <w:sz w:val="21"/>
                      <w:highlight w:val="none"/>
                      <w:lang w:val="en-US" w:eastAsia="zh-CN"/>
                    </w:rPr>
                    <w:t>台/座</w:t>
                  </w:r>
                  <w:r>
                    <w:rPr>
                      <w:rFonts w:hint="eastAsia"/>
                      <w:color w:val="auto"/>
                      <w:spacing w:val="-11"/>
                      <w:sz w:val="21"/>
                      <w:highlight w:val="none"/>
                      <w:lang w:val="en-US" w:eastAsia="zh-CN"/>
                    </w:rPr>
                    <w:t>）</w:t>
                  </w:r>
                </w:p>
              </w:tc>
              <w:tc>
                <w:tcPr>
                  <w:tcW w:w="884" w:type="pct"/>
                  <w:tcBorders>
                    <w:tl2br w:val="nil"/>
                    <w:tr2bl w:val="nil"/>
                  </w:tcBorders>
                  <w:vAlign w:val="center"/>
                </w:tcPr>
                <w:p w14:paraId="4EDA51DB">
                  <w:pPr>
                    <w:pStyle w:val="40"/>
                    <w:bidi w:val="0"/>
                    <w:rPr>
                      <w:rFonts w:hint="default"/>
                      <w:color w:val="auto"/>
                      <w:highlight w:val="none"/>
                      <w:lang w:val="en-US" w:eastAsia="zh-CN"/>
                    </w:rPr>
                  </w:pPr>
                  <w:r>
                    <w:rPr>
                      <w:rFonts w:hint="eastAsia"/>
                      <w:color w:val="auto"/>
                      <w:highlight w:val="none"/>
                      <w:lang w:val="en-US" w:eastAsia="zh-CN"/>
                    </w:rPr>
                    <w:t>备注</w:t>
                  </w:r>
                </w:p>
              </w:tc>
            </w:tr>
            <w:tr w14:paraId="1644AA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tcBorders>
                    <w:tl2br w:val="nil"/>
                    <w:tr2bl w:val="nil"/>
                  </w:tcBorders>
                  <w:vAlign w:val="center"/>
                </w:tcPr>
                <w:p w14:paraId="05766447">
                  <w:pPr>
                    <w:pStyle w:val="40"/>
                    <w:bidi w:val="0"/>
                    <w:rPr>
                      <w:rFonts w:hint="default"/>
                      <w:color w:val="auto"/>
                      <w:highlight w:val="none"/>
                      <w:lang w:val="en-US" w:eastAsia="zh-CN"/>
                    </w:rPr>
                  </w:pPr>
                  <w:r>
                    <w:rPr>
                      <w:rFonts w:hint="eastAsia"/>
                      <w:color w:val="auto"/>
                      <w:highlight w:val="none"/>
                      <w:lang w:val="en-US" w:eastAsia="zh-CN"/>
                    </w:rPr>
                    <w:t>01-原料储存</w:t>
                  </w:r>
                </w:p>
              </w:tc>
            </w:tr>
            <w:tr w14:paraId="7F908A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44" w:type="pct"/>
                  <w:tcBorders>
                    <w:tl2br w:val="nil"/>
                    <w:tr2bl w:val="nil"/>
                  </w:tcBorders>
                  <w:vAlign w:val="center"/>
                </w:tcPr>
                <w:p w14:paraId="320C9984">
                  <w:pPr>
                    <w:pStyle w:val="40"/>
                    <w:bidi w:val="0"/>
                    <w:rPr>
                      <w:rFonts w:hint="default"/>
                      <w:color w:val="auto"/>
                      <w:highlight w:val="none"/>
                      <w:lang w:val="en-US" w:eastAsia="zh-CN"/>
                    </w:rPr>
                  </w:pPr>
                  <w:r>
                    <w:rPr>
                      <w:rFonts w:hint="eastAsia"/>
                      <w:color w:val="auto"/>
                      <w:highlight w:val="none"/>
                      <w:lang w:val="en-US" w:eastAsia="zh-CN"/>
                    </w:rPr>
                    <w:t>1</w:t>
                  </w:r>
                </w:p>
              </w:tc>
              <w:tc>
                <w:tcPr>
                  <w:tcW w:w="853" w:type="pct"/>
                  <w:tcBorders>
                    <w:tl2br w:val="nil"/>
                    <w:tr2bl w:val="nil"/>
                  </w:tcBorders>
                  <w:shd w:val="clear" w:color="auto" w:fill="auto"/>
                  <w:vAlign w:val="center"/>
                </w:tcPr>
                <w:p w14:paraId="17BD0D27">
                  <w:pPr>
                    <w:pStyle w:val="40"/>
                    <w:bidi w:val="0"/>
                    <w:rPr>
                      <w:rFonts w:hint="default"/>
                      <w:color w:val="auto"/>
                      <w:sz w:val="21"/>
                      <w:highlight w:val="none"/>
                      <w:lang w:val="en-US" w:eastAsia="zh-CN"/>
                    </w:rPr>
                  </w:pPr>
                  <w:r>
                    <w:rPr>
                      <w:rFonts w:hint="eastAsia"/>
                      <w:color w:val="auto"/>
                      <w:sz w:val="21"/>
                      <w:highlight w:val="none"/>
                      <w:lang w:val="en-US" w:eastAsia="zh-CN"/>
                    </w:rPr>
                    <w:t>粉煤灰筒仓</w:t>
                  </w:r>
                </w:p>
              </w:tc>
              <w:tc>
                <w:tcPr>
                  <w:tcW w:w="1770" w:type="pct"/>
                  <w:tcBorders>
                    <w:tl2br w:val="nil"/>
                    <w:tr2bl w:val="nil"/>
                  </w:tcBorders>
                  <w:shd w:val="clear" w:color="auto" w:fill="auto"/>
                  <w:vAlign w:val="center"/>
                </w:tcPr>
                <w:p w14:paraId="59AE81CE">
                  <w:pPr>
                    <w:pStyle w:val="40"/>
                    <w:bidi w:val="0"/>
                    <w:rPr>
                      <w:rFonts w:hint="default"/>
                      <w:color w:val="auto"/>
                      <w:highlight w:val="none"/>
                      <w:lang w:val="en-US" w:eastAsia="zh-CN"/>
                    </w:rPr>
                  </w:pPr>
                  <w:r>
                    <w:rPr>
                      <w:rFonts w:hint="eastAsia"/>
                      <w:color w:val="auto"/>
                      <w:highlight w:val="none"/>
                      <w:lang w:val="en-US" w:eastAsia="zh-CN"/>
                    </w:rPr>
                    <w:t>单座储量400t</w:t>
                  </w:r>
                </w:p>
              </w:tc>
              <w:tc>
                <w:tcPr>
                  <w:tcW w:w="570" w:type="pct"/>
                  <w:tcBorders>
                    <w:tl2br w:val="nil"/>
                    <w:tr2bl w:val="nil"/>
                  </w:tcBorders>
                  <w:shd w:val="clear" w:color="auto" w:fill="auto"/>
                  <w:vAlign w:val="center"/>
                </w:tcPr>
                <w:p w14:paraId="640AF07F">
                  <w:pPr>
                    <w:pStyle w:val="40"/>
                    <w:bidi w:val="0"/>
                    <w:rPr>
                      <w:rFonts w:hint="default"/>
                      <w:color w:val="auto"/>
                      <w:highlight w:val="none"/>
                      <w:lang w:val="en-US" w:eastAsia="zh-CN"/>
                    </w:rPr>
                  </w:pPr>
                  <w:r>
                    <w:rPr>
                      <w:rFonts w:hint="eastAsia"/>
                      <w:color w:val="auto"/>
                      <w:highlight w:val="none"/>
                      <w:lang w:val="en-US" w:eastAsia="zh-CN"/>
                    </w:rPr>
                    <w:t>/</w:t>
                  </w:r>
                </w:p>
              </w:tc>
              <w:tc>
                <w:tcPr>
                  <w:tcW w:w="576" w:type="pct"/>
                  <w:tcBorders>
                    <w:tl2br w:val="nil"/>
                    <w:tr2bl w:val="nil"/>
                  </w:tcBorders>
                  <w:shd w:val="clear" w:color="auto" w:fill="auto"/>
                  <w:vAlign w:val="center"/>
                </w:tcPr>
                <w:p w14:paraId="3DED4A74">
                  <w:pPr>
                    <w:pStyle w:val="40"/>
                    <w:bidi w:val="0"/>
                    <w:rPr>
                      <w:rFonts w:hint="default"/>
                      <w:color w:val="auto"/>
                      <w:highlight w:val="none"/>
                      <w:lang w:val="en-US" w:eastAsia="zh-CN"/>
                    </w:rPr>
                  </w:pPr>
                  <w:r>
                    <w:rPr>
                      <w:rFonts w:hint="eastAsia"/>
                      <w:color w:val="auto"/>
                      <w:highlight w:val="none"/>
                      <w:lang w:val="en-US" w:eastAsia="zh-CN"/>
                    </w:rPr>
                    <w:t>5</w:t>
                  </w:r>
                </w:p>
              </w:tc>
              <w:tc>
                <w:tcPr>
                  <w:tcW w:w="884" w:type="pct"/>
                  <w:tcBorders>
                    <w:tl2br w:val="nil"/>
                    <w:tr2bl w:val="nil"/>
                  </w:tcBorders>
                  <w:shd w:val="clear" w:color="auto" w:fill="auto"/>
                  <w:vAlign w:val="center"/>
                </w:tcPr>
                <w:p w14:paraId="2218E674">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含料位传感器</w:t>
                  </w:r>
                </w:p>
              </w:tc>
            </w:tr>
            <w:tr w14:paraId="133B23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44" w:type="pct"/>
                  <w:tcBorders>
                    <w:tl2br w:val="nil"/>
                    <w:tr2bl w:val="nil"/>
                  </w:tcBorders>
                  <w:shd w:val="clear" w:color="auto" w:fill="auto"/>
                  <w:vAlign w:val="center"/>
                </w:tcPr>
                <w:p w14:paraId="3513160C">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2</w:t>
                  </w:r>
                </w:p>
              </w:tc>
              <w:tc>
                <w:tcPr>
                  <w:tcW w:w="853" w:type="pct"/>
                  <w:tcBorders>
                    <w:tl2br w:val="nil"/>
                    <w:tr2bl w:val="nil"/>
                  </w:tcBorders>
                  <w:shd w:val="clear" w:color="auto" w:fill="auto"/>
                  <w:vAlign w:val="center"/>
                </w:tcPr>
                <w:p w14:paraId="1D62E501">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sz w:val="21"/>
                      <w:highlight w:val="none"/>
                      <w:lang w:val="en-US" w:eastAsia="zh-CN"/>
                    </w:rPr>
                    <w:t>活化剂筒仓</w:t>
                  </w:r>
                </w:p>
              </w:tc>
              <w:tc>
                <w:tcPr>
                  <w:tcW w:w="1770" w:type="pct"/>
                  <w:tcBorders>
                    <w:tl2br w:val="nil"/>
                    <w:tr2bl w:val="nil"/>
                  </w:tcBorders>
                  <w:shd w:val="clear" w:color="auto" w:fill="auto"/>
                  <w:vAlign w:val="center"/>
                </w:tcPr>
                <w:p w14:paraId="47CE90DB">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单仓储量10t</w:t>
                  </w:r>
                </w:p>
              </w:tc>
              <w:tc>
                <w:tcPr>
                  <w:tcW w:w="570" w:type="pct"/>
                  <w:tcBorders>
                    <w:tl2br w:val="nil"/>
                    <w:tr2bl w:val="nil"/>
                  </w:tcBorders>
                  <w:shd w:val="clear" w:color="auto" w:fill="auto"/>
                  <w:vAlign w:val="center"/>
                </w:tcPr>
                <w:p w14:paraId="42AB0476">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w:t>
                  </w:r>
                </w:p>
              </w:tc>
              <w:tc>
                <w:tcPr>
                  <w:tcW w:w="576" w:type="pct"/>
                  <w:tcBorders>
                    <w:tl2br w:val="nil"/>
                    <w:tr2bl w:val="nil"/>
                  </w:tcBorders>
                  <w:shd w:val="clear" w:color="auto" w:fill="auto"/>
                  <w:vAlign w:val="center"/>
                </w:tcPr>
                <w:p w14:paraId="18FA21DC">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5</w:t>
                  </w:r>
                </w:p>
              </w:tc>
              <w:tc>
                <w:tcPr>
                  <w:tcW w:w="884" w:type="pct"/>
                  <w:tcBorders>
                    <w:tl2br w:val="nil"/>
                    <w:tr2bl w:val="nil"/>
                  </w:tcBorders>
                  <w:shd w:val="clear" w:color="auto" w:fill="auto"/>
                  <w:vAlign w:val="center"/>
                </w:tcPr>
                <w:p w14:paraId="6E7DE786">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含料位传感器</w:t>
                  </w:r>
                </w:p>
              </w:tc>
            </w:tr>
            <w:tr w14:paraId="364BFA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tcBorders>
                    <w:tl2br w:val="nil"/>
                    <w:tr2bl w:val="nil"/>
                  </w:tcBorders>
                  <w:vAlign w:val="center"/>
                </w:tcPr>
                <w:p w14:paraId="2C90147E">
                  <w:pPr>
                    <w:pStyle w:val="40"/>
                    <w:bidi w:val="0"/>
                    <w:rPr>
                      <w:rFonts w:hint="default"/>
                      <w:color w:val="auto"/>
                      <w:highlight w:val="none"/>
                      <w:lang w:val="en-US" w:eastAsia="zh-CN"/>
                    </w:rPr>
                  </w:pPr>
                  <w:r>
                    <w:rPr>
                      <w:rFonts w:hint="eastAsia"/>
                      <w:color w:val="auto"/>
                      <w:highlight w:val="none"/>
                      <w:lang w:val="en-US" w:eastAsia="zh-CN"/>
                    </w:rPr>
                    <w:t>3</w:t>
                  </w:r>
                </w:p>
              </w:tc>
              <w:tc>
                <w:tcPr>
                  <w:tcW w:w="853" w:type="pct"/>
                  <w:tcBorders>
                    <w:tl2br w:val="nil"/>
                    <w:tr2bl w:val="nil"/>
                  </w:tcBorders>
                  <w:shd w:val="clear" w:color="auto" w:fill="auto"/>
                  <w:vAlign w:val="center"/>
                </w:tcPr>
                <w:p w14:paraId="65D11E4E">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default"/>
                      <w:color w:val="auto"/>
                      <w:sz w:val="21"/>
                      <w:highlight w:val="none"/>
                      <w:lang w:val="en-US" w:eastAsia="zh-CN"/>
                    </w:rPr>
                    <w:t>斗提机</w:t>
                  </w:r>
                </w:p>
              </w:tc>
              <w:tc>
                <w:tcPr>
                  <w:tcW w:w="1770" w:type="pct"/>
                  <w:tcBorders>
                    <w:tl2br w:val="nil"/>
                    <w:tr2bl w:val="nil"/>
                  </w:tcBorders>
                  <w:shd w:val="clear" w:color="auto" w:fill="auto"/>
                  <w:vAlign w:val="center"/>
                </w:tcPr>
                <w:p w14:paraId="205C23E3">
                  <w:pPr>
                    <w:pStyle w:val="40"/>
                    <w:bidi w:val="0"/>
                    <w:rPr>
                      <w:rFonts w:hint="default"/>
                      <w:color w:val="auto"/>
                      <w:highlight w:val="none"/>
                      <w:lang w:val="en-US" w:eastAsia="zh-CN"/>
                    </w:rPr>
                  </w:pPr>
                  <w:r>
                    <w:rPr>
                      <w:rFonts w:hint="default"/>
                      <w:color w:val="auto"/>
                      <w:highlight w:val="none"/>
                      <w:lang w:val="en-US" w:eastAsia="zh-CN"/>
                    </w:rPr>
                    <w:t>规格：NE150</w:t>
                  </w:r>
                </w:p>
                <w:p w14:paraId="25BF75B4">
                  <w:pPr>
                    <w:pStyle w:val="40"/>
                    <w:bidi w:val="0"/>
                    <w:rPr>
                      <w:rFonts w:hint="default"/>
                      <w:color w:val="auto"/>
                      <w:highlight w:val="none"/>
                      <w:lang w:val="en-US" w:eastAsia="zh-CN"/>
                    </w:rPr>
                  </w:pPr>
                  <w:r>
                    <w:rPr>
                      <w:rFonts w:hint="default"/>
                      <w:color w:val="auto"/>
                      <w:highlight w:val="none"/>
                      <w:lang w:val="en-US" w:eastAsia="zh-CN"/>
                    </w:rPr>
                    <w:t>类型：板链式</w:t>
                  </w:r>
                </w:p>
                <w:p w14:paraId="6926BE5E">
                  <w:pPr>
                    <w:pStyle w:val="40"/>
                    <w:bidi w:val="0"/>
                    <w:rPr>
                      <w:rFonts w:hint="default"/>
                      <w:color w:val="auto"/>
                      <w:highlight w:val="none"/>
                      <w:lang w:val="en-US" w:eastAsia="zh-CN"/>
                    </w:rPr>
                  </w:pPr>
                  <w:r>
                    <w:rPr>
                      <w:rFonts w:hint="default"/>
                      <w:color w:val="auto"/>
                      <w:highlight w:val="none"/>
                      <w:lang w:val="en-US" w:eastAsia="zh-CN"/>
                    </w:rPr>
                    <w:t>功率：30KW</w:t>
                  </w:r>
                </w:p>
                <w:p w14:paraId="77690181">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default"/>
                      <w:color w:val="auto"/>
                      <w:highlight w:val="none"/>
                      <w:lang w:val="en-US" w:eastAsia="zh-CN"/>
                    </w:rPr>
                    <w:t>电压：380V</w:t>
                  </w:r>
                </w:p>
              </w:tc>
              <w:tc>
                <w:tcPr>
                  <w:tcW w:w="570" w:type="pct"/>
                  <w:tcBorders>
                    <w:tl2br w:val="nil"/>
                    <w:tr2bl w:val="nil"/>
                  </w:tcBorders>
                  <w:shd w:val="clear" w:color="auto" w:fill="auto"/>
                  <w:vAlign w:val="center"/>
                </w:tcPr>
                <w:p w14:paraId="16F84CE0">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default"/>
                      <w:color w:val="auto"/>
                      <w:highlight w:val="none"/>
                      <w:lang w:val="en-US" w:eastAsia="zh-CN"/>
                    </w:rPr>
                    <w:t>150</w:t>
                  </w:r>
                </w:p>
              </w:tc>
              <w:tc>
                <w:tcPr>
                  <w:tcW w:w="576" w:type="pct"/>
                  <w:tcBorders>
                    <w:tl2br w:val="nil"/>
                    <w:tr2bl w:val="nil"/>
                  </w:tcBorders>
                  <w:shd w:val="clear" w:color="auto" w:fill="auto"/>
                  <w:vAlign w:val="center"/>
                </w:tcPr>
                <w:p w14:paraId="141B104B">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default"/>
                      <w:color w:val="auto"/>
                      <w:highlight w:val="none"/>
                      <w:lang w:val="en-US" w:eastAsia="zh-CN"/>
                    </w:rPr>
                    <w:t>2</w:t>
                  </w:r>
                </w:p>
              </w:tc>
              <w:tc>
                <w:tcPr>
                  <w:tcW w:w="884" w:type="pct"/>
                  <w:tcBorders>
                    <w:tl2br w:val="nil"/>
                    <w:tr2bl w:val="nil"/>
                  </w:tcBorders>
                  <w:shd w:val="clear" w:color="auto" w:fill="auto"/>
                  <w:vAlign w:val="center"/>
                </w:tcPr>
                <w:p w14:paraId="1F515C86">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w:t>
                  </w:r>
                </w:p>
              </w:tc>
            </w:tr>
            <w:tr w14:paraId="12C429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tcBorders>
                    <w:tl2br w:val="nil"/>
                    <w:tr2bl w:val="nil"/>
                  </w:tcBorders>
                  <w:vAlign w:val="center"/>
                </w:tcPr>
                <w:p w14:paraId="10E1EAC1">
                  <w:pPr>
                    <w:pStyle w:val="40"/>
                    <w:bidi w:val="0"/>
                    <w:rPr>
                      <w:rFonts w:hint="eastAsia"/>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2</w:t>
                  </w:r>
                  <w:r>
                    <w:rPr>
                      <w:rFonts w:hint="default"/>
                      <w:color w:val="auto"/>
                      <w:highlight w:val="none"/>
                      <w:lang w:val="en-US" w:eastAsia="zh-CN"/>
                    </w:rPr>
                    <w:t>-</w:t>
                  </w:r>
                  <w:r>
                    <w:rPr>
                      <w:rFonts w:hint="eastAsia"/>
                      <w:color w:val="auto"/>
                      <w:highlight w:val="none"/>
                      <w:lang w:val="en-US" w:eastAsia="zh-CN"/>
                    </w:rPr>
                    <w:t>原料预处理</w:t>
                  </w:r>
                </w:p>
              </w:tc>
            </w:tr>
            <w:tr w14:paraId="6B2EFF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tcBorders>
                    <w:tl2br w:val="nil"/>
                    <w:tr2bl w:val="nil"/>
                  </w:tcBorders>
                  <w:vAlign w:val="center"/>
                </w:tcPr>
                <w:p w14:paraId="7F832C55">
                  <w:pPr>
                    <w:pStyle w:val="40"/>
                    <w:bidi w:val="0"/>
                    <w:rPr>
                      <w:rFonts w:hint="default"/>
                      <w:color w:val="auto"/>
                      <w:highlight w:val="none"/>
                      <w:lang w:val="en-US" w:eastAsia="zh-CN"/>
                    </w:rPr>
                  </w:pPr>
                  <w:r>
                    <w:rPr>
                      <w:rFonts w:hint="default"/>
                      <w:color w:val="auto"/>
                      <w:highlight w:val="none"/>
                      <w:lang w:val="en-US" w:eastAsia="zh-CN"/>
                    </w:rPr>
                    <w:t>1</w:t>
                  </w:r>
                </w:p>
              </w:tc>
              <w:tc>
                <w:tcPr>
                  <w:tcW w:w="853" w:type="pct"/>
                  <w:tcBorders>
                    <w:tl2br w:val="nil"/>
                    <w:tr2bl w:val="nil"/>
                  </w:tcBorders>
                  <w:shd w:val="clear" w:color="auto" w:fill="auto"/>
                  <w:vAlign w:val="center"/>
                </w:tcPr>
                <w:p w14:paraId="5FC2AB7C">
                  <w:pPr>
                    <w:pStyle w:val="40"/>
                    <w:bidi w:val="0"/>
                    <w:rPr>
                      <w:rFonts w:hint="default"/>
                      <w:color w:val="auto"/>
                      <w:sz w:val="21"/>
                      <w:highlight w:val="none"/>
                      <w:lang w:val="en-US" w:eastAsia="zh-CN"/>
                    </w:rPr>
                  </w:pPr>
                  <w:r>
                    <w:rPr>
                      <w:rFonts w:hint="default"/>
                      <w:color w:val="auto"/>
                      <w:sz w:val="21"/>
                      <w:highlight w:val="none"/>
                      <w:lang w:val="en-US" w:eastAsia="zh-CN"/>
                    </w:rPr>
                    <w:t>球磨机</w:t>
                  </w:r>
                </w:p>
              </w:tc>
              <w:tc>
                <w:tcPr>
                  <w:tcW w:w="1770" w:type="pct"/>
                  <w:tcBorders>
                    <w:tl2br w:val="nil"/>
                    <w:tr2bl w:val="nil"/>
                  </w:tcBorders>
                  <w:shd w:val="clear" w:color="auto" w:fill="auto"/>
                  <w:vAlign w:val="center"/>
                </w:tcPr>
                <w:p w14:paraId="41941393">
                  <w:pPr>
                    <w:pStyle w:val="40"/>
                    <w:bidi w:val="0"/>
                    <w:rPr>
                      <w:rFonts w:hint="default"/>
                      <w:color w:val="auto"/>
                      <w:highlight w:val="none"/>
                      <w:lang w:val="en-US" w:eastAsia="zh-CN"/>
                    </w:rPr>
                  </w:pPr>
                  <w:r>
                    <w:rPr>
                      <w:rFonts w:hint="default"/>
                      <w:color w:val="auto"/>
                      <w:highlight w:val="none"/>
                      <w:lang w:val="en-US" w:eastAsia="zh-CN"/>
                    </w:rPr>
                    <w:t>规格：</w:t>
                  </w:r>
                  <w:r>
                    <w:rPr>
                      <w:color w:val="auto"/>
                      <w:highlight w:val="none"/>
                    </w:rPr>
                    <w:t>Ø3.5×13m</w:t>
                  </w:r>
                </w:p>
                <w:p w14:paraId="4947593C">
                  <w:pPr>
                    <w:pStyle w:val="40"/>
                    <w:bidi w:val="0"/>
                    <w:rPr>
                      <w:rFonts w:hint="default"/>
                      <w:color w:val="auto"/>
                      <w:highlight w:val="none"/>
                    </w:rPr>
                  </w:pPr>
                  <w:r>
                    <w:rPr>
                      <w:rFonts w:hint="default"/>
                      <w:color w:val="auto"/>
                      <w:highlight w:val="none"/>
                      <w:lang w:val="en-US" w:eastAsia="zh-CN"/>
                    </w:rPr>
                    <w:t>功率：主电机</w:t>
                  </w:r>
                  <w:r>
                    <w:rPr>
                      <w:rFonts w:hint="default"/>
                      <w:color w:val="auto"/>
                      <w:highlight w:val="none"/>
                    </w:rPr>
                    <w:t>2000</w:t>
                  </w:r>
                  <w:r>
                    <w:rPr>
                      <w:rFonts w:hint="default"/>
                      <w:color w:val="auto"/>
                      <w:highlight w:val="none"/>
                      <w:lang w:val="en-US" w:eastAsia="zh-CN"/>
                    </w:rPr>
                    <w:t>KW</w:t>
                  </w:r>
                </w:p>
                <w:p w14:paraId="4A445CEE">
                  <w:pPr>
                    <w:pStyle w:val="40"/>
                    <w:bidi w:val="0"/>
                    <w:rPr>
                      <w:rFonts w:hint="default"/>
                      <w:color w:val="auto"/>
                      <w:highlight w:val="none"/>
                      <w:lang w:val="en-US" w:eastAsia="zh-CN"/>
                    </w:rPr>
                  </w:pPr>
                  <w:r>
                    <w:rPr>
                      <w:rFonts w:hint="default"/>
                      <w:color w:val="auto"/>
                      <w:highlight w:val="none"/>
                      <w:lang w:val="en-US" w:eastAsia="zh-CN"/>
                    </w:rPr>
                    <w:t>电压：10000V</w:t>
                  </w:r>
                </w:p>
                <w:p w14:paraId="7415F240">
                  <w:pPr>
                    <w:pStyle w:val="40"/>
                    <w:bidi w:val="0"/>
                    <w:rPr>
                      <w:rFonts w:hint="default"/>
                      <w:color w:val="auto"/>
                      <w:highlight w:val="none"/>
                    </w:rPr>
                  </w:pPr>
                  <w:r>
                    <w:rPr>
                      <w:rFonts w:hint="default"/>
                      <w:color w:val="auto"/>
                      <w:highlight w:val="none"/>
                      <w:lang w:val="en-US" w:eastAsia="zh-CN"/>
                    </w:rPr>
                    <w:t>功率：辅传电机30KW</w:t>
                  </w:r>
                </w:p>
                <w:p w14:paraId="0E112419">
                  <w:pPr>
                    <w:pStyle w:val="40"/>
                    <w:bidi w:val="0"/>
                    <w:rPr>
                      <w:rFonts w:hint="default"/>
                      <w:color w:val="auto"/>
                      <w:highlight w:val="none"/>
                      <w:lang w:val="en-US" w:eastAsia="zh-CN"/>
                    </w:rPr>
                  </w:pPr>
                  <w:r>
                    <w:rPr>
                      <w:rFonts w:hint="default"/>
                      <w:color w:val="auto"/>
                      <w:highlight w:val="none"/>
                      <w:lang w:val="en-US" w:eastAsia="zh-CN"/>
                    </w:rPr>
                    <w:t>电压：380V</w:t>
                  </w:r>
                </w:p>
              </w:tc>
              <w:tc>
                <w:tcPr>
                  <w:tcW w:w="570" w:type="pct"/>
                  <w:tcBorders>
                    <w:tl2br w:val="nil"/>
                    <w:tr2bl w:val="nil"/>
                  </w:tcBorders>
                  <w:shd w:val="clear" w:color="auto" w:fill="auto"/>
                  <w:vAlign w:val="center"/>
                </w:tcPr>
                <w:p w14:paraId="7BBB8627">
                  <w:pPr>
                    <w:pStyle w:val="40"/>
                    <w:bidi w:val="0"/>
                    <w:rPr>
                      <w:rFonts w:hint="default"/>
                      <w:color w:val="auto"/>
                      <w:highlight w:val="none"/>
                      <w:lang w:val="en-US" w:eastAsia="zh-CN"/>
                    </w:rPr>
                  </w:pPr>
                  <w:r>
                    <w:rPr>
                      <w:rFonts w:hint="default"/>
                      <w:color w:val="auto"/>
                      <w:highlight w:val="none"/>
                      <w:lang w:val="en-US" w:eastAsia="zh-CN"/>
                    </w:rPr>
                    <w:t>90</w:t>
                  </w:r>
                </w:p>
              </w:tc>
              <w:tc>
                <w:tcPr>
                  <w:tcW w:w="576" w:type="pct"/>
                  <w:tcBorders>
                    <w:tl2br w:val="nil"/>
                    <w:tr2bl w:val="nil"/>
                  </w:tcBorders>
                  <w:shd w:val="clear" w:color="auto" w:fill="auto"/>
                  <w:vAlign w:val="center"/>
                </w:tcPr>
                <w:p w14:paraId="4568C41C">
                  <w:pPr>
                    <w:pStyle w:val="40"/>
                    <w:bidi w:val="0"/>
                    <w:rPr>
                      <w:rFonts w:hint="default"/>
                      <w:color w:val="auto"/>
                      <w:highlight w:val="none"/>
                      <w:lang w:val="en-US" w:eastAsia="zh-CN"/>
                    </w:rPr>
                  </w:pPr>
                  <w:r>
                    <w:rPr>
                      <w:rFonts w:hint="eastAsia"/>
                      <w:color w:val="auto"/>
                      <w:highlight w:val="none"/>
                      <w:lang w:val="en-US" w:eastAsia="zh-CN"/>
                    </w:rPr>
                    <w:t>2</w:t>
                  </w:r>
                </w:p>
              </w:tc>
              <w:tc>
                <w:tcPr>
                  <w:tcW w:w="884" w:type="pct"/>
                  <w:tcBorders>
                    <w:tl2br w:val="nil"/>
                    <w:tr2bl w:val="nil"/>
                  </w:tcBorders>
                  <w:shd w:val="clear" w:color="auto" w:fill="auto"/>
                  <w:vAlign w:val="center"/>
                </w:tcPr>
                <w:p w14:paraId="619049C3">
                  <w:pPr>
                    <w:pStyle w:val="40"/>
                    <w:bidi w:val="0"/>
                    <w:rPr>
                      <w:rFonts w:hint="default"/>
                      <w:color w:val="auto"/>
                      <w:highlight w:val="none"/>
                      <w:lang w:val="en-US" w:eastAsia="zh-CN"/>
                    </w:rPr>
                  </w:pPr>
                  <w:r>
                    <w:rPr>
                      <w:rFonts w:hint="eastAsia"/>
                      <w:color w:val="auto"/>
                      <w:highlight w:val="none"/>
                      <w:lang w:val="en-US" w:eastAsia="zh-CN"/>
                    </w:rPr>
                    <w:t>/</w:t>
                  </w:r>
                </w:p>
              </w:tc>
            </w:tr>
            <w:tr w14:paraId="725EF5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tcBorders>
                    <w:tl2br w:val="nil"/>
                    <w:tr2bl w:val="nil"/>
                  </w:tcBorders>
                  <w:vAlign w:val="center"/>
                </w:tcPr>
                <w:p w14:paraId="0837739A">
                  <w:pPr>
                    <w:pStyle w:val="40"/>
                    <w:bidi w:val="0"/>
                    <w:rPr>
                      <w:rFonts w:hint="default"/>
                      <w:color w:val="auto"/>
                      <w:highlight w:val="none"/>
                      <w:lang w:val="en-US" w:eastAsia="zh-CN"/>
                    </w:rPr>
                  </w:pPr>
                  <w:r>
                    <w:rPr>
                      <w:rFonts w:hint="eastAsia"/>
                      <w:color w:val="auto"/>
                      <w:highlight w:val="none"/>
                      <w:lang w:val="en-US" w:eastAsia="zh-CN"/>
                    </w:rPr>
                    <w:t>2</w:t>
                  </w:r>
                </w:p>
              </w:tc>
              <w:tc>
                <w:tcPr>
                  <w:tcW w:w="853" w:type="pct"/>
                  <w:tcBorders>
                    <w:tl2br w:val="nil"/>
                    <w:tr2bl w:val="nil"/>
                  </w:tcBorders>
                  <w:shd w:val="clear" w:color="auto" w:fill="auto"/>
                  <w:vAlign w:val="center"/>
                </w:tcPr>
                <w:p w14:paraId="2C88B1C4">
                  <w:pPr>
                    <w:pStyle w:val="40"/>
                    <w:bidi w:val="0"/>
                    <w:rPr>
                      <w:rFonts w:hint="default"/>
                      <w:color w:val="auto"/>
                      <w:sz w:val="21"/>
                      <w:highlight w:val="none"/>
                      <w:lang w:val="en-US" w:eastAsia="zh-CN"/>
                    </w:rPr>
                  </w:pPr>
                  <w:r>
                    <w:rPr>
                      <w:rFonts w:hint="default"/>
                      <w:color w:val="auto"/>
                      <w:sz w:val="21"/>
                      <w:highlight w:val="none"/>
                      <w:lang w:val="en-US" w:eastAsia="zh-CN"/>
                    </w:rPr>
                    <w:t>称重螺旋组</w:t>
                  </w:r>
                </w:p>
              </w:tc>
              <w:tc>
                <w:tcPr>
                  <w:tcW w:w="1770" w:type="pct"/>
                  <w:tcBorders>
                    <w:tl2br w:val="nil"/>
                    <w:tr2bl w:val="nil"/>
                  </w:tcBorders>
                  <w:shd w:val="clear" w:color="auto" w:fill="auto"/>
                  <w:vAlign w:val="center"/>
                </w:tcPr>
                <w:p w14:paraId="46144CC5">
                  <w:pPr>
                    <w:pStyle w:val="40"/>
                    <w:bidi w:val="0"/>
                    <w:rPr>
                      <w:color w:val="auto"/>
                      <w:highlight w:val="none"/>
                    </w:rPr>
                  </w:pPr>
                  <w:r>
                    <w:rPr>
                      <w:rFonts w:hint="default"/>
                      <w:color w:val="auto"/>
                      <w:highlight w:val="none"/>
                      <w:lang w:val="en-US" w:eastAsia="zh-CN"/>
                    </w:rPr>
                    <w:t>螺旋给料机规格：</w:t>
                  </w:r>
                  <w:r>
                    <w:rPr>
                      <w:color w:val="auto"/>
                      <w:highlight w:val="none"/>
                    </w:rPr>
                    <w:t>Ø</w:t>
                  </w:r>
                  <w:r>
                    <w:rPr>
                      <w:rFonts w:hint="eastAsia"/>
                      <w:color w:val="auto"/>
                      <w:highlight w:val="none"/>
                      <w:lang w:val="en-US" w:eastAsia="zh-CN"/>
                    </w:rPr>
                    <w:t>0.5</w:t>
                  </w:r>
                  <w:r>
                    <w:rPr>
                      <w:color w:val="auto"/>
                      <w:highlight w:val="none"/>
                    </w:rPr>
                    <w:t>×</w:t>
                  </w:r>
                  <w:r>
                    <w:rPr>
                      <w:rFonts w:hint="eastAsia"/>
                      <w:color w:val="auto"/>
                      <w:highlight w:val="none"/>
                      <w:lang w:val="en-US" w:eastAsia="zh-CN"/>
                    </w:rPr>
                    <w:t>2</w:t>
                  </w:r>
                  <w:r>
                    <w:rPr>
                      <w:color w:val="auto"/>
                      <w:highlight w:val="none"/>
                    </w:rPr>
                    <w:t>m</w:t>
                  </w:r>
                </w:p>
                <w:p w14:paraId="5201333D">
                  <w:pPr>
                    <w:pStyle w:val="40"/>
                    <w:bidi w:val="0"/>
                    <w:rPr>
                      <w:rFonts w:hint="default"/>
                      <w:color w:val="auto"/>
                      <w:highlight w:val="none"/>
                      <w:lang w:val="en-US" w:eastAsia="zh-CN"/>
                    </w:rPr>
                  </w:pPr>
                  <w:r>
                    <w:rPr>
                      <w:rFonts w:hint="default"/>
                      <w:color w:val="auto"/>
                      <w:highlight w:val="none"/>
                      <w:lang w:val="en-US" w:eastAsia="zh-CN"/>
                    </w:rPr>
                    <w:t>螺旋给料机功率：7.5KW</w:t>
                  </w:r>
                </w:p>
                <w:p w14:paraId="514E18B4">
                  <w:pPr>
                    <w:pStyle w:val="40"/>
                    <w:bidi w:val="0"/>
                    <w:rPr>
                      <w:rFonts w:hint="default"/>
                      <w:color w:val="auto"/>
                      <w:highlight w:val="none"/>
                      <w:lang w:val="en-US" w:eastAsia="zh-CN"/>
                    </w:rPr>
                  </w:pPr>
                  <w:r>
                    <w:rPr>
                      <w:rFonts w:hint="default"/>
                      <w:color w:val="auto"/>
                      <w:highlight w:val="none"/>
                      <w:lang w:val="en-US" w:eastAsia="zh-CN"/>
                    </w:rPr>
                    <w:t>螺旋给料机电压：380V</w:t>
                  </w:r>
                </w:p>
                <w:p w14:paraId="1C51CB9F">
                  <w:pPr>
                    <w:pStyle w:val="40"/>
                    <w:bidi w:val="0"/>
                    <w:rPr>
                      <w:rFonts w:hint="default"/>
                      <w:color w:val="auto"/>
                      <w:spacing w:val="-6"/>
                      <w:sz w:val="21"/>
                      <w:highlight w:val="none"/>
                      <w:lang w:val="en-US" w:eastAsia="zh-CN"/>
                    </w:rPr>
                  </w:pPr>
                  <w:r>
                    <w:rPr>
                      <w:rFonts w:hint="default"/>
                      <w:color w:val="auto"/>
                      <w:spacing w:val="-6"/>
                      <w:sz w:val="21"/>
                      <w:highlight w:val="none"/>
                      <w:lang w:val="en-US" w:eastAsia="zh-CN"/>
                    </w:rPr>
                    <w:t>称重螺旋给料机规格：</w:t>
                  </w:r>
                  <w:r>
                    <w:rPr>
                      <w:color w:val="auto"/>
                      <w:highlight w:val="none"/>
                    </w:rPr>
                    <w:t>Ø</w:t>
                  </w:r>
                  <w:r>
                    <w:rPr>
                      <w:rFonts w:hint="eastAsia"/>
                      <w:color w:val="auto"/>
                      <w:highlight w:val="none"/>
                      <w:lang w:val="en-US" w:eastAsia="zh-CN"/>
                    </w:rPr>
                    <w:t>0.5</w:t>
                  </w:r>
                  <w:r>
                    <w:rPr>
                      <w:color w:val="auto"/>
                      <w:highlight w:val="none"/>
                    </w:rPr>
                    <w:t>×</w:t>
                  </w:r>
                  <w:r>
                    <w:rPr>
                      <w:rFonts w:hint="eastAsia"/>
                      <w:color w:val="auto"/>
                      <w:highlight w:val="none"/>
                      <w:lang w:val="en-US" w:eastAsia="zh-CN"/>
                    </w:rPr>
                    <w:t>3</w:t>
                  </w:r>
                  <w:r>
                    <w:rPr>
                      <w:color w:val="auto"/>
                      <w:highlight w:val="none"/>
                    </w:rPr>
                    <w:t>m</w:t>
                  </w:r>
                </w:p>
                <w:p w14:paraId="2C40DDB6">
                  <w:pPr>
                    <w:pStyle w:val="40"/>
                    <w:bidi w:val="0"/>
                    <w:rPr>
                      <w:rFonts w:hint="default"/>
                      <w:color w:val="auto"/>
                      <w:highlight w:val="none"/>
                      <w:lang w:val="en-US" w:eastAsia="zh-CN"/>
                    </w:rPr>
                  </w:pPr>
                  <w:r>
                    <w:rPr>
                      <w:rFonts w:hint="default"/>
                      <w:color w:val="auto"/>
                      <w:highlight w:val="none"/>
                      <w:lang w:val="en-US" w:eastAsia="zh-CN"/>
                    </w:rPr>
                    <w:t>称重螺旋给料机功率：7.5KW</w:t>
                  </w:r>
                </w:p>
                <w:p w14:paraId="0BE733C5">
                  <w:pPr>
                    <w:pStyle w:val="40"/>
                    <w:bidi w:val="0"/>
                    <w:rPr>
                      <w:rFonts w:hint="default"/>
                      <w:color w:val="auto"/>
                      <w:highlight w:val="none"/>
                      <w:lang w:val="en-US" w:eastAsia="zh-CN"/>
                    </w:rPr>
                  </w:pPr>
                  <w:r>
                    <w:rPr>
                      <w:rFonts w:hint="default"/>
                      <w:color w:val="auto"/>
                      <w:highlight w:val="none"/>
                      <w:lang w:val="en-US" w:eastAsia="zh-CN"/>
                    </w:rPr>
                    <w:t>称重螺旋给料机电压：380V</w:t>
                  </w:r>
                </w:p>
              </w:tc>
              <w:tc>
                <w:tcPr>
                  <w:tcW w:w="570" w:type="pct"/>
                  <w:tcBorders>
                    <w:tl2br w:val="nil"/>
                    <w:tr2bl w:val="nil"/>
                  </w:tcBorders>
                  <w:shd w:val="clear" w:color="auto" w:fill="auto"/>
                  <w:vAlign w:val="center"/>
                </w:tcPr>
                <w:p w14:paraId="5C300FE4">
                  <w:pPr>
                    <w:pStyle w:val="40"/>
                    <w:bidi w:val="0"/>
                    <w:rPr>
                      <w:rFonts w:hint="default"/>
                      <w:color w:val="auto"/>
                      <w:highlight w:val="none"/>
                      <w:lang w:val="en-US" w:eastAsia="zh-CN"/>
                    </w:rPr>
                  </w:pPr>
                  <w:r>
                    <w:rPr>
                      <w:rFonts w:hint="default"/>
                      <w:color w:val="auto"/>
                      <w:highlight w:val="none"/>
                      <w:lang w:val="en-US" w:eastAsia="zh-CN"/>
                    </w:rPr>
                    <w:t>80</w:t>
                  </w:r>
                </w:p>
              </w:tc>
              <w:tc>
                <w:tcPr>
                  <w:tcW w:w="576" w:type="pct"/>
                  <w:tcBorders>
                    <w:tl2br w:val="nil"/>
                    <w:tr2bl w:val="nil"/>
                  </w:tcBorders>
                  <w:shd w:val="clear" w:color="auto" w:fill="auto"/>
                  <w:vAlign w:val="center"/>
                </w:tcPr>
                <w:p w14:paraId="1620D271">
                  <w:pPr>
                    <w:pStyle w:val="40"/>
                    <w:bidi w:val="0"/>
                    <w:rPr>
                      <w:rFonts w:hint="default"/>
                      <w:color w:val="auto"/>
                      <w:highlight w:val="none"/>
                      <w:lang w:val="en-US" w:eastAsia="zh-CN"/>
                    </w:rPr>
                  </w:pPr>
                  <w:r>
                    <w:rPr>
                      <w:rFonts w:hint="default"/>
                      <w:color w:val="auto"/>
                      <w:highlight w:val="none"/>
                      <w:lang w:val="en-US" w:eastAsia="zh-CN"/>
                    </w:rPr>
                    <w:t>8</w:t>
                  </w:r>
                </w:p>
              </w:tc>
              <w:tc>
                <w:tcPr>
                  <w:tcW w:w="884" w:type="pct"/>
                  <w:tcBorders>
                    <w:tl2br w:val="nil"/>
                    <w:tr2bl w:val="nil"/>
                  </w:tcBorders>
                  <w:shd w:val="clear" w:color="auto" w:fill="auto"/>
                  <w:vAlign w:val="center"/>
                </w:tcPr>
                <w:p w14:paraId="520BC767">
                  <w:pPr>
                    <w:pStyle w:val="40"/>
                    <w:bidi w:val="0"/>
                    <w:rPr>
                      <w:rFonts w:hint="default"/>
                      <w:color w:val="auto"/>
                      <w:highlight w:val="none"/>
                      <w:lang w:val="en-US" w:eastAsia="zh-CN"/>
                    </w:rPr>
                  </w:pPr>
                  <w:r>
                    <w:rPr>
                      <w:rFonts w:hint="eastAsia"/>
                      <w:color w:val="auto"/>
                      <w:highlight w:val="none"/>
                      <w:lang w:val="en-US" w:eastAsia="zh-CN"/>
                    </w:rPr>
                    <w:t>/</w:t>
                  </w:r>
                </w:p>
              </w:tc>
            </w:tr>
            <w:tr w14:paraId="790C00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tcBorders>
                    <w:tl2br w:val="nil"/>
                    <w:tr2bl w:val="nil"/>
                  </w:tcBorders>
                  <w:vAlign w:val="center"/>
                </w:tcPr>
                <w:p w14:paraId="66265A57">
                  <w:pPr>
                    <w:pStyle w:val="40"/>
                    <w:bidi w:val="0"/>
                    <w:rPr>
                      <w:rFonts w:hint="default"/>
                      <w:color w:val="auto"/>
                      <w:highlight w:val="none"/>
                      <w:lang w:val="en-US" w:eastAsia="zh-CN"/>
                    </w:rPr>
                  </w:pPr>
                  <w:r>
                    <w:rPr>
                      <w:rFonts w:hint="eastAsia"/>
                      <w:color w:val="auto"/>
                      <w:highlight w:val="none"/>
                      <w:lang w:val="en-US" w:eastAsia="zh-CN"/>
                    </w:rPr>
                    <w:t>3</w:t>
                  </w:r>
                </w:p>
              </w:tc>
              <w:tc>
                <w:tcPr>
                  <w:tcW w:w="853" w:type="pct"/>
                  <w:tcBorders>
                    <w:tl2br w:val="nil"/>
                    <w:tr2bl w:val="nil"/>
                  </w:tcBorders>
                  <w:shd w:val="clear" w:color="auto" w:fill="auto"/>
                  <w:vAlign w:val="center"/>
                </w:tcPr>
                <w:p w14:paraId="33808FF7">
                  <w:pPr>
                    <w:pStyle w:val="40"/>
                    <w:bidi w:val="0"/>
                    <w:rPr>
                      <w:rFonts w:hint="default"/>
                      <w:color w:val="auto"/>
                      <w:sz w:val="21"/>
                      <w:highlight w:val="none"/>
                      <w:lang w:val="en-US" w:eastAsia="zh-CN"/>
                    </w:rPr>
                  </w:pPr>
                  <w:r>
                    <w:rPr>
                      <w:rFonts w:hint="default"/>
                      <w:color w:val="auto"/>
                      <w:spacing w:val="-6"/>
                      <w:sz w:val="21"/>
                      <w:highlight w:val="none"/>
                      <w:lang w:val="en-US" w:eastAsia="zh-CN"/>
                    </w:rPr>
                    <w:t>U型螺旋给料</w:t>
                  </w:r>
                </w:p>
              </w:tc>
              <w:tc>
                <w:tcPr>
                  <w:tcW w:w="1770" w:type="pct"/>
                  <w:tcBorders>
                    <w:tl2br w:val="nil"/>
                    <w:tr2bl w:val="nil"/>
                  </w:tcBorders>
                  <w:shd w:val="clear" w:color="auto" w:fill="auto"/>
                  <w:vAlign w:val="center"/>
                </w:tcPr>
                <w:p w14:paraId="3C3F6E82">
                  <w:pPr>
                    <w:pStyle w:val="40"/>
                    <w:bidi w:val="0"/>
                    <w:rPr>
                      <w:color w:val="auto"/>
                      <w:highlight w:val="none"/>
                    </w:rPr>
                  </w:pPr>
                  <w:r>
                    <w:rPr>
                      <w:rFonts w:hint="default"/>
                      <w:color w:val="auto"/>
                      <w:highlight w:val="none"/>
                      <w:lang w:val="en-US" w:eastAsia="zh-CN"/>
                    </w:rPr>
                    <w:t>规格：</w:t>
                  </w:r>
                  <w:r>
                    <w:rPr>
                      <w:color w:val="auto"/>
                      <w:highlight w:val="none"/>
                    </w:rPr>
                    <w:t>Ø</w:t>
                  </w:r>
                  <w:r>
                    <w:rPr>
                      <w:rFonts w:hint="eastAsia"/>
                      <w:color w:val="auto"/>
                      <w:highlight w:val="none"/>
                      <w:lang w:val="en-US" w:eastAsia="zh-CN"/>
                    </w:rPr>
                    <w:t>0.5</w:t>
                  </w:r>
                  <w:r>
                    <w:rPr>
                      <w:color w:val="auto"/>
                      <w:highlight w:val="none"/>
                    </w:rPr>
                    <w:t>×</w:t>
                  </w:r>
                  <w:r>
                    <w:rPr>
                      <w:rFonts w:hint="eastAsia"/>
                      <w:color w:val="auto"/>
                      <w:highlight w:val="none"/>
                      <w:lang w:val="en-US" w:eastAsia="zh-CN"/>
                    </w:rPr>
                    <w:t>5</w:t>
                  </w:r>
                  <w:r>
                    <w:rPr>
                      <w:color w:val="auto"/>
                      <w:highlight w:val="none"/>
                    </w:rPr>
                    <w:t>m</w:t>
                  </w:r>
                </w:p>
                <w:p w14:paraId="5DF93C45">
                  <w:pPr>
                    <w:pStyle w:val="40"/>
                    <w:bidi w:val="0"/>
                    <w:rPr>
                      <w:rFonts w:hint="default"/>
                      <w:color w:val="auto"/>
                      <w:highlight w:val="none"/>
                      <w:lang w:val="en-US" w:eastAsia="zh-CN"/>
                    </w:rPr>
                  </w:pPr>
                  <w:r>
                    <w:rPr>
                      <w:rFonts w:hint="default"/>
                      <w:color w:val="auto"/>
                      <w:highlight w:val="none"/>
                      <w:lang w:val="en-US" w:eastAsia="zh-CN"/>
                    </w:rPr>
                    <w:t>功率：7.5KW</w:t>
                  </w:r>
                </w:p>
                <w:p w14:paraId="7DDEF499">
                  <w:pPr>
                    <w:pStyle w:val="40"/>
                    <w:bidi w:val="0"/>
                    <w:rPr>
                      <w:rFonts w:hint="default"/>
                      <w:color w:val="auto"/>
                      <w:highlight w:val="none"/>
                      <w:lang w:val="en-US" w:eastAsia="zh-CN"/>
                    </w:rPr>
                  </w:pPr>
                  <w:r>
                    <w:rPr>
                      <w:rFonts w:hint="default"/>
                      <w:color w:val="auto"/>
                      <w:highlight w:val="none"/>
                      <w:lang w:val="en-US" w:eastAsia="zh-CN"/>
                    </w:rPr>
                    <w:t>电压：380V</w:t>
                  </w:r>
                </w:p>
              </w:tc>
              <w:tc>
                <w:tcPr>
                  <w:tcW w:w="570" w:type="pct"/>
                  <w:tcBorders>
                    <w:tl2br w:val="nil"/>
                    <w:tr2bl w:val="nil"/>
                  </w:tcBorders>
                  <w:shd w:val="clear" w:color="auto" w:fill="auto"/>
                  <w:vAlign w:val="center"/>
                </w:tcPr>
                <w:p w14:paraId="4E221B95">
                  <w:pPr>
                    <w:pStyle w:val="40"/>
                    <w:bidi w:val="0"/>
                    <w:rPr>
                      <w:rFonts w:hint="default"/>
                      <w:color w:val="auto"/>
                      <w:highlight w:val="none"/>
                      <w:lang w:val="en-US" w:eastAsia="zh-CN"/>
                    </w:rPr>
                  </w:pPr>
                  <w:r>
                    <w:rPr>
                      <w:rFonts w:hint="default"/>
                      <w:color w:val="auto"/>
                      <w:highlight w:val="none"/>
                      <w:lang w:val="en-US" w:eastAsia="zh-CN"/>
                    </w:rPr>
                    <w:t>80</w:t>
                  </w:r>
                </w:p>
              </w:tc>
              <w:tc>
                <w:tcPr>
                  <w:tcW w:w="576" w:type="pct"/>
                  <w:tcBorders>
                    <w:tl2br w:val="nil"/>
                    <w:tr2bl w:val="nil"/>
                  </w:tcBorders>
                  <w:shd w:val="clear" w:color="auto" w:fill="auto"/>
                  <w:vAlign w:val="center"/>
                </w:tcPr>
                <w:p w14:paraId="6E2EAAA6">
                  <w:pPr>
                    <w:pStyle w:val="40"/>
                    <w:bidi w:val="0"/>
                    <w:rPr>
                      <w:rFonts w:hint="default"/>
                      <w:color w:val="auto"/>
                      <w:highlight w:val="none"/>
                      <w:lang w:val="en-US" w:eastAsia="zh-CN"/>
                    </w:rPr>
                  </w:pPr>
                  <w:r>
                    <w:rPr>
                      <w:rFonts w:hint="default"/>
                      <w:color w:val="auto"/>
                      <w:highlight w:val="none"/>
                      <w:lang w:val="en-US" w:eastAsia="zh-CN"/>
                    </w:rPr>
                    <w:t>2</w:t>
                  </w:r>
                </w:p>
              </w:tc>
              <w:tc>
                <w:tcPr>
                  <w:tcW w:w="884" w:type="pct"/>
                  <w:tcBorders>
                    <w:tl2br w:val="nil"/>
                    <w:tr2bl w:val="nil"/>
                  </w:tcBorders>
                  <w:shd w:val="clear" w:color="auto" w:fill="auto"/>
                  <w:vAlign w:val="center"/>
                </w:tcPr>
                <w:p w14:paraId="0436CCF6">
                  <w:pPr>
                    <w:pStyle w:val="40"/>
                    <w:bidi w:val="0"/>
                    <w:rPr>
                      <w:rFonts w:hint="default"/>
                      <w:color w:val="auto"/>
                      <w:highlight w:val="none"/>
                      <w:lang w:val="en-US" w:eastAsia="zh-CN"/>
                    </w:rPr>
                  </w:pPr>
                  <w:r>
                    <w:rPr>
                      <w:rFonts w:hint="eastAsia"/>
                      <w:color w:val="auto"/>
                      <w:highlight w:val="none"/>
                      <w:lang w:val="en-US" w:eastAsia="zh-CN"/>
                    </w:rPr>
                    <w:t>/</w:t>
                  </w:r>
                </w:p>
              </w:tc>
            </w:tr>
            <w:tr w14:paraId="61FD77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tcBorders>
                    <w:tl2br w:val="nil"/>
                    <w:tr2bl w:val="nil"/>
                  </w:tcBorders>
                  <w:vAlign w:val="center"/>
                </w:tcPr>
                <w:p w14:paraId="52B54D9E">
                  <w:pPr>
                    <w:pStyle w:val="40"/>
                    <w:bidi w:val="0"/>
                    <w:rPr>
                      <w:rFonts w:hint="default"/>
                      <w:color w:val="auto"/>
                      <w:highlight w:val="none"/>
                      <w:lang w:val="en-US" w:eastAsia="zh-CN"/>
                    </w:rPr>
                  </w:pPr>
                  <w:r>
                    <w:rPr>
                      <w:rFonts w:hint="eastAsia"/>
                      <w:color w:val="auto"/>
                      <w:highlight w:val="none"/>
                      <w:lang w:val="en-US" w:eastAsia="zh-CN"/>
                    </w:rPr>
                    <w:t>4</w:t>
                  </w:r>
                </w:p>
              </w:tc>
              <w:tc>
                <w:tcPr>
                  <w:tcW w:w="853" w:type="pct"/>
                  <w:tcBorders>
                    <w:tl2br w:val="nil"/>
                    <w:tr2bl w:val="nil"/>
                  </w:tcBorders>
                  <w:shd w:val="clear" w:color="auto" w:fill="auto"/>
                  <w:vAlign w:val="center"/>
                </w:tcPr>
                <w:p w14:paraId="2A50F714">
                  <w:pPr>
                    <w:pStyle w:val="40"/>
                    <w:bidi w:val="0"/>
                    <w:rPr>
                      <w:rFonts w:hint="default"/>
                      <w:color w:val="auto"/>
                      <w:sz w:val="21"/>
                      <w:highlight w:val="none"/>
                      <w:lang w:val="en-US" w:eastAsia="zh-CN"/>
                    </w:rPr>
                  </w:pPr>
                  <w:r>
                    <w:rPr>
                      <w:rFonts w:hint="default"/>
                      <w:color w:val="auto"/>
                      <w:sz w:val="21"/>
                      <w:highlight w:val="none"/>
                      <w:lang w:val="en-US" w:eastAsia="zh-CN"/>
                    </w:rPr>
                    <w:t>斗提机</w:t>
                  </w:r>
                </w:p>
              </w:tc>
              <w:tc>
                <w:tcPr>
                  <w:tcW w:w="1770" w:type="pct"/>
                  <w:tcBorders>
                    <w:tl2br w:val="nil"/>
                    <w:tr2bl w:val="nil"/>
                  </w:tcBorders>
                  <w:shd w:val="clear" w:color="auto" w:fill="auto"/>
                  <w:vAlign w:val="center"/>
                </w:tcPr>
                <w:p w14:paraId="3D27BBB3">
                  <w:pPr>
                    <w:pStyle w:val="40"/>
                    <w:bidi w:val="0"/>
                    <w:rPr>
                      <w:rFonts w:hint="default"/>
                      <w:color w:val="auto"/>
                      <w:highlight w:val="none"/>
                      <w:lang w:val="en-US" w:eastAsia="zh-CN"/>
                    </w:rPr>
                  </w:pPr>
                  <w:r>
                    <w:rPr>
                      <w:rFonts w:hint="default"/>
                      <w:color w:val="auto"/>
                      <w:highlight w:val="none"/>
                      <w:lang w:val="en-US" w:eastAsia="zh-CN"/>
                    </w:rPr>
                    <w:t>规格：NE150</w:t>
                  </w:r>
                </w:p>
                <w:p w14:paraId="0ADF7017">
                  <w:pPr>
                    <w:pStyle w:val="40"/>
                    <w:bidi w:val="0"/>
                    <w:rPr>
                      <w:rFonts w:hint="default"/>
                      <w:color w:val="auto"/>
                      <w:highlight w:val="none"/>
                      <w:lang w:val="en-US" w:eastAsia="zh-CN"/>
                    </w:rPr>
                  </w:pPr>
                  <w:r>
                    <w:rPr>
                      <w:rFonts w:hint="default"/>
                      <w:color w:val="auto"/>
                      <w:highlight w:val="none"/>
                      <w:lang w:val="en-US" w:eastAsia="zh-CN"/>
                    </w:rPr>
                    <w:t>类型：板链式</w:t>
                  </w:r>
                </w:p>
                <w:p w14:paraId="1836E65F">
                  <w:pPr>
                    <w:pStyle w:val="40"/>
                    <w:bidi w:val="0"/>
                    <w:rPr>
                      <w:rFonts w:hint="default"/>
                      <w:color w:val="auto"/>
                      <w:highlight w:val="none"/>
                      <w:lang w:val="en-US" w:eastAsia="zh-CN"/>
                    </w:rPr>
                  </w:pPr>
                  <w:r>
                    <w:rPr>
                      <w:rFonts w:hint="default"/>
                      <w:color w:val="auto"/>
                      <w:highlight w:val="none"/>
                      <w:lang w:val="en-US" w:eastAsia="zh-CN"/>
                    </w:rPr>
                    <w:t>功率：30KW</w:t>
                  </w:r>
                </w:p>
                <w:p w14:paraId="5B9B23E1">
                  <w:pPr>
                    <w:pStyle w:val="40"/>
                    <w:bidi w:val="0"/>
                    <w:rPr>
                      <w:rFonts w:hint="default"/>
                      <w:color w:val="auto"/>
                      <w:highlight w:val="none"/>
                      <w:lang w:val="en-US" w:eastAsia="zh-CN"/>
                    </w:rPr>
                  </w:pPr>
                  <w:r>
                    <w:rPr>
                      <w:rFonts w:hint="default"/>
                      <w:color w:val="auto"/>
                      <w:highlight w:val="none"/>
                      <w:lang w:val="en-US" w:eastAsia="zh-CN"/>
                    </w:rPr>
                    <w:t>电压：380V</w:t>
                  </w:r>
                </w:p>
              </w:tc>
              <w:tc>
                <w:tcPr>
                  <w:tcW w:w="570" w:type="pct"/>
                  <w:tcBorders>
                    <w:tl2br w:val="nil"/>
                    <w:tr2bl w:val="nil"/>
                  </w:tcBorders>
                  <w:shd w:val="clear" w:color="auto" w:fill="auto"/>
                  <w:vAlign w:val="center"/>
                </w:tcPr>
                <w:p w14:paraId="221D31DA">
                  <w:pPr>
                    <w:pStyle w:val="40"/>
                    <w:bidi w:val="0"/>
                    <w:rPr>
                      <w:rFonts w:hint="default"/>
                      <w:color w:val="auto"/>
                      <w:highlight w:val="none"/>
                      <w:lang w:val="en-US" w:eastAsia="zh-CN"/>
                    </w:rPr>
                  </w:pPr>
                  <w:r>
                    <w:rPr>
                      <w:rFonts w:hint="default"/>
                      <w:color w:val="auto"/>
                      <w:highlight w:val="none"/>
                      <w:lang w:val="en-US" w:eastAsia="zh-CN"/>
                    </w:rPr>
                    <w:t>150</w:t>
                  </w:r>
                </w:p>
              </w:tc>
              <w:tc>
                <w:tcPr>
                  <w:tcW w:w="576" w:type="pct"/>
                  <w:tcBorders>
                    <w:tl2br w:val="nil"/>
                    <w:tr2bl w:val="nil"/>
                  </w:tcBorders>
                  <w:shd w:val="clear" w:color="auto" w:fill="auto"/>
                  <w:vAlign w:val="center"/>
                </w:tcPr>
                <w:p w14:paraId="42EFD1D8">
                  <w:pPr>
                    <w:pStyle w:val="40"/>
                    <w:bidi w:val="0"/>
                    <w:rPr>
                      <w:rFonts w:hint="default"/>
                      <w:color w:val="auto"/>
                      <w:highlight w:val="none"/>
                      <w:lang w:val="en-US" w:eastAsia="zh-CN"/>
                    </w:rPr>
                  </w:pPr>
                  <w:r>
                    <w:rPr>
                      <w:rFonts w:hint="default"/>
                      <w:color w:val="auto"/>
                      <w:highlight w:val="none"/>
                      <w:lang w:val="en-US" w:eastAsia="zh-CN"/>
                    </w:rPr>
                    <w:t>2</w:t>
                  </w:r>
                </w:p>
              </w:tc>
              <w:tc>
                <w:tcPr>
                  <w:tcW w:w="884" w:type="pct"/>
                  <w:tcBorders>
                    <w:tl2br w:val="nil"/>
                    <w:tr2bl w:val="nil"/>
                  </w:tcBorders>
                  <w:shd w:val="clear" w:color="auto" w:fill="auto"/>
                  <w:vAlign w:val="center"/>
                </w:tcPr>
                <w:p w14:paraId="34C25DAE">
                  <w:pPr>
                    <w:pStyle w:val="40"/>
                    <w:bidi w:val="0"/>
                    <w:rPr>
                      <w:rFonts w:hint="default"/>
                      <w:color w:val="auto"/>
                      <w:highlight w:val="none"/>
                      <w:lang w:val="en-US" w:eastAsia="zh-CN"/>
                    </w:rPr>
                  </w:pPr>
                  <w:r>
                    <w:rPr>
                      <w:rFonts w:hint="eastAsia"/>
                      <w:color w:val="auto"/>
                      <w:highlight w:val="none"/>
                      <w:lang w:val="en-US" w:eastAsia="zh-CN"/>
                    </w:rPr>
                    <w:t>/</w:t>
                  </w:r>
                </w:p>
              </w:tc>
            </w:tr>
            <w:tr w14:paraId="752D99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tcBorders>
                    <w:tl2br w:val="nil"/>
                    <w:tr2bl w:val="nil"/>
                  </w:tcBorders>
                  <w:vAlign w:val="center"/>
                </w:tcPr>
                <w:p w14:paraId="227FCD43">
                  <w:pPr>
                    <w:pStyle w:val="40"/>
                    <w:bidi w:val="0"/>
                    <w:rPr>
                      <w:rFonts w:hint="default"/>
                      <w:color w:val="auto"/>
                      <w:highlight w:val="none"/>
                      <w:lang w:val="en-US" w:eastAsia="zh-CN"/>
                    </w:rPr>
                  </w:pPr>
                  <w:r>
                    <w:rPr>
                      <w:rFonts w:hint="eastAsia"/>
                      <w:color w:val="auto"/>
                      <w:highlight w:val="none"/>
                      <w:lang w:val="en-US" w:eastAsia="zh-CN"/>
                    </w:rPr>
                    <w:t>5</w:t>
                  </w:r>
                </w:p>
              </w:tc>
              <w:tc>
                <w:tcPr>
                  <w:tcW w:w="853" w:type="pct"/>
                  <w:tcBorders>
                    <w:tl2br w:val="nil"/>
                    <w:tr2bl w:val="nil"/>
                  </w:tcBorders>
                  <w:shd w:val="clear" w:color="auto" w:fill="auto"/>
                  <w:vAlign w:val="center"/>
                </w:tcPr>
                <w:p w14:paraId="29631AFD">
                  <w:pPr>
                    <w:pStyle w:val="40"/>
                    <w:bidi w:val="0"/>
                    <w:rPr>
                      <w:rFonts w:hint="default"/>
                      <w:color w:val="auto"/>
                      <w:sz w:val="21"/>
                      <w:highlight w:val="none"/>
                      <w:lang w:val="en-US" w:eastAsia="zh-CN"/>
                    </w:rPr>
                  </w:pPr>
                  <w:r>
                    <w:rPr>
                      <w:rFonts w:hint="eastAsia"/>
                      <w:color w:val="auto"/>
                      <w:sz w:val="21"/>
                      <w:highlight w:val="none"/>
                      <w:lang w:val="en-US" w:eastAsia="zh-CN"/>
                    </w:rPr>
                    <w:t>炉渣中间仓</w:t>
                  </w:r>
                </w:p>
              </w:tc>
              <w:tc>
                <w:tcPr>
                  <w:tcW w:w="1770" w:type="pct"/>
                  <w:tcBorders>
                    <w:tl2br w:val="nil"/>
                    <w:tr2bl w:val="nil"/>
                  </w:tcBorders>
                  <w:shd w:val="clear" w:color="auto" w:fill="auto"/>
                  <w:vAlign w:val="center"/>
                </w:tcPr>
                <w:p w14:paraId="2F6782CF">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单仓储量10t</w:t>
                  </w:r>
                </w:p>
              </w:tc>
              <w:tc>
                <w:tcPr>
                  <w:tcW w:w="570" w:type="pct"/>
                  <w:tcBorders>
                    <w:tl2br w:val="nil"/>
                    <w:tr2bl w:val="nil"/>
                  </w:tcBorders>
                  <w:shd w:val="clear" w:color="auto" w:fill="auto"/>
                  <w:vAlign w:val="center"/>
                </w:tcPr>
                <w:p w14:paraId="7D2BECC6">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default"/>
                      <w:color w:val="auto"/>
                      <w:highlight w:val="none"/>
                      <w:lang w:val="en-US" w:eastAsia="zh-CN"/>
                    </w:rPr>
                    <w:t>/</w:t>
                  </w:r>
                </w:p>
              </w:tc>
              <w:tc>
                <w:tcPr>
                  <w:tcW w:w="576" w:type="pct"/>
                  <w:tcBorders>
                    <w:tl2br w:val="nil"/>
                    <w:tr2bl w:val="nil"/>
                  </w:tcBorders>
                  <w:shd w:val="clear" w:color="auto" w:fill="auto"/>
                  <w:vAlign w:val="center"/>
                </w:tcPr>
                <w:p w14:paraId="7280EFA4">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2</w:t>
                  </w:r>
                </w:p>
              </w:tc>
              <w:tc>
                <w:tcPr>
                  <w:tcW w:w="884" w:type="pct"/>
                  <w:tcBorders>
                    <w:tl2br w:val="nil"/>
                    <w:tr2bl w:val="nil"/>
                  </w:tcBorders>
                  <w:shd w:val="clear" w:color="auto" w:fill="auto"/>
                  <w:vAlign w:val="center"/>
                </w:tcPr>
                <w:p w14:paraId="2A5C8C2D">
                  <w:pPr>
                    <w:pStyle w:val="40"/>
                    <w:bidi w:val="0"/>
                    <w:rPr>
                      <w:rFonts w:hint="default"/>
                      <w:color w:val="auto"/>
                      <w:highlight w:val="none"/>
                      <w:lang w:val="en-US" w:eastAsia="zh-CN"/>
                    </w:rPr>
                  </w:pPr>
                  <w:r>
                    <w:rPr>
                      <w:rFonts w:hint="eastAsia"/>
                      <w:color w:val="auto"/>
                      <w:highlight w:val="none"/>
                      <w:lang w:val="en-US" w:eastAsia="zh-CN"/>
                    </w:rPr>
                    <w:t>含料位传感器</w:t>
                  </w:r>
                </w:p>
              </w:tc>
            </w:tr>
            <w:tr w14:paraId="5F5E7C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tcBorders>
                    <w:tl2br w:val="nil"/>
                    <w:tr2bl w:val="nil"/>
                  </w:tcBorders>
                  <w:vAlign w:val="center"/>
                </w:tcPr>
                <w:p w14:paraId="57862CEB">
                  <w:pPr>
                    <w:pStyle w:val="40"/>
                    <w:bidi w:val="0"/>
                    <w:rPr>
                      <w:rFonts w:hint="default"/>
                      <w:color w:val="auto"/>
                      <w:highlight w:val="none"/>
                      <w:lang w:val="en-US" w:eastAsia="zh-CN"/>
                    </w:rPr>
                  </w:pPr>
                  <w:r>
                    <w:rPr>
                      <w:rFonts w:hint="eastAsia"/>
                      <w:color w:val="auto"/>
                      <w:highlight w:val="none"/>
                      <w:lang w:val="en-US" w:eastAsia="zh-CN"/>
                    </w:rPr>
                    <w:t>6</w:t>
                  </w:r>
                </w:p>
              </w:tc>
              <w:tc>
                <w:tcPr>
                  <w:tcW w:w="853" w:type="pct"/>
                  <w:tcBorders>
                    <w:tl2br w:val="nil"/>
                    <w:tr2bl w:val="nil"/>
                  </w:tcBorders>
                  <w:shd w:val="clear" w:color="auto" w:fill="auto"/>
                  <w:vAlign w:val="center"/>
                </w:tcPr>
                <w:p w14:paraId="39A9F786">
                  <w:pPr>
                    <w:pStyle w:val="40"/>
                    <w:bidi w:val="0"/>
                    <w:rPr>
                      <w:rFonts w:hint="default"/>
                      <w:color w:val="auto"/>
                      <w:sz w:val="21"/>
                      <w:highlight w:val="none"/>
                      <w:lang w:val="en-US" w:eastAsia="zh-CN"/>
                    </w:rPr>
                  </w:pPr>
                  <w:r>
                    <w:rPr>
                      <w:rFonts w:hint="eastAsia"/>
                      <w:color w:val="auto"/>
                      <w:sz w:val="21"/>
                      <w:highlight w:val="none"/>
                      <w:lang w:val="en-US" w:eastAsia="zh-CN"/>
                    </w:rPr>
                    <w:t>镁渣中间仓</w:t>
                  </w:r>
                </w:p>
              </w:tc>
              <w:tc>
                <w:tcPr>
                  <w:tcW w:w="1770" w:type="pct"/>
                  <w:tcBorders>
                    <w:tl2br w:val="nil"/>
                    <w:tr2bl w:val="nil"/>
                  </w:tcBorders>
                  <w:shd w:val="clear" w:color="auto" w:fill="auto"/>
                  <w:vAlign w:val="center"/>
                </w:tcPr>
                <w:p w14:paraId="387CEF0F">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单仓储量10t</w:t>
                  </w:r>
                </w:p>
              </w:tc>
              <w:tc>
                <w:tcPr>
                  <w:tcW w:w="570" w:type="pct"/>
                  <w:tcBorders>
                    <w:tl2br w:val="nil"/>
                    <w:tr2bl w:val="nil"/>
                  </w:tcBorders>
                  <w:shd w:val="clear" w:color="auto" w:fill="auto"/>
                  <w:vAlign w:val="center"/>
                </w:tcPr>
                <w:p w14:paraId="292F1568">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default"/>
                      <w:color w:val="auto"/>
                      <w:highlight w:val="none"/>
                      <w:lang w:val="en-US" w:eastAsia="zh-CN"/>
                    </w:rPr>
                    <w:t>/</w:t>
                  </w:r>
                </w:p>
              </w:tc>
              <w:tc>
                <w:tcPr>
                  <w:tcW w:w="576" w:type="pct"/>
                  <w:tcBorders>
                    <w:tl2br w:val="nil"/>
                    <w:tr2bl w:val="nil"/>
                  </w:tcBorders>
                  <w:shd w:val="clear" w:color="auto" w:fill="auto"/>
                  <w:vAlign w:val="center"/>
                </w:tcPr>
                <w:p w14:paraId="237BB0D7">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2</w:t>
                  </w:r>
                </w:p>
              </w:tc>
              <w:tc>
                <w:tcPr>
                  <w:tcW w:w="884" w:type="pct"/>
                  <w:tcBorders>
                    <w:tl2br w:val="nil"/>
                    <w:tr2bl w:val="nil"/>
                  </w:tcBorders>
                  <w:shd w:val="clear" w:color="auto" w:fill="auto"/>
                  <w:vAlign w:val="center"/>
                </w:tcPr>
                <w:p w14:paraId="3C4F9891">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含料位传感器</w:t>
                  </w:r>
                </w:p>
              </w:tc>
            </w:tr>
            <w:tr w14:paraId="658550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tcBorders>
                    <w:tl2br w:val="nil"/>
                    <w:tr2bl w:val="nil"/>
                  </w:tcBorders>
                  <w:vAlign w:val="center"/>
                </w:tcPr>
                <w:p w14:paraId="50C8FF89">
                  <w:pPr>
                    <w:pStyle w:val="40"/>
                    <w:bidi w:val="0"/>
                    <w:rPr>
                      <w:rFonts w:hint="default"/>
                      <w:color w:val="auto"/>
                      <w:highlight w:val="none"/>
                      <w:lang w:val="en-US" w:eastAsia="zh-CN"/>
                    </w:rPr>
                  </w:pPr>
                  <w:r>
                    <w:rPr>
                      <w:rFonts w:hint="eastAsia"/>
                      <w:color w:val="auto"/>
                      <w:highlight w:val="none"/>
                      <w:lang w:val="en-US" w:eastAsia="zh-CN"/>
                    </w:rPr>
                    <w:t>7</w:t>
                  </w:r>
                </w:p>
              </w:tc>
              <w:tc>
                <w:tcPr>
                  <w:tcW w:w="853" w:type="pct"/>
                  <w:tcBorders>
                    <w:tl2br w:val="nil"/>
                    <w:tr2bl w:val="nil"/>
                  </w:tcBorders>
                  <w:shd w:val="clear" w:color="auto" w:fill="auto"/>
                  <w:vAlign w:val="center"/>
                </w:tcPr>
                <w:p w14:paraId="63F8228F">
                  <w:pPr>
                    <w:pStyle w:val="40"/>
                    <w:bidi w:val="0"/>
                    <w:rPr>
                      <w:rFonts w:hint="default"/>
                      <w:color w:val="auto"/>
                      <w:sz w:val="21"/>
                      <w:highlight w:val="none"/>
                      <w:lang w:val="en-US" w:eastAsia="zh-CN"/>
                    </w:rPr>
                  </w:pPr>
                  <w:r>
                    <w:rPr>
                      <w:rFonts w:hint="eastAsia"/>
                      <w:color w:val="auto"/>
                      <w:sz w:val="21"/>
                      <w:highlight w:val="none"/>
                      <w:lang w:val="en-US" w:eastAsia="zh-CN"/>
                    </w:rPr>
                    <w:t>预处理灰仓</w:t>
                  </w:r>
                </w:p>
              </w:tc>
              <w:tc>
                <w:tcPr>
                  <w:tcW w:w="1770" w:type="pct"/>
                  <w:tcBorders>
                    <w:tl2br w:val="nil"/>
                    <w:tr2bl w:val="nil"/>
                  </w:tcBorders>
                  <w:shd w:val="clear" w:color="auto" w:fill="auto"/>
                  <w:vAlign w:val="center"/>
                </w:tcPr>
                <w:p w14:paraId="42F85477">
                  <w:pPr>
                    <w:pStyle w:val="40"/>
                    <w:bidi w:val="0"/>
                    <w:rPr>
                      <w:rFonts w:hint="default"/>
                      <w:color w:val="auto"/>
                      <w:highlight w:val="none"/>
                      <w:lang w:val="en-US" w:eastAsia="zh-CN"/>
                    </w:rPr>
                  </w:pPr>
                  <w:r>
                    <w:rPr>
                      <w:rFonts w:hint="eastAsia"/>
                      <w:color w:val="auto"/>
                      <w:highlight w:val="none"/>
                      <w:lang w:val="en-US" w:eastAsia="zh-CN"/>
                    </w:rPr>
                    <w:t>单仓储量10t</w:t>
                  </w:r>
                </w:p>
              </w:tc>
              <w:tc>
                <w:tcPr>
                  <w:tcW w:w="570" w:type="pct"/>
                  <w:tcBorders>
                    <w:tl2br w:val="nil"/>
                    <w:tr2bl w:val="nil"/>
                  </w:tcBorders>
                  <w:shd w:val="clear" w:color="auto" w:fill="auto"/>
                  <w:vAlign w:val="center"/>
                </w:tcPr>
                <w:p w14:paraId="102BB7E1">
                  <w:pPr>
                    <w:pStyle w:val="40"/>
                    <w:bidi w:val="0"/>
                    <w:rPr>
                      <w:rFonts w:hint="default"/>
                      <w:color w:val="auto"/>
                      <w:highlight w:val="none"/>
                      <w:lang w:val="en-US" w:eastAsia="zh-CN"/>
                    </w:rPr>
                  </w:pPr>
                  <w:r>
                    <w:rPr>
                      <w:rFonts w:hint="default"/>
                      <w:color w:val="auto"/>
                      <w:highlight w:val="none"/>
                      <w:lang w:val="en-US" w:eastAsia="zh-CN"/>
                    </w:rPr>
                    <w:t>/</w:t>
                  </w:r>
                </w:p>
              </w:tc>
              <w:tc>
                <w:tcPr>
                  <w:tcW w:w="576" w:type="pct"/>
                  <w:tcBorders>
                    <w:tl2br w:val="nil"/>
                    <w:tr2bl w:val="nil"/>
                  </w:tcBorders>
                  <w:shd w:val="clear" w:color="auto" w:fill="auto"/>
                  <w:vAlign w:val="center"/>
                </w:tcPr>
                <w:p w14:paraId="44F1AD5E">
                  <w:pPr>
                    <w:pStyle w:val="40"/>
                    <w:bidi w:val="0"/>
                    <w:rPr>
                      <w:rFonts w:hint="default"/>
                      <w:color w:val="auto"/>
                      <w:highlight w:val="none"/>
                      <w:lang w:val="en-US" w:eastAsia="zh-CN"/>
                    </w:rPr>
                  </w:pPr>
                  <w:r>
                    <w:rPr>
                      <w:rFonts w:hint="eastAsia"/>
                      <w:color w:val="auto"/>
                      <w:highlight w:val="none"/>
                      <w:lang w:val="en-US" w:eastAsia="zh-CN"/>
                    </w:rPr>
                    <w:t>5</w:t>
                  </w:r>
                </w:p>
              </w:tc>
              <w:tc>
                <w:tcPr>
                  <w:tcW w:w="884" w:type="pct"/>
                  <w:tcBorders>
                    <w:tl2br w:val="nil"/>
                    <w:tr2bl w:val="nil"/>
                  </w:tcBorders>
                  <w:shd w:val="clear" w:color="auto" w:fill="auto"/>
                  <w:vAlign w:val="center"/>
                </w:tcPr>
                <w:p w14:paraId="0F72512C">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含料位传感器</w:t>
                  </w:r>
                </w:p>
              </w:tc>
            </w:tr>
            <w:tr w14:paraId="44BFCB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tcBorders>
                    <w:tl2br w:val="nil"/>
                    <w:tr2bl w:val="nil"/>
                  </w:tcBorders>
                  <w:vAlign w:val="center"/>
                </w:tcPr>
                <w:p w14:paraId="75602B3B">
                  <w:pPr>
                    <w:pStyle w:val="40"/>
                    <w:bidi w:val="0"/>
                    <w:rPr>
                      <w:rFonts w:hint="default"/>
                      <w:color w:val="auto"/>
                      <w:sz w:val="21"/>
                      <w:highlight w:val="none"/>
                      <w:lang w:val="en-US" w:eastAsia="zh-CN"/>
                    </w:rPr>
                  </w:pPr>
                  <w:r>
                    <w:rPr>
                      <w:rFonts w:hint="default"/>
                      <w:color w:val="auto"/>
                      <w:sz w:val="21"/>
                      <w:highlight w:val="none"/>
                      <w:lang w:val="en-US" w:eastAsia="zh-CN"/>
                    </w:rPr>
                    <w:t>0</w:t>
                  </w:r>
                  <w:r>
                    <w:rPr>
                      <w:rFonts w:hint="eastAsia"/>
                      <w:color w:val="auto"/>
                      <w:sz w:val="21"/>
                      <w:highlight w:val="none"/>
                      <w:lang w:val="en-US" w:eastAsia="zh-CN"/>
                    </w:rPr>
                    <w:t>3-原料搅拌及成核</w:t>
                  </w:r>
                </w:p>
              </w:tc>
            </w:tr>
            <w:tr w14:paraId="4B5A88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tcBorders>
                    <w:tl2br w:val="nil"/>
                    <w:tr2bl w:val="nil"/>
                  </w:tcBorders>
                  <w:shd w:val="clear" w:color="auto" w:fill="auto"/>
                  <w:vAlign w:val="center"/>
                </w:tcPr>
                <w:p w14:paraId="5C345B12">
                  <w:pPr>
                    <w:pStyle w:val="40"/>
                    <w:bidi w:val="0"/>
                    <w:rPr>
                      <w:rFonts w:hint="default"/>
                      <w:color w:val="auto"/>
                      <w:highlight w:val="none"/>
                      <w:lang w:val="en-US" w:eastAsia="zh-CN"/>
                    </w:rPr>
                  </w:pPr>
                  <w:r>
                    <w:rPr>
                      <w:rFonts w:hint="eastAsia"/>
                      <w:color w:val="auto"/>
                      <w:highlight w:val="none"/>
                      <w:lang w:val="en-US" w:eastAsia="zh-CN"/>
                    </w:rPr>
                    <w:t>1</w:t>
                  </w:r>
                </w:p>
              </w:tc>
              <w:tc>
                <w:tcPr>
                  <w:tcW w:w="853" w:type="pct"/>
                  <w:tcBorders>
                    <w:tl2br w:val="nil"/>
                    <w:tr2bl w:val="nil"/>
                  </w:tcBorders>
                  <w:shd w:val="clear" w:color="auto" w:fill="auto"/>
                  <w:vAlign w:val="center"/>
                </w:tcPr>
                <w:p w14:paraId="7D2E76E7">
                  <w:pPr>
                    <w:pStyle w:val="40"/>
                    <w:bidi w:val="0"/>
                    <w:rPr>
                      <w:rFonts w:hint="eastAsia"/>
                      <w:color w:val="auto"/>
                      <w:sz w:val="21"/>
                      <w:highlight w:val="none"/>
                      <w:lang w:val="en-US" w:eastAsia="zh-CN"/>
                    </w:rPr>
                  </w:pPr>
                  <w:r>
                    <w:rPr>
                      <w:rFonts w:hint="default"/>
                      <w:color w:val="auto"/>
                      <w:sz w:val="21"/>
                      <w:highlight w:val="none"/>
                      <w:lang w:val="en-US" w:eastAsia="zh-CN"/>
                    </w:rPr>
                    <w:t>搅拌机</w:t>
                  </w:r>
                </w:p>
              </w:tc>
              <w:tc>
                <w:tcPr>
                  <w:tcW w:w="1770" w:type="pct"/>
                  <w:tcBorders>
                    <w:tl2br w:val="nil"/>
                    <w:tr2bl w:val="nil"/>
                  </w:tcBorders>
                  <w:shd w:val="clear" w:color="auto" w:fill="auto"/>
                  <w:vAlign w:val="center"/>
                </w:tcPr>
                <w:p w14:paraId="6E1F391F">
                  <w:pPr>
                    <w:pStyle w:val="40"/>
                    <w:bidi w:val="0"/>
                    <w:rPr>
                      <w:rFonts w:hint="default"/>
                      <w:color w:val="auto"/>
                      <w:highlight w:val="none"/>
                      <w:lang w:val="en-US" w:eastAsia="zh-CN"/>
                    </w:rPr>
                  </w:pPr>
                  <w:r>
                    <w:rPr>
                      <w:rFonts w:hint="default"/>
                      <w:color w:val="auto"/>
                      <w:highlight w:val="none"/>
                      <w:lang w:val="en-US" w:eastAsia="zh-CN"/>
                    </w:rPr>
                    <w:t>规格：SJ50-5000-22-P</w:t>
                  </w:r>
                </w:p>
                <w:p w14:paraId="74F24B7C">
                  <w:pPr>
                    <w:pStyle w:val="40"/>
                    <w:bidi w:val="0"/>
                    <w:rPr>
                      <w:rFonts w:hint="default"/>
                      <w:color w:val="auto"/>
                      <w:highlight w:val="none"/>
                      <w:lang w:val="en-US" w:eastAsia="zh-CN"/>
                    </w:rPr>
                  </w:pPr>
                  <w:r>
                    <w:rPr>
                      <w:rFonts w:hint="default"/>
                      <w:color w:val="auto"/>
                      <w:highlight w:val="none"/>
                      <w:lang w:val="en-US" w:eastAsia="zh-CN"/>
                    </w:rPr>
                    <w:t>电机功率：22KW</w:t>
                  </w:r>
                </w:p>
                <w:p w14:paraId="4151272E">
                  <w:pPr>
                    <w:pStyle w:val="40"/>
                    <w:bidi w:val="0"/>
                    <w:rPr>
                      <w:rFonts w:hint="default"/>
                      <w:color w:val="auto"/>
                      <w:highlight w:val="none"/>
                      <w:lang w:val="en-US" w:eastAsia="zh-CN"/>
                    </w:rPr>
                  </w:pPr>
                  <w:r>
                    <w:rPr>
                      <w:rFonts w:hint="default"/>
                      <w:color w:val="auto"/>
                      <w:highlight w:val="none"/>
                      <w:lang w:val="en-US" w:eastAsia="zh-CN"/>
                    </w:rPr>
                    <w:t>电机电压：380</w:t>
                  </w:r>
                  <w:r>
                    <w:rPr>
                      <w:rFonts w:hint="eastAsia"/>
                      <w:color w:val="auto"/>
                      <w:highlight w:val="none"/>
                      <w:lang w:val="en-US" w:eastAsia="zh-CN"/>
                    </w:rPr>
                    <w:t>V</w:t>
                  </w:r>
                </w:p>
              </w:tc>
              <w:tc>
                <w:tcPr>
                  <w:tcW w:w="570" w:type="pct"/>
                  <w:tcBorders>
                    <w:tl2br w:val="nil"/>
                    <w:tr2bl w:val="nil"/>
                  </w:tcBorders>
                  <w:shd w:val="clear" w:color="auto" w:fill="auto"/>
                  <w:vAlign w:val="center"/>
                </w:tcPr>
                <w:p w14:paraId="3FB35AB1">
                  <w:pPr>
                    <w:pStyle w:val="40"/>
                    <w:bidi w:val="0"/>
                    <w:rPr>
                      <w:rFonts w:hint="default"/>
                      <w:color w:val="auto"/>
                      <w:highlight w:val="none"/>
                      <w:lang w:val="en-US" w:eastAsia="zh-CN"/>
                    </w:rPr>
                  </w:pPr>
                  <w:r>
                    <w:rPr>
                      <w:rFonts w:hint="default"/>
                      <w:color w:val="auto"/>
                      <w:highlight w:val="none"/>
                      <w:lang w:val="en-US" w:eastAsia="zh-CN"/>
                    </w:rPr>
                    <w:t>30</w:t>
                  </w:r>
                </w:p>
              </w:tc>
              <w:tc>
                <w:tcPr>
                  <w:tcW w:w="576" w:type="pct"/>
                  <w:tcBorders>
                    <w:tl2br w:val="nil"/>
                    <w:tr2bl w:val="nil"/>
                  </w:tcBorders>
                  <w:shd w:val="clear" w:color="auto" w:fill="auto"/>
                  <w:vAlign w:val="center"/>
                </w:tcPr>
                <w:p w14:paraId="1FC96CAB">
                  <w:pPr>
                    <w:pStyle w:val="40"/>
                    <w:bidi w:val="0"/>
                    <w:rPr>
                      <w:rFonts w:hint="default"/>
                      <w:color w:val="auto"/>
                      <w:highlight w:val="none"/>
                      <w:lang w:val="en-US" w:eastAsia="zh-CN"/>
                    </w:rPr>
                  </w:pPr>
                  <w:r>
                    <w:rPr>
                      <w:rFonts w:hint="default"/>
                      <w:color w:val="auto"/>
                      <w:highlight w:val="none"/>
                      <w:lang w:val="en-US" w:eastAsia="zh-CN"/>
                    </w:rPr>
                    <w:t>5</w:t>
                  </w:r>
                </w:p>
              </w:tc>
              <w:tc>
                <w:tcPr>
                  <w:tcW w:w="884" w:type="pct"/>
                  <w:tcBorders>
                    <w:tl2br w:val="nil"/>
                    <w:tr2bl w:val="nil"/>
                  </w:tcBorders>
                  <w:shd w:val="clear" w:color="auto" w:fill="auto"/>
                  <w:vAlign w:val="center"/>
                </w:tcPr>
                <w:p w14:paraId="187395DF">
                  <w:pPr>
                    <w:pStyle w:val="40"/>
                    <w:bidi w:val="0"/>
                    <w:rPr>
                      <w:rFonts w:hint="eastAsia"/>
                      <w:color w:val="auto"/>
                      <w:highlight w:val="none"/>
                      <w:lang w:val="en-US" w:eastAsia="zh-CN"/>
                    </w:rPr>
                  </w:pPr>
                  <w:r>
                    <w:rPr>
                      <w:rFonts w:hint="default"/>
                      <w:color w:val="auto"/>
                      <w:highlight w:val="none"/>
                      <w:lang w:val="en-US" w:eastAsia="zh-CN"/>
                    </w:rPr>
                    <w:t>带加湿</w:t>
                  </w:r>
                </w:p>
              </w:tc>
            </w:tr>
            <w:tr w14:paraId="5F11F8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tcBorders>
                    <w:tl2br w:val="nil"/>
                    <w:tr2bl w:val="nil"/>
                  </w:tcBorders>
                  <w:shd w:val="clear" w:color="auto" w:fill="auto"/>
                  <w:vAlign w:val="center"/>
                </w:tcPr>
                <w:p w14:paraId="6F395988">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2</w:t>
                  </w:r>
                </w:p>
              </w:tc>
              <w:tc>
                <w:tcPr>
                  <w:tcW w:w="853" w:type="pct"/>
                  <w:tcBorders>
                    <w:tl2br w:val="nil"/>
                    <w:tr2bl w:val="nil"/>
                  </w:tcBorders>
                  <w:shd w:val="clear" w:color="auto" w:fill="auto"/>
                  <w:vAlign w:val="center"/>
                </w:tcPr>
                <w:p w14:paraId="1F6FBF8C">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default"/>
                      <w:color w:val="auto"/>
                      <w:sz w:val="21"/>
                      <w:highlight w:val="none"/>
                      <w:lang w:val="en-US" w:eastAsia="zh-CN"/>
                    </w:rPr>
                    <w:t>均化机</w:t>
                  </w:r>
                </w:p>
              </w:tc>
              <w:tc>
                <w:tcPr>
                  <w:tcW w:w="1770" w:type="pct"/>
                  <w:tcBorders>
                    <w:tl2br w:val="nil"/>
                    <w:tr2bl w:val="nil"/>
                  </w:tcBorders>
                  <w:shd w:val="clear" w:color="auto" w:fill="auto"/>
                  <w:vAlign w:val="center"/>
                </w:tcPr>
                <w:p w14:paraId="6CD1CBA5">
                  <w:pPr>
                    <w:pStyle w:val="40"/>
                    <w:bidi w:val="0"/>
                    <w:rPr>
                      <w:rFonts w:hint="default"/>
                      <w:color w:val="auto"/>
                      <w:highlight w:val="none"/>
                      <w:lang w:val="en-US" w:eastAsia="zh-CN"/>
                    </w:rPr>
                  </w:pPr>
                  <w:r>
                    <w:rPr>
                      <w:rFonts w:hint="default"/>
                      <w:color w:val="auto"/>
                      <w:highlight w:val="none"/>
                      <w:lang w:val="en-US" w:eastAsia="zh-CN"/>
                    </w:rPr>
                    <w:t>规格：2JGD-610×610</w:t>
                  </w:r>
                </w:p>
                <w:p w14:paraId="3D3E0B65">
                  <w:pPr>
                    <w:pStyle w:val="40"/>
                    <w:bidi w:val="0"/>
                    <w:rPr>
                      <w:rFonts w:hint="default"/>
                      <w:color w:val="auto"/>
                      <w:highlight w:val="none"/>
                      <w:lang w:val="en-US" w:eastAsia="zh-CN"/>
                    </w:rPr>
                  </w:pPr>
                  <w:r>
                    <w:rPr>
                      <w:rFonts w:hint="default"/>
                      <w:color w:val="auto"/>
                      <w:highlight w:val="none"/>
                      <w:lang w:val="en-US" w:eastAsia="zh-CN"/>
                    </w:rPr>
                    <w:t>主电机功率：45KW</w:t>
                  </w:r>
                </w:p>
                <w:p w14:paraId="3A2D4032">
                  <w:pPr>
                    <w:pStyle w:val="40"/>
                    <w:bidi w:val="0"/>
                    <w:rPr>
                      <w:rFonts w:hint="default"/>
                      <w:color w:val="auto"/>
                      <w:highlight w:val="none"/>
                      <w:lang w:val="en-US" w:eastAsia="zh-CN"/>
                    </w:rPr>
                  </w:pPr>
                  <w:r>
                    <w:rPr>
                      <w:rFonts w:hint="default"/>
                      <w:color w:val="auto"/>
                      <w:highlight w:val="none"/>
                      <w:lang w:val="en-US" w:eastAsia="zh-CN"/>
                    </w:rPr>
                    <w:t>主电机电压：380V</w:t>
                  </w:r>
                </w:p>
                <w:p w14:paraId="1AAEDE0E">
                  <w:pPr>
                    <w:pStyle w:val="40"/>
                    <w:bidi w:val="0"/>
                    <w:rPr>
                      <w:rFonts w:hint="default"/>
                      <w:color w:val="auto"/>
                      <w:highlight w:val="none"/>
                      <w:lang w:val="en-US" w:eastAsia="zh-CN"/>
                    </w:rPr>
                  </w:pPr>
                  <w:r>
                    <w:rPr>
                      <w:rFonts w:hint="default"/>
                      <w:color w:val="auto"/>
                      <w:highlight w:val="none"/>
                      <w:lang w:val="en-US" w:eastAsia="zh-CN"/>
                    </w:rPr>
                    <w:t>辅电机功率：37KW</w:t>
                  </w:r>
                </w:p>
                <w:p w14:paraId="378727F0">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default"/>
                      <w:color w:val="auto"/>
                      <w:highlight w:val="none"/>
                      <w:lang w:val="en-US" w:eastAsia="zh-CN"/>
                    </w:rPr>
                    <w:t>辅电机电压：380V</w:t>
                  </w:r>
                </w:p>
              </w:tc>
              <w:tc>
                <w:tcPr>
                  <w:tcW w:w="570" w:type="pct"/>
                  <w:tcBorders>
                    <w:tl2br w:val="nil"/>
                    <w:tr2bl w:val="nil"/>
                  </w:tcBorders>
                  <w:shd w:val="clear" w:color="auto" w:fill="auto"/>
                  <w:vAlign w:val="center"/>
                </w:tcPr>
                <w:p w14:paraId="546CCFEE">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default"/>
                      <w:color w:val="auto"/>
                      <w:highlight w:val="none"/>
                      <w:lang w:val="en-US" w:eastAsia="zh-CN"/>
                    </w:rPr>
                    <w:t>30</w:t>
                  </w:r>
                </w:p>
              </w:tc>
              <w:tc>
                <w:tcPr>
                  <w:tcW w:w="576" w:type="pct"/>
                  <w:tcBorders>
                    <w:tl2br w:val="nil"/>
                    <w:tr2bl w:val="nil"/>
                  </w:tcBorders>
                  <w:shd w:val="clear" w:color="auto" w:fill="auto"/>
                  <w:vAlign w:val="center"/>
                </w:tcPr>
                <w:p w14:paraId="15A39850">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default"/>
                      <w:color w:val="auto"/>
                      <w:highlight w:val="none"/>
                      <w:lang w:val="en-US" w:eastAsia="zh-CN"/>
                    </w:rPr>
                    <w:t>5</w:t>
                  </w:r>
                </w:p>
              </w:tc>
              <w:tc>
                <w:tcPr>
                  <w:tcW w:w="884" w:type="pct"/>
                  <w:tcBorders>
                    <w:tl2br w:val="nil"/>
                    <w:tr2bl w:val="nil"/>
                  </w:tcBorders>
                  <w:shd w:val="clear" w:color="auto" w:fill="auto"/>
                  <w:vAlign w:val="center"/>
                </w:tcPr>
                <w:p w14:paraId="6D0095D8">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w:t>
                  </w:r>
                </w:p>
              </w:tc>
            </w:tr>
            <w:tr w14:paraId="76B65D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tcBorders>
                    <w:tl2br w:val="nil"/>
                    <w:tr2bl w:val="nil"/>
                  </w:tcBorders>
                  <w:shd w:val="clear" w:color="auto" w:fill="auto"/>
                  <w:vAlign w:val="center"/>
                </w:tcPr>
                <w:p w14:paraId="775C33C9">
                  <w:pPr>
                    <w:pStyle w:val="40"/>
                    <w:bidi w:val="0"/>
                    <w:rPr>
                      <w:rFonts w:hint="default"/>
                      <w:color w:val="auto"/>
                      <w:highlight w:val="none"/>
                      <w:lang w:val="en-US" w:eastAsia="zh-CN"/>
                    </w:rPr>
                  </w:pPr>
                  <w:r>
                    <w:rPr>
                      <w:rFonts w:hint="eastAsia"/>
                      <w:color w:val="auto"/>
                      <w:highlight w:val="none"/>
                      <w:lang w:val="en-US" w:eastAsia="zh-CN"/>
                    </w:rPr>
                    <w:t>3</w:t>
                  </w:r>
                </w:p>
              </w:tc>
              <w:tc>
                <w:tcPr>
                  <w:tcW w:w="853" w:type="pct"/>
                  <w:tcBorders>
                    <w:tl2br w:val="nil"/>
                    <w:tr2bl w:val="nil"/>
                  </w:tcBorders>
                  <w:shd w:val="clear" w:color="auto" w:fill="auto"/>
                  <w:vAlign w:val="center"/>
                </w:tcPr>
                <w:p w14:paraId="71F2026B">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sz w:val="21"/>
                      <w:highlight w:val="none"/>
                      <w:lang w:val="en-US" w:eastAsia="zh-CN"/>
                    </w:rPr>
                    <w:t>带式输送机</w:t>
                  </w:r>
                </w:p>
              </w:tc>
              <w:tc>
                <w:tcPr>
                  <w:tcW w:w="1770" w:type="pct"/>
                  <w:tcBorders>
                    <w:tl2br w:val="nil"/>
                    <w:tr2bl w:val="nil"/>
                  </w:tcBorders>
                  <w:shd w:val="clear" w:color="auto" w:fill="auto"/>
                  <w:vAlign w:val="center"/>
                </w:tcPr>
                <w:p w14:paraId="474B1B31">
                  <w:pPr>
                    <w:pStyle w:val="40"/>
                    <w:bidi w:val="0"/>
                    <w:rPr>
                      <w:rFonts w:hint="default"/>
                      <w:color w:val="auto"/>
                      <w:highlight w:val="none"/>
                      <w:lang w:val="en-US" w:eastAsia="zh-CN"/>
                    </w:rPr>
                  </w:pPr>
                  <w:r>
                    <w:rPr>
                      <w:rFonts w:hint="default"/>
                      <w:color w:val="auto"/>
                      <w:highlight w:val="none"/>
                      <w:lang w:val="en-US" w:eastAsia="zh-CN"/>
                    </w:rPr>
                    <w:t>规格：B500</w:t>
                  </w:r>
                </w:p>
                <w:p w14:paraId="6A761353">
                  <w:pPr>
                    <w:pStyle w:val="40"/>
                    <w:bidi w:val="0"/>
                    <w:rPr>
                      <w:rFonts w:hint="default"/>
                      <w:color w:val="auto"/>
                      <w:highlight w:val="none"/>
                      <w:lang w:val="en-US" w:eastAsia="zh-CN"/>
                    </w:rPr>
                  </w:pPr>
                  <w:r>
                    <w:rPr>
                      <w:rFonts w:hint="default"/>
                      <w:color w:val="auto"/>
                      <w:highlight w:val="none"/>
                      <w:lang w:val="en-US" w:eastAsia="zh-CN"/>
                    </w:rPr>
                    <w:t>电机功率：3KW</w:t>
                  </w:r>
                </w:p>
                <w:p w14:paraId="5FC73212">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default"/>
                      <w:color w:val="auto"/>
                      <w:highlight w:val="none"/>
                      <w:lang w:val="en-US" w:eastAsia="zh-CN"/>
                    </w:rPr>
                    <w:t>电机电压：380V</w:t>
                  </w:r>
                </w:p>
              </w:tc>
              <w:tc>
                <w:tcPr>
                  <w:tcW w:w="570" w:type="pct"/>
                  <w:tcBorders>
                    <w:tl2br w:val="nil"/>
                    <w:tr2bl w:val="nil"/>
                  </w:tcBorders>
                  <w:shd w:val="clear" w:color="auto" w:fill="auto"/>
                  <w:vAlign w:val="center"/>
                </w:tcPr>
                <w:p w14:paraId="65E74231">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default"/>
                      <w:color w:val="auto"/>
                      <w:highlight w:val="none"/>
                      <w:lang w:val="en-US" w:eastAsia="zh-CN"/>
                    </w:rPr>
                    <w:t>30</w:t>
                  </w:r>
                </w:p>
              </w:tc>
              <w:tc>
                <w:tcPr>
                  <w:tcW w:w="576" w:type="pct"/>
                  <w:tcBorders>
                    <w:tl2br w:val="nil"/>
                    <w:tr2bl w:val="nil"/>
                  </w:tcBorders>
                  <w:shd w:val="clear" w:color="auto" w:fill="auto"/>
                  <w:vAlign w:val="center"/>
                </w:tcPr>
                <w:p w14:paraId="49927D10">
                  <w:pPr>
                    <w:pStyle w:val="40"/>
                    <w:bidi w:val="0"/>
                    <w:rPr>
                      <w:rFonts w:hint="default"/>
                      <w:color w:val="auto"/>
                      <w:highlight w:val="none"/>
                      <w:lang w:val="en-US" w:eastAsia="zh-CN"/>
                    </w:rPr>
                  </w:pPr>
                  <w:r>
                    <w:rPr>
                      <w:rFonts w:hint="eastAsia"/>
                      <w:color w:val="auto"/>
                      <w:highlight w:val="none"/>
                      <w:lang w:val="en-US" w:eastAsia="zh-CN"/>
                    </w:rPr>
                    <w:t>5</w:t>
                  </w:r>
                </w:p>
              </w:tc>
              <w:tc>
                <w:tcPr>
                  <w:tcW w:w="884" w:type="pct"/>
                  <w:tcBorders>
                    <w:tl2br w:val="nil"/>
                    <w:tr2bl w:val="nil"/>
                  </w:tcBorders>
                  <w:shd w:val="clear" w:color="auto" w:fill="auto"/>
                  <w:vAlign w:val="center"/>
                </w:tcPr>
                <w:p w14:paraId="55291A0E">
                  <w:pPr>
                    <w:pStyle w:val="40"/>
                    <w:bidi w:val="0"/>
                    <w:rPr>
                      <w:rFonts w:hint="eastAsia"/>
                      <w:color w:val="auto"/>
                      <w:highlight w:val="none"/>
                      <w:lang w:val="en-US" w:eastAsia="zh-CN"/>
                    </w:rPr>
                  </w:pPr>
                  <w:r>
                    <w:rPr>
                      <w:rFonts w:hint="default"/>
                      <w:color w:val="auto"/>
                      <w:highlight w:val="none"/>
                      <w:lang w:val="en-US" w:eastAsia="zh-CN"/>
                    </w:rPr>
                    <w:t>密封罩/导料槽/清扫器</w:t>
                  </w:r>
                </w:p>
              </w:tc>
            </w:tr>
            <w:tr w14:paraId="304240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tcBorders>
                    <w:tl2br w:val="nil"/>
                    <w:tr2bl w:val="nil"/>
                  </w:tcBorders>
                  <w:shd w:val="clear" w:color="auto" w:fill="auto"/>
                  <w:vAlign w:val="center"/>
                </w:tcPr>
                <w:p w14:paraId="3E68B7F6">
                  <w:pPr>
                    <w:pStyle w:val="40"/>
                    <w:bidi w:val="0"/>
                    <w:rPr>
                      <w:rFonts w:hint="default"/>
                      <w:color w:val="auto"/>
                      <w:highlight w:val="none"/>
                      <w:lang w:val="en-US" w:eastAsia="zh-CN"/>
                    </w:rPr>
                  </w:pPr>
                  <w:r>
                    <w:rPr>
                      <w:rFonts w:hint="eastAsia"/>
                      <w:color w:val="auto"/>
                      <w:highlight w:val="none"/>
                      <w:lang w:val="en-US" w:eastAsia="zh-CN"/>
                    </w:rPr>
                    <w:t>04-成球及包膜</w:t>
                  </w:r>
                </w:p>
              </w:tc>
            </w:tr>
            <w:tr w14:paraId="620727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tcBorders>
                    <w:tl2br w:val="nil"/>
                    <w:tr2bl w:val="nil"/>
                  </w:tcBorders>
                  <w:shd w:val="clear" w:color="auto" w:fill="auto"/>
                  <w:vAlign w:val="center"/>
                </w:tcPr>
                <w:p w14:paraId="2529C7E0">
                  <w:pPr>
                    <w:pStyle w:val="40"/>
                    <w:bidi w:val="0"/>
                    <w:rPr>
                      <w:rFonts w:hint="default"/>
                      <w:color w:val="auto"/>
                      <w:highlight w:val="none"/>
                      <w:lang w:val="en-US" w:eastAsia="zh-CN"/>
                    </w:rPr>
                  </w:pPr>
                  <w:r>
                    <w:rPr>
                      <w:rFonts w:hint="eastAsia"/>
                      <w:color w:val="auto"/>
                      <w:highlight w:val="none"/>
                      <w:lang w:val="en-US" w:eastAsia="zh-CN"/>
                    </w:rPr>
                    <w:t>1</w:t>
                  </w:r>
                </w:p>
              </w:tc>
              <w:tc>
                <w:tcPr>
                  <w:tcW w:w="853" w:type="pct"/>
                  <w:tcBorders>
                    <w:tl2br w:val="nil"/>
                    <w:tr2bl w:val="nil"/>
                  </w:tcBorders>
                  <w:shd w:val="clear" w:color="auto" w:fill="auto"/>
                  <w:vAlign w:val="center"/>
                </w:tcPr>
                <w:p w14:paraId="77D9EA48">
                  <w:pPr>
                    <w:pStyle w:val="40"/>
                    <w:bidi w:val="0"/>
                    <w:rPr>
                      <w:rFonts w:hint="default"/>
                      <w:color w:val="auto"/>
                      <w:sz w:val="21"/>
                      <w:highlight w:val="none"/>
                      <w:lang w:val="en-US" w:eastAsia="zh-CN"/>
                    </w:rPr>
                  </w:pPr>
                  <w:r>
                    <w:rPr>
                      <w:rFonts w:hint="eastAsia"/>
                      <w:color w:val="auto"/>
                      <w:sz w:val="21"/>
                      <w:highlight w:val="none"/>
                      <w:lang w:val="en-US" w:eastAsia="zh-CN"/>
                    </w:rPr>
                    <w:t>成球机</w:t>
                  </w:r>
                </w:p>
              </w:tc>
              <w:tc>
                <w:tcPr>
                  <w:tcW w:w="1770" w:type="pct"/>
                  <w:tcBorders>
                    <w:tl2br w:val="nil"/>
                    <w:tr2bl w:val="nil"/>
                  </w:tcBorders>
                  <w:shd w:val="clear" w:color="auto" w:fill="auto"/>
                  <w:vAlign w:val="center"/>
                </w:tcPr>
                <w:p w14:paraId="54A9AC0D">
                  <w:pPr>
                    <w:pStyle w:val="40"/>
                    <w:bidi w:val="0"/>
                    <w:rPr>
                      <w:rFonts w:hint="default"/>
                      <w:color w:val="auto"/>
                      <w:highlight w:val="none"/>
                      <w:lang w:val="en-US" w:eastAsia="zh-CN"/>
                    </w:rPr>
                  </w:pPr>
                  <w:r>
                    <w:rPr>
                      <w:rFonts w:hint="default"/>
                      <w:color w:val="auto"/>
                      <w:highlight w:val="none"/>
                      <w:lang w:val="en-US" w:eastAsia="zh-CN"/>
                    </w:rPr>
                    <w:t>规格：φ6600</w:t>
                  </w:r>
                </w:p>
                <w:p w14:paraId="316EB855">
                  <w:pPr>
                    <w:pStyle w:val="40"/>
                    <w:bidi w:val="0"/>
                    <w:rPr>
                      <w:rFonts w:hint="default"/>
                      <w:color w:val="auto"/>
                      <w:highlight w:val="none"/>
                      <w:lang w:val="en-US" w:eastAsia="zh-CN"/>
                    </w:rPr>
                  </w:pPr>
                  <w:r>
                    <w:rPr>
                      <w:rFonts w:hint="default"/>
                      <w:color w:val="auto"/>
                      <w:highlight w:val="none"/>
                      <w:lang w:val="en-US" w:eastAsia="zh-CN"/>
                    </w:rPr>
                    <w:t>功率：90KW</w:t>
                  </w:r>
                </w:p>
                <w:p w14:paraId="26B9AB2F">
                  <w:pPr>
                    <w:pStyle w:val="40"/>
                    <w:bidi w:val="0"/>
                    <w:rPr>
                      <w:rFonts w:hint="default"/>
                      <w:color w:val="auto"/>
                      <w:highlight w:val="none"/>
                      <w:lang w:val="en-US" w:eastAsia="zh-CN"/>
                    </w:rPr>
                  </w:pPr>
                  <w:r>
                    <w:rPr>
                      <w:rFonts w:hint="default"/>
                      <w:color w:val="auto"/>
                      <w:highlight w:val="none"/>
                      <w:lang w:val="en-US" w:eastAsia="zh-CN"/>
                    </w:rPr>
                    <w:t>电压：380V</w:t>
                  </w:r>
                </w:p>
                <w:p w14:paraId="40323A8C">
                  <w:pPr>
                    <w:pStyle w:val="40"/>
                    <w:bidi w:val="0"/>
                    <w:rPr>
                      <w:rFonts w:hint="default"/>
                      <w:color w:val="auto"/>
                      <w:highlight w:val="none"/>
                      <w:lang w:val="en-US" w:eastAsia="zh-CN"/>
                    </w:rPr>
                  </w:pPr>
                  <w:r>
                    <w:rPr>
                      <w:rFonts w:hint="default"/>
                      <w:color w:val="auto"/>
                      <w:highlight w:val="none"/>
                      <w:lang w:val="en-US" w:eastAsia="zh-CN"/>
                    </w:rPr>
                    <w:t>清淤装置：无动力刮刀</w:t>
                  </w:r>
                </w:p>
              </w:tc>
              <w:tc>
                <w:tcPr>
                  <w:tcW w:w="570" w:type="pct"/>
                  <w:tcBorders>
                    <w:tl2br w:val="nil"/>
                    <w:tr2bl w:val="nil"/>
                  </w:tcBorders>
                  <w:shd w:val="clear" w:color="auto" w:fill="auto"/>
                  <w:vAlign w:val="center"/>
                </w:tcPr>
                <w:p w14:paraId="4F930D66">
                  <w:pPr>
                    <w:pStyle w:val="40"/>
                    <w:bidi w:val="0"/>
                    <w:rPr>
                      <w:rFonts w:hint="default"/>
                      <w:color w:val="auto"/>
                      <w:highlight w:val="none"/>
                      <w:lang w:val="en-US" w:eastAsia="zh-CN"/>
                    </w:rPr>
                  </w:pPr>
                  <w:r>
                    <w:rPr>
                      <w:rFonts w:hint="default"/>
                      <w:color w:val="auto"/>
                      <w:highlight w:val="none"/>
                      <w:lang w:val="en-US" w:eastAsia="zh-CN"/>
                    </w:rPr>
                    <w:t>90</w:t>
                  </w:r>
                </w:p>
              </w:tc>
              <w:tc>
                <w:tcPr>
                  <w:tcW w:w="576" w:type="pct"/>
                  <w:tcBorders>
                    <w:tl2br w:val="nil"/>
                    <w:tr2bl w:val="nil"/>
                  </w:tcBorders>
                  <w:shd w:val="clear" w:color="auto" w:fill="auto"/>
                  <w:vAlign w:val="center"/>
                </w:tcPr>
                <w:p w14:paraId="0ABE856E">
                  <w:pPr>
                    <w:pStyle w:val="40"/>
                    <w:bidi w:val="0"/>
                    <w:rPr>
                      <w:rFonts w:hint="default"/>
                      <w:color w:val="auto"/>
                      <w:highlight w:val="none"/>
                      <w:lang w:val="en-US" w:eastAsia="zh-CN"/>
                    </w:rPr>
                  </w:pPr>
                  <w:r>
                    <w:rPr>
                      <w:rFonts w:hint="default"/>
                      <w:color w:val="auto"/>
                      <w:highlight w:val="none"/>
                      <w:lang w:val="en-US" w:eastAsia="zh-CN"/>
                    </w:rPr>
                    <w:t>5</w:t>
                  </w:r>
                </w:p>
              </w:tc>
              <w:tc>
                <w:tcPr>
                  <w:tcW w:w="884" w:type="pct"/>
                  <w:tcBorders>
                    <w:tl2br w:val="nil"/>
                    <w:tr2bl w:val="nil"/>
                  </w:tcBorders>
                  <w:shd w:val="clear" w:color="auto" w:fill="auto"/>
                  <w:vAlign w:val="center"/>
                </w:tcPr>
                <w:p w14:paraId="17F5ADE9">
                  <w:pPr>
                    <w:pStyle w:val="40"/>
                    <w:bidi w:val="0"/>
                    <w:rPr>
                      <w:rFonts w:hint="default"/>
                      <w:color w:val="auto"/>
                      <w:highlight w:val="none"/>
                      <w:lang w:val="en-US" w:eastAsia="zh-CN"/>
                    </w:rPr>
                  </w:pPr>
                  <w:r>
                    <w:rPr>
                      <w:rFonts w:hint="eastAsia"/>
                      <w:color w:val="auto"/>
                      <w:highlight w:val="none"/>
                      <w:lang w:val="en-US" w:eastAsia="zh-CN"/>
                    </w:rPr>
                    <w:t>/</w:t>
                  </w:r>
                </w:p>
              </w:tc>
            </w:tr>
            <w:tr w14:paraId="528DD1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tcBorders>
                    <w:tl2br w:val="nil"/>
                    <w:tr2bl w:val="nil"/>
                  </w:tcBorders>
                  <w:shd w:val="clear" w:color="auto" w:fill="auto"/>
                  <w:vAlign w:val="center"/>
                </w:tcPr>
                <w:p w14:paraId="2C5E2C5E">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2</w:t>
                  </w:r>
                </w:p>
              </w:tc>
              <w:tc>
                <w:tcPr>
                  <w:tcW w:w="853" w:type="pct"/>
                  <w:tcBorders>
                    <w:tl2br w:val="nil"/>
                    <w:tr2bl w:val="nil"/>
                  </w:tcBorders>
                  <w:shd w:val="clear" w:color="auto" w:fill="auto"/>
                  <w:vAlign w:val="center"/>
                </w:tcPr>
                <w:p w14:paraId="48C510F4">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default"/>
                      <w:color w:val="auto"/>
                      <w:sz w:val="21"/>
                      <w:highlight w:val="none"/>
                      <w:lang w:val="en-US" w:eastAsia="zh-CN"/>
                    </w:rPr>
                    <w:t>包膜机</w:t>
                  </w:r>
                </w:p>
              </w:tc>
              <w:tc>
                <w:tcPr>
                  <w:tcW w:w="1770" w:type="pct"/>
                  <w:tcBorders>
                    <w:tl2br w:val="nil"/>
                    <w:tr2bl w:val="nil"/>
                  </w:tcBorders>
                  <w:shd w:val="clear" w:color="auto" w:fill="auto"/>
                  <w:vAlign w:val="center"/>
                </w:tcPr>
                <w:p w14:paraId="062C2019">
                  <w:pPr>
                    <w:pStyle w:val="40"/>
                    <w:bidi w:val="0"/>
                    <w:rPr>
                      <w:rFonts w:hint="default"/>
                      <w:color w:val="auto"/>
                      <w:highlight w:val="none"/>
                      <w:lang w:val="en-US" w:eastAsia="zh-CN"/>
                    </w:rPr>
                  </w:pPr>
                  <w:r>
                    <w:rPr>
                      <w:rFonts w:hint="default"/>
                      <w:color w:val="auto"/>
                      <w:highlight w:val="none"/>
                      <w:lang w:val="en-US" w:eastAsia="zh-CN"/>
                    </w:rPr>
                    <w:t>规格：φ2500×15000</w:t>
                  </w:r>
                </w:p>
                <w:p w14:paraId="5F6C7FE7">
                  <w:pPr>
                    <w:pStyle w:val="40"/>
                    <w:bidi w:val="0"/>
                    <w:rPr>
                      <w:rFonts w:hint="default"/>
                      <w:color w:val="auto"/>
                      <w:highlight w:val="none"/>
                      <w:lang w:val="en-US" w:eastAsia="zh-CN"/>
                    </w:rPr>
                  </w:pPr>
                  <w:r>
                    <w:rPr>
                      <w:rFonts w:hint="default"/>
                      <w:color w:val="auto"/>
                      <w:highlight w:val="none"/>
                      <w:lang w:val="en-US" w:eastAsia="zh-CN"/>
                    </w:rPr>
                    <w:t>电机功率：55KW</w:t>
                  </w:r>
                </w:p>
                <w:p w14:paraId="245470C1">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default"/>
                      <w:color w:val="auto"/>
                      <w:highlight w:val="none"/>
                      <w:lang w:val="en-US" w:eastAsia="zh-CN"/>
                    </w:rPr>
                    <w:t>电机电压：380V</w:t>
                  </w:r>
                </w:p>
              </w:tc>
              <w:tc>
                <w:tcPr>
                  <w:tcW w:w="570" w:type="pct"/>
                  <w:tcBorders>
                    <w:tl2br w:val="nil"/>
                    <w:tr2bl w:val="nil"/>
                  </w:tcBorders>
                  <w:shd w:val="clear" w:color="auto" w:fill="auto"/>
                  <w:vAlign w:val="center"/>
                </w:tcPr>
                <w:p w14:paraId="58B2759E">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default"/>
                      <w:color w:val="auto"/>
                      <w:highlight w:val="none"/>
                      <w:lang w:val="en-US" w:eastAsia="zh-CN"/>
                    </w:rPr>
                    <w:t>30</w:t>
                  </w:r>
                </w:p>
              </w:tc>
              <w:tc>
                <w:tcPr>
                  <w:tcW w:w="576" w:type="pct"/>
                  <w:tcBorders>
                    <w:tl2br w:val="nil"/>
                    <w:tr2bl w:val="nil"/>
                  </w:tcBorders>
                  <w:shd w:val="clear" w:color="auto" w:fill="auto"/>
                  <w:vAlign w:val="center"/>
                </w:tcPr>
                <w:p w14:paraId="11D21544">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default"/>
                      <w:color w:val="auto"/>
                      <w:highlight w:val="none"/>
                      <w:lang w:val="en-US" w:eastAsia="zh-CN"/>
                    </w:rPr>
                    <w:t>5</w:t>
                  </w:r>
                </w:p>
              </w:tc>
              <w:tc>
                <w:tcPr>
                  <w:tcW w:w="884" w:type="pct"/>
                  <w:tcBorders>
                    <w:tl2br w:val="nil"/>
                    <w:tr2bl w:val="nil"/>
                  </w:tcBorders>
                  <w:shd w:val="clear" w:color="auto" w:fill="auto"/>
                  <w:vAlign w:val="center"/>
                </w:tcPr>
                <w:p w14:paraId="055A76F9">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w:t>
                  </w:r>
                </w:p>
              </w:tc>
            </w:tr>
            <w:tr w14:paraId="5DD664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tcBorders>
                    <w:tl2br w:val="nil"/>
                    <w:tr2bl w:val="nil"/>
                  </w:tcBorders>
                  <w:shd w:val="clear" w:color="auto" w:fill="auto"/>
                  <w:vAlign w:val="center"/>
                </w:tcPr>
                <w:p w14:paraId="50E87A26">
                  <w:pPr>
                    <w:pStyle w:val="40"/>
                    <w:bidi w:val="0"/>
                    <w:rPr>
                      <w:rFonts w:hint="default"/>
                      <w:color w:val="auto"/>
                      <w:highlight w:val="none"/>
                      <w:lang w:val="en-US" w:eastAsia="zh-CN"/>
                    </w:rPr>
                  </w:pPr>
                  <w:r>
                    <w:rPr>
                      <w:rFonts w:hint="eastAsia"/>
                      <w:color w:val="auto"/>
                      <w:highlight w:val="none"/>
                      <w:lang w:val="en-US" w:eastAsia="zh-CN"/>
                    </w:rPr>
                    <w:t>3</w:t>
                  </w:r>
                </w:p>
              </w:tc>
              <w:tc>
                <w:tcPr>
                  <w:tcW w:w="853" w:type="pct"/>
                  <w:tcBorders>
                    <w:tl2br w:val="nil"/>
                    <w:tr2bl w:val="nil"/>
                  </w:tcBorders>
                  <w:shd w:val="clear" w:color="auto" w:fill="auto"/>
                  <w:vAlign w:val="center"/>
                </w:tcPr>
                <w:p w14:paraId="4FFCFC3A">
                  <w:pPr>
                    <w:pStyle w:val="40"/>
                    <w:bidi w:val="0"/>
                    <w:rPr>
                      <w:rFonts w:hint="default"/>
                      <w:color w:val="auto"/>
                      <w:sz w:val="21"/>
                      <w:highlight w:val="none"/>
                      <w:lang w:val="en-US" w:eastAsia="zh-CN"/>
                    </w:rPr>
                  </w:pPr>
                  <w:r>
                    <w:rPr>
                      <w:rFonts w:hint="eastAsia"/>
                      <w:color w:val="auto"/>
                      <w:sz w:val="21"/>
                      <w:highlight w:val="none"/>
                      <w:lang w:val="en-US" w:eastAsia="zh-CN"/>
                    </w:rPr>
                    <w:t>带式输送机</w:t>
                  </w:r>
                </w:p>
              </w:tc>
              <w:tc>
                <w:tcPr>
                  <w:tcW w:w="1770" w:type="pct"/>
                  <w:tcBorders>
                    <w:tl2br w:val="nil"/>
                    <w:tr2bl w:val="nil"/>
                  </w:tcBorders>
                  <w:shd w:val="clear" w:color="auto" w:fill="auto"/>
                  <w:vAlign w:val="center"/>
                </w:tcPr>
                <w:p w14:paraId="28BD00FA">
                  <w:pPr>
                    <w:pStyle w:val="40"/>
                    <w:bidi w:val="0"/>
                    <w:rPr>
                      <w:rFonts w:hint="default"/>
                      <w:color w:val="auto"/>
                      <w:highlight w:val="none"/>
                      <w:lang w:val="en-US" w:eastAsia="zh-CN"/>
                    </w:rPr>
                  </w:pPr>
                  <w:r>
                    <w:rPr>
                      <w:rFonts w:hint="default"/>
                      <w:color w:val="auto"/>
                      <w:highlight w:val="none"/>
                      <w:lang w:val="en-US" w:eastAsia="zh-CN"/>
                    </w:rPr>
                    <w:t>规格：B500</w:t>
                  </w:r>
                </w:p>
                <w:p w14:paraId="56053F1E">
                  <w:pPr>
                    <w:pStyle w:val="40"/>
                    <w:bidi w:val="0"/>
                    <w:rPr>
                      <w:rFonts w:hint="default"/>
                      <w:color w:val="auto"/>
                      <w:highlight w:val="none"/>
                      <w:lang w:val="en-US" w:eastAsia="zh-CN"/>
                    </w:rPr>
                  </w:pPr>
                  <w:r>
                    <w:rPr>
                      <w:rFonts w:hint="default"/>
                      <w:color w:val="auto"/>
                      <w:highlight w:val="none"/>
                      <w:lang w:val="en-US" w:eastAsia="zh-CN"/>
                    </w:rPr>
                    <w:t>电机功率：3KW</w:t>
                  </w:r>
                </w:p>
                <w:p w14:paraId="148DEBEB">
                  <w:pPr>
                    <w:pStyle w:val="40"/>
                    <w:bidi w:val="0"/>
                    <w:rPr>
                      <w:rFonts w:hint="default"/>
                      <w:color w:val="auto"/>
                      <w:highlight w:val="none"/>
                      <w:lang w:val="en-US" w:eastAsia="zh-CN"/>
                    </w:rPr>
                  </w:pPr>
                  <w:r>
                    <w:rPr>
                      <w:rFonts w:hint="default"/>
                      <w:color w:val="auto"/>
                      <w:highlight w:val="none"/>
                      <w:lang w:val="en-US" w:eastAsia="zh-CN"/>
                    </w:rPr>
                    <w:t>电机电压：380V</w:t>
                  </w:r>
                </w:p>
              </w:tc>
              <w:tc>
                <w:tcPr>
                  <w:tcW w:w="570" w:type="pct"/>
                  <w:tcBorders>
                    <w:tl2br w:val="nil"/>
                    <w:tr2bl w:val="nil"/>
                  </w:tcBorders>
                  <w:shd w:val="clear" w:color="auto" w:fill="auto"/>
                  <w:vAlign w:val="center"/>
                </w:tcPr>
                <w:p w14:paraId="2EDD76AD">
                  <w:pPr>
                    <w:pStyle w:val="40"/>
                    <w:bidi w:val="0"/>
                    <w:rPr>
                      <w:rFonts w:hint="default"/>
                      <w:color w:val="auto"/>
                      <w:highlight w:val="none"/>
                      <w:lang w:val="en-US" w:eastAsia="zh-CN"/>
                    </w:rPr>
                  </w:pPr>
                  <w:r>
                    <w:rPr>
                      <w:rFonts w:hint="default"/>
                      <w:color w:val="auto"/>
                      <w:highlight w:val="none"/>
                      <w:lang w:val="en-US" w:eastAsia="zh-CN"/>
                    </w:rPr>
                    <w:t>30</w:t>
                  </w:r>
                </w:p>
              </w:tc>
              <w:tc>
                <w:tcPr>
                  <w:tcW w:w="576" w:type="pct"/>
                  <w:tcBorders>
                    <w:tl2br w:val="nil"/>
                    <w:tr2bl w:val="nil"/>
                  </w:tcBorders>
                  <w:shd w:val="clear" w:color="auto" w:fill="auto"/>
                  <w:vAlign w:val="center"/>
                </w:tcPr>
                <w:p w14:paraId="48611B09">
                  <w:pPr>
                    <w:pStyle w:val="40"/>
                    <w:bidi w:val="0"/>
                    <w:rPr>
                      <w:rFonts w:hint="default"/>
                      <w:color w:val="auto"/>
                      <w:highlight w:val="none"/>
                      <w:lang w:val="en-US" w:eastAsia="zh-CN"/>
                    </w:rPr>
                  </w:pPr>
                  <w:r>
                    <w:rPr>
                      <w:rFonts w:hint="eastAsia"/>
                      <w:color w:val="auto"/>
                      <w:highlight w:val="none"/>
                      <w:lang w:val="en-US" w:eastAsia="zh-CN"/>
                    </w:rPr>
                    <w:t>10</w:t>
                  </w:r>
                </w:p>
              </w:tc>
              <w:tc>
                <w:tcPr>
                  <w:tcW w:w="884" w:type="pct"/>
                  <w:tcBorders>
                    <w:tl2br w:val="nil"/>
                    <w:tr2bl w:val="nil"/>
                  </w:tcBorders>
                  <w:shd w:val="clear" w:color="auto" w:fill="auto"/>
                  <w:vAlign w:val="center"/>
                </w:tcPr>
                <w:p w14:paraId="51C704A1">
                  <w:pPr>
                    <w:pStyle w:val="40"/>
                    <w:bidi w:val="0"/>
                    <w:rPr>
                      <w:rFonts w:hint="default"/>
                      <w:color w:val="auto"/>
                      <w:highlight w:val="none"/>
                      <w:lang w:val="en-US" w:eastAsia="zh-CN"/>
                    </w:rPr>
                  </w:pPr>
                  <w:r>
                    <w:rPr>
                      <w:rFonts w:hint="default"/>
                      <w:color w:val="auto"/>
                      <w:highlight w:val="none"/>
                      <w:lang w:val="en-US" w:eastAsia="zh-CN"/>
                    </w:rPr>
                    <w:t>密封罩/导料槽/清扫器</w:t>
                  </w:r>
                </w:p>
              </w:tc>
            </w:tr>
            <w:tr w14:paraId="49DDB7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tcBorders>
                    <w:tl2br w:val="nil"/>
                    <w:tr2bl w:val="nil"/>
                  </w:tcBorders>
                  <w:vAlign w:val="center"/>
                </w:tcPr>
                <w:p w14:paraId="1968E15D">
                  <w:pPr>
                    <w:pStyle w:val="40"/>
                    <w:bidi w:val="0"/>
                    <w:rPr>
                      <w:rFonts w:hint="default"/>
                      <w:color w:val="auto"/>
                      <w:sz w:val="21"/>
                      <w:highlight w:val="none"/>
                    </w:rPr>
                  </w:pPr>
                  <w:r>
                    <w:rPr>
                      <w:rFonts w:hint="default"/>
                      <w:color w:val="auto"/>
                      <w:sz w:val="21"/>
                      <w:highlight w:val="none"/>
                      <w:lang w:val="en-US" w:eastAsia="zh-CN"/>
                    </w:rPr>
                    <w:t>0</w:t>
                  </w:r>
                  <w:r>
                    <w:rPr>
                      <w:rFonts w:hint="eastAsia"/>
                      <w:color w:val="auto"/>
                      <w:sz w:val="21"/>
                      <w:highlight w:val="none"/>
                      <w:lang w:val="en-US" w:eastAsia="zh-CN"/>
                    </w:rPr>
                    <w:t>5</w:t>
                  </w:r>
                  <w:r>
                    <w:rPr>
                      <w:rFonts w:hint="default"/>
                      <w:color w:val="auto"/>
                      <w:sz w:val="21"/>
                      <w:highlight w:val="none"/>
                      <w:lang w:val="en-US" w:eastAsia="zh-CN"/>
                    </w:rPr>
                    <w:t>-静养</w:t>
                  </w:r>
                </w:p>
              </w:tc>
            </w:tr>
            <w:tr w14:paraId="7ED26E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tcBorders>
                    <w:tl2br w:val="nil"/>
                    <w:tr2bl w:val="nil"/>
                  </w:tcBorders>
                  <w:shd w:val="clear" w:color="auto" w:fill="auto"/>
                  <w:vAlign w:val="center"/>
                </w:tcPr>
                <w:p w14:paraId="0F7D1114">
                  <w:pPr>
                    <w:pStyle w:val="40"/>
                    <w:bidi w:val="0"/>
                    <w:rPr>
                      <w:rFonts w:hint="default"/>
                      <w:color w:val="auto"/>
                      <w:highlight w:val="none"/>
                      <w:lang w:val="en-US" w:eastAsia="zh-CN"/>
                    </w:rPr>
                  </w:pPr>
                  <w:r>
                    <w:rPr>
                      <w:rFonts w:hint="eastAsia"/>
                      <w:color w:val="auto"/>
                      <w:highlight w:val="none"/>
                      <w:lang w:val="en-US" w:eastAsia="zh-CN"/>
                    </w:rPr>
                    <w:t>1</w:t>
                  </w:r>
                </w:p>
              </w:tc>
              <w:tc>
                <w:tcPr>
                  <w:tcW w:w="853" w:type="pct"/>
                  <w:tcBorders>
                    <w:tl2br w:val="nil"/>
                    <w:tr2bl w:val="nil"/>
                  </w:tcBorders>
                  <w:shd w:val="clear" w:color="auto" w:fill="auto"/>
                  <w:vAlign w:val="center"/>
                </w:tcPr>
                <w:p w14:paraId="7AC7F71A">
                  <w:pPr>
                    <w:pStyle w:val="40"/>
                    <w:bidi w:val="0"/>
                    <w:rPr>
                      <w:rFonts w:hint="default"/>
                      <w:color w:val="auto"/>
                      <w:sz w:val="21"/>
                      <w:highlight w:val="none"/>
                      <w:lang w:val="en-US" w:eastAsia="zh-CN"/>
                    </w:rPr>
                  </w:pPr>
                  <w:r>
                    <w:rPr>
                      <w:rFonts w:hint="default"/>
                      <w:color w:val="auto"/>
                      <w:sz w:val="21"/>
                      <w:highlight w:val="none"/>
                      <w:lang w:val="en-US" w:eastAsia="zh-CN"/>
                    </w:rPr>
                    <w:t>静养机</w:t>
                  </w:r>
                </w:p>
              </w:tc>
              <w:tc>
                <w:tcPr>
                  <w:tcW w:w="1770" w:type="pct"/>
                  <w:tcBorders>
                    <w:tl2br w:val="nil"/>
                    <w:tr2bl w:val="nil"/>
                  </w:tcBorders>
                  <w:shd w:val="clear" w:color="auto" w:fill="auto"/>
                  <w:vAlign w:val="center"/>
                </w:tcPr>
                <w:p w14:paraId="5B7A6168">
                  <w:pPr>
                    <w:pStyle w:val="40"/>
                    <w:bidi w:val="0"/>
                    <w:rPr>
                      <w:rFonts w:hint="default"/>
                      <w:color w:val="auto"/>
                      <w:highlight w:val="none"/>
                      <w:lang w:val="en-US" w:eastAsia="zh-CN"/>
                    </w:rPr>
                  </w:pPr>
                  <w:r>
                    <w:rPr>
                      <w:rFonts w:hint="default"/>
                      <w:color w:val="auto"/>
                      <w:highlight w:val="none"/>
                      <w:lang w:val="en-US" w:eastAsia="zh-CN"/>
                    </w:rPr>
                    <w:t>规格：YJA-300</w:t>
                  </w:r>
                </w:p>
                <w:p w14:paraId="35F151B1">
                  <w:pPr>
                    <w:pStyle w:val="40"/>
                    <w:bidi w:val="0"/>
                    <w:rPr>
                      <w:rFonts w:hint="default"/>
                      <w:color w:val="auto"/>
                      <w:highlight w:val="none"/>
                      <w:lang w:val="en-US" w:eastAsia="zh-CN"/>
                    </w:rPr>
                  </w:pPr>
                  <w:r>
                    <w:rPr>
                      <w:rFonts w:hint="default"/>
                      <w:color w:val="auto"/>
                      <w:highlight w:val="none"/>
                      <w:lang w:val="en-US" w:eastAsia="zh-CN"/>
                    </w:rPr>
                    <w:t>电机功率：1.1KW</w:t>
                  </w:r>
                </w:p>
                <w:p w14:paraId="009F57A2">
                  <w:pPr>
                    <w:pStyle w:val="40"/>
                    <w:bidi w:val="0"/>
                    <w:rPr>
                      <w:rFonts w:hint="default"/>
                      <w:color w:val="auto"/>
                      <w:highlight w:val="none"/>
                      <w:lang w:val="en-US" w:eastAsia="zh-CN"/>
                    </w:rPr>
                  </w:pPr>
                  <w:r>
                    <w:rPr>
                      <w:rFonts w:hint="default"/>
                      <w:color w:val="auto"/>
                      <w:highlight w:val="none"/>
                      <w:lang w:val="en-US" w:eastAsia="zh-CN"/>
                    </w:rPr>
                    <w:t>电机电压：380V</w:t>
                  </w:r>
                </w:p>
              </w:tc>
              <w:tc>
                <w:tcPr>
                  <w:tcW w:w="570" w:type="pct"/>
                  <w:tcBorders>
                    <w:tl2br w:val="nil"/>
                    <w:tr2bl w:val="nil"/>
                  </w:tcBorders>
                  <w:shd w:val="clear" w:color="auto" w:fill="auto"/>
                  <w:vAlign w:val="center"/>
                </w:tcPr>
                <w:p w14:paraId="320C7F70">
                  <w:pPr>
                    <w:pStyle w:val="40"/>
                    <w:bidi w:val="0"/>
                    <w:rPr>
                      <w:rFonts w:hint="default"/>
                      <w:color w:val="auto"/>
                      <w:highlight w:val="none"/>
                      <w:lang w:val="en-US" w:eastAsia="zh-CN"/>
                    </w:rPr>
                  </w:pPr>
                  <w:r>
                    <w:rPr>
                      <w:rFonts w:hint="default"/>
                      <w:color w:val="auto"/>
                      <w:highlight w:val="none"/>
                      <w:lang w:val="en-US" w:eastAsia="zh-CN"/>
                    </w:rPr>
                    <w:t>30</w:t>
                  </w:r>
                </w:p>
              </w:tc>
              <w:tc>
                <w:tcPr>
                  <w:tcW w:w="576" w:type="pct"/>
                  <w:tcBorders>
                    <w:tl2br w:val="nil"/>
                    <w:tr2bl w:val="nil"/>
                  </w:tcBorders>
                  <w:shd w:val="clear" w:color="auto" w:fill="auto"/>
                  <w:vAlign w:val="center"/>
                </w:tcPr>
                <w:p w14:paraId="37E91D8F">
                  <w:pPr>
                    <w:pStyle w:val="40"/>
                    <w:bidi w:val="0"/>
                    <w:rPr>
                      <w:rFonts w:hint="default"/>
                      <w:color w:val="auto"/>
                      <w:highlight w:val="none"/>
                      <w:lang w:val="en-US" w:eastAsia="zh-CN"/>
                    </w:rPr>
                  </w:pPr>
                  <w:r>
                    <w:rPr>
                      <w:rFonts w:hint="default"/>
                      <w:color w:val="auto"/>
                      <w:highlight w:val="none"/>
                      <w:lang w:val="en-US" w:eastAsia="zh-CN"/>
                    </w:rPr>
                    <w:t>5</w:t>
                  </w:r>
                </w:p>
              </w:tc>
              <w:tc>
                <w:tcPr>
                  <w:tcW w:w="884" w:type="pct"/>
                  <w:tcBorders>
                    <w:tl2br w:val="nil"/>
                    <w:tr2bl w:val="nil"/>
                  </w:tcBorders>
                  <w:vAlign w:val="center"/>
                </w:tcPr>
                <w:p w14:paraId="4D0F8185">
                  <w:pPr>
                    <w:pStyle w:val="40"/>
                    <w:bidi w:val="0"/>
                    <w:rPr>
                      <w:rFonts w:hint="default"/>
                      <w:color w:val="auto"/>
                      <w:highlight w:val="none"/>
                    </w:rPr>
                  </w:pPr>
                  <w:r>
                    <w:rPr>
                      <w:rFonts w:hint="default"/>
                      <w:color w:val="auto"/>
                      <w:highlight w:val="none"/>
                      <w:lang w:val="en-US" w:eastAsia="zh-CN"/>
                    </w:rPr>
                    <w:t>带加湿装置</w:t>
                  </w:r>
                </w:p>
              </w:tc>
            </w:tr>
            <w:tr w14:paraId="28ABBF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tcBorders>
                    <w:tl2br w:val="nil"/>
                    <w:tr2bl w:val="nil"/>
                  </w:tcBorders>
                  <w:shd w:val="clear" w:color="auto" w:fill="auto"/>
                  <w:vAlign w:val="center"/>
                </w:tcPr>
                <w:p w14:paraId="154E7037">
                  <w:pPr>
                    <w:pStyle w:val="40"/>
                    <w:bidi w:val="0"/>
                    <w:rPr>
                      <w:rFonts w:hint="default"/>
                      <w:color w:val="auto"/>
                      <w:highlight w:val="none"/>
                      <w:lang w:val="en-US" w:eastAsia="zh-CN"/>
                    </w:rPr>
                  </w:pPr>
                  <w:r>
                    <w:rPr>
                      <w:rFonts w:hint="eastAsia"/>
                      <w:color w:val="auto"/>
                      <w:highlight w:val="none"/>
                      <w:lang w:val="en-US" w:eastAsia="zh-CN"/>
                    </w:rPr>
                    <w:t>2</w:t>
                  </w:r>
                </w:p>
              </w:tc>
              <w:tc>
                <w:tcPr>
                  <w:tcW w:w="853" w:type="pct"/>
                  <w:tcBorders>
                    <w:tl2br w:val="nil"/>
                    <w:tr2bl w:val="nil"/>
                  </w:tcBorders>
                  <w:shd w:val="clear" w:color="auto" w:fill="auto"/>
                  <w:vAlign w:val="center"/>
                </w:tcPr>
                <w:p w14:paraId="24DD378F">
                  <w:pPr>
                    <w:pStyle w:val="40"/>
                    <w:bidi w:val="0"/>
                    <w:rPr>
                      <w:rFonts w:hint="default"/>
                      <w:color w:val="auto"/>
                      <w:sz w:val="21"/>
                      <w:highlight w:val="none"/>
                      <w:lang w:val="en-US" w:eastAsia="zh-CN"/>
                    </w:rPr>
                  </w:pPr>
                  <w:r>
                    <w:rPr>
                      <w:rFonts w:hint="default"/>
                      <w:color w:val="auto"/>
                      <w:sz w:val="21"/>
                      <w:highlight w:val="none"/>
                      <w:lang w:val="en-US" w:eastAsia="zh-CN"/>
                    </w:rPr>
                    <w:t>斗提机</w:t>
                  </w:r>
                </w:p>
              </w:tc>
              <w:tc>
                <w:tcPr>
                  <w:tcW w:w="1770" w:type="pct"/>
                  <w:tcBorders>
                    <w:tl2br w:val="nil"/>
                    <w:tr2bl w:val="nil"/>
                  </w:tcBorders>
                  <w:shd w:val="clear" w:color="auto" w:fill="auto"/>
                  <w:vAlign w:val="center"/>
                </w:tcPr>
                <w:p w14:paraId="29A61367">
                  <w:pPr>
                    <w:pStyle w:val="40"/>
                    <w:bidi w:val="0"/>
                    <w:rPr>
                      <w:rFonts w:hint="default"/>
                      <w:color w:val="auto"/>
                      <w:highlight w:val="none"/>
                      <w:lang w:val="en-US" w:eastAsia="zh-CN"/>
                    </w:rPr>
                  </w:pPr>
                  <w:r>
                    <w:rPr>
                      <w:rFonts w:hint="default"/>
                      <w:color w:val="auto"/>
                      <w:highlight w:val="none"/>
                      <w:lang w:val="en-US" w:eastAsia="zh-CN"/>
                    </w:rPr>
                    <w:t>规格：NE150</w:t>
                  </w:r>
                </w:p>
                <w:p w14:paraId="0E52F55B">
                  <w:pPr>
                    <w:pStyle w:val="40"/>
                    <w:bidi w:val="0"/>
                    <w:rPr>
                      <w:rFonts w:hint="default"/>
                      <w:color w:val="auto"/>
                      <w:highlight w:val="none"/>
                      <w:lang w:val="en-US" w:eastAsia="zh-CN"/>
                    </w:rPr>
                  </w:pPr>
                  <w:r>
                    <w:rPr>
                      <w:rFonts w:hint="default"/>
                      <w:color w:val="auto"/>
                      <w:highlight w:val="none"/>
                      <w:lang w:val="en-US" w:eastAsia="zh-CN"/>
                    </w:rPr>
                    <w:t>类型：板链式</w:t>
                  </w:r>
                </w:p>
                <w:p w14:paraId="1745BC14">
                  <w:pPr>
                    <w:pStyle w:val="40"/>
                    <w:bidi w:val="0"/>
                    <w:rPr>
                      <w:rFonts w:hint="default"/>
                      <w:color w:val="auto"/>
                      <w:highlight w:val="none"/>
                      <w:lang w:val="en-US" w:eastAsia="zh-CN"/>
                    </w:rPr>
                  </w:pPr>
                  <w:r>
                    <w:rPr>
                      <w:rFonts w:hint="default"/>
                      <w:color w:val="auto"/>
                      <w:highlight w:val="none"/>
                      <w:lang w:val="en-US" w:eastAsia="zh-CN"/>
                    </w:rPr>
                    <w:t>功率：30KW</w:t>
                  </w:r>
                </w:p>
                <w:p w14:paraId="68853E72">
                  <w:pPr>
                    <w:pStyle w:val="40"/>
                    <w:bidi w:val="0"/>
                    <w:rPr>
                      <w:rFonts w:hint="default"/>
                      <w:color w:val="auto"/>
                      <w:highlight w:val="none"/>
                      <w:lang w:val="en-US" w:eastAsia="zh-CN"/>
                    </w:rPr>
                  </w:pPr>
                  <w:r>
                    <w:rPr>
                      <w:rFonts w:hint="default"/>
                      <w:color w:val="auto"/>
                      <w:highlight w:val="none"/>
                      <w:lang w:val="en-US" w:eastAsia="zh-CN"/>
                    </w:rPr>
                    <w:t>电压：380V</w:t>
                  </w:r>
                </w:p>
              </w:tc>
              <w:tc>
                <w:tcPr>
                  <w:tcW w:w="570" w:type="pct"/>
                  <w:tcBorders>
                    <w:tl2br w:val="nil"/>
                    <w:tr2bl w:val="nil"/>
                  </w:tcBorders>
                  <w:shd w:val="clear" w:color="auto" w:fill="auto"/>
                  <w:vAlign w:val="center"/>
                </w:tcPr>
                <w:p w14:paraId="68C88C4C">
                  <w:pPr>
                    <w:pStyle w:val="40"/>
                    <w:bidi w:val="0"/>
                    <w:rPr>
                      <w:rFonts w:hint="default"/>
                      <w:color w:val="auto"/>
                      <w:highlight w:val="none"/>
                      <w:lang w:val="en-US" w:eastAsia="zh-CN"/>
                    </w:rPr>
                  </w:pPr>
                  <w:r>
                    <w:rPr>
                      <w:rFonts w:hint="default"/>
                      <w:color w:val="auto"/>
                      <w:highlight w:val="none"/>
                      <w:lang w:val="en-US" w:eastAsia="zh-CN"/>
                    </w:rPr>
                    <w:t>150</w:t>
                  </w:r>
                </w:p>
              </w:tc>
              <w:tc>
                <w:tcPr>
                  <w:tcW w:w="576" w:type="pct"/>
                  <w:tcBorders>
                    <w:tl2br w:val="nil"/>
                    <w:tr2bl w:val="nil"/>
                  </w:tcBorders>
                  <w:shd w:val="clear" w:color="auto" w:fill="auto"/>
                  <w:vAlign w:val="center"/>
                </w:tcPr>
                <w:p w14:paraId="4E46042E">
                  <w:pPr>
                    <w:pStyle w:val="40"/>
                    <w:bidi w:val="0"/>
                    <w:rPr>
                      <w:rFonts w:hint="default"/>
                      <w:color w:val="auto"/>
                      <w:highlight w:val="none"/>
                      <w:lang w:val="en-US" w:eastAsia="zh-CN"/>
                    </w:rPr>
                  </w:pPr>
                  <w:r>
                    <w:rPr>
                      <w:rFonts w:hint="default"/>
                      <w:color w:val="auto"/>
                      <w:highlight w:val="none"/>
                      <w:lang w:val="en-US" w:eastAsia="zh-CN"/>
                    </w:rPr>
                    <w:t>5</w:t>
                  </w:r>
                </w:p>
              </w:tc>
              <w:tc>
                <w:tcPr>
                  <w:tcW w:w="884" w:type="pct"/>
                  <w:tcBorders>
                    <w:tl2br w:val="nil"/>
                    <w:tr2bl w:val="nil"/>
                  </w:tcBorders>
                  <w:vAlign w:val="center"/>
                </w:tcPr>
                <w:p w14:paraId="6D077367">
                  <w:pPr>
                    <w:pStyle w:val="40"/>
                    <w:bidi w:val="0"/>
                    <w:rPr>
                      <w:rFonts w:hint="eastAsia"/>
                      <w:color w:val="auto"/>
                      <w:highlight w:val="none"/>
                      <w:lang w:val="en-US" w:eastAsia="zh-CN"/>
                    </w:rPr>
                  </w:pPr>
                  <w:r>
                    <w:rPr>
                      <w:rFonts w:hint="eastAsia"/>
                      <w:color w:val="auto"/>
                      <w:highlight w:val="none"/>
                      <w:lang w:val="en-US" w:eastAsia="zh-CN"/>
                    </w:rPr>
                    <w:t>/</w:t>
                  </w:r>
                </w:p>
              </w:tc>
            </w:tr>
            <w:tr w14:paraId="118687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tcBorders>
                    <w:tl2br w:val="nil"/>
                    <w:tr2bl w:val="nil"/>
                  </w:tcBorders>
                  <w:shd w:val="clear" w:color="auto" w:fill="auto"/>
                  <w:vAlign w:val="center"/>
                </w:tcPr>
                <w:p w14:paraId="619FFB0A">
                  <w:pPr>
                    <w:pStyle w:val="40"/>
                    <w:bidi w:val="0"/>
                    <w:rPr>
                      <w:rFonts w:hint="default"/>
                      <w:color w:val="auto"/>
                      <w:highlight w:val="none"/>
                      <w:lang w:val="en-US" w:eastAsia="zh-CN"/>
                    </w:rPr>
                  </w:pPr>
                  <w:r>
                    <w:rPr>
                      <w:rFonts w:hint="eastAsia"/>
                      <w:color w:val="auto"/>
                      <w:highlight w:val="none"/>
                      <w:lang w:val="en-US" w:eastAsia="zh-CN"/>
                    </w:rPr>
                    <w:t>3</w:t>
                  </w:r>
                </w:p>
              </w:tc>
              <w:tc>
                <w:tcPr>
                  <w:tcW w:w="853" w:type="pct"/>
                  <w:tcBorders>
                    <w:tl2br w:val="nil"/>
                    <w:tr2bl w:val="nil"/>
                  </w:tcBorders>
                  <w:shd w:val="clear" w:color="auto" w:fill="auto"/>
                  <w:vAlign w:val="center"/>
                </w:tcPr>
                <w:p w14:paraId="614B2942">
                  <w:pPr>
                    <w:pStyle w:val="40"/>
                    <w:bidi w:val="0"/>
                    <w:rPr>
                      <w:rFonts w:hint="default"/>
                      <w:color w:val="auto"/>
                      <w:sz w:val="21"/>
                      <w:highlight w:val="none"/>
                      <w:lang w:val="en-US" w:eastAsia="zh-CN"/>
                    </w:rPr>
                  </w:pPr>
                  <w:r>
                    <w:rPr>
                      <w:rFonts w:hint="default"/>
                      <w:color w:val="auto"/>
                      <w:sz w:val="21"/>
                      <w:highlight w:val="none"/>
                      <w:lang w:val="en-US" w:eastAsia="zh-CN"/>
                    </w:rPr>
                    <w:t>振动筛机</w:t>
                  </w:r>
                </w:p>
              </w:tc>
              <w:tc>
                <w:tcPr>
                  <w:tcW w:w="1770" w:type="pct"/>
                  <w:tcBorders>
                    <w:tl2br w:val="nil"/>
                    <w:tr2bl w:val="nil"/>
                  </w:tcBorders>
                  <w:shd w:val="clear" w:color="auto" w:fill="auto"/>
                  <w:vAlign w:val="center"/>
                </w:tcPr>
                <w:p w14:paraId="60F6D1CE">
                  <w:pPr>
                    <w:pStyle w:val="40"/>
                    <w:bidi w:val="0"/>
                    <w:rPr>
                      <w:rFonts w:hint="default"/>
                      <w:color w:val="auto"/>
                      <w:highlight w:val="none"/>
                      <w:lang w:val="en-US" w:eastAsia="zh-CN"/>
                    </w:rPr>
                  </w:pPr>
                  <w:r>
                    <w:rPr>
                      <w:rFonts w:hint="default"/>
                      <w:color w:val="auto"/>
                      <w:highlight w:val="none"/>
                      <w:lang w:val="en-US" w:eastAsia="zh-CN"/>
                    </w:rPr>
                    <w:t>规格：2ZKQ-4000×1800</w:t>
                  </w:r>
                </w:p>
                <w:p w14:paraId="1A3FC459">
                  <w:pPr>
                    <w:pStyle w:val="40"/>
                    <w:bidi w:val="0"/>
                    <w:rPr>
                      <w:rFonts w:hint="default"/>
                      <w:color w:val="auto"/>
                      <w:highlight w:val="none"/>
                      <w:lang w:val="en-US" w:eastAsia="zh-CN"/>
                    </w:rPr>
                  </w:pPr>
                  <w:r>
                    <w:rPr>
                      <w:rFonts w:hint="default"/>
                      <w:color w:val="auto"/>
                      <w:highlight w:val="none"/>
                      <w:lang w:val="en-US" w:eastAsia="zh-CN"/>
                    </w:rPr>
                    <w:t>电机功率：3.7KW</w:t>
                  </w:r>
                </w:p>
                <w:p w14:paraId="5B086D63">
                  <w:pPr>
                    <w:pStyle w:val="40"/>
                    <w:bidi w:val="0"/>
                    <w:rPr>
                      <w:rFonts w:hint="default"/>
                      <w:color w:val="auto"/>
                      <w:highlight w:val="none"/>
                      <w:lang w:val="en-US" w:eastAsia="zh-CN"/>
                    </w:rPr>
                  </w:pPr>
                  <w:r>
                    <w:rPr>
                      <w:rFonts w:hint="default"/>
                      <w:color w:val="auto"/>
                      <w:highlight w:val="none"/>
                      <w:lang w:val="en-US" w:eastAsia="zh-CN"/>
                    </w:rPr>
                    <w:t>电机电压：380V</w:t>
                  </w:r>
                </w:p>
              </w:tc>
              <w:tc>
                <w:tcPr>
                  <w:tcW w:w="570" w:type="pct"/>
                  <w:tcBorders>
                    <w:tl2br w:val="nil"/>
                    <w:tr2bl w:val="nil"/>
                  </w:tcBorders>
                  <w:shd w:val="clear" w:color="auto" w:fill="auto"/>
                  <w:vAlign w:val="center"/>
                </w:tcPr>
                <w:p w14:paraId="2835DF51">
                  <w:pPr>
                    <w:pStyle w:val="40"/>
                    <w:bidi w:val="0"/>
                    <w:rPr>
                      <w:rFonts w:hint="default"/>
                      <w:color w:val="auto"/>
                      <w:highlight w:val="none"/>
                      <w:lang w:val="en-US" w:eastAsia="zh-CN"/>
                    </w:rPr>
                  </w:pPr>
                  <w:r>
                    <w:rPr>
                      <w:rFonts w:hint="default"/>
                      <w:color w:val="auto"/>
                      <w:highlight w:val="none"/>
                      <w:lang w:val="en-US" w:eastAsia="zh-CN"/>
                    </w:rPr>
                    <w:t>30</w:t>
                  </w:r>
                </w:p>
              </w:tc>
              <w:tc>
                <w:tcPr>
                  <w:tcW w:w="576" w:type="pct"/>
                  <w:tcBorders>
                    <w:tl2br w:val="nil"/>
                    <w:tr2bl w:val="nil"/>
                  </w:tcBorders>
                  <w:shd w:val="clear" w:color="auto" w:fill="auto"/>
                  <w:vAlign w:val="center"/>
                </w:tcPr>
                <w:p w14:paraId="567EA4CD">
                  <w:pPr>
                    <w:pStyle w:val="40"/>
                    <w:bidi w:val="0"/>
                    <w:rPr>
                      <w:rFonts w:hint="default"/>
                      <w:color w:val="auto"/>
                      <w:highlight w:val="none"/>
                      <w:lang w:val="en-US" w:eastAsia="zh-CN"/>
                    </w:rPr>
                  </w:pPr>
                  <w:r>
                    <w:rPr>
                      <w:rFonts w:hint="default"/>
                      <w:color w:val="auto"/>
                      <w:highlight w:val="none"/>
                      <w:lang w:val="en-US" w:eastAsia="zh-CN"/>
                    </w:rPr>
                    <w:t>5</w:t>
                  </w:r>
                </w:p>
              </w:tc>
              <w:tc>
                <w:tcPr>
                  <w:tcW w:w="884" w:type="pct"/>
                  <w:tcBorders>
                    <w:tl2br w:val="nil"/>
                    <w:tr2bl w:val="nil"/>
                  </w:tcBorders>
                  <w:vAlign w:val="center"/>
                </w:tcPr>
                <w:p w14:paraId="13897C5E">
                  <w:pPr>
                    <w:pStyle w:val="40"/>
                    <w:bidi w:val="0"/>
                    <w:rPr>
                      <w:rFonts w:hint="eastAsia"/>
                      <w:color w:val="auto"/>
                      <w:highlight w:val="none"/>
                      <w:lang w:val="en-US" w:eastAsia="zh-CN"/>
                    </w:rPr>
                  </w:pPr>
                  <w:r>
                    <w:rPr>
                      <w:rFonts w:hint="eastAsia"/>
                      <w:color w:val="auto"/>
                      <w:highlight w:val="none"/>
                      <w:lang w:val="en-US" w:eastAsia="zh-CN"/>
                    </w:rPr>
                    <w:t>/</w:t>
                  </w:r>
                </w:p>
              </w:tc>
            </w:tr>
            <w:tr w14:paraId="1D4AB9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tcBorders>
                    <w:tl2br w:val="nil"/>
                    <w:tr2bl w:val="nil"/>
                  </w:tcBorders>
                  <w:vAlign w:val="center"/>
                </w:tcPr>
                <w:p w14:paraId="6747B74B">
                  <w:pPr>
                    <w:pStyle w:val="40"/>
                    <w:bidi w:val="0"/>
                    <w:rPr>
                      <w:rFonts w:hint="default" w:eastAsia="宋体"/>
                      <w:color w:val="auto"/>
                      <w:sz w:val="21"/>
                      <w:highlight w:val="none"/>
                      <w:lang w:val="en-US" w:eastAsia="zh-CN"/>
                    </w:rPr>
                  </w:pPr>
                  <w:r>
                    <w:rPr>
                      <w:rFonts w:hint="eastAsia"/>
                      <w:color w:val="auto"/>
                      <w:sz w:val="21"/>
                      <w:highlight w:val="none"/>
                      <w:lang w:val="en-US" w:eastAsia="zh-CN"/>
                    </w:rPr>
                    <w:t>06-蒸养</w:t>
                  </w:r>
                </w:p>
              </w:tc>
            </w:tr>
            <w:tr w14:paraId="162B4E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tcBorders>
                    <w:tl2br w:val="nil"/>
                    <w:tr2bl w:val="nil"/>
                  </w:tcBorders>
                  <w:shd w:val="clear" w:color="auto" w:fill="auto"/>
                  <w:vAlign w:val="center"/>
                </w:tcPr>
                <w:p w14:paraId="4B1B1E86">
                  <w:pPr>
                    <w:pStyle w:val="40"/>
                    <w:bidi w:val="0"/>
                    <w:rPr>
                      <w:rFonts w:hint="default"/>
                      <w:color w:val="auto"/>
                      <w:highlight w:val="none"/>
                      <w:lang w:val="en-US" w:eastAsia="zh-CN"/>
                    </w:rPr>
                  </w:pPr>
                  <w:r>
                    <w:rPr>
                      <w:rFonts w:hint="eastAsia"/>
                      <w:color w:val="auto"/>
                      <w:highlight w:val="none"/>
                      <w:lang w:val="en-US" w:eastAsia="zh-CN"/>
                    </w:rPr>
                    <w:t>1</w:t>
                  </w:r>
                </w:p>
              </w:tc>
              <w:tc>
                <w:tcPr>
                  <w:tcW w:w="853" w:type="pct"/>
                  <w:tcBorders>
                    <w:tl2br w:val="nil"/>
                    <w:tr2bl w:val="nil"/>
                  </w:tcBorders>
                  <w:shd w:val="clear" w:color="auto" w:fill="auto"/>
                  <w:vAlign w:val="center"/>
                </w:tcPr>
                <w:p w14:paraId="29ABE64F">
                  <w:pPr>
                    <w:pStyle w:val="40"/>
                    <w:bidi w:val="0"/>
                    <w:rPr>
                      <w:rFonts w:hint="default"/>
                      <w:color w:val="auto"/>
                      <w:sz w:val="21"/>
                      <w:highlight w:val="none"/>
                      <w:lang w:val="en-US" w:eastAsia="zh-CN"/>
                    </w:rPr>
                  </w:pPr>
                  <w:r>
                    <w:rPr>
                      <w:rFonts w:hint="default"/>
                      <w:color w:val="auto"/>
                      <w:spacing w:val="-6"/>
                      <w:sz w:val="21"/>
                      <w:highlight w:val="none"/>
                      <w:lang w:val="en-US" w:eastAsia="zh-CN"/>
                    </w:rPr>
                    <w:t>旋顶冲洗装置</w:t>
                  </w:r>
                </w:p>
              </w:tc>
              <w:tc>
                <w:tcPr>
                  <w:tcW w:w="1770" w:type="pct"/>
                  <w:tcBorders>
                    <w:tl2br w:val="nil"/>
                    <w:tr2bl w:val="nil"/>
                  </w:tcBorders>
                  <w:shd w:val="clear" w:color="auto" w:fill="auto"/>
                  <w:vAlign w:val="center"/>
                </w:tcPr>
                <w:p w14:paraId="7AC7DEB4">
                  <w:pPr>
                    <w:pStyle w:val="40"/>
                    <w:bidi w:val="0"/>
                    <w:rPr>
                      <w:rFonts w:hint="default"/>
                      <w:color w:val="auto"/>
                      <w:highlight w:val="none"/>
                      <w:lang w:val="en-US" w:eastAsia="zh-CN"/>
                    </w:rPr>
                  </w:pPr>
                  <w:r>
                    <w:rPr>
                      <w:rFonts w:hint="default"/>
                      <w:color w:val="auto"/>
                      <w:highlight w:val="none"/>
                      <w:lang w:val="en-US" w:eastAsia="zh-CN"/>
                    </w:rPr>
                    <w:t>规格：自制</w:t>
                  </w:r>
                </w:p>
                <w:p w14:paraId="442C69EA">
                  <w:pPr>
                    <w:pStyle w:val="40"/>
                    <w:bidi w:val="0"/>
                    <w:rPr>
                      <w:rFonts w:hint="default"/>
                      <w:color w:val="auto"/>
                      <w:highlight w:val="none"/>
                      <w:lang w:val="en-US" w:eastAsia="zh-CN"/>
                    </w:rPr>
                  </w:pPr>
                  <w:r>
                    <w:rPr>
                      <w:rFonts w:hint="default"/>
                      <w:color w:val="auto"/>
                      <w:highlight w:val="none"/>
                      <w:lang w:val="en-US" w:eastAsia="zh-CN"/>
                    </w:rPr>
                    <w:t>电机总功率：10.5KW</w:t>
                  </w:r>
                </w:p>
                <w:p w14:paraId="6A12A559">
                  <w:pPr>
                    <w:pStyle w:val="40"/>
                    <w:bidi w:val="0"/>
                    <w:rPr>
                      <w:rFonts w:hint="default"/>
                      <w:color w:val="auto"/>
                      <w:highlight w:val="none"/>
                      <w:lang w:val="en-US" w:eastAsia="zh-CN"/>
                    </w:rPr>
                  </w:pPr>
                  <w:r>
                    <w:rPr>
                      <w:rFonts w:hint="default"/>
                      <w:color w:val="auto"/>
                      <w:highlight w:val="none"/>
                      <w:lang w:val="en-US" w:eastAsia="zh-CN"/>
                    </w:rPr>
                    <w:t>电机电压：380V</w:t>
                  </w:r>
                </w:p>
              </w:tc>
              <w:tc>
                <w:tcPr>
                  <w:tcW w:w="570" w:type="pct"/>
                  <w:tcBorders>
                    <w:tl2br w:val="nil"/>
                    <w:tr2bl w:val="nil"/>
                  </w:tcBorders>
                  <w:shd w:val="clear" w:color="auto" w:fill="auto"/>
                  <w:vAlign w:val="center"/>
                </w:tcPr>
                <w:p w14:paraId="19B9440C">
                  <w:pPr>
                    <w:pStyle w:val="40"/>
                    <w:bidi w:val="0"/>
                    <w:rPr>
                      <w:rFonts w:hint="default"/>
                      <w:color w:val="auto"/>
                      <w:highlight w:val="none"/>
                      <w:lang w:val="en-US" w:eastAsia="zh-CN"/>
                    </w:rPr>
                  </w:pPr>
                  <w:r>
                    <w:rPr>
                      <w:rFonts w:hint="default"/>
                      <w:color w:val="auto"/>
                      <w:highlight w:val="none"/>
                      <w:lang w:val="en-US" w:eastAsia="zh-CN"/>
                    </w:rPr>
                    <w:t>200</w:t>
                  </w:r>
                </w:p>
              </w:tc>
              <w:tc>
                <w:tcPr>
                  <w:tcW w:w="576" w:type="pct"/>
                  <w:tcBorders>
                    <w:tl2br w:val="nil"/>
                    <w:tr2bl w:val="nil"/>
                  </w:tcBorders>
                  <w:shd w:val="clear" w:color="auto" w:fill="auto"/>
                  <w:vAlign w:val="center"/>
                </w:tcPr>
                <w:p w14:paraId="6C4D33AB">
                  <w:pPr>
                    <w:pStyle w:val="40"/>
                    <w:bidi w:val="0"/>
                    <w:rPr>
                      <w:rFonts w:hint="default"/>
                      <w:color w:val="auto"/>
                      <w:highlight w:val="none"/>
                      <w:lang w:val="en-US" w:eastAsia="zh-CN"/>
                    </w:rPr>
                  </w:pPr>
                  <w:r>
                    <w:rPr>
                      <w:rFonts w:hint="default"/>
                      <w:color w:val="auto"/>
                      <w:highlight w:val="none"/>
                      <w:lang w:val="en-US" w:eastAsia="zh-CN"/>
                    </w:rPr>
                    <w:t>10</w:t>
                  </w:r>
                </w:p>
              </w:tc>
              <w:tc>
                <w:tcPr>
                  <w:tcW w:w="884" w:type="pct"/>
                  <w:tcBorders>
                    <w:tl2br w:val="nil"/>
                    <w:tr2bl w:val="nil"/>
                  </w:tcBorders>
                  <w:vAlign w:val="center"/>
                </w:tcPr>
                <w:p w14:paraId="0EAE1AF8">
                  <w:pPr>
                    <w:pStyle w:val="40"/>
                    <w:bidi w:val="0"/>
                    <w:rPr>
                      <w:rFonts w:hint="eastAsia"/>
                      <w:color w:val="auto"/>
                      <w:highlight w:val="none"/>
                      <w:lang w:val="en-US" w:eastAsia="zh-CN"/>
                    </w:rPr>
                  </w:pPr>
                  <w:r>
                    <w:rPr>
                      <w:rFonts w:hint="eastAsia"/>
                      <w:color w:val="auto"/>
                      <w:highlight w:val="none"/>
                      <w:lang w:val="en-US" w:eastAsia="zh-CN"/>
                    </w:rPr>
                    <w:t>/</w:t>
                  </w:r>
                </w:p>
              </w:tc>
            </w:tr>
            <w:tr w14:paraId="3977FD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tcBorders>
                    <w:tl2br w:val="nil"/>
                    <w:tr2bl w:val="nil"/>
                  </w:tcBorders>
                  <w:shd w:val="clear" w:color="auto" w:fill="auto"/>
                  <w:vAlign w:val="center"/>
                </w:tcPr>
                <w:p w14:paraId="2B82167F">
                  <w:pPr>
                    <w:pStyle w:val="40"/>
                    <w:bidi w:val="0"/>
                    <w:rPr>
                      <w:rFonts w:hint="default"/>
                      <w:color w:val="auto"/>
                      <w:highlight w:val="none"/>
                      <w:lang w:val="en-US" w:eastAsia="zh-CN"/>
                    </w:rPr>
                  </w:pPr>
                  <w:r>
                    <w:rPr>
                      <w:rFonts w:hint="eastAsia"/>
                      <w:color w:val="auto"/>
                      <w:highlight w:val="none"/>
                      <w:lang w:val="en-US" w:eastAsia="zh-CN"/>
                    </w:rPr>
                    <w:t>2</w:t>
                  </w:r>
                </w:p>
              </w:tc>
              <w:tc>
                <w:tcPr>
                  <w:tcW w:w="853" w:type="pct"/>
                  <w:tcBorders>
                    <w:tl2br w:val="nil"/>
                    <w:tr2bl w:val="nil"/>
                  </w:tcBorders>
                  <w:shd w:val="clear" w:color="auto" w:fill="auto"/>
                  <w:vAlign w:val="center"/>
                </w:tcPr>
                <w:p w14:paraId="5AF0D941">
                  <w:pPr>
                    <w:pStyle w:val="40"/>
                    <w:bidi w:val="0"/>
                    <w:rPr>
                      <w:rFonts w:hint="default"/>
                      <w:color w:val="auto"/>
                      <w:sz w:val="21"/>
                      <w:highlight w:val="none"/>
                      <w:lang w:val="en-US" w:eastAsia="zh-CN"/>
                    </w:rPr>
                  </w:pPr>
                  <w:r>
                    <w:rPr>
                      <w:rFonts w:hint="default"/>
                      <w:color w:val="auto"/>
                      <w:spacing w:val="-6"/>
                      <w:sz w:val="21"/>
                      <w:highlight w:val="none"/>
                      <w:lang w:val="en-US" w:eastAsia="zh-CN"/>
                    </w:rPr>
                    <w:t>高压清洗水泵</w:t>
                  </w:r>
                </w:p>
              </w:tc>
              <w:tc>
                <w:tcPr>
                  <w:tcW w:w="1770" w:type="pct"/>
                  <w:tcBorders>
                    <w:tl2br w:val="nil"/>
                    <w:tr2bl w:val="nil"/>
                  </w:tcBorders>
                  <w:shd w:val="clear" w:color="auto" w:fill="auto"/>
                  <w:vAlign w:val="center"/>
                </w:tcPr>
                <w:p w14:paraId="41AF6F30">
                  <w:pPr>
                    <w:pStyle w:val="40"/>
                    <w:bidi w:val="0"/>
                    <w:rPr>
                      <w:rFonts w:hint="default"/>
                      <w:color w:val="auto"/>
                      <w:highlight w:val="none"/>
                      <w:lang w:val="en-US" w:eastAsia="zh-CN"/>
                    </w:rPr>
                  </w:pPr>
                  <w:r>
                    <w:rPr>
                      <w:rFonts w:hint="default"/>
                      <w:color w:val="auto"/>
                      <w:highlight w:val="none"/>
                      <w:lang w:val="en-US" w:eastAsia="zh-CN"/>
                    </w:rPr>
                    <w:t>规格：GJ240-25</w:t>
                  </w:r>
                </w:p>
                <w:p w14:paraId="7C297920">
                  <w:pPr>
                    <w:pStyle w:val="40"/>
                    <w:bidi w:val="0"/>
                    <w:rPr>
                      <w:rFonts w:hint="default"/>
                      <w:color w:val="auto"/>
                      <w:highlight w:val="none"/>
                      <w:lang w:val="en-US" w:eastAsia="zh-CN"/>
                    </w:rPr>
                  </w:pPr>
                  <w:r>
                    <w:rPr>
                      <w:rFonts w:hint="default"/>
                      <w:color w:val="auto"/>
                      <w:highlight w:val="none"/>
                      <w:lang w:val="en-US" w:eastAsia="zh-CN"/>
                    </w:rPr>
                    <w:t>电机功率：15KW</w:t>
                  </w:r>
                </w:p>
                <w:p w14:paraId="6A37D4E7">
                  <w:pPr>
                    <w:pStyle w:val="40"/>
                    <w:bidi w:val="0"/>
                    <w:rPr>
                      <w:rFonts w:hint="default"/>
                      <w:color w:val="auto"/>
                      <w:highlight w:val="none"/>
                      <w:lang w:val="en-US" w:eastAsia="zh-CN"/>
                    </w:rPr>
                  </w:pPr>
                  <w:r>
                    <w:rPr>
                      <w:rFonts w:hint="default"/>
                      <w:color w:val="auto"/>
                      <w:highlight w:val="none"/>
                      <w:lang w:val="en-US" w:eastAsia="zh-CN"/>
                    </w:rPr>
                    <w:t>电机电压：380V</w:t>
                  </w:r>
                </w:p>
              </w:tc>
              <w:tc>
                <w:tcPr>
                  <w:tcW w:w="570" w:type="pct"/>
                  <w:tcBorders>
                    <w:tl2br w:val="nil"/>
                    <w:tr2bl w:val="nil"/>
                  </w:tcBorders>
                  <w:shd w:val="clear" w:color="auto" w:fill="auto"/>
                  <w:vAlign w:val="center"/>
                </w:tcPr>
                <w:p w14:paraId="462F8CB1">
                  <w:pPr>
                    <w:pStyle w:val="40"/>
                    <w:bidi w:val="0"/>
                    <w:rPr>
                      <w:rFonts w:hint="default"/>
                      <w:color w:val="auto"/>
                      <w:highlight w:val="none"/>
                      <w:lang w:val="en-US" w:eastAsia="zh-CN"/>
                    </w:rPr>
                  </w:pPr>
                  <w:r>
                    <w:rPr>
                      <w:rFonts w:hint="default"/>
                      <w:color w:val="auto"/>
                      <w:highlight w:val="none"/>
                      <w:lang w:val="en-US" w:eastAsia="zh-CN"/>
                    </w:rPr>
                    <w:t>100</w:t>
                  </w:r>
                </w:p>
              </w:tc>
              <w:tc>
                <w:tcPr>
                  <w:tcW w:w="576" w:type="pct"/>
                  <w:tcBorders>
                    <w:tl2br w:val="nil"/>
                    <w:tr2bl w:val="nil"/>
                  </w:tcBorders>
                  <w:shd w:val="clear" w:color="auto" w:fill="auto"/>
                  <w:vAlign w:val="center"/>
                </w:tcPr>
                <w:p w14:paraId="0DF20DAB">
                  <w:pPr>
                    <w:pStyle w:val="40"/>
                    <w:bidi w:val="0"/>
                    <w:rPr>
                      <w:rFonts w:hint="default"/>
                      <w:color w:val="auto"/>
                      <w:highlight w:val="none"/>
                      <w:lang w:val="en-US" w:eastAsia="zh-CN"/>
                    </w:rPr>
                  </w:pPr>
                  <w:r>
                    <w:rPr>
                      <w:rFonts w:hint="default"/>
                      <w:color w:val="auto"/>
                      <w:highlight w:val="none"/>
                      <w:lang w:val="en-US" w:eastAsia="zh-CN"/>
                    </w:rPr>
                    <w:t>10</w:t>
                  </w:r>
                </w:p>
              </w:tc>
              <w:tc>
                <w:tcPr>
                  <w:tcW w:w="884" w:type="pct"/>
                  <w:tcBorders>
                    <w:tl2br w:val="nil"/>
                    <w:tr2bl w:val="nil"/>
                  </w:tcBorders>
                  <w:vAlign w:val="center"/>
                </w:tcPr>
                <w:p w14:paraId="778D4E27">
                  <w:pPr>
                    <w:pStyle w:val="40"/>
                    <w:bidi w:val="0"/>
                    <w:rPr>
                      <w:rFonts w:hint="eastAsia"/>
                      <w:color w:val="auto"/>
                      <w:highlight w:val="none"/>
                      <w:lang w:val="en-US" w:eastAsia="zh-CN"/>
                    </w:rPr>
                  </w:pPr>
                  <w:r>
                    <w:rPr>
                      <w:rFonts w:hint="eastAsia"/>
                      <w:color w:val="auto"/>
                      <w:highlight w:val="none"/>
                      <w:lang w:val="en-US" w:eastAsia="zh-CN"/>
                    </w:rPr>
                    <w:t>/</w:t>
                  </w:r>
                </w:p>
              </w:tc>
            </w:tr>
            <w:tr w14:paraId="52E7AC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tcBorders>
                    <w:tl2br w:val="nil"/>
                    <w:tr2bl w:val="nil"/>
                  </w:tcBorders>
                  <w:shd w:val="clear" w:color="auto" w:fill="auto"/>
                  <w:vAlign w:val="center"/>
                </w:tcPr>
                <w:p w14:paraId="0F7EF9B7">
                  <w:pPr>
                    <w:pStyle w:val="40"/>
                    <w:bidi w:val="0"/>
                    <w:rPr>
                      <w:rFonts w:hint="default"/>
                      <w:color w:val="auto"/>
                      <w:highlight w:val="none"/>
                      <w:lang w:val="en-US" w:eastAsia="zh-CN"/>
                    </w:rPr>
                  </w:pPr>
                  <w:r>
                    <w:rPr>
                      <w:rFonts w:hint="eastAsia"/>
                      <w:color w:val="auto"/>
                      <w:highlight w:val="none"/>
                      <w:lang w:val="en-US" w:eastAsia="zh-CN"/>
                    </w:rPr>
                    <w:t>3</w:t>
                  </w:r>
                </w:p>
              </w:tc>
              <w:tc>
                <w:tcPr>
                  <w:tcW w:w="853" w:type="pct"/>
                  <w:tcBorders>
                    <w:tl2br w:val="nil"/>
                    <w:tr2bl w:val="nil"/>
                  </w:tcBorders>
                  <w:shd w:val="clear" w:color="auto" w:fill="auto"/>
                  <w:vAlign w:val="center"/>
                </w:tcPr>
                <w:p w14:paraId="69A626AB">
                  <w:pPr>
                    <w:pStyle w:val="40"/>
                    <w:bidi w:val="0"/>
                    <w:rPr>
                      <w:rFonts w:hint="default"/>
                      <w:color w:val="auto"/>
                      <w:sz w:val="21"/>
                      <w:highlight w:val="none"/>
                      <w:lang w:val="en-US" w:eastAsia="zh-CN"/>
                    </w:rPr>
                  </w:pPr>
                  <w:r>
                    <w:rPr>
                      <w:rFonts w:hint="default"/>
                      <w:color w:val="auto"/>
                      <w:sz w:val="21"/>
                      <w:highlight w:val="none"/>
                      <w:lang w:val="en-US" w:eastAsia="zh-CN"/>
                    </w:rPr>
                    <w:t>蒸压釜</w:t>
                  </w:r>
                </w:p>
              </w:tc>
              <w:tc>
                <w:tcPr>
                  <w:tcW w:w="1770" w:type="pct"/>
                  <w:tcBorders>
                    <w:tl2br w:val="nil"/>
                    <w:tr2bl w:val="nil"/>
                  </w:tcBorders>
                  <w:shd w:val="clear" w:color="auto" w:fill="auto"/>
                  <w:vAlign w:val="center"/>
                </w:tcPr>
                <w:p w14:paraId="615BF606">
                  <w:pPr>
                    <w:pStyle w:val="40"/>
                    <w:bidi w:val="0"/>
                    <w:rPr>
                      <w:rFonts w:hint="default"/>
                      <w:color w:val="auto"/>
                      <w:highlight w:val="none"/>
                      <w:lang w:val="en-US" w:eastAsia="zh-CN"/>
                    </w:rPr>
                  </w:pPr>
                  <w:r>
                    <w:rPr>
                      <w:rFonts w:hint="default"/>
                      <w:color w:val="auto"/>
                      <w:highlight w:val="none"/>
                      <w:lang w:val="en-US" w:eastAsia="zh-CN"/>
                    </w:rPr>
                    <w:t>规格：φ4600×21000</w:t>
                  </w:r>
                </w:p>
                <w:p w14:paraId="63ED67CA">
                  <w:pPr>
                    <w:pStyle w:val="40"/>
                    <w:bidi w:val="0"/>
                    <w:rPr>
                      <w:rFonts w:hint="default"/>
                      <w:color w:val="auto"/>
                      <w:highlight w:val="none"/>
                      <w:lang w:val="en-US" w:eastAsia="zh-CN"/>
                    </w:rPr>
                  </w:pPr>
                  <w:r>
                    <w:rPr>
                      <w:rFonts w:hint="default"/>
                      <w:color w:val="auto"/>
                      <w:highlight w:val="none"/>
                      <w:lang w:val="en-US" w:eastAsia="zh-CN"/>
                    </w:rPr>
                    <w:t>全容积：200m</w:t>
                  </w:r>
                  <w:r>
                    <w:rPr>
                      <w:rFonts w:hint="eastAsia"/>
                      <w:color w:val="auto"/>
                      <w:highlight w:val="none"/>
                      <w:vertAlign w:val="superscript"/>
                      <w:lang w:val="en-US" w:eastAsia="zh-CN"/>
                    </w:rPr>
                    <w:t>3</w:t>
                  </w:r>
                </w:p>
              </w:tc>
              <w:tc>
                <w:tcPr>
                  <w:tcW w:w="570" w:type="pct"/>
                  <w:tcBorders>
                    <w:tl2br w:val="nil"/>
                    <w:tr2bl w:val="nil"/>
                  </w:tcBorders>
                  <w:shd w:val="clear" w:color="auto" w:fill="auto"/>
                  <w:vAlign w:val="center"/>
                </w:tcPr>
                <w:p w14:paraId="3E31B4A2">
                  <w:pPr>
                    <w:pStyle w:val="40"/>
                    <w:bidi w:val="0"/>
                    <w:rPr>
                      <w:rFonts w:hint="default"/>
                      <w:color w:val="auto"/>
                      <w:highlight w:val="none"/>
                      <w:lang w:val="en-US" w:eastAsia="zh-CN"/>
                    </w:rPr>
                  </w:pPr>
                  <w:r>
                    <w:rPr>
                      <w:rFonts w:hint="default"/>
                      <w:color w:val="auto"/>
                      <w:highlight w:val="none"/>
                      <w:lang w:val="en-US" w:eastAsia="zh-CN"/>
                    </w:rPr>
                    <w:t>/</w:t>
                  </w:r>
                </w:p>
              </w:tc>
              <w:tc>
                <w:tcPr>
                  <w:tcW w:w="576" w:type="pct"/>
                  <w:tcBorders>
                    <w:tl2br w:val="nil"/>
                    <w:tr2bl w:val="nil"/>
                  </w:tcBorders>
                  <w:shd w:val="clear" w:color="auto" w:fill="auto"/>
                  <w:vAlign w:val="center"/>
                </w:tcPr>
                <w:p w14:paraId="5C926198">
                  <w:pPr>
                    <w:pStyle w:val="40"/>
                    <w:bidi w:val="0"/>
                    <w:rPr>
                      <w:rFonts w:hint="default"/>
                      <w:color w:val="auto"/>
                      <w:highlight w:val="none"/>
                      <w:lang w:val="en-US" w:eastAsia="zh-CN"/>
                    </w:rPr>
                  </w:pPr>
                  <w:r>
                    <w:rPr>
                      <w:rFonts w:hint="default"/>
                      <w:color w:val="auto"/>
                      <w:highlight w:val="none"/>
                      <w:lang w:val="en-US" w:eastAsia="zh-CN"/>
                    </w:rPr>
                    <w:t>10</w:t>
                  </w:r>
                </w:p>
              </w:tc>
              <w:tc>
                <w:tcPr>
                  <w:tcW w:w="884" w:type="pct"/>
                  <w:tcBorders>
                    <w:tl2br w:val="nil"/>
                    <w:tr2bl w:val="nil"/>
                  </w:tcBorders>
                  <w:vAlign w:val="center"/>
                </w:tcPr>
                <w:p w14:paraId="69132663">
                  <w:pPr>
                    <w:pStyle w:val="40"/>
                    <w:bidi w:val="0"/>
                    <w:rPr>
                      <w:rFonts w:hint="default"/>
                      <w:color w:val="auto"/>
                      <w:highlight w:val="none"/>
                    </w:rPr>
                  </w:pPr>
                  <w:r>
                    <w:rPr>
                      <w:rFonts w:hint="default"/>
                      <w:color w:val="auto"/>
                      <w:highlight w:val="none"/>
                      <w:lang w:val="en-US" w:eastAsia="zh-CN"/>
                    </w:rPr>
                    <w:t>含料位/温度/压力/液位/贴片传感器</w:t>
                  </w:r>
                </w:p>
              </w:tc>
            </w:tr>
            <w:tr w14:paraId="73FAE6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tcBorders>
                    <w:tl2br w:val="nil"/>
                    <w:tr2bl w:val="nil"/>
                  </w:tcBorders>
                  <w:shd w:val="clear" w:color="auto" w:fill="auto"/>
                  <w:vAlign w:val="center"/>
                </w:tcPr>
                <w:p w14:paraId="7431B539">
                  <w:pPr>
                    <w:pStyle w:val="40"/>
                    <w:bidi w:val="0"/>
                    <w:rPr>
                      <w:rFonts w:hint="default"/>
                      <w:color w:val="auto"/>
                      <w:highlight w:val="none"/>
                      <w:lang w:val="en-US" w:eastAsia="zh-CN"/>
                    </w:rPr>
                  </w:pPr>
                  <w:r>
                    <w:rPr>
                      <w:rFonts w:hint="eastAsia"/>
                      <w:color w:val="auto"/>
                      <w:highlight w:val="none"/>
                      <w:lang w:val="en-US" w:eastAsia="zh-CN"/>
                    </w:rPr>
                    <w:t>4</w:t>
                  </w:r>
                </w:p>
              </w:tc>
              <w:tc>
                <w:tcPr>
                  <w:tcW w:w="853" w:type="pct"/>
                  <w:tcBorders>
                    <w:tl2br w:val="nil"/>
                    <w:tr2bl w:val="nil"/>
                  </w:tcBorders>
                  <w:shd w:val="clear" w:color="auto" w:fill="auto"/>
                  <w:vAlign w:val="center"/>
                </w:tcPr>
                <w:p w14:paraId="733A8914">
                  <w:pPr>
                    <w:pStyle w:val="40"/>
                    <w:bidi w:val="0"/>
                    <w:rPr>
                      <w:rFonts w:hint="default"/>
                      <w:color w:val="auto"/>
                      <w:sz w:val="21"/>
                      <w:highlight w:val="none"/>
                      <w:lang w:val="en-US" w:eastAsia="zh-CN"/>
                    </w:rPr>
                  </w:pPr>
                  <w:r>
                    <w:rPr>
                      <w:rFonts w:hint="eastAsia"/>
                      <w:color w:val="auto"/>
                      <w:sz w:val="21"/>
                      <w:highlight w:val="none"/>
                      <w:lang w:val="en-US" w:eastAsia="zh-CN"/>
                    </w:rPr>
                    <w:t>蒸养车</w:t>
                  </w:r>
                </w:p>
              </w:tc>
              <w:tc>
                <w:tcPr>
                  <w:tcW w:w="1770" w:type="pct"/>
                  <w:tcBorders>
                    <w:tl2br w:val="nil"/>
                    <w:tr2bl w:val="nil"/>
                  </w:tcBorders>
                  <w:shd w:val="clear" w:color="auto" w:fill="auto"/>
                  <w:vAlign w:val="center"/>
                </w:tcPr>
                <w:p w14:paraId="109C8335">
                  <w:pPr>
                    <w:pStyle w:val="40"/>
                    <w:bidi w:val="0"/>
                    <w:rPr>
                      <w:rFonts w:hint="eastAsia"/>
                      <w:color w:val="auto"/>
                      <w:highlight w:val="none"/>
                      <w:lang w:val="en-US" w:eastAsia="zh-CN"/>
                    </w:rPr>
                  </w:pPr>
                  <w:r>
                    <w:rPr>
                      <w:rFonts w:hint="eastAsia"/>
                      <w:color w:val="auto"/>
                      <w:highlight w:val="none"/>
                      <w:lang w:val="en-US" w:eastAsia="zh-CN"/>
                    </w:rPr>
                    <w:t>规格：3000×1200型</w:t>
                  </w:r>
                </w:p>
                <w:p w14:paraId="59099422">
                  <w:pPr>
                    <w:pStyle w:val="40"/>
                    <w:bidi w:val="0"/>
                    <w:rPr>
                      <w:rFonts w:hint="default"/>
                      <w:color w:val="auto"/>
                      <w:highlight w:val="none"/>
                      <w:lang w:val="en-US" w:eastAsia="zh-CN"/>
                    </w:rPr>
                  </w:pPr>
                  <w:r>
                    <w:rPr>
                      <w:rFonts w:hint="eastAsia"/>
                      <w:color w:val="auto"/>
                      <w:highlight w:val="none"/>
                      <w:lang w:val="en-US" w:eastAsia="zh-CN"/>
                    </w:rPr>
                    <w:t>载重量：3t</w:t>
                  </w:r>
                </w:p>
              </w:tc>
              <w:tc>
                <w:tcPr>
                  <w:tcW w:w="570" w:type="pct"/>
                  <w:tcBorders>
                    <w:tl2br w:val="nil"/>
                    <w:tr2bl w:val="nil"/>
                  </w:tcBorders>
                  <w:shd w:val="clear" w:color="auto" w:fill="auto"/>
                  <w:vAlign w:val="center"/>
                </w:tcPr>
                <w:p w14:paraId="781419E8">
                  <w:pPr>
                    <w:pStyle w:val="40"/>
                    <w:bidi w:val="0"/>
                    <w:rPr>
                      <w:rFonts w:hint="default"/>
                      <w:color w:val="auto"/>
                      <w:highlight w:val="none"/>
                      <w:lang w:val="en-US" w:eastAsia="zh-CN"/>
                    </w:rPr>
                  </w:pPr>
                  <w:r>
                    <w:rPr>
                      <w:rFonts w:hint="default"/>
                      <w:color w:val="auto"/>
                      <w:highlight w:val="none"/>
                      <w:lang w:val="en-US" w:eastAsia="zh-CN"/>
                    </w:rPr>
                    <w:t>/</w:t>
                  </w:r>
                </w:p>
              </w:tc>
              <w:tc>
                <w:tcPr>
                  <w:tcW w:w="576" w:type="pct"/>
                  <w:tcBorders>
                    <w:tl2br w:val="nil"/>
                    <w:tr2bl w:val="nil"/>
                  </w:tcBorders>
                  <w:shd w:val="clear" w:color="auto" w:fill="auto"/>
                  <w:vAlign w:val="center"/>
                </w:tcPr>
                <w:p w14:paraId="3F3F1AF2">
                  <w:pPr>
                    <w:pStyle w:val="40"/>
                    <w:bidi w:val="0"/>
                    <w:rPr>
                      <w:rFonts w:hint="default"/>
                      <w:color w:val="auto"/>
                      <w:highlight w:val="none"/>
                      <w:lang w:val="en-US" w:eastAsia="zh-CN"/>
                    </w:rPr>
                  </w:pPr>
                  <w:r>
                    <w:rPr>
                      <w:rFonts w:hint="eastAsia"/>
                      <w:color w:val="auto"/>
                      <w:highlight w:val="none"/>
                      <w:lang w:val="en-US" w:eastAsia="zh-CN"/>
                    </w:rPr>
                    <w:t>60</w:t>
                  </w:r>
                </w:p>
              </w:tc>
              <w:tc>
                <w:tcPr>
                  <w:tcW w:w="884" w:type="pct"/>
                  <w:tcBorders>
                    <w:tl2br w:val="nil"/>
                    <w:tr2bl w:val="nil"/>
                  </w:tcBorders>
                  <w:vAlign w:val="center"/>
                </w:tcPr>
                <w:p w14:paraId="0AE2CC97">
                  <w:pPr>
                    <w:pStyle w:val="40"/>
                    <w:bidi w:val="0"/>
                    <w:rPr>
                      <w:rFonts w:hint="default"/>
                      <w:color w:val="auto"/>
                      <w:highlight w:val="none"/>
                      <w:lang w:val="en-US" w:eastAsia="zh-CN"/>
                    </w:rPr>
                  </w:pPr>
                  <w:r>
                    <w:rPr>
                      <w:rFonts w:hint="eastAsia"/>
                      <w:color w:val="auto"/>
                      <w:highlight w:val="none"/>
                      <w:lang w:val="en-US" w:eastAsia="zh-CN"/>
                    </w:rPr>
                    <w:t>/</w:t>
                  </w:r>
                </w:p>
              </w:tc>
            </w:tr>
            <w:tr w14:paraId="4BACD3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tcBorders>
                    <w:tl2br w:val="nil"/>
                    <w:tr2bl w:val="nil"/>
                  </w:tcBorders>
                  <w:vAlign w:val="center"/>
                </w:tcPr>
                <w:p w14:paraId="152C7EEB">
                  <w:pPr>
                    <w:pStyle w:val="40"/>
                    <w:bidi w:val="0"/>
                    <w:rPr>
                      <w:rFonts w:hint="default"/>
                      <w:color w:val="auto"/>
                      <w:sz w:val="21"/>
                      <w:highlight w:val="none"/>
                    </w:rPr>
                  </w:pPr>
                  <w:r>
                    <w:rPr>
                      <w:rFonts w:hint="default"/>
                      <w:color w:val="auto"/>
                      <w:sz w:val="21"/>
                      <w:highlight w:val="none"/>
                      <w:lang w:val="en-US" w:eastAsia="zh-CN"/>
                    </w:rPr>
                    <w:t>0</w:t>
                  </w:r>
                  <w:r>
                    <w:rPr>
                      <w:rFonts w:hint="eastAsia"/>
                      <w:color w:val="auto"/>
                      <w:sz w:val="21"/>
                      <w:highlight w:val="none"/>
                      <w:lang w:val="en-US" w:eastAsia="zh-CN"/>
                    </w:rPr>
                    <w:t>7</w:t>
                  </w:r>
                  <w:r>
                    <w:rPr>
                      <w:rFonts w:hint="default"/>
                      <w:color w:val="auto"/>
                      <w:sz w:val="21"/>
                      <w:highlight w:val="none"/>
                      <w:lang w:val="en-US" w:eastAsia="zh-CN"/>
                    </w:rPr>
                    <w:t>-成品筛分</w:t>
                  </w:r>
                </w:p>
              </w:tc>
            </w:tr>
            <w:tr w14:paraId="042C56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tcBorders>
                    <w:tl2br w:val="nil"/>
                    <w:tr2bl w:val="nil"/>
                  </w:tcBorders>
                  <w:shd w:val="clear" w:color="auto" w:fill="auto"/>
                  <w:vAlign w:val="center"/>
                </w:tcPr>
                <w:p w14:paraId="0F8CEFFB">
                  <w:pPr>
                    <w:pStyle w:val="40"/>
                    <w:bidi w:val="0"/>
                    <w:rPr>
                      <w:rFonts w:hint="default"/>
                      <w:color w:val="auto"/>
                      <w:highlight w:val="none"/>
                      <w:lang w:val="en-US" w:eastAsia="zh-CN"/>
                    </w:rPr>
                  </w:pPr>
                  <w:r>
                    <w:rPr>
                      <w:rFonts w:hint="eastAsia"/>
                      <w:color w:val="auto"/>
                      <w:highlight w:val="none"/>
                      <w:lang w:val="en-US" w:eastAsia="zh-CN"/>
                    </w:rPr>
                    <w:t>1</w:t>
                  </w:r>
                </w:p>
              </w:tc>
              <w:tc>
                <w:tcPr>
                  <w:tcW w:w="853" w:type="pct"/>
                  <w:tcBorders>
                    <w:tl2br w:val="nil"/>
                    <w:tr2bl w:val="nil"/>
                  </w:tcBorders>
                  <w:shd w:val="clear" w:color="auto" w:fill="auto"/>
                  <w:vAlign w:val="center"/>
                </w:tcPr>
                <w:p w14:paraId="50DCB9EF">
                  <w:pPr>
                    <w:pStyle w:val="40"/>
                    <w:bidi w:val="0"/>
                    <w:rPr>
                      <w:rFonts w:hint="default"/>
                      <w:color w:val="auto"/>
                      <w:sz w:val="21"/>
                      <w:highlight w:val="none"/>
                      <w:lang w:val="en-US" w:eastAsia="zh-CN"/>
                    </w:rPr>
                  </w:pPr>
                  <w:r>
                    <w:rPr>
                      <w:rFonts w:hint="default"/>
                      <w:color w:val="auto"/>
                      <w:sz w:val="21"/>
                      <w:highlight w:val="none"/>
                      <w:lang w:val="en-US" w:eastAsia="zh-CN"/>
                    </w:rPr>
                    <w:t>斗提机</w:t>
                  </w:r>
                </w:p>
              </w:tc>
              <w:tc>
                <w:tcPr>
                  <w:tcW w:w="1770" w:type="pct"/>
                  <w:tcBorders>
                    <w:tl2br w:val="nil"/>
                    <w:tr2bl w:val="nil"/>
                  </w:tcBorders>
                  <w:shd w:val="clear" w:color="auto" w:fill="auto"/>
                  <w:vAlign w:val="center"/>
                </w:tcPr>
                <w:p w14:paraId="2E9FF0BB">
                  <w:pPr>
                    <w:pStyle w:val="40"/>
                    <w:bidi w:val="0"/>
                    <w:rPr>
                      <w:rFonts w:hint="default"/>
                      <w:color w:val="auto"/>
                      <w:highlight w:val="none"/>
                      <w:lang w:val="en-US" w:eastAsia="zh-CN"/>
                    </w:rPr>
                  </w:pPr>
                  <w:r>
                    <w:rPr>
                      <w:rFonts w:hint="default"/>
                      <w:color w:val="auto"/>
                      <w:highlight w:val="none"/>
                      <w:lang w:val="en-US" w:eastAsia="zh-CN"/>
                    </w:rPr>
                    <w:t>规格：NE150</w:t>
                  </w:r>
                </w:p>
                <w:p w14:paraId="30C843A3">
                  <w:pPr>
                    <w:pStyle w:val="40"/>
                    <w:bidi w:val="0"/>
                    <w:rPr>
                      <w:rFonts w:hint="default"/>
                      <w:color w:val="auto"/>
                      <w:highlight w:val="none"/>
                      <w:lang w:val="en-US" w:eastAsia="zh-CN"/>
                    </w:rPr>
                  </w:pPr>
                  <w:r>
                    <w:rPr>
                      <w:rFonts w:hint="default"/>
                      <w:color w:val="auto"/>
                      <w:highlight w:val="none"/>
                      <w:lang w:val="en-US" w:eastAsia="zh-CN"/>
                    </w:rPr>
                    <w:t>类型：板链式</w:t>
                  </w:r>
                </w:p>
                <w:p w14:paraId="17F3D266">
                  <w:pPr>
                    <w:pStyle w:val="40"/>
                    <w:bidi w:val="0"/>
                    <w:rPr>
                      <w:rFonts w:hint="default"/>
                      <w:color w:val="auto"/>
                      <w:highlight w:val="none"/>
                      <w:lang w:val="en-US" w:eastAsia="zh-CN"/>
                    </w:rPr>
                  </w:pPr>
                  <w:r>
                    <w:rPr>
                      <w:rFonts w:hint="default"/>
                      <w:color w:val="auto"/>
                      <w:highlight w:val="none"/>
                      <w:lang w:val="en-US" w:eastAsia="zh-CN"/>
                    </w:rPr>
                    <w:t>功率：30KW</w:t>
                  </w:r>
                </w:p>
                <w:p w14:paraId="54DAF5F3">
                  <w:pPr>
                    <w:pStyle w:val="40"/>
                    <w:bidi w:val="0"/>
                    <w:rPr>
                      <w:rFonts w:hint="default"/>
                      <w:color w:val="auto"/>
                      <w:highlight w:val="none"/>
                      <w:lang w:val="en-US" w:eastAsia="zh-CN"/>
                    </w:rPr>
                  </w:pPr>
                  <w:r>
                    <w:rPr>
                      <w:rFonts w:hint="default"/>
                      <w:color w:val="auto"/>
                      <w:highlight w:val="none"/>
                      <w:lang w:val="en-US" w:eastAsia="zh-CN"/>
                    </w:rPr>
                    <w:t>电压：380V</w:t>
                  </w:r>
                </w:p>
              </w:tc>
              <w:tc>
                <w:tcPr>
                  <w:tcW w:w="570" w:type="pct"/>
                  <w:tcBorders>
                    <w:tl2br w:val="nil"/>
                    <w:tr2bl w:val="nil"/>
                  </w:tcBorders>
                  <w:shd w:val="clear" w:color="auto" w:fill="auto"/>
                  <w:vAlign w:val="center"/>
                </w:tcPr>
                <w:p w14:paraId="49C1CBF8">
                  <w:pPr>
                    <w:pStyle w:val="40"/>
                    <w:bidi w:val="0"/>
                    <w:rPr>
                      <w:rFonts w:hint="default"/>
                      <w:color w:val="auto"/>
                      <w:highlight w:val="none"/>
                      <w:lang w:val="en-US" w:eastAsia="zh-CN"/>
                    </w:rPr>
                  </w:pPr>
                  <w:r>
                    <w:rPr>
                      <w:rFonts w:hint="default"/>
                      <w:color w:val="auto"/>
                      <w:highlight w:val="none"/>
                      <w:lang w:val="en-US" w:eastAsia="zh-CN"/>
                    </w:rPr>
                    <w:t>150</w:t>
                  </w:r>
                </w:p>
              </w:tc>
              <w:tc>
                <w:tcPr>
                  <w:tcW w:w="576" w:type="pct"/>
                  <w:tcBorders>
                    <w:tl2br w:val="nil"/>
                    <w:tr2bl w:val="nil"/>
                  </w:tcBorders>
                  <w:shd w:val="clear" w:color="auto" w:fill="auto"/>
                  <w:vAlign w:val="center"/>
                </w:tcPr>
                <w:p w14:paraId="6CC6DC4C">
                  <w:pPr>
                    <w:pStyle w:val="40"/>
                    <w:bidi w:val="0"/>
                    <w:rPr>
                      <w:rFonts w:hint="default"/>
                      <w:color w:val="auto"/>
                      <w:highlight w:val="none"/>
                      <w:lang w:val="en-US" w:eastAsia="zh-CN"/>
                    </w:rPr>
                  </w:pPr>
                  <w:r>
                    <w:rPr>
                      <w:rFonts w:hint="default"/>
                      <w:color w:val="auto"/>
                      <w:highlight w:val="none"/>
                      <w:lang w:val="en-US" w:eastAsia="zh-CN"/>
                    </w:rPr>
                    <w:t>10</w:t>
                  </w:r>
                </w:p>
              </w:tc>
              <w:tc>
                <w:tcPr>
                  <w:tcW w:w="884" w:type="pct"/>
                  <w:tcBorders>
                    <w:tl2br w:val="nil"/>
                    <w:tr2bl w:val="nil"/>
                  </w:tcBorders>
                  <w:vAlign w:val="center"/>
                </w:tcPr>
                <w:p w14:paraId="53530629">
                  <w:pPr>
                    <w:pStyle w:val="40"/>
                    <w:bidi w:val="0"/>
                    <w:rPr>
                      <w:rFonts w:hint="eastAsia"/>
                      <w:color w:val="auto"/>
                      <w:highlight w:val="none"/>
                      <w:lang w:val="en-US" w:eastAsia="zh-CN"/>
                    </w:rPr>
                  </w:pPr>
                  <w:r>
                    <w:rPr>
                      <w:rFonts w:hint="eastAsia"/>
                      <w:color w:val="auto"/>
                      <w:highlight w:val="none"/>
                      <w:lang w:val="en-US" w:eastAsia="zh-CN"/>
                    </w:rPr>
                    <w:t>/</w:t>
                  </w:r>
                </w:p>
              </w:tc>
            </w:tr>
            <w:tr w14:paraId="170E7E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tcBorders>
                    <w:tl2br w:val="nil"/>
                    <w:tr2bl w:val="nil"/>
                  </w:tcBorders>
                  <w:shd w:val="clear" w:color="auto" w:fill="auto"/>
                  <w:vAlign w:val="center"/>
                </w:tcPr>
                <w:p w14:paraId="0A3FEB4A">
                  <w:pPr>
                    <w:pStyle w:val="40"/>
                    <w:bidi w:val="0"/>
                    <w:rPr>
                      <w:rFonts w:hint="default"/>
                      <w:color w:val="auto"/>
                      <w:highlight w:val="none"/>
                      <w:lang w:val="en-US" w:eastAsia="zh-CN"/>
                    </w:rPr>
                  </w:pPr>
                  <w:r>
                    <w:rPr>
                      <w:rFonts w:hint="eastAsia"/>
                      <w:color w:val="auto"/>
                      <w:highlight w:val="none"/>
                      <w:lang w:val="en-US" w:eastAsia="zh-CN"/>
                    </w:rPr>
                    <w:t>2</w:t>
                  </w:r>
                </w:p>
              </w:tc>
              <w:tc>
                <w:tcPr>
                  <w:tcW w:w="853" w:type="pct"/>
                  <w:tcBorders>
                    <w:tl2br w:val="nil"/>
                    <w:tr2bl w:val="nil"/>
                  </w:tcBorders>
                  <w:shd w:val="clear" w:color="auto" w:fill="auto"/>
                  <w:vAlign w:val="center"/>
                </w:tcPr>
                <w:p w14:paraId="210BD132">
                  <w:pPr>
                    <w:pStyle w:val="40"/>
                    <w:bidi w:val="0"/>
                    <w:rPr>
                      <w:rFonts w:hint="default"/>
                      <w:color w:val="auto"/>
                      <w:sz w:val="21"/>
                      <w:highlight w:val="none"/>
                      <w:lang w:val="en-US" w:eastAsia="zh-CN"/>
                    </w:rPr>
                  </w:pPr>
                  <w:r>
                    <w:rPr>
                      <w:rFonts w:hint="default"/>
                      <w:color w:val="auto"/>
                      <w:sz w:val="21"/>
                      <w:highlight w:val="none"/>
                      <w:lang w:val="en-US" w:eastAsia="zh-CN"/>
                    </w:rPr>
                    <w:t>滚筒筛</w:t>
                  </w:r>
                </w:p>
              </w:tc>
              <w:tc>
                <w:tcPr>
                  <w:tcW w:w="1770" w:type="pct"/>
                  <w:tcBorders>
                    <w:tl2br w:val="nil"/>
                    <w:tr2bl w:val="nil"/>
                  </w:tcBorders>
                  <w:shd w:val="clear" w:color="auto" w:fill="auto"/>
                  <w:vAlign w:val="center"/>
                </w:tcPr>
                <w:p w14:paraId="0EC93700">
                  <w:pPr>
                    <w:pStyle w:val="40"/>
                    <w:bidi w:val="0"/>
                    <w:rPr>
                      <w:rFonts w:hint="default"/>
                      <w:color w:val="auto"/>
                      <w:highlight w:val="none"/>
                      <w:lang w:val="en-US" w:eastAsia="zh-CN"/>
                    </w:rPr>
                  </w:pPr>
                  <w:r>
                    <w:rPr>
                      <w:rFonts w:hint="default"/>
                      <w:color w:val="auto"/>
                      <w:highlight w:val="none"/>
                      <w:lang w:val="en-US" w:eastAsia="zh-CN"/>
                    </w:rPr>
                    <w:t>规格：φ1500×10000</w:t>
                  </w:r>
                </w:p>
                <w:p w14:paraId="5466AB1A">
                  <w:pPr>
                    <w:pStyle w:val="40"/>
                    <w:bidi w:val="0"/>
                    <w:rPr>
                      <w:rFonts w:hint="default"/>
                      <w:color w:val="auto"/>
                      <w:highlight w:val="none"/>
                      <w:lang w:val="en-US" w:eastAsia="zh-CN"/>
                    </w:rPr>
                  </w:pPr>
                  <w:r>
                    <w:rPr>
                      <w:rFonts w:hint="default"/>
                      <w:color w:val="auto"/>
                      <w:highlight w:val="none"/>
                      <w:lang w:val="en-US" w:eastAsia="zh-CN"/>
                    </w:rPr>
                    <w:t>电机1功率：7.5KW</w:t>
                  </w:r>
                </w:p>
                <w:p w14:paraId="5DD99710">
                  <w:pPr>
                    <w:pStyle w:val="40"/>
                    <w:bidi w:val="0"/>
                    <w:rPr>
                      <w:rFonts w:hint="default"/>
                      <w:color w:val="auto"/>
                      <w:highlight w:val="none"/>
                      <w:lang w:val="en-US" w:eastAsia="zh-CN"/>
                    </w:rPr>
                  </w:pPr>
                  <w:r>
                    <w:rPr>
                      <w:rFonts w:hint="default"/>
                      <w:color w:val="auto"/>
                      <w:highlight w:val="none"/>
                      <w:lang w:val="en-US" w:eastAsia="zh-CN"/>
                    </w:rPr>
                    <w:t>电机1电压：380V</w:t>
                  </w:r>
                </w:p>
                <w:p w14:paraId="1351E033">
                  <w:pPr>
                    <w:pStyle w:val="40"/>
                    <w:bidi w:val="0"/>
                    <w:rPr>
                      <w:rFonts w:hint="default"/>
                      <w:color w:val="auto"/>
                      <w:highlight w:val="none"/>
                      <w:lang w:val="en-US" w:eastAsia="zh-CN"/>
                    </w:rPr>
                  </w:pPr>
                  <w:r>
                    <w:rPr>
                      <w:rFonts w:hint="default"/>
                      <w:color w:val="auto"/>
                      <w:highlight w:val="none"/>
                      <w:lang w:val="en-US" w:eastAsia="zh-CN"/>
                    </w:rPr>
                    <w:t>电机2功率：7.5KW</w:t>
                  </w:r>
                </w:p>
                <w:p w14:paraId="0ABC3F3F">
                  <w:pPr>
                    <w:pStyle w:val="40"/>
                    <w:bidi w:val="0"/>
                    <w:rPr>
                      <w:rFonts w:hint="default"/>
                      <w:color w:val="auto"/>
                      <w:highlight w:val="none"/>
                      <w:lang w:val="en-US" w:eastAsia="zh-CN"/>
                    </w:rPr>
                  </w:pPr>
                  <w:r>
                    <w:rPr>
                      <w:rFonts w:hint="default"/>
                      <w:color w:val="auto"/>
                      <w:highlight w:val="none"/>
                      <w:lang w:val="en-US" w:eastAsia="zh-CN"/>
                    </w:rPr>
                    <w:t>电机2电压：380V</w:t>
                  </w:r>
                </w:p>
              </w:tc>
              <w:tc>
                <w:tcPr>
                  <w:tcW w:w="570" w:type="pct"/>
                  <w:tcBorders>
                    <w:tl2br w:val="nil"/>
                    <w:tr2bl w:val="nil"/>
                  </w:tcBorders>
                  <w:shd w:val="clear" w:color="auto" w:fill="auto"/>
                  <w:vAlign w:val="center"/>
                </w:tcPr>
                <w:p w14:paraId="1F81BE0E">
                  <w:pPr>
                    <w:pStyle w:val="40"/>
                    <w:bidi w:val="0"/>
                    <w:rPr>
                      <w:rFonts w:hint="default"/>
                      <w:color w:val="auto"/>
                      <w:highlight w:val="none"/>
                      <w:lang w:val="en-US" w:eastAsia="zh-CN"/>
                    </w:rPr>
                  </w:pPr>
                  <w:r>
                    <w:rPr>
                      <w:rFonts w:hint="default"/>
                      <w:color w:val="auto"/>
                      <w:highlight w:val="none"/>
                      <w:lang w:val="en-US" w:eastAsia="zh-CN"/>
                    </w:rPr>
                    <w:t>30</w:t>
                  </w:r>
                </w:p>
              </w:tc>
              <w:tc>
                <w:tcPr>
                  <w:tcW w:w="576" w:type="pct"/>
                  <w:tcBorders>
                    <w:tl2br w:val="nil"/>
                    <w:tr2bl w:val="nil"/>
                  </w:tcBorders>
                  <w:shd w:val="clear" w:color="auto" w:fill="auto"/>
                  <w:vAlign w:val="center"/>
                </w:tcPr>
                <w:p w14:paraId="5D14E57D">
                  <w:pPr>
                    <w:pStyle w:val="40"/>
                    <w:bidi w:val="0"/>
                    <w:rPr>
                      <w:rFonts w:hint="default"/>
                      <w:color w:val="auto"/>
                      <w:highlight w:val="none"/>
                      <w:lang w:val="en-US" w:eastAsia="zh-CN"/>
                    </w:rPr>
                  </w:pPr>
                  <w:r>
                    <w:rPr>
                      <w:rFonts w:hint="default"/>
                      <w:color w:val="auto"/>
                      <w:highlight w:val="none"/>
                      <w:lang w:val="en-US" w:eastAsia="zh-CN"/>
                    </w:rPr>
                    <w:t>5</w:t>
                  </w:r>
                </w:p>
              </w:tc>
              <w:tc>
                <w:tcPr>
                  <w:tcW w:w="884" w:type="pct"/>
                  <w:tcBorders>
                    <w:tl2br w:val="nil"/>
                    <w:tr2bl w:val="nil"/>
                  </w:tcBorders>
                  <w:vAlign w:val="center"/>
                </w:tcPr>
                <w:p w14:paraId="3860CA43">
                  <w:pPr>
                    <w:pStyle w:val="40"/>
                    <w:bidi w:val="0"/>
                    <w:rPr>
                      <w:rFonts w:hint="eastAsia"/>
                      <w:color w:val="auto"/>
                      <w:highlight w:val="none"/>
                      <w:lang w:val="en-US" w:eastAsia="zh-CN"/>
                    </w:rPr>
                  </w:pPr>
                  <w:r>
                    <w:rPr>
                      <w:rFonts w:hint="eastAsia"/>
                      <w:color w:val="auto"/>
                      <w:highlight w:val="none"/>
                      <w:lang w:val="en-US" w:eastAsia="zh-CN"/>
                    </w:rPr>
                    <w:t>/</w:t>
                  </w:r>
                </w:p>
              </w:tc>
            </w:tr>
            <w:tr w14:paraId="626903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tcBorders>
                    <w:tl2br w:val="nil"/>
                    <w:tr2bl w:val="nil"/>
                  </w:tcBorders>
                  <w:shd w:val="clear" w:color="auto" w:fill="auto"/>
                  <w:vAlign w:val="center"/>
                </w:tcPr>
                <w:p w14:paraId="70AAA54E">
                  <w:pPr>
                    <w:pStyle w:val="40"/>
                    <w:bidi w:val="0"/>
                    <w:rPr>
                      <w:rFonts w:hint="default"/>
                      <w:color w:val="auto"/>
                      <w:highlight w:val="none"/>
                      <w:lang w:val="en-US" w:eastAsia="zh-CN"/>
                    </w:rPr>
                  </w:pPr>
                  <w:r>
                    <w:rPr>
                      <w:rFonts w:hint="eastAsia"/>
                      <w:color w:val="auto"/>
                      <w:highlight w:val="none"/>
                      <w:lang w:val="en-US" w:eastAsia="zh-CN"/>
                    </w:rPr>
                    <w:t>3</w:t>
                  </w:r>
                </w:p>
              </w:tc>
              <w:tc>
                <w:tcPr>
                  <w:tcW w:w="853" w:type="pct"/>
                  <w:tcBorders>
                    <w:tl2br w:val="nil"/>
                    <w:tr2bl w:val="nil"/>
                  </w:tcBorders>
                  <w:shd w:val="clear" w:color="auto" w:fill="auto"/>
                  <w:vAlign w:val="center"/>
                </w:tcPr>
                <w:p w14:paraId="79D6900E">
                  <w:pPr>
                    <w:pStyle w:val="40"/>
                    <w:bidi w:val="0"/>
                    <w:rPr>
                      <w:rFonts w:hint="default"/>
                      <w:color w:val="auto"/>
                      <w:sz w:val="21"/>
                      <w:highlight w:val="none"/>
                      <w:lang w:val="en-US" w:eastAsia="zh-CN"/>
                    </w:rPr>
                  </w:pPr>
                  <w:r>
                    <w:rPr>
                      <w:rFonts w:hint="default"/>
                      <w:color w:val="auto"/>
                      <w:sz w:val="21"/>
                      <w:highlight w:val="none"/>
                      <w:lang w:val="en-US" w:eastAsia="zh-CN"/>
                    </w:rPr>
                    <w:t>皮带机</w:t>
                  </w:r>
                </w:p>
              </w:tc>
              <w:tc>
                <w:tcPr>
                  <w:tcW w:w="1770" w:type="pct"/>
                  <w:tcBorders>
                    <w:tl2br w:val="nil"/>
                    <w:tr2bl w:val="nil"/>
                  </w:tcBorders>
                  <w:shd w:val="clear" w:color="auto" w:fill="auto"/>
                  <w:vAlign w:val="center"/>
                </w:tcPr>
                <w:p w14:paraId="475A41BE">
                  <w:pPr>
                    <w:pStyle w:val="40"/>
                    <w:bidi w:val="0"/>
                    <w:rPr>
                      <w:rFonts w:hint="default"/>
                      <w:color w:val="auto"/>
                      <w:highlight w:val="none"/>
                      <w:lang w:val="en-US" w:eastAsia="zh-CN"/>
                    </w:rPr>
                  </w:pPr>
                  <w:r>
                    <w:rPr>
                      <w:rFonts w:hint="default"/>
                      <w:color w:val="auto"/>
                      <w:highlight w:val="none"/>
                      <w:lang w:val="en-US" w:eastAsia="zh-CN"/>
                    </w:rPr>
                    <w:t>规格：B500</w:t>
                  </w:r>
                </w:p>
                <w:p w14:paraId="6ECE227A">
                  <w:pPr>
                    <w:pStyle w:val="40"/>
                    <w:bidi w:val="0"/>
                    <w:rPr>
                      <w:rFonts w:hint="default"/>
                      <w:color w:val="auto"/>
                      <w:highlight w:val="none"/>
                      <w:lang w:val="en-US" w:eastAsia="zh-CN"/>
                    </w:rPr>
                  </w:pPr>
                  <w:r>
                    <w:rPr>
                      <w:rFonts w:hint="default"/>
                      <w:color w:val="auto"/>
                      <w:highlight w:val="none"/>
                      <w:lang w:val="en-US" w:eastAsia="zh-CN"/>
                    </w:rPr>
                    <w:t>电机功率：3KW</w:t>
                  </w:r>
                </w:p>
                <w:p w14:paraId="1760C47D">
                  <w:pPr>
                    <w:pStyle w:val="40"/>
                    <w:bidi w:val="0"/>
                    <w:rPr>
                      <w:rFonts w:hint="default"/>
                      <w:color w:val="auto"/>
                      <w:highlight w:val="none"/>
                      <w:lang w:val="en-US" w:eastAsia="zh-CN"/>
                    </w:rPr>
                  </w:pPr>
                  <w:r>
                    <w:rPr>
                      <w:rFonts w:hint="default"/>
                      <w:color w:val="auto"/>
                      <w:highlight w:val="none"/>
                      <w:lang w:val="en-US" w:eastAsia="zh-CN"/>
                    </w:rPr>
                    <w:t>电机电压：380V</w:t>
                  </w:r>
                </w:p>
              </w:tc>
              <w:tc>
                <w:tcPr>
                  <w:tcW w:w="570" w:type="pct"/>
                  <w:tcBorders>
                    <w:tl2br w:val="nil"/>
                    <w:tr2bl w:val="nil"/>
                  </w:tcBorders>
                  <w:shd w:val="clear" w:color="auto" w:fill="auto"/>
                  <w:vAlign w:val="center"/>
                </w:tcPr>
                <w:p w14:paraId="659E3E7B">
                  <w:pPr>
                    <w:pStyle w:val="40"/>
                    <w:bidi w:val="0"/>
                    <w:rPr>
                      <w:rFonts w:hint="default"/>
                      <w:color w:val="auto"/>
                      <w:highlight w:val="none"/>
                      <w:lang w:val="en-US" w:eastAsia="zh-CN"/>
                    </w:rPr>
                  </w:pPr>
                  <w:r>
                    <w:rPr>
                      <w:rFonts w:hint="default"/>
                      <w:color w:val="auto"/>
                      <w:highlight w:val="none"/>
                      <w:lang w:val="en-US" w:eastAsia="zh-CN"/>
                    </w:rPr>
                    <w:t>30</w:t>
                  </w:r>
                </w:p>
              </w:tc>
              <w:tc>
                <w:tcPr>
                  <w:tcW w:w="576" w:type="pct"/>
                  <w:tcBorders>
                    <w:tl2br w:val="nil"/>
                    <w:tr2bl w:val="nil"/>
                  </w:tcBorders>
                  <w:shd w:val="clear" w:color="auto" w:fill="auto"/>
                  <w:vAlign w:val="center"/>
                </w:tcPr>
                <w:p w14:paraId="461F077C">
                  <w:pPr>
                    <w:pStyle w:val="40"/>
                    <w:bidi w:val="0"/>
                    <w:rPr>
                      <w:rFonts w:hint="default"/>
                      <w:color w:val="auto"/>
                      <w:highlight w:val="none"/>
                      <w:lang w:val="en-US" w:eastAsia="zh-CN"/>
                    </w:rPr>
                  </w:pPr>
                  <w:r>
                    <w:rPr>
                      <w:rFonts w:hint="default"/>
                      <w:color w:val="auto"/>
                      <w:highlight w:val="none"/>
                      <w:lang w:val="en-US" w:eastAsia="zh-CN"/>
                    </w:rPr>
                    <w:t>15</w:t>
                  </w:r>
                </w:p>
              </w:tc>
              <w:tc>
                <w:tcPr>
                  <w:tcW w:w="884" w:type="pct"/>
                  <w:tcBorders>
                    <w:tl2br w:val="nil"/>
                    <w:tr2bl w:val="nil"/>
                  </w:tcBorders>
                  <w:vAlign w:val="center"/>
                </w:tcPr>
                <w:p w14:paraId="3CB546EE">
                  <w:pPr>
                    <w:pStyle w:val="40"/>
                    <w:bidi w:val="0"/>
                    <w:rPr>
                      <w:rFonts w:hint="default"/>
                      <w:color w:val="auto"/>
                      <w:highlight w:val="none"/>
                    </w:rPr>
                  </w:pPr>
                  <w:r>
                    <w:rPr>
                      <w:rFonts w:hint="default"/>
                      <w:color w:val="auto"/>
                      <w:highlight w:val="none"/>
                      <w:lang w:val="en-US" w:eastAsia="zh-CN"/>
                    </w:rPr>
                    <w:t>密封罩/导料槽/清扫器</w:t>
                  </w:r>
                </w:p>
              </w:tc>
            </w:tr>
            <w:tr w14:paraId="4FCDBF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tcBorders>
                    <w:tl2br w:val="nil"/>
                    <w:tr2bl w:val="nil"/>
                  </w:tcBorders>
                  <w:shd w:val="clear" w:color="auto" w:fill="auto"/>
                  <w:vAlign w:val="center"/>
                </w:tcPr>
                <w:p w14:paraId="6CEB033B">
                  <w:pPr>
                    <w:pStyle w:val="40"/>
                    <w:bidi w:val="0"/>
                    <w:rPr>
                      <w:rFonts w:hint="default"/>
                      <w:color w:val="auto"/>
                      <w:highlight w:val="none"/>
                      <w:lang w:val="en-US" w:eastAsia="zh-CN"/>
                    </w:rPr>
                  </w:pPr>
                  <w:r>
                    <w:rPr>
                      <w:rFonts w:hint="eastAsia"/>
                      <w:color w:val="auto"/>
                      <w:highlight w:val="none"/>
                      <w:lang w:val="en-US" w:eastAsia="zh-CN"/>
                    </w:rPr>
                    <w:t>4</w:t>
                  </w:r>
                </w:p>
              </w:tc>
              <w:tc>
                <w:tcPr>
                  <w:tcW w:w="853" w:type="pct"/>
                  <w:tcBorders>
                    <w:tl2br w:val="nil"/>
                    <w:tr2bl w:val="nil"/>
                  </w:tcBorders>
                  <w:shd w:val="clear" w:color="auto" w:fill="auto"/>
                  <w:vAlign w:val="center"/>
                </w:tcPr>
                <w:p w14:paraId="2697593D">
                  <w:pPr>
                    <w:pStyle w:val="40"/>
                    <w:bidi w:val="0"/>
                    <w:rPr>
                      <w:rFonts w:hint="default"/>
                      <w:color w:val="auto"/>
                      <w:sz w:val="21"/>
                      <w:highlight w:val="none"/>
                      <w:lang w:val="en-US" w:eastAsia="zh-CN"/>
                    </w:rPr>
                  </w:pPr>
                  <w:r>
                    <w:rPr>
                      <w:rFonts w:hint="eastAsia"/>
                      <w:color w:val="auto"/>
                      <w:sz w:val="21"/>
                      <w:highlight w:val="none"/>
                      <w:lang w:val="en-US" w:eastAsia="zh-CN"/>
                    </w:rPr>
                    <w:t>成品仓</w:t>
                  </w:r>
                </w:p>
              </w:tc>
              <w:tc>
                <w:tcPr>
                  <w:tcW w:w="1770" w:type="pct"/>
                  <w:tcBorders>
                    <w:tl2br w:val="nil"/>
                    <w:tr2bl w:val="nil"/>
                  </w:tcBorders>
                  <w:shd w:val="clear" w:color="auto" w:fill="auto"/>
                  <w:vAlign w:val="center"/>
                </w:tcPr>
                <w:p w14:paraId="0DC690D3">
                  <w:pPr>
                    <w:pStyle w:val="40"/>
                    <w:bidi w:val="0"/>
                    <w:rPr>
                      <w:rFonts w:hint="default"/>
                      <w:color w:val="auto"/>
                      <w:highlight w:val="none"/>
                      <w:lang w:val="en-US" w:eastAsia="zh-CN"/>
                    </w:rPr>
                  </w:pPr>
                  <w:r>
                    <w:rPr>
                      <w:rFonts w:hint="eastAsia"/>
                      <w:color w:val="auto"/>
                      <w:highlight w:val="none"/>
                      <w:lang w:val="en-US" w:eastAsia="zh-CN"/>
                    </w:rPr>
                    <w:t>单仓储量10t</w:t>
                  </w:r>
                </w:p>
              </w:tc>
              <w:tc>
                <w:tcPr>
                  <w:tcW w:w="570" w:type="pct"/>
                  <w:tcBorders>
                    <w:tl2br w:val="nil"/>
                    <w:tr2bl w:val="nil"/>
                  </w:tcBorders>
                  <w:shd w:val="clear" w:color="auto" w:fill="auto"/>
                  <w:vAlign w:val="center"/>
                </w:tcPr>
                <w:p w14:paraId="3AD9E002">
                  <w:pPr>
                    <w:pStyle w:val="40"/>
                    <w:bidi w:val="0"/>
                    <w:rPr>
                      <w:rFonts w:hint="default"/>
                      <w:color w:val="auto"/>
                      <w:highlight w:val="none"/>
                      <w:lang w:val="en-US" w:eastAsia="zh-CN"/>
                    </w:rPr>
                  </w:pPr>
                  <w:r>
                    <w:rPr>
                      <w:rFonts w:hint="default"/>
                      <w:color w:val="auto"/>
                      <w:highlight w:val="none"/>
                      <w:lang w:val="en-US" w:eastAsia="zh-CN"/>
                    </w:rPr>
                    <w:t>/</w:t>
                  </w:r>
                </w:p>
              </w:tc>
              <w:tc>
                <w:tcPr>
                  <w:tcW w:w="576" w:type="pct"/>
                  <w:tcBorders>
                    <w:tl2br w:val="nil"/>
                    <w:tr2bl w:val="nil"/>
                  </w:tcBorders>
                  <w:shd w:val="clear" w:color="auto" w:fill="auto"/>
                  <w:vAlign w:val="center"/>
                </w:tcPr>
                <w:p w14:paraId="511B38CA">
                  <w:pPr>
                    <w:pStyle w:val="40"/>
                    <w:bidi w:val="0"/>
                    <w:rPr>
                      <w:rFonts w:hint="default"/>
                      <w:color w:val="auto"/>
                      <w:highlight w:val="none"/>
                      <w:lang w:val="en-US" w:eastAsia="zh-CN"/>
                    </w:rPr>
                  </w:pPr>
                  <w:r>
                    <w:rPr>
                      <w:rFonts w:hint="eastAsia"/>
                      <w:color w:val="auto"/>
                      <w:highlight w:val="none"/>
                      <w:lang w:val="en-US" w:eastAsia="zh-CN"/>
                    </w:rPr>
                    <w:t>6</w:t>
                  </w:r>
                </w:p>
              </w:tc>
              <w:tc>
                <w:tcPr>
                  <w:tcW w:w="884" w:type="pct"/>
                  <w:tcBorders>
                    <w:tl2br w:val="nil"/>
                    <w:tr2bl w:val="nil"/>
                  </w:tcBorders>
                  <w:vAlign w:val="center"/>
                </w:tcPr>
                <w:p w14:paraId="38157216">
                  <w:pPr>
                    <w:pStyle w:val="40"/>
                    <w:bidi w:val="0"/>
                    <w:rPr>
                      <w:rFonts w:hint="default"/>
                      <w:color w:val="auto"/>
                      <w:highlight w:val="none"/>
                    </w:rPr>
                  </w:pPr>
                  <w:r>
                    <w:rPr>
                      <w:rFonts w:hint="default"/>
                      <w:color w:val="auto"/>
                      <w:highlight w:val="none"/>
                      <w:lang w:val="en-US" w:eastAsia="zh-CN"/>
                    </w:rPr>
                    <w:t>含料位传感器</w:t>
                  </w:r>
                </w:p>
              </w:tc>
            </w:tr>
            <w:tr w14:paraId="55B807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tcBorders>
                    <w:tl2br w:val="nil"/>
                    <w:tr2bl w:val="nil"/>
                  </w:tcBorders>
                  <w:vAlign w:val="center"/>
                </w:tcPr>
                <w:p w14:paraId="10AB42E5">
                  <w:pPr>
                    <w:pStyle w:val="40"/>
                    <w:bidi w:val="0"/>
                    <w:rPr>
                      <w:rFonts w:hint="default"/>
                      <w:color w:val="auto"/>
                      <w:highlight w:val="none"/>
                    </w:rPr>
                  </w:pPr>
                  <w:r>
                    <w:rPr>
                      <w:rFonts w:hint="default"/>
                      <w:color w:val="auto"/>
                      <w:highlight w:val="none"/>
                      <w:lang w:val="en-US" w:eastAsia="zh-CN"/>
                    </w:rPr>
                    <w:t>0</w:t>
                  </w:r>
                  <w:r>
                    <w:rPr>
                      <w:rFonts w:hint="eastAsia"/>
                      <w:color w:val="auto"/>
                      <w:highlight w:val="none"/>
                      <w:lang w:val="en-US" w:eastAsia="zh-CN"/>
                    </w:rPr>
                    <w:t>8</w:t>
                  </w:r>
                  <w:r>
                    <w:rPr>
                      <w:rFonts w:hint="default"/>
                      <w:color w:val="auto"/>
                      <w:highlight w:val="none"/>
                      <w:lang w:val="en-US" w:eastAsia="zh-CN"/>
                    </w:rPr>
                    <w:t>-控制系统</w:t>
                  </w:r>
                </w:p>
              </w:tc>
            </w:tr>
            <w:tr w14:paraId="5DEAF7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tcBorders>
                    <w:tl2br w:val="nil"/>
                    <w:tr2bl w:val="nil"/>
                  </w:tcBorders>
                  <w:shd w:val="clear" w:color="auto" w:fill="auto"/>
                  <w:vAlign w:val="center"/>
                </w:tcPr>
                <w:p w14:paraId="784F7BEF">
                  <w:pPr>
                    <w:pStyle w:val="40"/>
                    <w:bidi w:val="0"/>
                    <w:rPr>
                      <w:rFonts w:hint="default"/>
                      <w:color w:val="auto"/>
                      <w:highlight w:val="none"/>
                      <w:lang w:val="en-US" w:eastAsia="zh-CN"/>
                    </w:rPr>
                  </w:pPr>
                  <w:r>
                    <w:rPr>
                      <w:rFonts w:hint="eastAsia"/>
                      <w:color w:val="auto"/>
                      <w:highlight w:val="none"/>
                      <w:lang w:val="en-US" w:eastAsia="zh-CN"/>
                    </w:rPr>
                    <w:t>1</w:t>
                  </w:r>
                </w:p>
              </w:tc>
              <w:tc>
                <w:tcPr>
                  <w:tcW w:w="853" w:type="pct"/>
                  <w:tcBorders>
                    <w:tl2br w:val="nil"/>
                    <w:tr2bl w:val="nil"/>
                  </w:tcBorders>
                  <w:shd w:val="clear" w:color="auto" w:fill="auto"/>
                  <w:vAlign w:val="center"/>
                </w:tcPr>
                <w:p w14:paraId="65971E9B">
                  <w:pPr>
                    <w:pStyle w:val="40"/>
                    <w:bidi w:val="0"/>
                    <w:rPr>
                      <w:rFonts w:hint="default"/>
                      <w:color w:val="auto"/>
                      <w:highlight w:val="none"/>
                      <w:lang w:val="en-US" w:eastAsia="zh-CN"/>
                    </w:rPr>
                  </w:pPr>
                  <w:r>
                    <w:rPr>
                      <w:rFonts w:hint="default"/>
                      <w:color w:val="auto"/>
                      <w:highlight w:val="none"/>
                      <w:lang w:val="en-US" w:eastAsia="zh-CN"/>
                    </w:rPr>
                    <w:t>中控室</w:t>
                  </w:r>
                </w:p>
              </w:tc>
              <w:tc>
                <w:tcPr>
                  <w:tcW w:w="1770" w:type="pct"/>
                  <w:tcBorders>
                    <w:tl2br w:val="nil"/>
                    <w:tr2bl w:val="nil"/>
                  </w:tcBorders>
                  <w:shd w:val="clear" w:color="auto" w:fill="auto"/>
                  <w:vAlign w:val="center"/>
                </w:tcPr>
                <w:p w14:paraId="266BE770">
                  <w:pPr>
                    <w:pStyle w:val="40"/>
                    <w:bidi w:val="0"/>
                    <w:rPr>
                      <w:rFonts w:hint="default"/>
                      <w:color w:val="auto"/>
                      <w:highlight w:val="none"/>
                      <w:lang w:val="en-US" w:eastAsia="zh-CN"/>
                    </w:rPr>
                  </w:pPr>
                  <w:r>
                    <w:rPr>
                      <w:rFonts w:hint="eastAsia"/>
                      <w:color w:val="auto"/>
                      <w:highlight w:val="none"/>
                      <w:lang w:val="en-US" w:eastAsia="zh-CN"/>
                    </w:rPr>
                    <w:t>/</w:t>
                  </w:r>
                </w:p>
              </w:tc>
              <w:tc>
                <w:tcPr>
                  <w:tcW w:w="570" w:type="pct"/>
                  <w:tcBorders>
                    <w:tl2br w:val="nil"/>
                    <w:tr2bl w:val="nil"/>
                  </w:tcBorders>
                  <w:shd w:val="clear" w:color="auto" w:fill="auto"/>
                  <w:vAlign w:val="center"/>
                </w:tcPr>
                <w:p w14:paraId="0592B156">
                  <w:pPr>
                    <w:pStyle w:val="40"/>
                    <w:bidi w:val="0"/>
                    <w:rPr>
                      <w:rFonts w:hint="default"/>
                      <w:color w:val="auto"/>
                      <w:highlight w:val="none"/>
                      <w:lang w:val="en-US" w:eastAsia="zh-CN"/>
                    </w:rPr>
                  </w:pPr>
                  <w:r>
                    <w:rPr>
                      <w:rFonts w:hint="eastAsia"/>
                      <w:color w:val="auto"/>
                      <w:highlight w:val="none"/>
                      <w:lang w:val="en-US" w:eastAsia="zh-CN"/>
                    </w:rPr>
                    <w:t>/</w:t>
                  </w:r>
                </w:p>
              </w:tc>
              <w:tc>
                <w:tcPr>
                  <w:tcW w:w="576" w:type="pct"/>
                  <w:tcBorders>
                    <w:tl2br w:val="nil"/>
                    <w:tr2bl w:val="nil"/>
                  </w:tcBorders>
                  <w:shd w:val="clear" w:color="auto" w:fill="auto"/>
                  <w:vAlign w:val="center"/>
                </w:tcPr>
                <w:p w14:paraId="1E74DB28">
                  <w:pPr>
                    <w:pStyle w:val="40"/>
                    <w:bidi w:val="0"/>
                    <w:rPr>
                      <w:rFonts w:hint="default"/>
                      <w:color w:val="auto"/>
                      <w:highlight w:val="none"/>
                      <w:lang w:val="en-US" w:eastAsia="zh-CN"/>
                    </w:rPr>
                  </w:pPr>
                  <w:r>
                    <w:rPr>
                      <w:rFonts w:hint="default"/>
                      <w:color w:val="auto"/>
                      <w:highlight w:val="none"/>
                      <w:lang w:val="en-US" w:eastAsia="zh-CN"/>
                    </w:rPr>
                    <w:t>1</w:t>
                  </w:r>
                </w:p>
              </w:tc>
              <w:tc>
                <w:tcPr>
                  <w:tcW w:w="884" w:type="pct"/>
                  <w:tcBorders>
                    <w:tl2br w:val="nil"/>
                    <w:tr2bl w:val="nil"/>
                  </w:tcBorders>
                  <w:vAlign w:val="center"/>
                </w:tcPr>
                <w:p w14:paraId="366E1CD4">
                  <w:pPr>
                    <w:pStyle w:val="40"/>
                    <w:bidi w:val="0"/>
                    <w:rPr>
                      <w:rFonts w:hint="eastAsia"/>
                      <w:color w:val="auto"/>
                      <w:highlight w:val="none"/>
                      <w:lang w:val="en-US" w:eastAsia="zh-CN"/>
                    </w:rPr>
                  </w:pPr>
                  <w:r>
                    <w:rPr>
                      <w:rFonts w:hint="eastAsia"/>
                      <w:color w:val="auto"/>
                      <w:highlight w:val="none"/>
                      <w:lang w:val="en-US" w:eastAsia="zh-CN"/>
                    </w:rPr>
                    <w:t>/</w:t>
                  </w:r>
                </w:p>
              </w:tc>
            </w:tr>
            <w:tr w14:paraId="1ED607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tcBorders>
                    <w:tl2br w:val="nil"/>
                    <w:tr2bl w:val="nil"/>
                  </w:tcBorders>
                  <w:shd w:val="clear" w:color="auto" w:fill="auto"/>
                  <w:vAlign w:val="center"/>
                </w:tcPr>
                <w:p w14:paraId="28F0653C">
                  <w:pPr>
                    <w:pStyle w:val="40"/>
                    <w:bidi w:val="0"/>
                    <w:rPr>
                      <w:rFonts w:hint="default"/>
                      <w:color w:val="auto"/>
                      <w:highlight w:val="none"/>
                      <w:lang w:val="en-US" w:eastAsia="zh-CN"/>
                    </w:rPr>
                  </w:pPr>
                  <w:r>
                    <w:rPr>
                      <w:rFonts w:hint="eastAsia"/>
                      <w:color w:val="auto"/>
                      <w:highlight w:val="none"/>
                      <w:lang w:val="en-US" w:eastAsia="zh-CN"/>
                    </w:rPr>
                    <w:t>2</w:t>
                  </w:r>
                </w:p>
              </w:tc>
              <w:tc>
                <w:tcPr>
                  <w:tcW w:w="853" w:type="pct"/>
                  <w:tcBorders>
                    <w:tl2br w:val="nil"/>
                    <w:tr2bl w:val="nil"/>
                  </w:tcBorders>
                  <w:shd w:val="clear" w:color="auto" w:fill="auto"/>
                  <w:vAlign w:val="center"/>
                </w:tcPr>
                <w:p w14:paraId="1F498921">
                  <w:pPr>
                    <w:pStyle w:val="40"/>
                    <w:bidi w:val="0"/>
                    <w:rPr>
                      <w:rFonts w:hint="default"/>
                      <w:color w:val="auto"/>
                      <w:highlight w:val="none"/>
                      <w:lang w:val="en-US" w:eastAsia="zh-CN"/>
                    </w:rPr>
                  </w:pPr>
                  <w:r>
                    <w:rPr>
                      <w:rFonts w:hint="default"/>
                      <w:color w:val="auto"/>
                      <w:highlight w:val="none"/>
                      <w:lang w:val="en-US" w:eastAsia="zh-CN"/>
                    </w:rPr>
                    <w:t>电控室</w:t>
                  </w:r>
                </w:p>
              </w:tc>
              <w:tc>
                <w:tcPr>
                  <w:tcW w:w="1770" w:type="pct"/>
                  <w:tcBorders>
                    <w:tl2br w:val="nil"/>
                    <w:tr2bl w:val="nil"/>
                  </w:tcBorders>
                  <w:shd w:val="clear" w:color="auto" w:fill="auto"/>
                  <w:vAlign w:val="center"/>
                </w:tcPr>
                <w:p w14:paraId="1D2D150E">
                  <w:pPr>
                    <w:pStyle w:val="40"/>
                    <w:bidi w:val="0"/>
                    <w:rPr>
                      <w:rFonts w:hint="default"/>
                      <w:color w:val="auto"/>
                      <w:highlight w:val="none"/>
                      <w:lang w:val="en-US" w:eastAsia="zh-CN"/>
                    </w:rPr>
                  </w:pPr>
                  <w:r>
                    <w:rPr>
                      <w:rFonts w:hint="eastAsia"/>
                      <w:color w:val="auto"/>
                      <w:highlight w:val="none"/>
                      <w:lang w:val="en-US" w:eastAsia="zh-CN"/>
                    </w:rPr>
                    <w:t>/</w:t>
                  </w:r>
                </w:p>
              </w:tc>
              <w:tc>
                <w:tcPr>
                  <w:tcW w:w="570" w:type="pct"/>
                  <w:tcBorders>
                    <w:tl2br w:val="nil"/>
                    <w:tr2bl w:val="nil"/>
                  </w:tcBorders>
                  <w:shd w:val="clear" w:color="auto" w:fill="auto"/>
                  <w:vAlign w:val="center"/>
                </w:tcPr>
                <w:p w14:paraId="484FE8F2">
                  <w:pPr>
                    <w:pStyle w:val="40"/>
                    <w:bidi w:val="0"/>
                    <w:rPr>
                      <w:rFonts w:hint="default"/>
                      <w:color w:val="auto"/>
                      <w:highlight w:val="none"/>
                      <w:lang w:val="en-US" w:eastAsia="zh-CN"/>
                    </w:rPr>
                  </w:pPr>
                  <w:r>
                    <w:rPr>
                      <w:rFonts w:hint="eastAsia"/>
                      <w:color w:val="auto"/>
                      <w:highlight w:val="none"/>
                      <w:lang w:val="en-US" w:eastAsia="zh-CN"/>
                    </w:rPr>
                    <w:t>/</w:t>
                  </w:r>
                </w:p>
              </w:tc>
              <w:tc>
                <w:tcPr>
                  <w:tcW w:w="576" w:type="pct"/>
                  <w:tcBorders>
                    <w:tl2br w:val="nil"/>
                    <w:tr2bl w:val="nil"/>
                  </w:tcBorders>
                  <w:shd w:val="clear" w:color="auto" w:fill="auto"/>
                  <w:vAlign w:val="center"/>
                </w:tcPr>
                <w:p w14:paraId="167780B0">
                  <w:pPr>
                    <w:pStyle w:val="40"/>
                    <w:bidi w:val="0"/>
                    <w:rPr>
                      <w:rFonts w:hint="default"/>
                      <w:color w:val="auto"/>
                      <w:highlight w:val="none"/>
                      <w:lang w:val="en-US" w:eastAsia="zh-CN"/>
                    </w:rPr>
                  </w:pPr>
                  <w:r>
                    <w:rPr>
                      <w:rFonts w:hint="default"/>
                      <w:color w:val="auto"/>
                      <w:highlight w:val="none"/>
                      <w:lang w:val="en-US" w:eastAsia="zh-CN"/>
                    </w:rPr>
                    <w:t>5</w:t>
                  </w:r>
                </w:p>
              </w:tc>
              <w:tc>
                <w:tcPr>
                  <w:tcW w:w="884" w:type="pct"/>
                  <w:tcBorders>
                    <w:tl2br w:val="nil"/>
                    <w:tr2bl w:val="nil"/>
                  </w:tcBorders>
                  <w:vAlign w:val="center"/>
                </w:tcPr>
                <w:p w14:paraId="6E59D8D7">
                  <w:pPr>
                    <w:pStyle w:val="40"/>
                    <w:bidi w:val="0"/>
                    <w:rPr>
                      <w:rFonts w:hint="eastAsia"/>
                      <w:color w:val="auto"/>
                      <w:highlight w:val="none"/>
                      <w:lang w:val="en-US" w:eastAsia="zh-CN"/>
                    </w:rPr>
                  </w:pPr>
                  <w:r>
                    <w:rPr>
                      <w:rFonts w:hint="eastAsia"/>
                      <w:color w:val="auto"/>
                      <w:highlight w:val="none"/>
                      <w:lang w:val="en-US" w:eastAsia="zh-CN"/>
                    </w:rPr>
                    <w:t>/</w:t>
                  </w:r>
                </w:p>
              </w:tc>
            </w:tr>
            <w:tr w14:paraId="1AD06A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tcBorders>
                    <w:tl2br w:val="nil"/>
                    <w:tr2bl w:val="nil"/>
                  </w:tcBorders>
                  <w:vAlign w:val="center"/>
                </w:tcPr>
                <w:p w14:paraId="303B3C61">
                  <w:pPr>
                    <w:pStyle w:val="40"/>
                    <w:bidi w:val="0"/>
                    <w:rPr>
                      <w:rFonts w:hint="default"/>
                      <w:color w:val="auto"/>
                      <w:highlight w:val="none"/>
                    </w:rPr>
                  </w:pPr>
                  <w:r>
                    <w:rPr>
                      <w:rFonts w:hint="default"/>
                      <w:color w:val="auto"/>
                      <w:highlight w:val="none"/>
                      <w:lang w:val="en-US" w:eastAsia="zh-CN"/>
                    </w:rPr>
                    <w:t>0</w:t>
                  </w:r>
                  <w:r>
                    <w:rPr>
                      <w:rFonts w:hint="eastAsia"/>
                      <w:color w:val="auto"/>
                      <w:highlight w:val="none"/>
                      <w:lang w:val="en-US" w:eastAsia="zh-CN"/>
                    </w:rPr>
                    <w:t>9</w:t>
                  </w:r>
                  <w:r>
                    <w:rPr>
                      <w:rFonts w:hint="default"/>
                      <w:color w:val="auto"/>
                      <w:highlight w:val="none"/>
                      <w:lang w:val="en-US" w:eastAsia="zh-CN"/>
                    </w:rPr>
                    <w:t>-公共动力</w:t>
                  </w:r>
                </w:p>
              </w:tc>
            </w:tr>
            <w:tr w14:paraId="071F54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tcBorders>
                    <w:tl2br w:val="nil"/>
                    <w:tr2bl w:val="nil"/>
                  </w:tcBorders>
                  <w:shd w:val="clear" w:color="auto" w:fill="auto"/>
                  <w:vAlign w:val="center"/>
                </w:tcPr>
                <w:p w14:paraId="6F1C91E1">
                  <w:pPr>
                    <w:pStyle w:val="40"/>
                    <w:bidi w:val="0"/>
                    <w:rPr>
                      <w:rFonts w:hint="default"/>
                      <w:color w:val="auto"/>
                      <w:highlight w:val="none"/>
                      <w:lang w:val="en-US" w:eastAsia="zh-CN"/>
                    </w:rPr>
                  </w:pPr>
                  <w:r>
                    <w:rPr>
                      <w:rFonts w:hint="eastAsia"/>
                      <w:color w:val="auto"/>
                      <w:highlight w:val="none"/>
                      <w:lang w:val="en-US" w:eastAsia="zh-CN"/>
                    </w:rPr>
                    <w:t>1</w:t>
                  </w:r>
                </w:p>
              </w:tc>
              <w:tc>
                <w:tcPr>
                  <w:tcW w:w="853" w:type="pct"/>
                  <w:tcBorders>
                    <w:tl2br w:val="nil"/>
                    <w:tr2bl w:val="nil"/>
                  </w:tcBorders>
                  <w:shd w:val="clear" w:color="auto" w:fill="auto"/>
                  <w:vAlign w:val="center"/>
                </w:tcPr>
                <w:p w14:paraId="55547F52">
                  <w:pPr>
                    <w:pStyle w:val="40"/>
                    <w:bidi w:val="0"/>
                    <w:rPr>
                      <w:rFonts w:hint="default"/>
                      <w:color w:val="auto"/>
                      <w:highlight w:val="none"/>
                      <w:lang w:val="en-US" w:eastAsia="zh-CN"/>
                    </w:rPr>
                  </w:pPr>
                  <w:r>
                    <w:rPr>
                      <w:rFonts w:hint="default"/>
                      <w:color w:val="auto"/>
                      <w:highlight w:val="none"/>
                      <w:lang w:val="en-US" w:eastAsia="zh-CN"/>
                    </w:rPr>
                    <w:t>空压机</w:t>
                  </w:r>
                </w:p>
              </w:tc>
              <w:tc>
                <w:tcPr>
                  <w:tcW w:w="1770" w:type="pct"/>
                  <w:tcBorders>
                    <w:tl2br w:val="nil"/>
                    <w:tr2bl w:val="nil"/>
                  </w:tcBorders>
                  <w:shd w:val="clear" w:color="auto" w:fill="auto"/>
                  <w:vAlign w:val="center"/>
                </w:tcPr>
                <w:p w14:paraId="67CFC124">
                  <w:pPr>
                    <w:pStyle w:val="40"/>
                    <w:bidi w:val="0"/>
                    <w:rPr>
                      <w:rFonts w:hint="default"/>
                      <w:color w:val="auto"/>
                      <w:highlight w:val="none"/>
                      <w:lang w:val="en-US" w:eastAsia="zh-CN"/>
                    </w:rPr>
                  </w:pPr>
                  <w:r>
                    <w:rPr>
                      <w:rFonts w:hint="default"/>
                      <w:color w:val="auto"/>
                      <w:highlight w:val="none"/>
                      <w:lang w:val="en-US" w:eastAsia="zh-CN"/>
                    </w:rPr>
                    <w:t>规格：10m</w:t>
                  </w:r>
                  <w:r>
                    <w:rPr>
                      <w:rFonts w:hint="eastAsia"/>
                      <w:color w:val="auto"/>
                      <w:highlight w:val="none"/>
                      <w:vertAlign w:val="superscript"/>
                      <w:lang w:val="en-US" w:eastAsia="zh-CN"/>
                    </w:rPr>
                    <w:t>3</w:t>
                  </w:r>
                </w:p>
              </w:tc>
              <w:tc>
                <w:tcPr>
                  <w:tcW w:w="570" w:type="pct"/>
                  <w:tcBorders>
                    <w:tl2br w:val="nil"/>
                    <w:tr2bl w:val="nil"/>
                  </w:tcBorders>
                  <w:shd w:val="clear" w:color="auto" w:fill="auto"/>
                  <w:vAlign w:val="center"/>
                </w:tcPr>
                <w:p w14:paraId="0A6C7664">
                  <w:pPr>
                    <w:pStyle w:val="40"/>
                    <w:bidi w:val="0"/>
                    <w:rPr>
                      <w:rFonts w:hint="default"/>
                      <w:color w:val="auto"/>
                      <w:highlight w:val="none"/>
                      <w:lang w:val="en-US" w:eastAsia="zh-CN"/>
                    </w:rPr>
                  </w:pPr>
                  <w:r>
                    <w:rPr>
                      <w:rFonts w:hint="eastAsia"/>
                      <w:color w:val="auto"/>
                      <w:highlight w:val="none"/>
                      <w:lang w:val="en-US" w:eastAsia="zh-CN"/>
                    </w:rPr>
                    <w:t>/</w:t>
                  </w:r>
                </w:p>
              </w:tc>
              <w:tc>
                <w:tcPr>
                  <w:tcW w:w="576" w:type="pct"/>
                  <w:tcBorders>
                    <w:tl2br w:val="nil"/>
                    <w:tr2bl w:val="nil"/>
                  </w:tcBorders>
                  <w:shd w:val="clear" w:color="auto" w:fill="auto"/>
                  <w:vAlign w:val="center"/>
                </w:tcPr>
                <w:p w14:paraId="1C0B0A74">
                  <w:pPr>
                    <w:pStyle w:val="40"/>
                    <w:bidi w:val="0"/>
                    <w:rPr>
                      <w:rFonts w:hint="default"/>
                      <w:color w:val="auto"/>
                      <w:highlight w:val="none"/>
                      <w:lang w:val="en-US" w:eastAsia="zh-CN"/>
                    </w:rPr>
                  </w:pPr>
                  <w:r>
                    <w:rPr>
                      <w:rFonts w:hint="default"/>
                      <w:color w:val="auto"/>
                      <w:highlight w:val="none"/>
                      <w:lang w:val="en-US" w:eastAsia="zh-CN"/>
                    </w:rPr>
                    <w:t>2</w:t>
                  </w:r>
                </w:p>
              </w:tc>
              <w:tc>
                <w:tcPr>
                  <w:tcW w:w="884" w:type="pct"/>
                  <w:tcBorders>
                    <w:tl2br w:val="nil"/>
                    <w:tr2bl w:val="nil"/>
                  </w:tcBorders>
                  <w:vAlign w:val="center"/>
                </w:tcPr>
                <w:p w14:paraId="73A4E4B2">
                  <w:pPr>
                    <w:pStyle w:val="40"/>
                    <w:bidi w:val="0"/>
                    <w:rPr>
                      <w:rFonts w:hint="eastAsia"/>
                      <w:color w:val="auto"/>
                      <w:highlight w:val="none"/>
                      <w:lang w:val="en-US" w:eastAsia="zh-CN"/>
                    </w:rPr>
                  </w:pPr>
                  <w:r>
                    <w:rPr>
                      <w:rFonts w:hint="eastAsia"/>
                      <w:color w:val="auto"/>
                      <w:highlight w:val="none"/>
                      <w:lang w:val="en-US" w:eastAsia="zh-CN"/>
                    </w:rPr>
                    <w:t>/</w:t>
                  </w:r>
                </w:p>
              </w:tc>
            </w:tr>
            <w:tr w14:paraId="541F28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tcBorders>
                    <w:tl2br w:val="nil"/>
                    <w:tr2bl w:val="nil"/>
                  </w:tcBorders>
                  <w:shd w:val="clear" w:color="auto" w:fill="auto"/>
                  <w:vAlign w:val="center"/>
                </w:tcPr>
                <w:p w14:paraId="0456E23C">
                  <w:pPr>
                    <w:pStyle w:val="40"/>
                    <w:bidi w:val="0"/>
                    <w:rPr>
                      <w:rFonts w:hint="default"/>
                      <w:color w:val="auto"/>
                      <w:highlight w:val="none"/>
                      <w:lang w:val="en-US" w:eastAsia="zh-CN"/>
                    </w:rPr>
                  </w:pPr>
                  <w:r>
                    <w:rPr>
                      <w:rFonts w:hint="eastAsia"/>
                      <w:color w:val="auto"/>
                      <w:highlight w:val="none"/>
                      <w:lang w:val="en-US" w:eastAsia="zh-CN"/>
                    </w:rPr>
                    <w:t>10-锅炉房</w:t>
                  </w:r>
                </w:p>
              </w:tc>
            </w:tr>
            <w:tr w14:paraId="3AB547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tcBorders>
                    <w:tl2br w:val="nil"/>
                    <w:tr2bl w:val="nil"/>
                  </w:tcBorders>
                  <w:shd w:val="clear" w:color="auto" w:fill="auto"/>
                  <w:vAlign w:val="center"/>
                </w:tcPr>
                <w:p w14:paraId="08F14105">
                  <w:pPr>
                    <w:pStyle w:val="40"/>
                    <w:bidi w:val="0"/>
                    <w:rPr>
                      <w:rFonts w:hint="default"/>
                      <w:color w:val="auto"/>
                      <w:highlight w:val="none"/>
                      <w:lang w:val="en-US" w:eastAsia="zh-CN"/>
                    </w:rPr>
                  </w:pPr>
                  <w:r>
                    <w:rPr>
                      <w:rFonts w:hint="eastAsia"/>
                      <w:color w:val="auto"/>
                      <w:highlight w:val="none"/>
                      <w:lang w:val="en-US" w:eastAsia="zh-CN"/>
                    </w:rPr>
                    <w:t>1</w:t>
                  </w:r>
                </w:p>
              </w:tc>
              <w:tc>
                <w:tcPr>
                  <w:tcW w:w="853" w:type="pct"/>
                  <w:tcBorders>
                    <w:tl2br w:val="nil"/>
                    <w:tr2bl w:val="nil"/>
                  </w:tcBorders>
                  <w:shd w:val="clear" w:color="auto" w:fill="auto"/>
                  <w:vAlign w:val="center"/>
                </w:tcPr>
                <w:p w14:paraId="15F8745C">
                  <w:pPr>
                    <w:pStyle w:val="40"/>
                    <w:bidi w:val="0"/>
                    <w:rPr>
                      <w:rFonts w:hint="default"/>
                      <w:color w:val="auto"/>
                      <w:highlight w:val="none"/>
                      <w:lang w:val="en-US" w:eastAsia="zh-CN"/>
                    </w:rPr>
                  </w:pPr>
                  <w:r>
                    <w:rPr>
                      <w:rFonts w:hint="eastAsia"/>
                      <w:color w:val="auto"/>
                      <w:highlight w:val="none"/>
                      <w:lang w:val="en-US" w:eastAsia="zh-CN"/>
                    </w:rPr>
                    <w:t>生物质蒸汽锅炉</w:t>
                  </w:r>
                </w:p>
              </w:tc>
              <w:tc>
                <w:tcPr>
                  <w:tcW w:w="1770" w:type="pct"/>
                  <w:tcBorders>
                    <w:tl2br w:val="nil"/>
                    <w:tr2bl w:val="nil"/>
                  </w:tcBorders>
                  <w:shd w:val="clear" w:color="auto" w:fill="auto"/>
                  <w:vAlign w:val="center"/>
                </w:tcPr>
                <w:p w14:paraId="5D15E830">
                  <w:pPr>
                    <w:pStyle w:val="40"/>
                    <w:bidi w:val="0"/>
                    <w:rPr>
                      <w:rFonts w:hint="default"/>
                      <w:color w:val="auto"/>
                      <w:highlight w:val="none"/>
                      <w:lang w:val="en-US" w:eastAsia="zh-CN"/>
                    </w:rPr>
                  </w:pPr>
                  <w:r>
                    <w:rPr>
                      <w:rFonts w:hint="eastAsia"/>
                      <w:color w:val="auto"/>
                      <w:highlight w:val="none"/>
                      <w:lang w:val="en-US" w:eastAsia="zh-CN"/>
                    </w:rPr>
                    <w:t>DZL15-1.6-SCII</w:t>
                  </w:r>
                </w:p>
              </w:tc>
              <w:tc>
                <w:tcPr>
                  <w:tcW w:w="570" w:type="pct"/>
                  <w:tcBorders>
                    <w:tl2br w:val="nil"/>
                    <w:tr2bl w:val="nil"/>
                  </w:tcBorders>
                  <w:shd w:val="clear" w:color="auto" w:fill="auto"/>
                  <w:vAlign w:val="center"/>
                </w:tcPr>
                <w:p w14:paraId="197BCD7B">
                  <w:pPr>
                    <w:pStyle w:val="40"/>
                    <w:bidi w:val="0"/>
                    <w:rPr>
                      <w:rFonts w:hint="default"/>
                      <w:color w:val="auto"/>
                      <w:highlight w:val="none"/>
                      <w:lang w:val="en-US" w:eastAsia="zh-CN"/>
                    </w:rPr>
                  </w:pPr>
                  <w:r>
                    <w:rPr>
                      <w:rFonts w:hint="eastAsia"/>
                      <w:color w:val="auto"/>
                      <w:highlight w:val="none"/>
                      <w:lang w:val="en-US" w:eastAsia="zh-CN"/>
                    </w:rPr>
                    <w:t>/</w:t>
                  </w:r>
                </w:p>
              </w:tc>
              <w:tc>
                <w:tcPr>
                  <w:tcW w:w="576" w:type="pct"/>
                  <w:tcBorders>
                    <w:tl2br w:val="nil"/>
                    <w:tr2bl w:val="nil"/>
                  </w:tcBorders>
                  <w:shd w:val="clear" w:color="auto" w:fill="auto"/>
                  <w:vAlign w:val="center"/>
                </w:tcPr>
                <w:p w14:paraId="298FF23E">
                  <w:pPr>
                    <w:pStyle w:val="40"/>
                    <w:bidi w:val="0"/>
                    <w:rPr>
                      <w:rFonts w:hint="default"/>
                      <w:color w:val="auto"/>
                      <w:highlight w:val="none"/>
                      <w:lang w:val="en-US" w:eastAsia="zh-CN"/>
                    </w:rPr>
                  </w:pPr>
                  <w:r>
                    <w:rPr>
                      <w:rFonts w:hint="eastAsia"/>
                      <w:color w:val="auto"/>
                      <w:highlight w:val="none"/>
                      <w:lang w:val="en-US" w:eastAsia="zh-CN"/>
                    </w:rPr>
                    <w:t>1</w:t>
                  </w:r>
                </w:p>
              </w:tc>
              <w:tc>
                <w:tcPr>
                  <w:tcW w:w="884" w:type="pct"/>
                  <w:tcBorders>
                    <w:tl2br w:val="nil"/>
                    <w:tr2bl w:val="nil"/>
                  </w:tcBorders>
                  <w:vAlign w:val="center"/>
                </w:tcPr>
                <w:p w14:paraId="3AFA2291">
                  <w:pPr>
                    <w:pStyle w:val="40"/>
                    <w:bidi w:val="0"/>
                    <w:rPr>
                      <w:rFonts w:hint="default"/>
                      <w:color w:val="auto"/>
                      <w:highlight w:val="none"/>
                      <w:lang w:val="en-US" w:eastAsia="zh-CN"/>
                    </w:rPr>
                  </w:pPr>
                  <w:r>
                    <w:rPr>
                      <w:rFonts w:hint="eastAsia"/>
                      <w:color w:val="auto"/>
                      <w:highlight w:val="none"/>
                      <w:lang w:val="en-US" w:eastAsia="zh-CN"/>
                    </w:rPr>
                    <w:t>/</w:t>
                  </w:r>
                </w:p>
              </w:tc>
            </w:tr>
            <w:tr w14:paraId="7AC8B3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tcBorders>
                    <w:tl2br w:val="nil"/>
                    <w:tr2bl w:val="nil"/>
                  </w:tcBorders>
                  <w:shd w:val="clear" w:color="auto" w:fill="auto"/>
                  <w:vAlign w:val="center"/>
                </w:tcPr>
                <w:p w14:paraId="2ADC5CFC">
                  <w:pPr>
                    <w:pStyle w:val="40"/>
                    <w:bidi w:val="0"/>
                    <w:rPr>
                      <w:rFonts w:hint="default"/>
                      <w:color w:val="auto"/>
                      <w:highlight w:val="none"/>
                      <w:lang w:val="en-US" w:eastAsia="zh-CN"/>
                    </w:rPr>
                  </w:pPr>
                  <w:r>
                    <w:rPr>
                      <w:rFonts w:hint="eastAsia"/>
                      <w:color w:val="auto"/>
                      <w:highlight w:val="none"/>
                      <w:lang w:val="en-US" w:eastAsia="zh-CN"/>
                    </w:rPr>
                    <w:t>2</w:t>
                  </w:r>
                </w:p>
              </w:tc>
              <w:tc>
                <w:tcPr>
                  <w:tcW w:w="853" w:type="pct"/>
                  <w:tcBorders>
                    <w:tl2br w:val="nil"/>
                    <w:tr2bl w:val="nil"/>
                  </w:tcBorders>
                  <w:shd w:val="clear" w:color="auto" w:fill="auto"/>
                  <w:vAlign w:val="center"/>
                </w:tcPr>
                <w:p w14:paraId="24BC383D">
                  <w:pPr>
                    <w:pStyle w:val="40"/>
                    <w:bidi w:val="0"/>
                    <w:rPr>
                      <w:rFonts w:hint="default"/>
                      <w:color w:val="auto"/>
                      <w:highlight w:val="none"/>
                      <w:lang w:val="en-US" w:eastAsia="zh-CN"/>
                    </w:rPr>
                  </w:pPr>
                  <w:r>
                    <w:rPr>
                      <w:rFonts w:hint="eastAsia"/>
                      <w:color w:val="auto"/>
                      <w:highlight w:val="none"/>
                      <w:lang w:val="en-US" w:eastAsia="zh-CN"/>
                    </w:rPr>
                    <w:t>引风机</w:t>
                  </w:r>
                </w:p>
              </w:tc>
              <w:tc>
                <w:tcPr>
                  <w:tcW w:w="1770" w:type="pct"/>
                  <w:tcBorders>
                    <w:tl2br w:val="nil"/>
                    <w:tr2bl w:val="nil"/>
                  </w:tcBorders>
                  <w:shd w:val="clear" w:color="auto" w:fill="auto"/>
                  <w:vAlign w:val="center"/>
                </w:tcPr>
                <w:p w14:paraId="7BB30432">
                  <w:pPr>
                    <w:pStyle w:val="40"/>
                    <w:bidi w:val="0"/>
                    <w:rPr>
                      <w:rFonts w:hint="default"/>
                      <w:color w:val="auto"/>
                      <w:highlight w:val="none"/>
                      <w:lang w:val="en-US" w:eastAsia="zh-CN"/>
                    </w:rPr>
                  </w:pPr>
                  <w:r>
                    <w:rPr>
                      <w:rFonts w:hint="default"/>
                      <w:color w:val="auto"/>
                      <w:highlight w:val="none"/>
                      <w:lang w:val="en-US" w:eastAsia="zh-CN"/>
                    </w:rPr>
                    <w:t>Y6-41-11.2D</w:t>
                  </w:r>
                </w:p>
              </w:tc>
              <w:tc>
                <w:tcPr>
                  <w:tcW w:w="570" w:type="pct"/>
                  <w:tcBorders>
                    <w:tl2br w:val="nil"/>
                    <w:tr2bl w:val="nil"/>
                  </w:tcBorders>
                  <w:shd w:val="clear" w:color="auto" w:fill="auto"/>
                  <w:vAlign w:val="center"/>
                </w:tcPr>
                <w:p w14:paraId="6434B289">
                  <w:pPr>
                    <w:pStyle w:val="40"/>
                    <w:bidi w:val="0"/>
                    <w:rPr>
                      <w:rFonts w:hint="default"/>
                      <w:color w:val="auto"/>
                      <w:highlight w:val="none"/>
                      <w:lang w:val="en-US" w:eastAsia="zh-CN"/>
                    </w:rPr>
                  </w:pPr>
                  <w:r>
                    <w:rPr>
                      <w:rFonts w:hint="eastAsia"/>
                      <w:color w:val="auto"/>
                      <w:highlight w:val="none"/>
                      <w:lang w:val="en-US" w:eastAsia="zh-CN"/>
                    </w:rPr>
                    <w:t>/</w:t>
                  </w:r>
                </w:p>
              </w:tc>
              <w:tc>
                <w:tcPr>
                  <w:tcW w:w="576" w:type="pct"/>
                  <w:tcBorders>
                    <w:tl2br w:val="nil"/>
                    <w:tr2bl w:val="nil"/>
                  </w:tcBorders>
                  <w:shd w:val="clear" w:color="auto" w:fill="auto"/>
                  <w:vAlign w:val="center"/>
                </w:tcPr>
                <w:p w14:paraId="10AADF12">
                  <w:pPr>
                    <w:pStyle w:val="40"/>
                    <w:bidi w:val="0"/>
                    <w:rPr>
                      <w:rFonts w:hint="default"/>
                      <w:color w:val="auto"/>
                      <w:highlight w:val="none"/>
                      <w:lang w:val="en-US" w:eastAsia="zh-CN"/>
                    </w:rPr>
                  </w:pPr>
                  <w:r>
                    <w:rPr>
                      <w:rFonts w:hint="eastAsia"/>
                      <w:color w:val="auto"/>
                      <w:highlight w:val="none"/>
                      <w:lang w:val="en-US" w:eastAsia="zh-CN"/>
                    </w:rPr>
                    <w:t>1</w:t>
                  </w:r>
                </w:p>
              </w:tc>
              <w:tc>
                <w:tcPr>
                  <w:tcW w:w="884" w:type="pct"/>
                  <w:tcBorders>
                    <w:tl2br w:val="nil"/>
                    <w:tr2bl w:val="nil"/>
                  </w:tcBorders>
                  <w:vAlign w:val="center"/>
                </w:tcPr>
                <w:p w14:paraId="5268B215">
                  <w:pPr>
                    <w:pStyle w:val="40"/>
                    <w:bidi w:val="0"/>
                    <w:rPr>
                      <w:rFonts w:hint="default"/>
                      <w:color w:val="auto"/>
                      <w:highlight w:val="none"/>
                      <w:lang w:val="en-US" w:eastAsia="zh-CN"/>
                    </w:rPr>
                  </w:pPr>
                  <w:r>
                    <w:rPr>
                      <w:rFonts w:hint="eastAsia"/>
                      <w:color w:val="auto"/>
                      <w:highlight w:val="none"/>
                      <w:lang w:val="en-US" w:eastAsia="zh-CN"/>
                    </w:rPr>
                    <w:t>/</w:t>
                  </w:r>
                </w:p>
              </w:tc>
            </w:tr>
            <w:tr w14:paraId="5D20B2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tcBorders>
                    <w:tl2br w:val="nil"/>
                    <w:tr2bl w:val="nil"/>
                  </w:tcBorders>
                  <w:shd w:val="clear" w:color="auto" w:fill="auto"/>
                  <w:vAlign w:val="center"/>
                </w:tcPr>
                <w:p w14:paraId="21805A34">
                  <w:pPr>
                    <w:pStyle w:val="40"/>
                    <w:bidi w:val="0"/>
                    <w:rPr>
                      <w:rFonts w:hint="default"/>
                      <w:color w:val="auto"/>
                      <w:highlight w:val="none"/>
                      <w:lang w:val="en-US" w:eastAsia="zh-CN"/>
                    </w:rPr>
                  </w:pPr>
                  <w:r>
                    <w:rPr>
                      <w:rFonts w:hint="eastAsia"/>
                      <w:color w:val="auto"/>
                      <w:highlight w:val="none"/>
                      <w:lang w:val="en-US" w:eastAsia="zh-CN"/>
                    </w:rPr>
                    <w:t>3</w:t>
                  </w:r>
                </w:p>
              </w:tc>
              <w:tc>
                <w:tcPr>
                  <w:tcW w:w="853" w:type="pct"/>
                  <w:tcBorders>
                    <w:tl2br w:val="nil"/>
                    <w:tr2bl w:val="nil"/>
                  </w:tcBorders>
                  <w:shd w:val="clear" w:color="auto" w:fill="auto"/>
                  <w:vAlign w:val="center"/>
                </w:tcPr>
                <w:p w14:paraId="2E28D26B">
                  <w:pPr>
                    <w:pStyle w:val="40"/>
                    <w:bidi w:val="0"/>
                    <w:rPr>
                      <w:rFonts w:hint="default"/>
                      <w:color w:val="auto"/>
                      <w:highlight w:val="none"/>
                      <w:lang w:val="en-US" w:eastAsia="zh-CN"/>
                    </w:rPr>
                  </w:pPr>
                  <w:r>
                    <w:rPr>
                      <w:rFonts w:hint="eastAsia"/>
                      <w:color w:val="auto"/>
                      <w:highlight w:val="none"/>
                      <w:lang w:val="en-US" w:eastAsia="zh-CN"/>
                    </w:rPr>
                    <w:t>鼓风机</w:t>
                  </w:r>
                </w:p>
              </w:tc>
              <w:tc>
                <w:tcPr>
                  <w:tcW w:w="1770" w:type="pct"/>
                  <w:tcBorders>
                    <w:tl2br w:val="nil"/>
                    <w:tr2bl w:val="nil"/>
                  </w:tcBorders>
                  <w:shd w:val="clear" w:color="auto" w:fill="auto"/>
                  <w:vAlign w:val="center"/>
                </w:tcPr>
                <w:p w14:paraId="1A7991E3">
                  <w:pPr>
                    <w:pStyle w:val="40"/>
                    <w:bidi w:val="0"/>
                    <w:rPr>
                      <w:rFonts w:hint="default"/>
                      <w:color w:val="auto"/>
                      <w:highlight w:val="none"/>
                      <w:lang w:val="en-US" w:eastAsia="zh-CN"/>
                    </w:rPr>
                  </w:pPr>
                  <w:r>
                    <w:rPr>
                      <w:rFonts w:hint="default"/>
                      <w:color w:val="auto"/>
                      <w:highlight w:val="none"/>
                      <w:lang w:val="en-US" w:eastAsia="zh-CN"/>
                    </w:rPr>
                    <w:t>G6-41-8.5A</w:t>
                  </w:r>
                </w:p>
              </w:tc>
              <w:tc>
                <w:tcPr>
                  <w:tcW w:w="570" w:type="pct"/>
                  <w:tcBorders>
                    <w:tl2br w:val="nil"/>
                    <w:tr2bl w:val="nil"/>
                  </w:tcBorders>
                  <w:shd w:val="clear" w:color="auto" w:fill="auto"/>
                  <w:vAlign w:val="center"/>
                </w:tcPr>
                <w:p w14:paraId="42A5F760">
                  <w:pPr>
                    <w:pStyle w:val="40"/>
                    <w:bidi w:val="0"/>
                    <w:rPr>
                      <w:rFonts w:hint="default"/>
                      <w:color w:val="auto"/>
                      <w:highlight w:val="none"/>
                      <w:lang w:val="en-US" w:eastAsia="zh-CN"/>
                    </w:rPr>
                  </w:pPr>
                  <w:r>
                    <w:rPr>
                      <w:rFonts w:hint="eastAsia"/>
                      <w:color w:val="auto"/>
                      <w:highlight w:val="none"/>
                      <w:lang w:val="en-US" w:eastAsia="zh-CN"/>
                    </w:rPr>
                    <w:t>/</w:t>
                  </w:r>
                </w:p>
              </w:tc>
              <w:tc>
                <w:tcPr>
                  <w:tcW w:w="576" w:type="pct"/>
                  <w:tcBorders>
                    <w:tl2br w:val="nil"/>
                    <w:tr2bl w:val="nil"/>
                  </w:tcBorders>
                  <w:shd w:val="clear" w:color="auto" w:fill="auto"/>
                  <w:vAlign w:val="center"/>
                </w:tcPr>
                <w:p w14:paraId="1850CC90">
                  <w:pPr>
                    <w:pStyle w:val="40"/>
                    <w:bidi w:val="0"/>
                    <w:rPr>
                      <w:rFonts w:hint="default"/>
                      <w:color w:val="auto"/>
                      <w:highlight w:val="none"/>
                      <w:lang w:val="en-US" w:eastAsia="zh-CN"/>
                    </w:rPr>
                  </w:pPr>
                  <w:r>
                    <w:rPr>
                      <w:rFonts w:hint="eastAsia"/>
                      <w:color w:val="auto"/>
                      <w:highlight w:val="none"/>
                      <w:lang w:val="en-US" w:eastAsia="zh-CN"/>
                    </w:rPr>
                    <w:t>1</w:t>
                  </w:r>
                </w:p>
              </w:tc>
              <w:tc>
                <w:tcPr>
                  <w:tcW w:w="884" w:type="pct"/>
                  <w:tcBorders>
                    <w:tl2br w:val="nil"/>
                    <w:tr2bl w:val="nil"/>
                  </w:tcBorders>
                  <w:vAlign w:val="center"/>
                </w:tcPr>
                <w:p w14:paraId="758CABF4">
                  <w:pPr>
                    <w:pStyle w:val="40"/>
                    <w:bidi w:val="0"/>
                    <w:rPr>
                      <w:rFonts w:hint="default"/>
                      <w:color w:val="auto"/>
                      <w:highlight w:val="none"/>
                      <w:lang w:val="en-US" w:eastAsia="zh-CN"/>
                    </w:rPr>
                  </w:pPr>
                  <w:r>
                    <w:rPr>
                      <w:rFonts w:hint="eastAsia"/>
                      <w:color w:val="auto"/>
                      <w:highlight w:val="none"/>
                      <w:lang w:val="en-US" w:eastAsia="zh-CN"/>
                    </w:rPr>
                    <w:t>/</w:t>
                  </w:r>
                </w:p>
              </w:tc>
            </w:tr>
            <w:tr w14:paraId="3C7206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tcBorders>
                    <w:tl2br w:val="nil"/>
                    <w:tr2bl w:val="nil"/>
                  </w:tcBorders>
                  <w:shd w:val="clear" w:color="auto" w:fill="auto"/>
                  <w:vAlign w:val="center"/>
                </w:tcPr>
                <w:p w14:paraId="171F5A1A">
                  <w:pPr>
                    <w:pStyle w:val="40"/>
                    <w:bidi w:val="0"/>
                    <w:rPr>
                      <w:rFonts w:hint="default"/>
                      <w:color w:val="auto"/>
                      <w:highlight w:val="none"/>
                      <w:lang w:val="en-US" w:eastAsia="zh-CN"/>
                    </w:rPr>
                  </w:pPr>
                  <w:r>
                    <w:rPr>
                      <w:rFonts w:hint="eastAsia"/>
                      <w:color w:val="auto"/>
                      <w:highlight w:val="none"/>
                      <w:lang w:val="en-US" w:eastAsia="zh-CN"/>
                    </w:rPr>
                    <w:t>4</w:t>
                  </w:r>
                </w:p>
              </w:tc>
              <w:tc>
                <w:tcPr>
                  <w:tcW w:w="853" w:type="pct"/>
                  <w:tcBorders>
                    <w:tl2br w:val="nil"/>
                    <w:tr2bl w:val="nil"/>
                  </w:tcBorders>
                  <w:shd w:val="clear" w:color="auto" w:fill="auto"/>
                  <w:vAlign w:val="center"/>
                </w:tcPr>
                <w:p w14:paraId="07AD673F">
                  <w:pPr>
                    <w:pStyle w:val="40"/>
                    <w:bidi w:val="0"/>
                    <w:rPr>
                      <w:rFonts w:hint="default"/>
                      <w:color w:val="auto"/>
                      <w:highlight w:val="none"/>
                      <w:lang w:val="en-US" w:eastAsia="zh-CN"/>
                    </w:rPr>
                  </w:pPr>
                  <w:r>
                    <w:rPr>
                      <w:rFonts w:hint="eastAsia"/>
                      <w:color w:val="auto"/>
                      <w:highlight w:val="none"/>
                      <w:lang w:val="en-US" w:eastAsia="zh-CN"/>
                    </w:rPr>
                    <w:t>多管除尘器</w:t>
                  </w:r>
                </w:p>
              </w:tc>
              <w:tc>
                <w:tcPr>
                  <w:tcW w:w="1770" w:type="pct"/>
                  <w:tcBorders>
                    <w:tl2br w:val="nil"/>
                    <w:tr2bl w:val="nil"/>
                  </w:tcBorders>
                  <w:shd w:val="clear" w:color="auto" w:fill="auto"/>
                  <w:vAlign w:val="center"/>
                </w:tcPr>
                <w:p w14:paraId="7DCFC2BB">
                  <w:pPr>
                    <w:pStyle w:val="40"/>
                    <w:bidi w:val="0"/>
                    <w:rPr>
                      <w:rFonts w:hint="default"/>
                      <w:color w:val="auto"/>
                      <w:highlight w:val="none"/>
                      <w:lang w:val="en-US" w:eastAsia="zh-CN"/>
                    </w:rPr>
                  </w:pPr>
                  <w:r>
                    <w:rPr>
                      <w:rFonts w:hint="eastAsia"/>
                      <w:color w:val="auto"/>
                      <w:highlight w:val="none"/>
                      <w:lang w:val="en-US" w:eastAsia="zh-CN"/>
                    </w:rPr>
                    <w:t>TD-15</w:t>
                  </w:r>
                </w:p>
              </w:tc>
              <w:tc>
                <w:tcPr>
                  <w:tcW w:w="570" w:type="pct"/>
                  <w:tcBorders>
                    <w:tl2br w:val="nil"/>
                    <w:tr2bl w:val="nil"/>
                  </w:tcBorders>
                  <w:shd w:val="clear" w:color="auto" w:fill="auto"/>
                  <w:vAlign w:val="center"/>
                </w:tcPr>
                <w:p w14:paraId="7F713423">
                  <w:pPr>
                    <w:pStyle w:val="40"/>
                    <w:bidi w:val="0"/>
                    <w:rPr>
                      <w:rFonts w:hint="default"/>
                      <w:color w:val="auto"/>
                      <w:highlight w:val="none"/>
                      <w:lang w:val="en-US" w:eastAsia="zh-CN"/>
                    </w:rPr>
                  </w:pPr>
                  <w:r>
                    <w:rPr>
                      <w:rFonts w:hint="eastAsia"/>
                      <w:color w:val="auto"/>
                      <w:highlight w:val="none"/>
                      <w:lang w:val="en-US" w:eastAsia="zh-CN"/>
                    </w:rPr>
                    <w:t>/</w:t>
                  </w:r>
                </w:p>
              </w:tc>
              <w:tc>
                <w:tcPr>
                  <w:tcW w:w="576" w:type="pct"/>
                  <w:tcBorders>
                    <w:tl2br w:val="nil"/>
                    <w:tr2bl w:val="nil"/>
                  </w:tcBorders>
                  <w:shd w:val="clear" w:color="auto" w:fill="auto"/>
                  <w:vAlign w:val="center"/>
                </w:tcPr>
                <w:p w14:paraId="017D0FF9">
                  <w:pPr>
                    <w:pStyle w:val="40"/>
                    <w:bidi w:val="0"/>
                    <w:rPr>
                      <w:rFonts w:hint="default"/>
                      <w:color w:val="auto"/>
                      <w:highlight w:val="none"/>
                      <w:lang w:val="en-US" w:eastAsia="zh-CN"/>
                    </w:rPr>
                  </w:pPr>
                  <w:r>
                    <w:rPr>
                      <w:rFonts w:hint="eastAsia"/>
                      <w:color w:val="auto"/>
                      <w:highlight w:val="none"/>
                      <w:lang w:val="en-US" w:eastAsia="zh-CN"/>
                    </w:rPr>
                    <w:t>1</w:t>
                  </w:r>
                </w:p>
              </w:tc>
              <w:tc>
                <w:tcPr>
                  <w:tcW w:w="884" w:type="pct"/>
                  <w:tcBorders>
                    <w:tl2br w:val="nil"/>
                    <w:tr2bl w:val="nil"/>
                  </w:tcBorders>
                  <w:vAlign w:val="center"/>
                </w:tcPr>
                <w:p w14:paraId="19E5C805">
                  <w:pPr>
                    <w:pStyle w:val="40"/>
                    <w:bidi w:val="0"/>
                    <w:rPr>
                      <w:rFonts w:hint="default"/>
                      <w:color w:val="auto"/>
                      <w:highlight w:val="none"/>
                      <w:lang w:val="en-US" w:eastAsia="zh-CN"/>
                    </w:rPr>
                  </w:pPr>
                  <w:r>
                    <w:rPr>
                      <w:rFonts w:hint="eastAsia"/>
                      <w:color w:val="auto"/>
                      <w:highlight w:val="none"/>
                      <w:lang w:val="en-US" w:eastAsia="zh-CN"/>
                    </w:rPr>
                    <w:t>/</w:t>
                  </w:r>
                </w:p>
              </w:tc>
            </w:tr>
            <w:tr w14:paraId="0675FE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tcBorders>
                    <w:tl2br w:val="nil"/>
                    <w:tr2bl w:val="nil"/>
                  </w:tcBorders>
                  <w:shd w:val="clear" w:color="auto" w:fill="auto"/>
                  <w:vAlign w:val="center"/>
                </w:tcPr>
                <w:p w14:paraId="7D6AEF23">
                  <w:pPr>
                    <w:pStyle w:val="40"/>
                    <w:bidi w:val="0"/>
                    <w:rPr>
                      <w:rFonts w:hint="default"/>
                      <w:color w:val="auto"/>
                      <w:highlight w:val="none"/>
                      <w:lang w:val="en-US" w:eastAsia="zh-CN"/>
                    </w:rPr>
                  </w:pPr>
                  <w:r>
                    <w:rPr>
                      <w:rFonts w:hint="eastAsia"/>
                      <w:color w:val="auto"/>
                      <w:highlight w:val="none"/>
                      <w:lang w:val="en-US" w:eastAsia="zh-CN"/>
                    </w:rPr>
                    <w:t>5</w:t>
                  </w:r>
                </w:p>
              </w:tc>
              <w:tc>
                <w:tcPr>
                  <w:tcW w:w="853" w:type="pct"/>
                  <w:tcBorders>
                    <w:tl2br w:val="nil"/>
                    <w:tr2bl w:val="nil"/>
                  </w:tcBorders>
                  <w:shd w:val="clear" w:color="auto" w:fill="auto"/>
                  <w:vAlign w:val="center"/>
                </w:tcPr>
                <w:p w14:paraId="53338850">
                  <w:pPr>
                    <w:pStyle w:val="40"/>
                    <w:bidi w:val="0"/>
                    <w:rPr>
                      <w:rFonts w:hint="default"/>
                      <w:color w:val="auto"/>
                      <w:highlight w:val="none"/>
                      <w:lang w:val="en-US" w:eastAsia="zh-CN"/>
                    </w:rPr>
                  </w:pPr>
                  <w:r>
                    <w:rPr>
                      <w:rFonts w:hint="eastAsia"/>
                      <w:color w:val="auto"/>
                      <w:highlight w:val="none"/>
                      <w:lang w:val="en-US" w:eastAsia="zh-CN"/>
                    </w:rPr>
                    <w:t>脉冲式布袋除尘器</w:t>
                  </w:r>
                </w:p>
              </w:tc>
              <w:tc>
                <w:tcPr>
                  <w:tcW w:w="1770" w:type="pct"/>
                  <w:tcBorders>
                    <w:tl2br w:val="nil"/>
                    <w:tr2bl w:val="nil"/>
                  </w:tcBorders>
                  <w:shd w:val="clear" w:color="auto" w:fill="auto"/>
                  <w:vAlign w:val="center"/>
                </w:tcPr>
                <w:p w14:paraId="51FBCE79">
                  <w:pPr>
                    <w:pStyle w:val="40"/>
                    <w:bidi w:val="0"/>
                    <w:rPr>
                      <w:rFonts w:hint="default"/>
                      <w:color w:val="auto"/>
                      <w:highlight w:val="none"/>
                      <w:lang w:val="en-US" w:eastAsia="zh-CN"/>
                    </w:rPr>
                  </w:pPr>
                  <w:r>
                    <w:rPr>
                      <w:rFonts w:hint="eastAsia"/>
                      <w:color w:val="auto"/>
                      <w:highlight w:val="none"/>
                      <w:lang w:val="en-US" w:eastAsia="zh-CN"/>
                    </w:rPr>
                    <w:t>MDC-15</w:t>
                  </w:r>
                </w:p>
              </w:tc>
              <w:tc>
                <w:tcPr>
                  <w:tcW w:w="570" w:type="pct"/>
                  <w:tcBorders>
                    <w:tl2br w:val="nil"/>
                    <w:tr2bl w:val="nil"/>
                  </w:tcBorders>
                  <w:shd w:val="clear" w:color="auto" w:fill="auto"/>
                  <w:vAlign w:val="center"/>
                </w:tcPr>
                <w:p w14:paraId="7570E85F">
                  <w:pPr>
                    <w:pStyle w:val="40"/>
                    <w:bidi w:val="0"/>
                    <w:rPr>
                      <w:rFonts w:hint="default"/>
                      <w:color w:val="auto"/>
                      <w:highlight w:val="none"/>
                      <w:lang w:val="en-US" w:eastAsia="zh-CN"/>
                    </w:rPr>
                  </w:pPr>
                  <w:r>
                    <w:rPr>
                      <w:rFonts w:hint="eastAsia"/>
                      <w:color w:val="auto"/>
                      <w:highlight w:val="none"/>
                      <w:lang w:val="en-US" w:eastAsia="zh-CN"/>
                    </w:rPr>
                    <w:t>/</w:t>
                  </w:r>
                </w:p>
              </w:tc>
              <w:tc>
                <w:tcPr>
                  <w:tcW w:w="576" w:type="pct"/>
                  <w:tcBorders>
                    <w:tl2br w:val="nil"/>
                    <w:tr2bl w:val="nil"/>
                  </w:tcBorders>
                  <w:shd w:val="clear" w:color="auto" w:fill="auto"/>
                  <w:vAlign w:val="center"/>
                </w:tcPr>
                <w:p w14:paraId="12E9E242">
                  <w:pPr>
                    <w:pStyle w:val="40"/>
                    <w:bidi w:val="0"/>
                    <w:rPr>
                      <w:rFonts w:hint="default"/>
                      <w:color w:val="auto"/>
                      <w:highlight w:val="none"/>
                      <w:lang w:val="en-US" w:eastAsia="zh-CN"/>
                    </w:rPr>
                  </w:pPr>
                  <w:r>
                    <w:rPr>
                      <w:rFonts w:hint="eastAsia"/>
                      <w:color w:val="auto"/>
                      <w:highlight w:val="none"/>
                      <w:lang w:val="en-US" w:eastAsia="zh-CN"/>
                    </w:rPr>
                    <w:t>1</w:t>
                  </w:r>
                </w:p>
              </w:tc>
              <w:tc>
                <w:tcPr>
                  <w:tcW w:w="884" w:type="pct"/>
                  <w:tcBorders>
                    <w:tl2br w:val="nil"/>
                    <w:tr2bl w:val="nil"/>
                  </w:tcBorders>
                  <w:vAlign w:val="center"/>
                </w:tcPr>
                <w:p w14:paraId="33EB89FC">
                  <w:pPr>
                    <w:pStyle w:val="40"/>
                    <w:bidi w:val="0"/>
                    <w:rPr>
                      <w:rFonts w:hint="default"/>
                      <w:color w:val="auto"/>
                      <w:highlight w:val="none"/>
                      <w:lang w:val="en-US" w:eastAsia="zh-CN"/>
                    </w:rPr>
                  </w:pPr>
                  <w:r>
                    <w:rPr>
                      <w:rFonts w:hint="eastAsia"/>
                      <w:color w:val="auto"/>
                      <w:highlight w:val="none"/>
                      <w:lang w:val="en-US" w:eastAsia="zh-CN"/>
                    </w:rPr>
                    <w:t>/</w:t>
                  </w:r>
                </w:p>
              </w:tc>
            </w:tr>
            <w:tr w14:paraId="74E77E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tcBorders>
                    <w:tl2br w:val="nil"/>
                    <w:tr2bl w:val="nil"/>
                  </w:tcBorders>
                  <w:shd w:val="clear" w:color="auto" w:fill="auto"/>
                  <w:vAlign w:val="center"/>
                </w:tcPr>
                <w:p w14:paraId="11255D7A">
                  <w:pPr>
                    <w:pStyle w:val="40"/>
                    <w:bidi w:val="0"/>
                    <w:rPr>
                      <w:rFonts w:hint="default"/>
                      <w:color w:val="auto"/>
                      <w:highlight w:val="none"/>
                      <w:lang w:val="en-US" w:eastAsia="zh-CN"/>
                    </w:rPr>
                  </w:pPr>
                  <w:r>
                    <w:rPr>
                      <w:rFonts w:hint="eastAsia"/>
                      <w:color w:val="auto"/>
                      <w:highlight w:val="none"/>
                      <w:lang w:val="en-US" w:eastAsia="zh-CN"/>
                    </w:rPr>
                    <w:t>6</w:t>
                  </w:r>
                </w:p>
              </w:tc>
              <w:tc>
                <w:tcPr>
                  <w:tcW w:w="853" w:type="pct"/>
                  <w:tcBorders>
                    <w:tl2br w:val="nil"/>
                    <w:tr2bl w:val="nil"/>
                  </w:tcBorders>
                  <w:shd w:val="clear" w:color="auto" w:fill="auto"/>
                  <w:vAlign w:val="center"/>
                </w:tcPr>
                <w:p w14:paraId="60EA38C1">
                  <w:pPr>
                    <w:pStyle w:val="40"/>
                    <w:bidi w:val="0"/>
                    <w:rPr>
                      <w:rFonts w:hint="default"/>
                      <w:color w:val="auto"/>
                      <w:highlight w:val="none"/>
                      <w:lang w:val="en-US" w:eastAsia="zh-CN"/>
                    </w:rPr>
                  </w:pPr>
                  <w:r>
                    <w:rPr>
                      <w:rFonts w:hint="eastAsia"/>
                      <w:color w:val="auto"/>
                      <w:highlight w:val="none"/>
                      <w:lang w:val="en-US" w:eastAsia="zh-CN"/>
                    </w:rPr>
                    <w:t>软水设备</w:t>
                  </w:r>
                </w:p>
              </w:tc>
              <w:tc>
                <w:tcPr>
                  <w:tcW w:w="1770" w:type="pct"/>
                  <w:tcBorders>
                    <w:tl2br w:val="nil"/>
                    <w:tr2bl w:val="nil"/>
                  </w:tcBorders>
                  <w:shd w:val="clear" w:color="auto" w:fill="auto"/>
                  <w:vAlign w:val="center"/>
                </w:tcPr>
                <w:p w14:paraId="0715A257">
                  <w:pPr>
                    <w:pStyle w:val="40"/>
                    <w:bidi w:val="0"/>
                    <w:rPr>
                      <w:rFonts w:hint="default"/>
                      <w:color w:val="auto"/>
                      <w:highlight w:val="none"/>
                      <w:lang w:val="en-US" w:eastAsia="zh-CN"/>
                    </w:rPr>
                  </w:pPr>
                  <w:r>
                    <w:rPr>
                      <w:rFonts w:hint="eastAsia"/>
                      <w:color w:val="auto"/>
                      <w:highlight w:val="none"/>
                      <w:lang w:val="en-US" w:eastAsia="zh-CN"/>
                    </w:rPr>
                    <w:t>/</w:t>
                  </w:r>
                </w:p>
              </w:tc>
              <w:tc>
                <w:tcPr>
                  <w:tcW w:w="570" w:type="pct"/>
                  <w:tcBorders>
                    <w:tl2br w:val="nil"/>
                    <w:tr2bl w:val="nil"/>
                  </w:tcBorders>
                  <w:shd w:val="clear" w:color="auto" w:fill="auto"/>
                  <w:vAlign w:val="center"/>
                </w:tcPr>
                <w:p w14:paraId="706AA771">
                  <w:pPr>
                    <w:pStyle w:val="40"/>
                    <w:bidi w:val="0"/>
                    <w:rPr>
                      <w:rFonts w:hint="default"/>
                      <w:color w:val="auto"/>
                      <w:highlight w:val="none"/>
                      <w:lang w:val="en-US" w:eastAsia="zh-CN"/>
                    </w:rPr>
                  </w:pPr>
                  <w:r>
                    <w:rPr>
                      <w:rFonts w:hint="eastAsia"/>
                      <w:color w:val="auto"/>
                      <w:highlight w:val="none"/>
                      <w:lang w:val="en-US" w:eastAsia="zh-CN"/>
                    </w:rPr>
                    <w:t>/</w:t>
                  </w:r>
                </w:p>
              </w:tc>
              <w:tc>
                <w:tcPr>
                  <w:tcW w:w="576" w:type="pct"/>
                  <w:tcBorders>
                    <w:tl2br w:val="nil"/>
                    <w:tr2bl w:val="nil"/>
                  </w:tcBorders>
                  <w:shd w:val="clear" w:color="auto" w:fill="auto"/>
                  <w:vAlign w:val="center"/>
                </w:tcPr>
                <w:p w14:paraId="6CA99A4F">
                  <w:pPr>
                    <w:pStyle w:val="40"/>
                    <w:bidi w:val="0"/>
                    <w:rPr>
                      <w:rFonts w:hint="default"/>
                      <w:color w:val="auto"/>
                      <w:highlight w:val="none"/>
                      <w:lang w:val="en-US" w:eastAsia="zh-CN"/>
                    </w:rPr>
                  </w:pPr>
                  <w:r>
                    <w:rPr>
                      <w:rFonts w:hint="eastAsia"/>
                      <w:color w:val="auto"/>
                      <w:highlight w:val="none"/>
                      <w:lang w:val="en-US" w:eastAsia="zh-CN"/>
                    </w:rPr>
                    <w:t>1</w:t>
                  </w:r>
                </w:p>
              </w:tc>
              <w:tc>
                <w:tcPr>
                  <w:tcW w:w="884" w:type="pct"/>
                  <w:tcBorders>
                    <w:tl2br w:val="nil"/>
                    <w:tr2bl w:val="nil"/>
                  </w:tcBorders>
                  <w:vAlign w:val="center"/>
                </w:tcPr>
                <w:p w14:paraId="5855ABD8">
                  <w:pPr>
                    <w:pStyle w:val="40"/>
                    <w:bidi w:val="0"/>
                    <w:rPr>
                      <w:rFonts w:hint="default"/>
                      <w:color w:val="auto"/>
                      <w:highlight w:val="none"/>
                      <w:lang w:val="en-US" w:eastAsia="zh-CN"/>
                    </w:rPr>
                  </w:pPr>
                  <w:r>
                    <w:rPr>
                      <w:rFonts w:hint="eastAsia"/>
                      <w:color w:val="auto"/>
                      <w:highlight w:val="none"/>
                      <w:lang w:val="en-US" w:eastAsia="zh-CN"/>
                    </w:rPr>
                    <w:t>/</w:t>
                  </w:r>
                </w:p>
              </w:tc>
            </w:tr>
            <w:tr w14:paraId="594CD4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tcBorders>
                    <w:tl2br w:val="nil"/>
                    <w:tr2bl w:val="nil"/>
                  </w:tcBorders>
                  <w:shd w:val="clear" w:color="auto" w:fill="auto"/>
                  <w:vAlign w:val="center"/>
                </w:tcPr>
                <w:p w14:paraId="43001922">
                  <w:pPr>
                    <w:pStyle w:val="40"/>
                    <w:bidi w:val="0"/>
                    <w:rPr>
                      <w:rFonts w:hint="default"/>
                      <w:color w:val="auto"/>
                      <w:highlight w:val="none"/>
                      <w:lang w:val="en-US" w:eastAsia="zh-CN"/>
                    </w:rPr>
                  </w:pPr>
                  <w:r>
                    <w:rPr>
                      <w:rFonts w:hint="eastAsia"/>
                      <w:color w:val="auto"/>
                      <w:highlight w:val="none"/>
                      <w:lang w:val="en-US" w:eastAsia="zh-CN"/>
                    </w:rPr>
                    <w:t>7</w:t>
                  </w:r>
                </w:p>
              </w:tc>
              <w:tc>
                <w:tcPr>
                  <w:tcW w:w="853" w:type="pct"/>
                  <w:tcBorders>
                    <w:tl2br w:val="nil"/>
                    <w:tr2bl w:val="nil"/>
                  </w:tcBorders>
                  <w:shd w:val="clear" w:color="auto" w:fill="auto"/>
                  <w:vAlign w:val="center"/>
                </w:tcPr>
                <w:p w14:paraId="6803B654">
                  <w:pPr>
                    <w:pStyle w:val="40"/>
                    <w:bidi w:val="0"/>
                    <w:rPr>
                      <w:rFonts w:hint="default"/>
                      <w:color w:val="auto"/>
                      <w:highlight w:val="none"/>
                      <w:lang w:val="en-US" w:eastAsia="zh-CN"/>
                    </w:rPr>
                  </w:pPr>
                  <w:r>
                    <w:rPr>
                      <w:rFonts w:hint="eastAsia"/>
                      <w:color w:val="auto"/>
                      <w:highlight w:val="none"/>
                      <w:lang w:val="en-US" w:eastAsia="zh-CN"/>
                    </w:rPr>
                    <w:t>出渣机</w:t>
                  </w:r>
                </w:p>
              </w:tc>
              <w:tc>
                <w:tcPr>
                  <w:tcW w:w="1770" w:type="pct"/>
                  <w:tcBorders>
                    <w:tl2br w:val="nil"/>
                    <w:tr2bl w:val="nil"/>
                  </w:tcBorders>
                  <w:shd w:val="clear" w:color="auto" w:fill="auto"/>
                  <w:vAlign w:val="center"/>
                </w:tcPr>
                <w:p w14:paraId="4CAE03CE">
                  <w:pPr>
                    <w:pStyle w:val="40"/>
                    <w:bidi w:val="0"/>
                    <w:rPr>
                      <w:rFonts w:hint="default"/>
                      <w:color w:val="auto"/>
                      <w:highlight w:val="none"/>
                      <w:lang w:val="en-US" w:eastAsia="zh-CN"/>
                    </w:rPr>
                  </w:pPr>
                  <w:r>
                    <w:rPr>
                      <w:rFonts w:hint="eastAsia"/>
                      <w:color w:val="auto"/>
                      <w:highlight w:val="none"/>
                      <w:lang w:val="en-US" w:eastAsia="zh-CN"/>
                    </w:rPr>
                    <w:t>GBC-15</w:t>
                  </w:r>
                </w:p>
              </w:tc>
              <w:tc>
                <w:tcPr>
                  <w:tcW w:w="570" w:type="pct"/>
                  <w:tcBorders>
                    <w:tl2br w:val="nil"/>
                    <w:tr2bl w:val="nil"/>
                  </w:tcBorders>
                  <w:shd w:val="clear" w:color="auto" w:fill="auto"/>
                  <w:vAlign w:val="center"/>
                </w:tcPr>
                <w:p w14:paraId="013A388E">
                  <w:pPr>
                    <w:pStyle w:val="40"/>
                    <w:bidi w:val="0"/>
                    <w:rPr>
                      <w:rFonts w:hint="default"/>
                      <w:color w:val="auto"/>
                      <w:highlight w:val="none"/>
                      <w:lang w:val="en-US" w:eastAsia="zh-CN"/>
                    </w:rPr>
                  </w:pPr>
                  <w:r>
                    <w:rPr>
                      <w:rFonts w:hint="eastAsia"/>
                      <w:color w:val="auto"/>
                      <w:highlight w:val="none"/>
                      <w:lang w:val="en-US" w:eastAsia="zh-CN"/>
                    </w:rPr>
                    <w:t>/</w:t>
                  </w:r>
                </w:p>
              </w:tc>
              <w:tc>
                <w:tcPr>
                  <w:tcW w:w="576" w:type="pct"/>
                  <w:tcBorders>
                    <w:tl2br w:val="nil"/>
                    <w:tr2bl w:val="nil"/>
                  </w:tcBorders>
                  <w:shd w:val="clear" w:color="auto" w:fill="auto"/>
                  <w:vAlign w:val="center"/>
                </w:tcPr>
                <w:p w14:paraId="0B5977B8">
                  <w:pPr>
                    <w:pStyle w:val="40"/>
                    <w:bidi w:val="0"/>
                    <w:rPr>
                      <w:rFonts w:hint="default"/>
                      <w:color w:val="auto"/>
                      <w:highlight w:val="none"/>
                      <w:lang w:val="en-US" w:eastAsia="zh-CN"/>
                    </w:rPr>
                  </w:pPr>
                  <w:r>
                    <w:rPr>
                      <w:rFonts w:hint="eastAsia"/>
                      <w:color w:val="auto"/>
                      <w:highlight w:val="none"/>
                      <w:lang w:val="en-US" w:eastAsia="zh-CN"/>
                    </w:rPr>
                    <w:t>1</w:t>
                  </w:r>
                </w:p>
              </w:tc>
              <w:tc>
                <w:tcPr>
                  <w:tcW w:w="884" w:type="pct"/>
                  <w:tcBorders>
                    <w:tl2br w:val="nil"/>
                    <w:tr2bl w:val="nil"/>
                  </w:tcBorders>
                  <w:vAlign w:val="center"/>
                </w:tcPr>
                <w:p w14:paraId="48C13A37">
                  <w:pPr>
                    <w:pStyle w:val="40"/>
                    <w:bidi w:val="0"/>
                    <w:rPr>
                      <w:rFonts w:hint="default"/>
                      <w:color w:val="auto"/>
                      <w:highlight w:val="none"/>
                      <w:lang w:val="en-US" w:eastAsia="zh-CN"/>
                    </w:rPr>
                  </w:pPr>
                  <w:r>
                    <w:rPr>
                      <w:rFonts w:hint="eastAsia"/>
                      <w:color w:val="auto"/>
                      <w:highlight w:val="none"/>
                      <w:lang w:val="en-US" w:eastAsia="zh-CN"/>
                    </w:rPr>
                    <w:t>/</w:t>
                  </w:r>
                </w:p>
              </w:tc>
            </w:tr>
            <w:tr w14:paraId="383F69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tcBorders>
                    <w:tl2br w:val="nil"/>
                    <w:tr2bl w:val="nil"/>
                  </w:tcBorders>
                  <w:shd w:val="clear" w:color="auto" w:fill="auto"/>
                  <w:vAlign w:val="center"/>
                </w:tcPr>
                <w:p w14:paraId="318A9E31">
                  <w:pPr>
                    <w:pStyle w:val="40"/>
                    <w:bidi w:val="0"/>
                    <w:rPr>
                      <w:rFonts w:hint="default"/>
                      <w:color w:val="auto"/>
                      <w:highlight w:val="none"/>
                      <w:lang w:val="en-US" w:eastAsia="zh-CN"/>
                    </w:rPr>
                  </w:pPr>
                  <w:r>
                    <w:rPr>
                      <w:rFonts w:hint="eastAsia"/>
                      <w:color w:val="auto"/>
                      <w:highlight w:val="none"/>
                      <w:lang w:val="en-US" w:eastAsia="zh-CN"/>
                    </w:rPr>
                    <w:t>8</w:t>
                  </w:r>
                </w:p>
              </w:tc>
              <w:tc>
                <w:tcPr>
                  <w:tcW w:w="853" w:type="pct"/>
                  <w:tcBorders>
                    <w:tl2br w:val="nil"/>
                    <w:tr2bl w:val="nil"/>
                  </w:tcBorders>
                  <w:shd w:val="clear" w:color="auto" w:fill="auto"/>
                  <w:vAlign w:val="center"/>
                </w:tcPr>
                <w:p w14:paraId="2DA1A18C">
                  <w:pPr>
                    <w:pStyle w:val="40"/>
                    <w:bidi w:val="0"/>
                    <w:rPr>
                      <w:rFonts w:hint="default"/>
                      <w:color w:val="auto"/>
                      <w:highlight w:val="none"/>
                      <w:lang w:val="en-US" w:eastAsia="zh-CN"/>
                    </w:rPr>
                  </w:pPr>
                  <w:r>
                    <w:rPr>
                      <w:rFonts w:hint="eastAsia"/>
                      <w:color w:val="auto"/>
                      <w:highlight w:val="none"/>
                      <w:lang w:val="en-US" w:eastAsia="zh-CN"/>
                    </w:rPr>
                    <w:t>上料机</w:t>
                  </w:r>
                </w:p>
              </w:tc>
              <w:tc>
                <w:tcPr>
                  <w:tcW w:w="1770" w:type="pct"/>
                  <w:tcBorders>
                    <w:tl2br w:val="nil"/>
                    <w:tr2bl w:val="nil"/>
                  </w:tcBorders>
                  <w:shd w:val="clear" w:color="auto" w:fill="auto"/>
                  <w:vAlign w:val="center"/>
                </w:tcPr>
                <w:p w14:paraId="0C65C87F">
                  <w:pPr>
                    <w:pStyle w:val="40"/>
                    <w:bidi w:val="0"/>
                    <w:rPr>
                      <w:rFonts w:hint="default"/>
                      <w:color w:val="auto"/>
                      <w:highlight w:val="none"/>
                      <w:lang w:val="en-US" w:eastAsia="zh-CN"/>
                    </w:rPr>
                  </w:pPr>
                  <w:r>
                    <w:rPr>
                      <w:rFonts w:hint="eastAsia"/>
                      <w:color w:val="auto"/>
                      <w:highlight w:val="none"/>
                      <w:lang w:val="en-US" w:eastAsia="zh-CN"/>
                    </w:rPr>
                    <w:t>FS-15</w:t>
                  </w:r>
                </w:p>
              </w:tc>
              <w:tc>
                <w:tcPr>
                  <w:tcW w:w="570" w:type="pct"/>
                  <w:tcBorders>
                    <w:tl2br w:val="nil"/>
                    <w:tr2bl w:val="nil"/>
                  </w:tcBorders>
                  <w:shd w:val="clear" w:color="auto" w:fill="auto"/>
                  <w:vAlign w:val="center"/>
                </w:tcPr>
                <w:p w14:paraId="402A0902">
                  <w:pPr>
                    <w:pStyle w:val="40"/>
                    <w:bidi w:val="0"/>
                    <w:rPr>
                      <w:rFonts w:hint="default"/>
                      <w:color w:val="auto"/>
                      <w:highlight w:val="none"/>
                      <w:lang w:val="en-US" w:eastAsia="zh-CN"/>
                    </w:rPr>
                  </w:pPr>
                  <w:r>
                    <w:rPr>
                      <w:rFonts w:hint="eastAsia"/>
                      <w:color w:val="auto"/>
                      <w:highlight w:val="none"/>
                      <w:lang w:val="en-US" w:eastAsia="zh-CN"/>
                    </w:rPr>
                    <w:t>/</w:t>
                  </w:r>
                </w:p>
              </w:tc>
              <w:tc>
                <w:tcPr>
                  <w:tcW w:w="576" w:type="pct"/>
                  <w:tcBorders>
                    <w:tl2br w:val="nil"/>
                    <w:tr2bl w:val="nil"/>
                  </w:tcBorders>
                  <w:shd w:val="clear" w:color="auto" w:fill="auto"/>
                  <w:vAlign w:val="center"/>
                </w:tcPr>
                <w:p w14:paraId="53D738F9">
                  <w:pPr>
                    <w:pStyle w:val="40"/>
                    <w:bidi w:val="0"/>
                    <w:rPr>
                      <w:rFonts w:hint="default"/>
                      <w:color w:val="auto"/>
                      <w:highlight w:val="none"/>
                      <w:lang w:val="en-US" w:eastAsia="zh-CN"/>
                    </w:rPr>
                  </w:pPr>
                  <w:r>
                    <w:rPr>
                      <w:rFonts w:hint="eastAsia"/>
                      <w:color w:val="auto"/>
                      <w:highlight w:val="none"/>
                      <w:lang w:val="en-US" w:eastAsia="zh-CN"/>
                    </w:rPr>
                    <w:t>1</w:t>
                  </w:r>
                </w:p>
              </w:tc>
              <w:tc>
                <w:tcPr>
                  <w:tcW w:w="884" w:type="pct"/>
                  <w:tcBorders>
                    <w:tl2br w:val="nil"/>
                    <w:tr2bl w:val="nil"/>
                  </w:tcBorders>
                  <w:vAlign w:val="center"/>
                </w:tcPr>
                <w:p w14:paraId="2FDED0E5">
                  <w:pPr>
                    <w:pStyle w:val="40"/>
                    <w:bidi w:val="0"/>
                    <w:rPr>
                      <w:rFonts w:hint="default"/>
                      <w:color w:val="auto"/>
                      <w:highlight w:val="none"/>
                      <w:lang w:val="en-US" w:eastAsia="zh-CN"/>
                    </w:rPr>
                  </w:pPr>
                  <w:r>
                    <w:rPr>
                      <w:rFonts w:hint="eastAsia"/>
                      <w:color w:val="auto"/>
                      <w:highlight w:val="none"/>
                      <w:lang w:val="en-US" w:eastAsia="zh-CN"/>
                    </w:rPr>
                    <w:t>/</w:t>
                  </w:r>
                </w:p>
              </w:tc>
            </w:tr>
          </w:tbl>
          <w:p w14:paraId="305AD3C6">
            <w:pPr>
              <w:keepNext w:val="0"/>
              <w:keepLines w:val="0"/>
              <w:pageBreakBefore w:val="0"/>
              <w:widowControl w:val="0"/>
              <w:kinsoku/>
              <w:wordWrap/>
              <w:overflowPunct/>
              <w:topLinePunct w:val="0"/>
              <w:autoSpaceDE/>
              <w:autoSpaceDN/>
              <w:bidi w:val="0"/>
              <w:adjustRightInd/>
              <w:snapToGrid w:val="0"/>
              <w:spacing w:before="157" w:beforeLines="50" w:line="360" w:lineRule="auto"/>
              <w:ind w:firstLine="480" w:firstLineChars="200"/>
              <w:jc w:val="both"/>
              <w:textAlignment w:val="auto"/>
              <w:rPr>
                <w:rFonts w:hint="default" w:ascii="Times New Roman" w:hAnsi="Times New Roman" w:eastAsia="宋体" w:cs="Times New Roman"/>
                <w:bCs/>
                <w:color w:val="auto"/>
                <w:sz w:val="24"/>
                <w:szCs w:val="24"/>
                <w:highlight w:val="none"/>
              </w:rPr>
            </w:pPr>
            <w:r>
              <w:rPr>
                <w:rFonts w:hint="eastAsia" w:cs="Times New Roman"/>
                <w:bCs/>
                <w:color w:val="auto"/>
                <w:sz w:val="24"/>
                <w:szCs w:val="24"/>
                <w:highlight w:val="none"/>
                <w:lang w:val="en-US" w:eastAsia="zh-CN"/>
              </w:rPr>
              <w:t>绿色智能化预拌混凝土生产线主要生产设备见</w:t>
            </w:r>
            <w:r>
              <w:rPr>
                <w:rFonts w:hint="eastAsia" w:cs="Times New Roman"/>
                <w:bCs/>
                <w:color w:val="auto"/>
                <w:sz w:val="24"/>
                <w:szCs w:val="24"/>
                <w:highlight w:val="none"/>
                <w:lang w:val="en-US" w:eastAsia="zh-CN"/>
              </w:rPr>
              <w:fldChar w:fldCharType="begin"/>
            </w:r>
            <w:r>
              <w:rPr>
                <w:rFonts w:hint="eastAsia" w:cs="Times New Roman"/>
                <w:bCs/>
                <w:color w:val="auto"/>
                <w:sz w:val="24"/>
                <w:szCs w:val="24"/>
                <w:highlight w:val="none"/>
                <w:lang w:val="en-US" w:eastAsia="zh-CN"/>
              </w:rPr>
              <w:instrText xml:space="preserve"> REF _Ref5182 \h </w:instrText>
            </w:r>
            <w:r>
              <w:rPr>
                <w:rFonts w:hint="eastAsia" w:cs="Times New Roman"/>
                <w:bCs/>
                <w:color w:val="auto"/>
                <w:sz w:val="24"/>
                <w:szCs w:val="24"/>
                <w:highlight w:val="none"/>
                <w:lang w:val="en-US" w:eastAsia="zh-CN"/>
              </w:rPr>
              <w:fldChar w:fldCharType="separate"/>
            </w:r>
            <w:r>
              <w:rPr>
                <w:color w:val="auto"/>
                <w:highlight w:val="none"/>
              </w:rPr>
              <w:t>表2-3</w:t>
            </w:r>
            <w:r>
              <w:rPr>
                <w:rFonts w:hint="eastAsia" w:cs="Times New Roman"/>
                <w:bCs/>
                <w:color w:val="auto"/>
                <w:sz w:val="24"/>
                <w:szCs w:val="24"/>
                <w:highlight w:val="none"/>
                <w:lang w:val="en-US" w:eastAsia="zh-CN"/>
              </w:rPr>
              <w:fldChar w:fldCharType="end"/>
            </w:r>
            <w:r>
              <w:rPr>
                <w:rFonts w:hint="eastAsia" w:cs="Times New Roman"/>
                <w:bCs/>
                <w:color w:val="auto"/>
                <w:sz w:val="24"/>
                <w:szCs w:val="24"/>
                <w:highlight w:val="none"/>
                <w:lang w:val="en-US" w:eastAsia="zh-CN"/>
              </w:rPr>
              <w:t>。</w:t>
            </w:r>
          </w:p>
          <w:p w14:paraId="3F49B202">
            <w:pPr>
              <w:pStyle w:val="7"/>
              <w:keepNext w:val="0"/>
              <w:keepLines w:val="0"/>
              <w:pageBreakBefore w:val="0"/>
              <w:widowControl w:val="0"/>
              <w:kinsoku/>
              <w:wordWrap/>
              <w:overflowPunct/>
              <w:topLinePunct w:val="0"/>
              <w:autoSpaceDE/>
              <w:autoSpaceDN/>
              <w:bidi w:val="0"/>
              <w:adjustRightInd/>
              <w:snapToGrid/>
              <w:spacing w:before="0" w:beforeLines="0"/>
              <w:textAlignment w:val="auto"/>
              <w:rPr>
                <w:color w:val="auto"/>
                <w:highlight w:val="none"/>
              </w:rPr>
            </w:pPr>
            <w:bookmarkStart w:id="11" w:name="_Ref5182"/>
          </w:p>
          <w:p w14:paraId="3ABED337">
            <w:pPr>
              <w:pStyle w:val="7"/>
              <w:keepNext w:val="0"/>
              <w:keepLines w:val="0"/>
              <w:pageBreakBefore w:val="0"/>
              <w:widowControl w:val="0"/>
              <w:kinsoku/>
              <w:wordWrap/>
              <w:overflowPunct/>
              <w:topLinePunct w:val="0"/>
              <w:autoSpaceDE/>
              <w:autoSpaceDN/>
              <w:bidi w:val="0"/>
              <w:adjustRightInd/>
              <w:snapToGrid/>
              <w:spacing w:before="0" w:beforeLines="0"/>
              <w:textAlignment w:val="auto"/>
              <w:rPr>
                <w:color w:val="auto"/>
                <w:highlight w:val="none"/>
              </w:rPr>
            </w:pPr>
          </w:p>
          <w:p w14:paraId="782D8106">
            <w:pPr>
              <w:pStyle w:val="7"/>
              <w:keepNext w:val="0"/>
              <w:keepLines w:val="0"/>
              <w:pageBreakBefore w:val="0"/>
              <w:widowControl w:val="0"/>
              <w:kinsoku/>
              <w:wordWrap/>
              <w:overflowPunct/>
              <w:topLinePunct w:val="0"/>
              <w:autoSpaceDE/>
              <w:autoSpaceDN/>
              <w:bidi w:val="0"/>
              <w:adjustRightInd/>
              <w:snapToGrid/>
              <w:spacing w:before="0" w:beforeLines="0"/>
              <w:textAlignment w:val="auto"/>
              <w:rPr>
                <w:rFonts w:hint="default"/>
                <w:color w:val="auto"/>
                <w:highlight w:val="none"/>
              </w:rPr>
            </w:pPr>
            <w:r>
              <w:rPr>
                <w:color w:val="auto"/>
                <w:highlight w:val="none"/>
              </w:rPr>
              <w:t>表2-</w:t>
            </w:r>
            <w:r>
              <w:rPr>
                <w:color w:val="auto"/>
                <w:highlight w:val="none"/>
              </w:rPr>
              <w:fldChar w:fldCharType="begin"/>
            </w:r>
            <w:r>
              <w:rPr>
                <w:color w:val="auto"/>
                <w:highlight w:val="none"/>
              </w:rPr>
              <w:instrText xml:space="preserve"> SEQ 表2- \* ARABIC </w:instrText>
            </w:r>
            <w:r>
              <w:rPr>
                <w:color w:val="auto"/>
                <w:highlight w:val="none"/>
              </w:rPr>
              <w:fldChar w:fldCharType="separate"/>
            </w:r>
            <w:r>
              <w:rPr>
                <w:color w:val="auto"/>
                <w:highlight w:val="none"/>
              </w:rPr>
              <w:t>3</w:t>
            </w:r>
            <w:r>
              <w:rPr>
                <w:color w:val="auto"/>
                <w:highlight w:val="none"/>
              </w:rPr>
              <w:fldChar w:fldCharType="end"/>
            </w:r>
            <w:bookmarkEnd w:id="11"/>
            <w:r>
              <w:rPr>
                <w:rFonts w:hint="eastAsia"/>
                <w:color w:val="auto"/>
                <w:highlight w:val="none"/>
                <w:lang w:val="en-US" w:eastAsia="zh-CN"/>
              </w:rPr>
              <w:t xml:space="preserve">  </w:t>
            </w:r>
            <w:r>
              <w:rPr>
                <w:rFonts w:hint="default"/>
                <w:color w:val="auto"/>
                <w:highlight w:val="none"/>
              </w:rPr>
              <w:t>绿色智能化预拌混凝土生产</w:t>
            </w:r>
            <w:r>
              <w:rPr>
                <w:rFonts w:hint="default"/>
                <w:color w:val="auto"/>
                <w:highlight w:val="none"/>
                <w:lang w:val="en-US" w:eastAsia="zh-CN"/>
              </w:rPr>
              <w:t>线</w:t>
            </w:r>
            <w:r>
              <w:rPr>
                <w:rFonts w:hint="default"/>
                <w:color w:val="auto"/>
                <w:highlight w:val="none"/>
              </w:rPr>
              <w:t>主要生产设备</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90"/>
              <w:gridCol w:w="4557"/>
              <w:gridCol w:w="1534"/>
            </w:tblGrid>
            <w:tr w14:paraId="646AFD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405" w:type="pct"/>
                  <w:tcBorders>
                    <w:tl2br w:val="nil"/>
                    <w:tr2bl w:val="nil"/>
                  </w:tcBorders>
                  <w:vAlign w:val="center"/>
                </w:tcPr>
                <w:p w14:paraId="2BFD8D38">
                  <w:pPr>
                    <w:pStyle w:val="40"/>
                    <w:bidi w:val="0"/>
                    <w:rPr>
                      <w:rFonts w:hint="eastAsia"/>
                      <w:color w:val="auto"/>
                      <w:highlight w:val="none"/>
                      <w:lang w:val="en-US" w:eastAsia="zh-CN"/>
                    </w:rPr>
                  </w:pPr>
                  <w:r>
                    <w:rPr>
                      <w:rFonts w:hint="eastAsia"/>
                      <w:color w:val="auto"/>
                      <w:highlight w:val="none"/>
                      <w:lang w:val="en-US" w:eastAsia="zh-CN"/>
                    </w:rPr>
                    <w:t>序号</w:t>
                  </w:r>
                </w:p>
              </w:tc>
              <w:tc>
                <w:tcPr>
                  <w:tcW w:w="951" w:type="pct"/>
                  <w:tcBorders>
                    <w:tl2br w:val="nil"/>
                    <w:tr2bl w:val="nil"/>
                  </w:tcBorders>
                  <w:vAlign w:val="center"/>
                </w:tcPr>
                <w:p w14:paraId="7FD2D947">
                  <w:pPr>
                    <w:pStyle w:val="40"/>
                    <w:bidi w:val="0"/>
                    <w:rPr>
                      <w:rFonts w:hint="eastAsia"/>
                      <w:color w:val="auto"/>
                      <w:highlight w:val="none"/>
                      <w:lang w:val="en-US" w:eastAsia="zh-CN"/>
                    </w:rPr>
                  </w:pPr>
                  <w:r>
                    <w:rPr>
                      <w:rFonts w:hint="eastAsia"/>
                      <w:color w:val="auto"/>
                      <w:highlight w:val="none"/>
                      <w:lang w:val="en-US" w:eastAsia="zh-CN"/>
                    </w:rPr>
                    <w:t>设备名称</w:t>
                  </w:r>
                </w:p>
              </w:tc>
              <w:tc>
                <w:tcPr>
                  <w:tcW w:w="2725" w:type="pct"/>
                  <w:tcBorders>
                    <w:tl2br w:val="nil"/>
                    <w:tr2bl w:val="nil"/>
                  </w:tcBorders>
                  <w:vAlign w:val="center"/>
                </w:tcPr>
                <w:p w14:paraId="0E26CA91">
                  <w:pPr>
                    <w:pStyle w:val="40"/>
                    <w:bidi w:val="0"/>
                    <w:rPr>
                      <w:rFonts w:hint="default"/>
                      <w:color w:val="auto"/>
                      <w:highlight w:val="none"/>
                      <w:lang w:val="en-US" w:eastAsia="zh-CN"/>
                    </w:rPr>
                  </w:pPr>
                  <w:r>
                    <w:rPr>
                      <w:rFonts w:hint="eastAsia"/>
                      <w:color w:val="auto"/>
                      <w:highlight w:val="none"/>
                      <w:lang w:val="en-US" w:eastAsia="zh-CN"/>
                    </w:rPr>
                    <w:t>规格型号</w:t>
                  </w:r>
                </w:p>
              </w:tc>
              <w:tc>
                <w:tcPr>
                  <w:tcW w:w="917" w:type="pct"/>
                  <w:tcBorders>
                    <w:tl2br w:val="nil"/>
                    <w:tr2bl w:val="nil"/>
                  </w:tcBorders>
                  <w:vAlign w:val="center"/>
                </w:tcPr>
                <w:p w14:paraId="2A471843">
                  <w:pPr>
                    <w:pStyle w:val="40"/>
                    <w:bidi w:val="0"/>
                    <w:rPr>
                      <w:rFonts w:hint="eastAsia"/>
                      <w:color w:val="auto"/>
                      <w:highlight w:val="none"/>
                      <w:lang w:val="en-US" w:eastAsia="zh-CN"/>
                    </w:rPr>
                  </w:pPr>
                  <w:r>
                    <w:rPr>
                      <w:rFonts w:hint="eastAsia"/>
                      <w:color w:val="auto"/>
                      <w:highlight w:val="none"/>
                      <w:lang w:val="en-US" w:eastAsia="zh-CN"/>
                    </w:rPr>
                    <w:t>数量</w:t>
                  </w:r>
                </w:p>
              </w:tc>
            </w:tr>
            <w:tr w14:paraId="2EC00A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tcBorders>
                    <w:tl2br w:val="nil"/>
                    <w:tr2bl w:val="nil"/>
                  </w:tcBorders>
                  <w:shd w:val="clear" w:color="auto" w:fill="auto"/>
                  <w:vAlign w:val="center"/>
                </w:tcPr>
                <w:p w14:paraId="68C7BB0A">
                  <w:pPr>
                    <w:pStyle w:val="40"/>
                    <w:bidi w:val="0"/>
                    <w:rPr>
                      <w:rFonts w:hint="default"/>
                      <w:color w:val="auto"/>
                      <w:highlight w:val="none"/>
                      <w:lang w:val="en-US" w:eastAsia="zh-CN"/>
                    </w:rPr>
                  </w:pPr>
                  <w:r>
                    <w:rPr>
                      <w:rFonts w:hint="default"/>
                      <w:color w:val="auto"/>
                      <w:highlight w:val="none"/>
                      <w:lang w:val="en-US" w:eastAsia="zh-CN"/>
                    </w:rPr>
                    <w:t>1</w:t>
                  </w:r>
                </w:p>
              </w:tc>
              <w:tc>
                <w:tcPr>
                  <w:tcW w:w="951" w:type="pct"/>
                  <w:tcBorders>
                    <w:tl2br w:val="nil"/>
                    <w:tr2bl w:val="nil"/>
                  </w:tcBorders>
                  <w:shd w:val="clear" w:color="auto" w:fill="auto"/>
                  <w:vAlign w:val="center"/>
                </w:tcPr>
                <w:p w14:paraId="4D324B43">
                  <w:pPr>
                    <w:pStyle w:val="40"/>
                    <w:bidi w:val="0"/>
                    <w:rPr>
                      <w:rFonts w:hint="default"/>
                      <w:color w:val="auto"/>
                      <w:highlight w:val="none"/>
                      <w:lang w:val="en-US" w:eastAsia="zh-CN"/>
                    </w:rPr>
                  </w:pPr>
                  <w:r>
                    <w:rPr>
                      <w:rFonts w:hint="default"/>
                      <w:color w:val="auto"/>
                      <w:highlight w:val="none"/>
                      <w:lang w:val="en-US" w:eastAsia="zh-CN"/>
                    </w:rPr>
                    <w:t>搅拌机</w:t>
                  </w:r>
                </w:p>
              </w:tc>
              <w:tc>
                <w:tcPr>
                  <w:tcW w:w="2725" w:type="pct"/>
                  <w:tcBorders>
                    <w:tl2br w:val="nil"/>
                    <w:tr2bl w:val="nil"/>
                  </w:tcBorders>
                  <w:shd w:val="clear" w:color="auto" w:fill="auto"/>
                  <w:vAlign w:val="center"/>
                </w:tcPr>
                <w:p w14:paraId="4B02777A">
                  <w:pPr>
                    <w:pStyle w:val="40"/>
                    <w:bidi w:val="0"/>
                    <w:rPr>
                      <w:rFonts w:hint="default"/>
                      <w:color w:val="auto"/>
                      <w:highlight w:val="none"/>
                      <w:lang w:val="en-US" w:eastAsia="zh-CN"/>
                    </w:rPr>
                  </w:pPr>
                  <w:r>
                    <w:rPr>
                      <w:rFonts w:hint="default"/>
                      <w:color w:val="auto"/>
                      <w:highlight w:val="none"/>
                      <w:lang w:val="en-US" w:eastAsia="zh-CN"/>
                    </w:rPr>
                    <w:t>设计能力</w:t>
                  </w:r>
                  <w:r>
                    <w:rPr>
                      <w:rFonts w:hint="eastAsia"/>
                      <w:color w:val="auto"/>
                      <w:highlight w:val="none"/>
                      <w:lang w:val="en-US" w:eastAsia="zh-CN"/>
                    </w:rPr>
                    <w:t>120</w:t>
                  </w:r>
                  <w:r>
                    <w:rPr>
                      <w:rFonts w:hint="default"/>
                      <w:color w:val="auto"/>
                      <w:highlight w:val="none"/>
                      <w:lang w:val="en-US" w:eastAsia="zh-CN"/>
                    </w:rPr>
                    <w:t>m</w:t>
                  </w:r>
                  <w:r>
                    <w:rPr>
                      <w:rFonts w:hint="default"/>
                      <w:color w:val="auto"/>
                      <w:highlight w:val="none"/>
                      <w:vertAlign w:val="superscript"/>
                      <w:lang w:val="en-US" w:eastAsia="zh-CN"/>
                    </w:rPr>
                    <w:t>3</w:t>
                  </w:r>
                  <w:r>
                    <w:rPr>
                      <w:rFonts w:hint="default"/>
                      <w:color w:val="auto"/>
                      <w:highlight w:val="none"/>
                      <w:lang w:val="en-US" w:eastAsia="zh-CN"/>
                    </w:rPr>
                    <w:t>/h</w:t>
                  </w:r>
                </w:p>
              </w:tc>
              <w:tc>
                <w:tcPr>
                  <w:tcW w:w="917" w:type="pct"/>
                  <w:tcBorders>
                    <w:tl2br w:val="nil"/>
                    <w:tr2bl w:val="nil"/>
                  </w:tcBorders>
                  <w:shd w:val="clear" w:color="auto" w:fill="auto"/>
                  <w:vAlign w:val="center"/>
                </w:tcPr>
                <w:p w14:paraId="45081DB9">
                  <w:pPr>
                    <w:pStyle w:val="40"/>
                    <w:bidi w:val="0"/>
                    <w:rPr>
                      <w:rFonts w:hint="default"/>
                      <w:color w:val="auto"/>
                      <w:highlight w:val="none"/>
                      <w:lang w:val="en-US" w:eastAsia="zh-CN"/>
                    </w:rPr>
                  </w:pPr>
                  <w:r>
                    <w:rPr>
                      <w:rFonts w:hint="eastAsia"/>
                      <w:color w:val="auto"/>
                      <w:highlight w:val="none"/>
                      <w:lang w:val="en-US" w:eastAsia="zh-CN"/>
                    </w:rPr>
                    <w:t>2套</w:t>
                  </w:r>
                </w:p>
              </w:tc>
            </w:tr>
            <w:tr w14:paraId="56FDB4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tcBorders>
                    <w:tl2br w:val="nil"/>
                    <w:tr2bl w:val="nil"/>
                  </w:tcBorders>
                  <w:shd w:val="clear" w:color="auto" w:fill="auto"/>
                  <w:vAlign w:val="center"/>
                </w:tcPr>
                <w:p w14:paraId="66EA7933">
                  <w:pPr>
                    <w:pStyle w:val="40"/>
                    <w:bidi w:val="0"/>
                    <w:rPr>
                      <w:rFonts w:hint="default"/>
                      <w:color w:val="auto"/>
                      <w:highlight w:val="none"/>
                      <w:lang w:val="en-US" w:eastAsia="zh-CN"/>
                    </w:rPr>
                  </w:pPr>
                  <w:r>
                    <w:rPr>
                      <w:rFonts w:hint="default"/>
                      <w:color w:val="auto"/>
                      <w:highlight w:val="none"/>
                      <w:lang w:val="en-US" w:eastAsia="zh-CN"/>
                    </w:rPr>
                    <w:t>2</w:t>
                  </w:r>
                </w:p>
              </w:tc>
              <w:tc>
                <w:tcPr>
                  <w:tcW w:w="951" w:type="pct"/>
                  <w:tcBorders>
                    <w:tl2br w:val="nil"/>
                    <w:tr2bl w:val="nil"/>
                  </w:tcBorders>
                  <w:shd w:val="clear" w:color="auto" w:fill="auto"/>
                  <w:vAlign w:val="center"/>
                </w:tcPr>
                <w:p w14:paraId="760C670C">
                  <w:pPr>
                    <w:pStyle w:val="40"/>
                    <w:bidi w:val="0"/>
                    <w:rPr>
                      <w:rFonts w:hint="default"/>
                      <w:color w:val="auto"/>
                      <w:highlight w:val="none"/>
                      <w:lang w:val="en-US" w:eastAsia="zh-CN"/>
                    </w:rPr>
                  </w:pPr>
                  <w:r>
                    <w:rPr>
                      <w:rFonts w:hint="default"/>
                      <w:color w:val="auto"/>
                      <w:highlight w:val="none"/>
                      <w:lang w:val="en-US" w:eastAsia="zh-CN"/>
                    </w:rPr>
                    <w:t>水泥筒仓</w:t>
                  </w:r>
                </w:p>
              </w:tc>
              <w:tc>
                <w:tcPr>
                  <w:tcW w:w="2725" w:type="pct"/>
                  <w:tcBorders>
                    <w:tl2br w:val="nil"/>
                    <w:tr2bl w:val="nil"/>
                  </w:tcBorders>
                  <w:shd w:val="clear" w:color="auto" w:fill="auto"/>
                  <w:vAlign w:val="center"/>
                </w:tcPr>
                <w:p w14:paraId="670FB781">
                  <w:pPr>
                    <w:pStyle w:val="40"/>
                    <w:bidi w:val="0"/>
                    <w:rPr>
                      <w:rFonts w:hint="default"/>
                      <w:color w:val="auto"/>
                      <w:highlight w:val="none"/>
                      <w:lang w:val="en-US" w:eastAsia="zh-CN"/>
                    </w:rPr>
                  </w:pPr>
                  <w:r>
                    <w:rPr>
                      <w:rFonts w:hint="default"/>
                      <w:color w:val="auto"/>
                      <w:highlight w:val="none"/>
                      <w:lang w:val="en-US" w:eastAsia="zh-CN"/>
                    </w:rPr>
                    <w:t>200t</w:t>
                  </w:r>
                </w:p>
              </w:tc>
              <w:tc>
                <w:tcPr>
                  <w:tcW w:w="917" w:type="pct"/>
                  <w:tcBorders>
                    <w:tl2br w:val="nil"/>
                    <w:tr2bl w:val="nil"/>
                  </w:tcBorders>
                  <w:shd w:val="clear" w:color="auto" w:fill="auto"/>
                  <w:vAlign w:val="center"/>
                </w:tcPr>
                <w:p w14:paraId="5669AC47">
                  <w:pPr>
                    <w:pStyle w:val="40"/>
                    <w:bidi w:val="0"/>
                    <w:rPr>
                      <w:rFonts w:hint="default"/>
                      <w:color w:val="auto"/>
                      <w:highlight w:val="none"/>
                      <w:lang w:val="en-US" w:eastAsia="zh-CN"/>
                    </w:rPr>
                  </w:pPr>
                  <w:r>
                    <w:rPr>
                      <w:rFonts w:hint="default"/>
                      <w:color w:val="auto"/>
                      <w:highlight w:val="none"/>
                      <w:lang w:val="en-US" w:eastAsia="zh-CN"/>
                    </w:rPr>
                    <w:t>6个</w:t>
                  </w:r>
                </w:p>
              </w:tc>
            </w:tr>
            <w:tr w14:paraId="3747FC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tcBorders>
                    <w:tl2br w:val="nil"/>
                    <w:tr2bl w:val="nil"/>
                  </w:tcBorders>
                  <w:shd w:val="clear" w:color="auto" w:fill="auto"/>
                  <w:vAlign w:val="center"/>
                </w:tcPr>
                <w:p w14:paraId="3F9CE9E3">
                  <w:pPr>
                    <w:pStyle w:val="40"/>
                    <w:bidi w:val="0"/>
                    <w:rPr>
                      <w:rFonts w:hint="default"/>
                      <w:color w:val="auto"/>
                      <w:highlight w:val="none"/>
                      <w:lang w:val="en-US" w:eastAsia="zh-CN"/>
                    </w:rPr>
                  </w:pPr>
                  <w:r>
                    <w:rPr>
                      <w:rFonts w:hint="default"/>
                      <w:color w:val="auto"/>
                      <w:highlight w:val="none"/>
                      <w:lang w:val="en-US" w:eastAsia="zh-CN"/>
                    </w:rPr>
                    <w:t>3</w:t>
                  </w:r>
                </w:p>
              </w:tc>
              <w:tc>
                <w:tcPr>
                  <w:tcW w:w="951" w:type="pct"/>
                  <w:tcBorders>
                    <w:tl2br w:val="nil"/>
                    <w:tr2bl w:val="nil"/>
                  </w:tcBorders>
                  <w:shd w:val="clear" w:color="auto" w:fill="auto"/>
                  <w:vAlign w:val="center"/>
                </w:tcPr>
                <w:p w14:paraId="7D1D0ED7">
                  <w:pPr>
                    <w:pStyle w:val="40"/>
                    <w:bidi w:val="0"/>
                    <w:rPr>
                      <w:rFonts w:hint="default"/>
                      <w:color w:val="auto"/>
                      <w:highlight w:val="none"/>
                      <w:lang w:val="en-US" w:eastAsia="zh-CN"/>
                    </w:rPr>
                  </w:pPr>
                  <w:r>
                    <w:rPr>
                      <w:rFonts w:hint="default"/>
                      <w:color w:val="auto"/>
                      <w:highlight w:val="none"/>
                      <w:lang w:val="en-US" w:eastAsia="zh-CN"/>
                    </w:rPr>
                    <w:t>粉煤灰筒仓</w:t>
                  </w:r>
                </w:p>
              </w:tc>
              <w:tc>
                <w:tcPr>
                  <w:tcW w:w="2725" w:type="pct"/>
                  <w:tcBorders>
                    <w:tl2br w:val="nil"/>
                    <w:tr2bl w:val="nil"/>
                  </w:tcBorders>
                  <w:shd w:val="clear" w:color="auto" w:fill="auto"/>
                  <w:vAlign w:val="center"/>
                </w:tcPr>
                <w:p w14:paraId="4BBD9603">
                  <w:pPr>
                    <w:pStyle w:val="40"/>
                    <w:bidi w:val="0"/>
                    <w:rPr>
                      <w:rFonts w:hint="default"/>
                      <w:color w:val="auto"/>
                      <w:highlight w:val="none"/>
                      <w:lang w:val="en-US" w:eastAsia="zh-CN"/>
                    </w:rPr>
                  </w:pPr>
                  <w:r>
                    <w:rPr>
                      <w:rFonts w:hint="default"/>
                      <w:color w:val="auto"/>
                      <w:highlight w:val="none"/>
                      <w:lang w:val="en-US" w:eastAsia="zh-CN"/>
                    </w:rPr>
                    <w:t>200t</w:t>
                  </w:r>
                </w:p>
              </w:tc>
              <w:tc>
                <w:tcPr>
                  <w:tcW w:w="917" w:type="pct"/>
                  <w:tcBorders>
                    <w:tl2br w:val="nil"/>
                    <w:tr2bl w:val="nil"/>
                  </w:tcBorders>
                  <w:shd w:val="clear" w:color="auto" w:fill="auto"/>
                  <w:vAlign w:val="center"/>
                </w:tcPr>
                <w:p w14:paraId="7B771365">
                  <w:pPr>
                    <w:pStyle w:val="40"/>
                    <w:bidi w:val="0"/>
                    <w:rPr>
                      <w:rFonts w:hint="default"/>
                      <w:color w:val="auto"/>
                      <w:highlight w:val="none"/>
                      <w:lang w:val="en-US" w:eastAsia="zh-CN"/>
                    </w:rPr>
                  </w:pPr>
                  <w:r>
                    <w:rPr>
                      <w:rFonts w:hint="default"/>
                      <w:color w:val="auto"/>
                      <w:highlight w:val="none"/>
                      <w:lang w:val="en-US" w:eastAsia="zh-CN"/>
                    </w:rPr>
                    <w:t>2个</w:t>
                  </w:r>
                </w:p>
              </w:tc>
            </w:tr>
            <w:tr w14:paraId="63B01E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tcBorders>
                    <w:tl2br w:val="nil"/>
                    <w:tr2bl w:val="nil"/>
                  </w:tcBorders>
                  <w:shd w:val="clear" w:color="auto" w:fill="auto"/>
                  <w:vAlign w:val="center"/>
                </w:tcPr>
                <w:p w14:paraId="2BBCE78A">
                  <w:pPr>
                    <w:pStyle w:val="40"/>
                    <w:bidi w:val="0"/>
                    <w:rPr>
                      <w:rFonts w:hint="default"/>
                      <w:color w:val="auto"/>
                      <w:highlight w:val="none"/>
                      <w:lang w:val="en-US" w:eastAsia="zh-CN"/>
                    </w:rPr>
                  </w:pPr>
                  <w:r>
                    <w:rPr>
                      <w:rFonts w:hint="default"/>
                      <w:color w:val="auto"/>
                      <w:highlight w:val="none"/>
                      <w:lang w:val="en-US" w:eastAsia="zh-CN"/>
                    </w:rPr>
                    <w:t>4</w:t>
                  </w:r>
                </w:p>
              </w:tc>
              <w:tc>
                <w:tcPr>
                  <w:tcW w:w="951" w:type="pct"/>
                  <w:tcBorders>
                    <w:tl2br w:val="nil"/>
                    <w:tr2bl w:val="nil"/>
                  </w:tcBorders>
                  <w:shd w:val="clear" w:color="auto" w:fill="auto"/>
                  <w:vAlign w:val="center"/>
                </w:tcPr>
                <w:p w14:paraId="19BEEEEE">
                  <w:pPr>
                    <w:pStyle w:val="40"/>
                    <w:bidi w:val="0"/>
                    <w:rPr>
                      <w:rFonts w:hint="default"/>
                      <w:color w:val="auto"/>
                      <w:highlight w:val="none"/>
                      <w:lang w:val="en-US" w:eastAsia="zh-CN"/>
                    </w:rPr>
                  </w:pPr>
                  <w:r>
                    <w:rPr>
                      <w:rFonts w:hint="default"/>
                      <w:color w:val="auto"/>
                      <w:highlight w:val="none"/>
                      <w:lang w:val="en-US" w:eastAsia="zh-CN"/>
                    </w:rPr>
                    <w:t>皮带输送机</w:t>
                  </w:r>
                </w:p>
              </w:tc>
              <w:tc>
                <w:tcPr>
                  <w:tcW w:w="2725" w:type="pct"/>
                  <w:tcBorders>
                    <w:tl2br w:val="nil"/>
                    <w:tr2bl w:val="nil"/>
                  </w:tcBorders>
                  <w:shd w:val="clear" w:color="auto" w:fill="auto"/>
                  <w:vAlign w:val="center"/>
                </w:tcPr>
                <w:p w14:paraId="2988B150">
                  <w:pPr>
                    <w:pStyle w:val="40"/>
                    <w:bidi w:val="0"/>
                    <w:rPr>
                      <w:rFonts w:hint="default"/>
                      <w:color w:val="auto"/>
                      <w:highlight w:val="none"/>
                      <w:lang w:val="en-US" w:eastAsia="zh-CN"/>
                    </w:rPr>
                  </w:pPr>
                  <w:r>
                    <w:rPr>
                      <w:rFonts w:hint="default"/>
                      <w:color w:val="auto"/>
                      <w:highlight w:val="none"/>
                      <w:lang w:val="en-US" w:eastAsia="zh-CN"/>
                    </w:rPr>
                    <w:t>1000mm，22kW</w:t>
                  </w:r>
                </w:p>
              </w:tc>
              <w:tc>
                <w:tcPr>
                  <w:tcW w:w="917" w:type="pct"/>
                  <w:tcBorders>
                    <w:tl2br w:val="nil"/>
                    <w:tr2bl w:val="nil"/>
                  </w:tcBorders>
                  <w:shd w:val="clear" w:color="auto" w:fill="auto"/>
                  <w:vAlign w:val="center"/>
                </w:tcPr>
                <w:p w14:paraId="33988B6F">
                  <w:pPr>
                    <w:pStyle w:val="40"/>
                    <w:bidi w:val="0"/>
                    <w:rPr>
                      <w:rFonts w:hint="default"/>
                      <w:color w:val="auto"/>
                      <w:highlight w:val="none"/>
                      <w:lang w:val="en-US" w:eastAsia="zh-CN"/>
                    </w:rPr>
                  </w:pPr>
                  <w:r>
                    <w:rPr>
                      <w:rFonts w:hint="default"/>
                      <w:color w:val="auto"/>
                      <w:highlight w:val="none"/>
                      <w:lang w:val="en-US" w:eastAsia="zh-CN"/>
                    </w:rPr>
                    <w:t>2条</w:t>
                  </w:r>
                </w:p>
              </w:tc>
            </w:tr>
            <w:tr w14:paraId="50E032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tcBorders>
                    <w:tl2br w:val="nil"/>
                    <w:tr2bl w:val="nil"/>
                  </w:tcBorders>
                  <w:shd w:val="clear" w:color="auto" w:fill="auto"/>
                  <w:vAlign w:val="center"/>
                </w:tcPr>
                <w:p w14:paraId="1C84D097">
                  <w:pPr>
                    <w:pStyle w:val="40"/>
                    <w:bidi w:val="0"/>
                    <w:rPr>
                      <w:rFonts w:hint="default"/>
                      <w:color w:val="auto"/>
                      <w:highlight w:val="none"/>
                      <w:lang w:val="en-US" w:eastAsia="zh-CN"/>
                    </w:rPr>
                  </w:pPr>
                  <w:r>
                    <w:rPr>
                      <w:rFonts w:hint="default"/>
                      <w:color w:val="auto"/>
                      <w:highlight w:val="none"/>
                      <w:lang w:val="en-US" w:eastAsia="zh-CN"/>
                    </w:rPr>
                    <w:t>5</w:t>
                  </w:r>
                </w:p>
              </w:tc>
              <w:tc>
                <w:tcPr>
                  <w:tcW w:w="951" w:type="pct"/>
                  <w:tcBorders>
                    <w:tl2br w:val="nil"/>
                    <w:tr2bl w:val="nil"/>
                  </w:tcBorders>
                  <w:shd w:val="clear" w:color="auto" w:fill="auto"/>
                  <w:vAlign w:val="center"/>
                </w:tcPr>
                <w:p w14:paraId="7526F373">
                  <w:pPr>
                    <w:pStyle w:val="40"/>
                    <w:bidi w:val="0"/>
                    <w:rPr>
                      <w:rFonts w:hint="default"/>
                      <w:color w:val="auto"/>
                      <w:highlight w:val="none"/>
                      <w:lang w:val="en-US" w:eastAsia="zh-CN"/>
                    </w:rPr>
                  </w:pPr>
                  <w:r>
                    <w:rPr>
                      <w:rFonts w:hint="default"/>
                      <w:color w:val="auto"/>
                      <w:highlight w:val="none"/>
                      <w:lang w:val="en-US" w:eastAsia="zh-CN"/>
                    </w:rPr>
                    <w:t>螺旋输送机</w:t>
                  </w:r>
                </w:p>
              </w:tc>
              <w:tc>
                <w:tcPr>
                  <w:tcW w:w="2725" w:type="pct"/>
                  <w:tcBorders>
                    <w:tl2br w:val="nil"/>
                    <w:tr2bl w:val="nil"/>
                  </w:tcBorders>
                  <w:shd w:val="clear" w:color="auto" w:fill="auto"/>
                  <w:vAlign w:val="center"/>
                </w:tcPr>
                <w:p w14:paraId="03EE8B52">
                  <w:pPr>
                    <w:pStyle w:val="40"/>
                    <w:bidi w:val="0"/>
                    <w:rPr>
                      <w:rFonts w:hint="default"/>
                      <w:color w:val="auto"/>
                      <w:highlight w:val="none"/>
                      <w:lang w:val="en-US" w:eastAsia="zh-CN"/>
                    </w:rPr>
                  </w:pPr>
                  <w:r>
                    <w:rPr>
                      <w:rFonts w:hint="default"/>
                      <w:color w:val="auto"/>
                      <w:highlight w:val="none"/>
                      <w:lang w:val="en-US" w:eastAsia="zh-CN"/>
                    </w:rPr>
                    <w:t>LSY219-9</w:t>
                  </w:r>
                  <w:r>
                    <w:rPr>
                      <w:rFonts w:hint="eastAsia"/>
                      <w:color w:val="auto"/>
                      <w:highlight w:val="none"/>
                      <w:lang w:val="en-US" w:eastAsia="zh-CN"/>
                    </w:rPr>
                    <w:t>（</w:t>
                  </w:r>
                  <w:r>
                    <w:rPr>
                      <w:rFonts w:hint="default"/>
                      <w:color w:val="auto"/>
                      <w:highlight w:val="none"/>
                      <w:lang w:val="en-US" w:eastAsia="zh-CN"/>
                    </w:rPr>
                    <w:t>水泥6支，粉煤灰2支</w:t>
                  </w:r>
                  <w:r>
                    <w:rPr>
                      <w:rFonts w:hint="eastAsia"/>
                      <w:color w:val="auto"/>
                      <w:highlight w:val="none"/>
                      <w:lang w:val="en-US" w:eastAsia="zh-CN"/>
                    </w:rPr>
                    <w:t>）</w:t>
                  </w:r>
                </w:p>
              </w:tc>
              <w:tc>
                <w:tcPr>
                  <w:tcW w:w="917" w:type="pct"/>
                  <w:tcBorders>
                    <w:tl2br w:val="nil"/>
                    <w:tr2bl w:val="nil"/>
                  </w:tcBorders>
                  <w:shd w:val="clear" w:color="auto" w:fill="auto"/>
                  <w:vAlign w:val="center"/>
                </w:tcPr>
                <w:p w14:paraId="718E07FD">
                  <w:pPr>
                    <w:pStyle w:val="40"/>
                    <w:bidi w:val="0"/>
                    <w:rPr>
                      <w:rFonts w:hint="default"/>
                      <w:color w:val="auto"/>
                      <w:highlight w:val="none"/>
                      <w:lang w:val="en-US" w:eastAsia="zh-CN"/>
                    </w:rPr>
                  </w:pPr>
                  <w:r>
                    <w:rPr>
                      <w:rFonts w:hint="default"/>
                      <w:color w:val="auto"/>
                      <w:highlight w:val="none"/>
                      <w:lang w:val="en-US" w:eastAsia="zh-CN"/>
                    </w:rPr>
                    <w:t>8支</w:t>
                  </w:r>
                </w:p>
              </w:tc>
            </w:tr>
            <w:tr w14:paraId="0A818F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tcBorders>
                    <w:tl2br w:val="nil"/>
                    <w:tr2bl w:val="nil"/>
                  </w:tcBorders>
                  <w:shd w:val="clear" w:color="auto" w:fill="auto"/>
                  <w:vAlign w:val="center"/>
                </w:tcPr>
                <w:p w14:paraId="4FE64DED">
                  <w:pPr>
                    <w:pStyle w:val="40"/>
                    <w:bidi w:val="0"/>
                    <w:rPr>
                      <w:rFonts w:hint="default"/>
                      <w:color w:val="auto"/>
                      <w:highlight w:val="none"/>
                      <w:lang w:val="en-US" w:eastAsia="zh-CN"/>
                    </w:rPr>
                  </w:pPr>
                  <w:r>
                    <w:rPr>
                      <w:rFonts w:hint="default"/>
                      <w:color w:val="auto"/>
                      <w:highlight w:val="none"/>
                      <w:lang w:val="en-US" w:eastAsia="zh-CN"/>
                    </w:rPr>
                    <w:t>6</w:t>
                  </w:r>
                </w:p>
              </w:tc>
              <w:tc>
                <w:tcPr>
                  <w:tcW w:w="951" w:type="pct"/>
                  <w:tcBorders>
                    <w:tl2br w:val="nil"/>
                    <w:tr2bl w:val="nil"/>
                  </w:tcBorders>
                  <w:shd w:val="clear" w:color="auto" w:fill="auto"/>
                  <w:vAlign w:val="center"/>
                </w:tcPr>
                <w:p w14:paraId="5C904B50">
                  <w:pPr>
                    <w:pStyle w:val="40"/>
                    <w:bidi w:val="0"/>
                    <w:rPr>
                      <w:rFonts w:hint="default"/>
                      <w:color w:val="auto"/>
                      <w:highlight w:val="none"/>
                      <w:lang w:val="en-US" w:eastAsia="zh-CN"/>
                    </w:rPr>
                  </w:pPr>
                  <w:r>
                    <w:rPr>
                      <w:rFonts w:hint="default"/>
                      <w:color w:val="auto"/>
                      <w:highlight w:val="none"/>
                      <w:lang w:val="en-US" w:eastAsia="zh-CN"/>
                    </w:rPr>
                    <w:t>添加剂储罐</w:t>
                  </w:r>
                </w:p>
              </w:tc>
              <w:tc>
                <w:tcPr>
                  <w:tcW w:w="2725" w:type="pct"/>
                  <w:tcBorders>
                    <w:tl2br w:val="nil"/>
                    <w:tr2bl w:val="nil"/>
                  </w:tcBorders>
                  <w:shd w:val="clear" w:color="auto" w:fill="auto"/>
                  <w:vAlign w:val="center"/>
                </w:tcPr>
                <w:p w14:paraId="13819933">
                  <w:pPr>
                    <w:pStyle w:val="40"/>
                    <w:bidi w:val="0"/>
                    <w:rPr>
                      <w:rFonts w:hint="default"/>
                      <w:color w:val="auto"/>
                      <w:highlight w:val="none"/>
                      <w:lang w:val="en-US" w:eastAsia="zh-CN"/>
                    </w:rPr>
                  </w:pPr>
                  <w:r>
                    <w:rPr>
                      <w:rFonts w:hint="default"/>
                      <w:color w:val="auto"/>
                      <w:highlight w:val="none"/>
                      <w:lang w:val="en-US" w:eastAsia="zh-CN"/>
                    </w:rPr>
                    <w:t>10t、8t、6t</w:t>
                  </w:r>
                </w:p>
              </w:tc>
              <w:tc>
                <w:tcPr>
                  <w:tcW w:w="917" w:type="pct"/>
                  <w:tcBorders>
                    <w:tl2br w:val="nil"/>
                    <w:tr2bl w:val="nil"/>
                  </w:tcBorders>
                  <w:shd w:val="clear" w:color="auto" w:fill="auto"/>
                  <w:vAlign w:val="center"/>
                </w:tcPr>
                <w:p w14:paraId="4FC7DFE2">
                  <w:pPr>
                    <w:pStyle w:val="40"/>
                    <w:bidi w:val="0"/>
                    <w:rPr>
                      <w:rFonts w:hint="default"/>
                      <w:color w:val="auto"/>
                      <w:highlight w:val="none"/>
                      <w:lang w:val="en-US" w:eastAsia="zh-CN"/>
                    </w:rPr>
                  </w:pPr>
                  <w:r>
                    <w:rPr>
                      <w:rFonts w:hint="default"/>
                      <w:color w:val="auto"/>
                      <w:highlight w:val="none"/>
                      <w:lang w:val="en-US" w:eastAsia="zh-CN"/>
                    </w:rPr>
                    <w:t>3个</w:t>
                  </w:r>
                </w:p>
              </w:tc>
            </w:tr>
            <w:tr w14:paraId="64858F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tcBorders>
                    <w:tl2br w:val="nil"/>
                    <w:tr2bl w:val="nil"/>
                  </w:tcBorders>
                  <w:shd w:val="clear" w:color="auto" w:fill="auto"/>
                  <w:vAlign w:val="center"/>
                </w:tcPr>
                <w:p w14:paraId="64CA0BC5">
                  <w:pPr>
                    <w:pStyle w:val="40"/>
                    <w:bidi w:val="0"/>
                    <w:rPr>
                      <w:rFonts w:hint="default"/>
                      <w:color w:val="auto"/>
                      <w:highlight w:val="none"/>
                      <w:lang w:val="en-US" w:eastAsia="zh-CN"/>
                    </w:rPr>
                  </w:pPr>
                  <w:r>
                    <w:rPr>
                      <w:rFonts w:hint="default"/>
                      <w:color w:val="auto"/>
                      <w:highlight w:val="none"/>
                      <w:lang w:val="en-US" w:eastAsia="zh-CN"/>
                    </w:rPr>
                    <w:t>7</w:t>
                  </w:r>
                </w:p>
              </w:tc>
              <w:tc>
                <w:tcPr>
                  <w:tcW w:w="951" w:type="pct"/>
                  <w:tcBorders>
                    <w:tl2br w:val="nil"/>
                    <w:tr2bl w:val="nil"/>
                  </w:tcBorders>
                  <w:shd w:val="clear" w:color="auto" w:fill="auto"/>
                  <w:vAlign w:val="center"/>
                </w:tcPr>
                <w:p w14:paraId="2F712CCB">
                  <w:pPr>
                    <w:pStyle w:val="40"/>
                    <w:bidi w:val="0"/>
                    <w:rPr>
                      <w:rFonts w:hint="default"/>
                      <w:color w:val="auto"/>
                      <w:highlight w:val="none"/>
                      <w:lang w:val="en-US" w:eastAsia="zh-CN"/>
                    </w:rPr>
                  </w:pPr>
                  <w:r>
                    <w:rPr>
                      <w:rFonts w:hint="default"/>
                      <w:color w:val="auto"/>
                      <w:highlight w:val="none"/>
                      <w:lang w:val="en-US" w:eastAsia="zh-CN"/>
                    </w:rPr>
                    <w:t>泵类</w:t>
                  </w:r>
                </w:p>
              </w:tc>
              <w:tc>
                <w:tcPr>
                  <w:tcW w:w="2725" w:type="pct"/>
                  <w:tcBorders>
                    <w:tl2br w:val="nil"/>
                    <w:tr2bl w:val="nil"/>
                  </w:tcBorders>
                  <w:shd w:val="clear" w:color="auto" w:fill="auto"/>
                  <w:vAlign w:val="center"/>
                </w:tcPr>
                <w:p w14:paraId="34433A61">
                  <w:pPr>
                    <w:pStyle w:val="40"/>
                    <w:bidi w:val="0"/>
                    <w:rPr>
                      <w:rFonts w:hint="default"/>
                      <w:color w:val="auto"/>
                      <w:highlight w:val="none"/>
                      <w:lang w:val="en-US" w:eastAsia="zh-CN"/>
                    </w:rPr>
                  </w:pPr>
                  <w:r>
                    <w:rPr>
                      <w:rFonts w:hint="default"/>
                      <w:color w:val="auto"/>
                      <w:highlight w:val="none"/>
                      <w:lang w:val="en-US" w:eastAsia="zh-CN"/>
                    </w:rPr>
                    <w:t>80ZW50-15</w:t>
                  </w:r>
                </w:p>
              </w:tc>
              <w:tc>
                <w:tcPr>
                  <w:tcW w:w="917" w:type="pct"/>
                  <w:tcBorders>
                    <w:tl2br w:val="nil"/>
                    <w:tr2bl w:val="nil"/>
                  </w:tcBorders>
                  <w:shd w:val="clear" w:color="auto" w:fill="auto"/>
                  <w:vAlign w:val="center"/>
                </w:tcPr>
                <w:p w14:paraId="785932FF">
                  <w:pPr>
                    <w:pStyle w:val="40"/>
                    <w:bidi w:val="0"/>
                    <w:rPr>
                      <w:rFonts w:hint="default"/>
                      <w:color w:val="auto"/>
                      <w:highlight w:val="none"/>
                      <w:lang w:val="en-US" w:eastAsia="zh-CN"/>
                    </w:rPr>
                  </w:pPr>
                  <w:r>
                    <w:rPr>
                      <w:rFonts w:hint="default"/>
                      <w:color w:val="auto"/>
                      <w:highlight w:val="none"/>
                      <w:lang w:val="en-US" w:eastAsia="zh-CN"/>
                    </w:rPr>
                    <w:t>2台</w:t>
                  </w:r>
                </w:p>
              </w:tc>
            </w:tr>
            <w:tr w14:paraId="7ABC55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tcBorders>
                    <w:tl2br w:val="nil"/>
                    <w:tr2bl w:val="nil"/>
                  </w:tcBorders>
                  <w:shd w:val="clear" w:color="auto" w:fill="auto"/>
                  <w:vAlign w:val="center"/>
                </w:tcPr>
                <w:p w14:paraId="3242F1DE">
                  <w:pPr>
                    <w:pStyle w:val="40"/>
                    <w:bidi w:val="0"/>
                    <w:rPr>
                      <w:rFonts w:hint="default"/>
                      <w:color w:val="auto"/>
                      <w:highlight w:val="none"/>
                      <w:lang w:val="en-US" w:eastAsia="zh-CN"/>
                    </w:rPr>
                  </w:pPr>
                  <w:r>
                    <w:rPr>
                      <w:rFonts w:hint="default"/>
                      <w:color w:val="auto"/>
                      <w:highlight w:val="none"/>
                      <w:lang w:val="en-US" w:eastAsia="zh-CN"/>
                    </w:rPr>
                    <w:t>8</w:t>
                  </w:r>
                </w:p>
              </w:tc>
              <w:tc>
                <w:tcPr>
                  <w:tcW w:w="951" w:type="pct"/>
                  <w:tcBorders>
                    <w:tl2br w:val="nil"/>
                    <w:tr2bl w:val="nil"/>
                  </w:tcBorders>
                  <w:shd w:val="clear" w:color="auto" w:fill="auto"/>
                  <w:vAlign w:val="center"/>
                </w:tcPr>
                <w:p w14:paraId="2B136CBB">
                  <w:pPr>
                    <w:pStyle w:val="40"/>
                    <w:bidi w:val="0"/>
                    <w:rPr>
                      <w:rFonts w:hint="default"/>
                      <w:color w:val="auto"/>
                      <w:highlight w:val="none"/>
                      <w:lang w:val="en-US" w:eastAsia="zh-CN"/>
                    </w:rPr>
                  </w:pPr>
                  <w:r>
                    <w:rPr>
                      <w:rFonts w:hint="default"/>
                      <w:color w:val="auto"/>
                      <w:highlight w:val="none"/>
                      <w:lang w:val="en-US" w:eastAsia="zh-CN"/>
                    </w:rPr>
                    <w:t>微机控制系统</w:t>
                  </w:r>
                </w:p>
              </w:tc>
              <w:tc>
                <w:tcPr>
                  <w:tcW w:w="2725" w:type="pct"/>
                  <w:tcBorders>
                    <w:tl2br w:val="nil"/>
                    <w:tr2bl w:val="nil"/>
                  </w:tcBorders>
                  <w:shd w:val="clear" w:color="auto" w:fill="auto"/>
                  <w:vAlign w:val="center"/>
                </w:tcPr>
                <w:p w14:paraId="72422098">
                  <w:pPr>
                    <w:pStyle w:val="40"/>
                    <w:bidi w:val="0"/>
                    <w:rPr>
                      <w:rFonts w:hint="default"/>
                      <w:color w:val="auto"/>
                      <w:highlight w:val="none"/>
                      <w:lang w:val="en-US" w:eastAsia="zh-CN"/>
                    </w:rPr>
                  </w:pPr>
                  <w:r>
                    <w:rPr>
                      <w:rFonts w:hint="default"/>
                      <w:color w:val="auto"/>
                      <w:highlight w:val="none"/>
                      <w:lang w:val="en-US" w:eastAsia="zh-CN"/>
                    </w:rPr>
                    <w:t>CB-DK-V型</w:t>
                  </w:r>
                </w:p>
              </w:tc>
              <w:tc>
                <w:tcPr>
                  <w:tcW w:w="917" w:type="pct"/>
                  <w:tcBorders>
                    <w:tl2br w:val="nil"/>
                    <w:tr2bl w:val="nil"/>
                  </w:tcBorders>
                  <w:shd w:val="clear" w:color="auto" w:fill="auto"/>
                  <w:vAlign w:val="center"/>
                </w:tcPr>
                <w:p w14:paraId="0D4D9F68">
                  <w:pPr>
                    <w:pStyle w:val="40"/>
                    <w:bidi w:val="0"/>
                    <w:rPr>
                      <w:rFonts w:hint="default"/>
                      <w:color w:val="auto"/>
                      <w:highlight w:val="none"/>
                      <w:lang w:val="en-US" w:eastAsia="zh-CN"/>
                    </w:rPr>
                  </w:pPr>
                  <w:r>
                    <w:rPr>
                      <w:rFonts w:hint="default"/>
                      <w:color w:val="auto"/>
                      <w:highlight w:val="none"/>
                      <w:lang w:val="en-US" w:eastAsia="zh-CN"/>
                    </w:rPr>
                    <w:t>3套</w:t>
                  </w:r>
                </w:p>
              </w:tc>
            </w:tr>
            <w:tr w14:paraId="758DAF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tcBorders>
                    <w:tl2br w:val="nil"/>
                    <w:tr2bl w:val="nil"/>
                  </w:tcBorders>
                  <w:shd w:val="clear" w:color="auto" w:fill="auto"/>
                  <w:vAlign w:val="center"/>
                </w:tcPr>
                <w:p w14:paraId="058E13A4">
                  <w:pPr>
                    <w:pStyle w:val="40"/>
                    <w:bidi w:val="0"/>
                    <w:rPr>
                      <w:rFonts w:hint="default"/>
                      <w:color w:val="auto"/>
                      <w:highlight w:val="none"/>
                      <w:lang w:val="en-US" w:eastAsia="zh-CN"/>
                    </w:rPr>
                  </w:pPr>
                  <w:r>
                    <w:rPr>
                      <w:rFonts w:hint="default"/>
                      <w:color w:val="auto"/>
                      <w:highlight w:val="none"/>
                      <w:lang w:val="en-US" w:eastAsia="zh-CN"/>
                    </w:rPr>
                    <w:t>9</w:t>
                  </w:r>
                </w:p>
              </w:tc>
              <w:tc>
                <w:tcPr>
                  <w:tcW w:w="951" w:type="pct"/>
                  <w:tcBorders>
                    <w:tl2br w:val="nil"/>
                    <w:tr2bl w:val="nil"/>
                  </w:tcBorders>
                  <w:shd w:val="clear" w:color="auto" w:fill="auto"/>
                  <w:vAlign w:val="center"/>
                </w:tcPr>
                <w:p w14:paraId="7D2C8C95">
                  <w:pPr>
                    <w:pStyle w:val="40"/>
                    <w:bidi w:val="0"/>
                    <w:rPr>
                      <w:rFonts w:hint="default"/>
                      <w:color w:val="auto"/>
                      <w:highlight w:val="none"/>
                      <w:lang w:val="en-US" w:eastAsia="zh-CN"/>
                    </w:rPr>
                  </w:pPr>
                  <w:r>
                    <w:rPr>
                      <w:rFonts w:hint="default"/>
                      <w:color w:val="auto"/>
                      <w:highlight w:val="none"/>
                      <w:lang w:val="en-US" w:eastAsia="zh-CN"/>
                    </w:rPr>
                    <w:t>混凝土罐车</w:t>
                  </w:r>
                </w:p>
              </w:tc>
              <w:tc>
                <w:tcPr>
                  <w:tcW w:w="2725" w:type="pct"/>
                  <w:tcBorders>
                    <w:tl2br w:val="nil"/>
                    <w:tr2bl w:val="nil"/>
                  </w:tcBorders>
                  <w:shd w:val="clear" w:color="auto" w:fill="auto"/>
                  <w:vAlign w:val="center"/>
                </w:tcPr>
                <w:p w14:paraId="2421F044">
                  <w:pPr>
                    <w:pStyle w:val="40"/>
                    <w:bidi w:val="0"/>
                    <w:rPr>
                      <w:rFonts w:hint="default"/>
                      <w:color w:val="auto"/>
                      <w:highlight w:val="none"/>
                      <w:lang w:val="en-US" w:eastAsia="zh-CN"/>
                    </w:rPr>
                  </w:pPr>
                  <w:r>
                    <w:rPr>
                      <w:rFonts w:hint="default"/>
                      <w:color w:val="auto"/>
                      <w:highlight w:val="none"/>
                      <w:lang w:val="en-US" w:eastAsia="zh-CN"/>
                    </w:rPr>
                    <w:t>容量12m</w:t>
                  </w:r>
                  <w:r>
                    <w:rPr>
                      <w:rFonts w:hint="default"/>
                      <w:color w:val="auto"/>
                      <w:highlight w:val="none"/>
                      <w:vertAlign w:val="superscript"/>
                      <w:lang w:val="en-US" w:eastAsia="zh-CN"/>
                    </w:rPr>
                    <w:t>3</w:t>
                  </w:r>
                </w:p>
              </w:tc>
              <w:tc>
                <w:tcPr>
                  <w:tcW w:w="917" w:type="pct"/>
                  <w:tcBorders>
                    <w:tl2br w:val="nil"/>
                    <w:tr2bl w:val="nil"/>
                  </w:tcBorders>
                  <w:shd w:val="clear" w:color="auto" w:fill="auto"/>
                  <w:vAlign w:val="center"/>
                </w:tcPr>
                <w:p w14:paraId="249C9EF2">
                  <w:pPr>
                    <w:pStyle w:val="40"/>
                    <w:bidi w:val="0"/>
                    <w:rPr>
                      <w:rFonts w:hint="default"/>
                      <w:color w:val="auto"/>
                      <w:highlight w:val="none"/>
                      <w:lang w:val="en-US" w:eastAsia="zh-CN"/>
                    </w:rPr>
                  </w:pPr>
                  <w:r>
                    <w:rPr>
                      <w:rFonts w:hint="default"/>
                      <w:color w:val="auto"/>
                      <w:highlight w:val="none"/>
                      <w:lang w:val="en-US" w:eastAsia="zh-CN"/>
                    </w:rPr>
                    <w:t>10辆</w:t>
                  </w:r>
                </w:p>
              </w:tc>
            </w:tr>
            <w:tr w14:paraId="2D7638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tcBorders>
                    <w:tl2br w:val="nil"/>
                    <w:tr2bl w:val="nil"/>
                  </w:tcBorders>
                  <w:shd w:val="clear" w:color="auto" w:fill="auto"/>
                  <w:vAlign w:val="center"/>
                </w:tcPr>
                <w:p w14:paraId="0537F4D0">
                  <w:pPr>
                    <w:pStyle w:val="40"/>
                    <w:bidi w:val="0"/>
                    <w:rPr>
                      <w:rFonts w:hint="default"/>
                      <w:color w:val="auto"/>
                      <w:highlight w:val="none"/>
                      <w:lang w:val="en-US" w:eastAsia="zh-CN"/>
                    </w:rPr>
                  </w:pPr>
                  <w:r>
                    <w:rPr>
                      <w:rFonts w:hint="default"/>
                      <w:color w:val="auto"/>
                      <w:highlight w:val="none"/>
                      <w:lang w:val="en-US" w:eastAsia="zh-CN"/>
                    </w:rPr>
                    <w:t>10</w:t>
                  </w:r>
                </w:p>
              </w:tc>
              <w:tc>
                <w:tcPr>
                  <w:tcW w:w="951" w:type="pct"/>
                  <w:tcBorders>
                    <w:tl2br w:val="nil"/>
                    <w:tr2bl w:val="nil"/>
                  </w:tcBorders>
                  <w:shd w:val="clear" w:color="auto" w:fill="auto"/>
                  <w:vAlign w:val="center"/>
                </w:tcPr>
                <w:p w14:paraId="7FBB359C">
                  <w:pPr>
                    <w:pStyle w:val="40"/>
                    <w:bidi w:val="0"/>
                    <w:rPr>
                      <w:rFonts w:hint="default"/>
                      <w:color w:val="auto"/>
                      <w:highlight w:val="none"/>
                      <w:lang w:val="en-US" w:eastAsia="zh-CN"/>
                    </w:rPr>
                  </w:pPr>
                  <w:r>
                    <w:rPr>
                      <w:rFonts w:hint="default"/>
                      <w:color w:val="auto"/>
                      <w:highlight w:val="none"/>
                      <w:lang w:val="en-US" w:eastAsia="zh-CN"/>
                    </w:rPr>
                    <w:t>斗式料仓</w:t>
                  </w:r>
                </w:p>
              </w:tc>
              <w:tc>
                <w:tcPr>
                  <w:tcW w:w="2725" w:type="pct"/>
                  <w:tcBorders>
                    <w:tl2br w:val="nil"/>
                    <w:tr2bl w:val="nil"/>
                  </w:tcBorders>
                  <w:shd w:val="clear" w:color="auto" w:fill="auto"/>
                  <w:vAlign w:val="center"/>
                </w:tcPr>
                <w:p w14:paraId="0168FE42">
                  <w:pPr>
                    <w:pStyle w:val="40"/>
                    <w:bidi w:val="0"/>
                    <w:rPr>
                      <w:rFonts w:hint="default"/>
                      <w:color w:val="auto"/>
                      <w:highlight w:val="none"/>
                      <w:lang w:val="en-US" w:eastAsia="zh-CN"/>
                    </w:rPr>
                  </w:pPr>
                  <w:r>
                    <w:rPr>
                      <w:rFonts w:hint="default"/>
                      <w:color w:val="auto"/>
                      <w:highlight w:val="none"/>
                      <w:lang w:val="en-US" w:eastAsia="zh-CN"/>
                    </w:rPr>
                    <w:t>容积均为6m</w:t>
                  </w:r>
                  <w:r>
                    <w:rPr>
                      <w:rFonts w:hint="default"/>
                      <w:color w:val="auto"/>
                      <w:highlight w:val="none"/>
                      <w:vertAlign w:val="superscript"/>
                      <w:lang w:val="en-US" w:eastAsia="zh-CN"/>
                    </w:rPr>
                    <w:t>3</w:t>
                  </w:r>
                </w:p>
              </w:tc>
              <w:tc>
                <w:tcPr>
                  <w:tcW w:w="917" w:type="pct"/>
                  <w:tcBorders>
                    <w:tl2br w:val="nil"/>
                    <w:tr2bl w:val="nil"/>
                  </w:tcBorders>
                  <w:shd w:val="clear" w:color="auto" w:fill="auto"/>
                  <w:vAlign w:val="center"/>
                </w:tcPr>
                <w:p w14:paraId="641793AD">
                  <w:pPr>
                    <w:pStyle w:val="40"/>
                    <w:bidi w:val="0"/>
                    <w:rPr>
                      <w:rFonts w:hint="default"/>
                      <w:color w:val="auto"/>
                      <w:highlight w:val="none"/>
                      <w:lang w:val="en-US" w:eastAsia="zh-CN"/>
                    </w:rPr>
                  </w:pPr>
                  <w:r>
                    <w:rPr>
                      <w:rFonts w:hint="eastAsia"/>
                      <w:color w:val="auto"/>
                      <w:highlight w:val="none"/>
                      <w:lang w:val="en-US" w:eastAsia="zh-CN"/>
                    </w:rPr>
                    <w:t>4</w:t>
                  </w:r>
                  <w:r>
                    <w:rPr>
                      <w:rFonts w:hint="default"/>
                      <w:color w:val="auto"/>
                      <w:highlight w:val="none"/>
                      <w:lang w:val="en-US" w:eastAsia="zh-CN"/>
                    </w:rPr>
                    <w:t>个</w:t>
                  </w:r>
                </w:p>
              </w:tc>
            </w:tr>
            <w:tr w14:paraId="48EBD4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tcBorders>
                    <w:tl2br w:val="nil"/>
                    <w:tr2bl w:val="nil"/>
                  </w:tcBorders>
                  <w:shd w:val="clear" w:color="auto" w:fill="auto"/>
                  <w:vAlign w:val="center"/>
                </w:tcPr>
                <w:p w14:paraId="158D97B0">
                  <w:pPr>
                    <w:pStyle w:val="40"/>
                    <w:bidi w:val="0"/>
                    <w:rPr>
                      <w:rFonts w:hint="default"/>
                      <w:color w:val="auto"/>
                      <w:highlight w:val="none"/>
                      <w:lang w:val="en-US" w:eastAsia="zh-CN"/>
                    </w:rPr>
                  </w:pPr>
                  <w:r>
                    <w:rPr>
                      <w:rFonts w:hint="default"/>
                      <w:color w:val="auto"/>
                      <w:highlight w:val="none"/>
                      <w:lang w:val="en-US" w:eastAsia="zh-CN"/>
                    </w:rPr>
                    <w:t>11</w:t>
                  </w:r>
                </w:p>
              </w:tc>
              <w:tc>
                <w:tcPr>
                  <w:tcW w:w="951" w:type="pct"/>
                  <w:tcBorders>
                    <w:tl2br w:val="nil"/>
                    <w:tr2bl w:val="nil"/>
                  </w:tcBorders>
                  <w:shd w:val="clear" w:color="auto" w:fill="auto"/>
                  <w:vAlign w:val="center"/>
                </w:tcPr>
                <w:p w14:paraId="6CA38665">
                  <w:pPr>
                    <w:pStyle w:val="40"/>
                    <w:bidi w:val="0"/>
                    <w:rPr>
                      <w:rFonts w:hint="default"/>
                      <w:color w:val="auto"/>
                      <w:highlight w:val="none"/>
                      <w:lang w:val="en-US" w:eastAsia="zh-CN"/>
                    </w:rPr>
                  </w:pPr>
                  <w:r>
                    <w:rPr>
                      <w:rFonts w:hint="default"/>
                      <w:color w:val="auto"/>
                      <w:highlight w:val="none"/>
                      <w:lang w:val="en-US" w:eastAsia="zh-CN"/>
                    </w:rPr>
                    <w:t>混凝土料仓</w:t>
                  </w:r>
                </w:p>
              </w:tc>
              <w:tc>
                <w:tcPr>
                  <w:tcW w:w="2725" w:type="pct"/>
                  <w:tcBorders>
                    <w:tl2br w:val="nil"/>
                    <w:tr2bl w:val="nil"/>
                  </w:tcBorders>
                  <w:shd w:val="clear" w:color="auto" w:fill="auto"/>
                  <w:vAlign w:val="center"/>
                </w:tcPr>
                <w:p w14:paraId="05AB2BD3">
                  <w:pPr>
                    <w:pStyle w:val="40"/>
                    <w:bidi w:val="0"/>
                    <w:rPr>
                      <w:rFonts w:hint="default"/>
                      <w:color w:val="auto"/>
                      <w:highlight w:val="none"/>
                      <w:lang w:val="en-US" w:eastAsia="zh-CN"/>
                    </w:rPr>
                  </w:pPr>
                  <w:r>
                    <w:rPr>
                      <w:rFonts w:hint="default"/>
                      <w:color w:val="auto"/>
                      <w:highlight w:val="none"/>
                      <w:lang w:val="en-US" w:eastAsia="zh-CN"/>
                    </w:rPr>
                    <w:t>容积均为30m</w:t>
                  </w:r>
                  <w:r>
                    <w:rPr>
                      <w:rFonts w:hint="default"/>
                      <w:color w:val="auto"/>
                      <w:highlight w:val="none"/>
                      <w:vertAlign w:val="superscript"/>
                      <w:lang w:val="en-US" w:eastAsia="zh-CN"/>
                    </w:rPr>
                    <w:t>3</w:t>
                  </w:r>
                </w:p>
              </w:tc>
              <w:tc>
                <w:tcPr>
                  <w:tcW w:w="917" w:type="pct"/>
                  <w:tcBorders>
                    <w:tl2br w:val="nil"/>
                    <w:tr2bl w:val="nil"/>
                  </w:tcBorders>
                  <w:shd w:val="clear" w:color="auto" w:fill="auto"/>
                  <w:vAlign w:val="center"/>
                </w:tcPr>
                <w:p w14:paraId="388AB00E">
                  <w:pPr>
                    <w:pStyle w:val="40"/>
                    <w:bidi w:val="0"/>
                    <w:rPr>
                      <w:rFonts w:hint="default"/>
                      <w:color w:val="auto"/>
                      <w:highlight w:val="none"/>
                      <w:lang w:val="en-US" w:eastAsia="zh-CN"/>
                    </w:rPr>
                  </w:pPr>
                  <w:r>
                    <w:rPr>
                      <w:rFonts w:hint="default"/>
                      <w:color w:val="auto"/>
                      <w:highlight w:val="none"/>
                      <w:lang w:val="en-US" w:eastAsia="zh-CN"/>
                    </w:rPr>
                    <w:t>4个</w:t>
                  </w:r>
                </w:p>
              </w:tc>
            </w:tr>
            <w:tr w14:paraId="5B316D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tcBorders>
                    <w:tl2br w:val="nil"/>
                    <w:tr2bl w:val="nil"/>
                  </w:tcBorders>
                  <w:shd w:val="clear" w:color="auto" w:fill="auto"/>
                  <w:vAlign w:val="center"/>
                </w:tcPr>
                <w:p w14:paraId="655F3496">
                  <w:pPr>
                    <w:pStyle w:val="40"/>
                    <w:bidi w:val="0"/>
                    <w:rPr>
                      <w:rFonts w:hint="default"/>
                      <w:color w:val="auto"/>
                      <w:highlight w:val="none"/>
                      <w:lang w:val="en-US" w:eastAsia="zh-CN"/>
                    </w:rPr>
                  </w:pPr>
                  <w:r>
                    <w:rPr>
                      <w:rFonts w:hint="default"/>
                      <w:color w:val="auto"/>
                      <w:highlight w:val="none"/>
                      <w:lang w:val="en-US" w:eastAsia="zh-CN"/>
                    </w:rPr>
                    <w:t>12</w:t>
                  </w:r>
                </w:p>
              </w:tc>
              <w:tc>
                <w:tcPr>
                  <w:tcW w:w="951" w:type="pct"/>
                  <w:tcBorders>
                    <w:tl2br w:val="nil"/>
                    <w:tr2bl w:val="nil"/>
                  </w:tcBorders>
                  <w:shd w:val="clear" w:color="auto" w:fill="auto"/>
                  <w:vAlign w:val="center"/>
                </w:tcPr>
                <w:p w14:paraId="169D5C7C">
                  <w:pPr>
                    <w:pStyle w:val="40"/>
                    <w:bidi w:val="0"/>
                    <w:rPr>
                      <w:rFonts w:hint="default"/>
                      <w:color w:val="auto"/>
                      <w:highlight w:val="none"/>
                      <w:lang w:val="en-US" w:eastAsia="zh-CN"/>
                    </w:rPr>
                  </w:pPr>
                  <w:r>
                    <w:rPr>
                      <w:rFonts w:hint="default"/>
                      <w:color w:val="auto"/>
                      <w:highlight w:val="none"/>
                      <w:lang w:val="en-US" w:eastAsia="zh-CN"/>
                    </w:rPr>
                    <w:t>计量系统</w:t>
                  </w:r>
                </w:p>
              </w:tc>
              <w:tc>
                <w:tcPr>
                  <w:tcW w:w="2725" w:type="pct"/>
                  <w:tcBorders>
                    <w:tl2br w:val="nil"/>
                    <w:tr2bl w:val="nil"/>
                  </w:tcBorders>
                  <w:shd w:val="clear" w:color="auto" w:fill="auto"/>
                  <w:vAlign w:val="center"/>
                </w:tcPr>
                <w:p w14:paraId="4233ADA3">
                  <w:pPr>
                    <w:pStyle w:val="40"/>
                    <w:bidi w:val="0"/>
                    <w:rPr>
                      <w:rFonts w:hint="default"/>
                      <w:color w:val="auto"/>
                      <w:highlight w:val="none"/>
                      <w:lang w:val="en-US" w:eastAsia="zh-CN"/>
                    </w:rPr>
                  </w:pPr>
                  <w:r>
                    <w:rPr>
                      <w:rFonts w:hint="default"/>
                      <w:color w:val="auto"/>
                      <w:highlight w:val="none"/>
                      <w:lang w:val="en-US" w:eastAsia="zh-CN"/>
                    </w:rPr>
                    <w:t>/</w:t>
                  </w:r>
                </w:p>
              </w:tc>
              <w:tc>
                <w:tcPr>
                  <w:tcW w:w="917" w:type="pct"/>
                  <w:tcBorders>
                    <w:tl2br w:val="nil"/>
                    <w:tr2bl w:val="nil"/>
                  </w:tcBorders>
                  <w:shd w:val="clear" w:color="auto" w:fill="auto"/>
                  <w:vAlign w:val="center"/>
                </w:tcPr>
                <w:p w14:paraId="17B7EC1C">
                  <w:pPr>
                    <w:pStyle w:val="40"/>
                    <w:bidi w:val="0"/>
                    <w:rPr>
                      <w:rFonts w:hint="default"/>
                      <w:color w:val="auto"/>
                      <w:highlight w:val="none"/>
                      <w:lang w:val="en-US" w:eastAsia="zh-CN"/>
                    </w:rPr>
                  </w:pPr>
                  <w:r>
                    <w:rPr>
                      <w:rFonts w:hint="default"/>
                      <w:color w:val="auto"/>
                      <w:highlight w:val="none"/>
                      <w:lang w:val="en-US" w:eastAsia="zh-CN"/>
                    </w:rPr>
                    <w:t>2套</w:t>
                  </w:r>
                </w:p>
              </w:tc>
            </w:tr>
            <w:tr w14:paraId="334B02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tcBorders>
                    <w:tl2br w:val="nil"/>
                    <w:tr2bl w:val="nil"/>
                  </w:tcBorders>
                  <w:shd w:val="clear" w:color="auto" w:fill="auto"/>
                  <w:vAlign w:val="center"/>
                </w:tcPr>
                <w:p w14:paraId="59A07FF4">
                  <w:pPr>
                    <w:pStyle w:val="40"/>
                    <w:bidi w:val="0"/>
                    <w:rPr>
                      <w:rFonts w:hint="default"/>
                      <w:color w:val="auto"/>
                      <w:highlight w:val="none"/>
                      <w:lang w:val="en-US" w:eastAsia="zh-CN"/>
                    </w:rPr>
                  </w:pPr>
                  <w:r>
                    <w:rPr>
                      <w:rFonts w:hint="default"/>
                      <w:color w:val="auto"/>
                      <w:highlight w:val="none"/>
                      <w:lang w:val="en-US" w:eastAsia="zh-CN"/>
                    </w:rPr>
                    <w:t>13</w:t>
                  </w:r>
                </w:p>
              </w:tc>
              <w:tc>
                <w:tcPr>
                  <w:tcW w:w="951" w:type="pct"/>
                  <w:tcBorders>
                    <w:tl2br w:val="nil"/>
                    <w:tr2bl w:val="nil"/>
                  </w:tcBorders>
                  <w:shd w:val="clear" w:color="auto" w:fill="auto"/>
                  <w:vAlign w:val="center"/>
                </w:tcPr>
                <w:p w14:paraId="6EFA43E5">
                  <w:pPr>
                    <w:pStyle w:val="40"/>
                    <w:bidi w:val="0"/>
                    <w:rPr>
                      <w:rFonts w:hint="default"/>
                      <w:color w:val="auto"/>
                      <w:highlight w:val="none"/>
                      <w:lang w:val="en-US" w:eastAsia="zh-CN"/>
                    </w:rPr>
                  </w:pPr>
                  <w:r>
                    <w:rPr>
                      <w:rFonts w:hint="default"/>
                      <w:color w:val="auto"/>
                      <w:highlight w:val="none"/>
                      <w:lang w:val="en-US" w:eastAsia="zh-CN"/>
                    </w:rPr>
                    <w:t>装载机</w:t>
                  </w:r>
                </w:p>
              </w:tc>
              <w:tc>
                <w:tcPr>
                  <w:tcW w:w="2725" w:type="pct"/>
                  <w:tcBorders>
                    <w:tl2br w:val="nil"/>
                    <w:tr2bl w:val="nil"/>
                  </w:tcBorders>
                  <w:shd w:val="clear" w:color="auto" w:fill="auto"/>
                  <w:vAlign w:val="center"/>
                </w:tcPr>
                <w:p w14:paraId="6E0106EE">
                  <w:pPr>
                    <w:pStyle w:val="40"/>
                    <w:bidi w:val="0"/>
                    <w:rPr>
                      <w:rFonts w:hint="default"/>
                      <w:color w:val="auto"/>
                      <w:highlight w:val="none"/>
                      <w:lang w:val="en-US" w:eastAsia="zh-CN"/>
                    </w:rPr>
                  </w:pPr>
                  <w:r>
                    <w:rPr>
                      <w:rFonts w:hint="default"/>
                      <w:color w:val="auto"/>
                      <w:highlight w:val="none"/>
                      <w:lang w:val="en-US" w:eastAsia="zh-CN"/>
                    </w:rPr>
                    <w:t>/</w:t>
                  </w:r>
                </w:p>
              </w:tc>
              <w:tc>
                <w:tcPr>
                  <w:tcW w:w="917" w:type="pct"/>
                  <w:tcBorders>
                    <w:tl2br w:val="nil"/>
                    <w:tr2bl w:val="nil"/>
                  </w:tcBorders>
                  <w:shd w:val="clear" w:color="auto" w:fill="auto"/>
                  <w:vAlign w:val="center"/>
                </w:tcPr>
                <w:p w14:paraId="305879F6">
                  <w:pPr>
                    <w:pStyle w:val="40"/>
                    <w:bidi w:val="0"/>
                    <w:rPr>
                      <w:rFonts w:hint="default"/>
                      <w:color w:val="auto"/>
                      <w:highlight w:val="none"/>
                      <w:lang w:val="en-US" w:eastAsia="zh-CN"/>
                    </w:rPr>
                  </w:pPr>
                  <w:r>
                    <w:rPr>
                      <w:rFonts w:hint="default"/>
                      <w:color w:val="auto"/>
                      <w:highlight w:val="none"/>
                      <w:lang w:val="en-US" w:eastAsia="zh-CN"/>
                    </w:rPr>
                    <w:t>1台</w:t>
                  </w:r>
                </w:p>
              </w:tc>
            </w:tr>
            <w:tr w14:paraId="01C0D0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tcBorders>
                    <w:tl2br w:val="nil"/>
                    <w:tr2bl w:val="nil"/>
                  </w:tcBorders>
                  <w:shd w:val="clear" w:color="auto" w:fill="auto"/>
                  <w:vAlign w:val="center"/>
                </w:tcPr>
                <w:p w14:paraId="08A86D82">
                  <w:pPr>
                    <w:pStyle w:val="40"/>
                    <w:bidi w:val="0"/>
                    <w:rPr>
                      <w:rFonts w:hint="default"/>
                      <w:color w:val="auto"/>
                      <w:highlight w:val="none"/>
                      <w:lang w:val="en-US" w:eastAsia="zh-CN"/>
                    </w:rPr>
                  </w:pPr>
                  <w:r>
                    <w:rPr>
                      <w:rFonts w:hint="default"/>
                      <w:color w:val="auto"/>
                      <w:highlight w:val="none"/>
                      <w:lang w:val="en-US" w:eastAsia="zh-CN"/>
                    </w:rPr>
                    <w:t>14</w:t>
                  </w:r>
                </w:p>
              </w:tc>
              <w:tc>
                <w:tcPr>
                  <w:tcW w:w="951" w:type="pct"/>
                  <w:tcBorders>
                    <w:tl2br w:val="nil"/>
                    <w:tr2bl w:val="nil"/>
                  </w:tcBorders>
                  <w:shd w:val="clear" w:color="auto" w:fill="auto"/>
                  <w:vAlign w:val="center"/>
                </w:tcPr>
                <w:p w14:paraId="2EBB7A22">
                  <w:pPr>
                    <w:pStyle w:val="40"/>
                    <w:bidi w:val="0"/>
                    <w:rPr>
                      <w:rFonts w:hint="default"/>
                      <w:color w:val="auto"/>
                      <w:highlight w:val="none"/>
                      <w:lang w:val="en-US" w:eastAsia="zh-CN"/>
                    </w:rPr>
                  </w:pPr>
                  <w:r>
                    <w:rPr>
                      <w:rFonts w:hint="default"/>
                      <w:color w:val="auto"/>
                      <w:highlight w:val="none"/>
                      <w:lang w:val="en-US" w:eastAsia="zh-CN"/>
                    </w:rPr>
                    <w:t>砂石分离机</w:t>
                  </w:r>
                </w:p>
              </w:tc>
              <w:tc>
                <w:tcPr>
                  <w:tcW w:w="2725" w:type="pct"/>
                  <w:tcBorders>
                    <w:tl2br w:val="nil"/>
                    <w:tr2bl w:val="nil"/>
                  </w:tcBorders>
                  <w:shd w:val="clear" w:color="auto" w:fill="auto"/>
                  <w:vAlign w:val="center"/>
                </w:tcPr>
                <w:p w14:paraId="1FD21D81">
                  <w:pPr>
                    <w:pStyle w:val="40"/>
                    <w:bidi w:val="0"/>
                    <w:rPr>
                      <w:rFonts w:hint="default"/>
                      <w:color w:val="auto"/>
                      <w:highlight w:val="none"/>
                      <w:lang w:val="en-US" w:eastAsia="zh-CN"/>
                    </w:rPr>
                  </w:pPr>
                  <w:r>
                    <w:rPr>
                      <w:rFonts w:hint="default"/>
                      <w:color w:val="auto"/>
                      <w:highlight w:val="none"/>
                      <w:lang w:val="en-US" w:eastAsia="zh-CN"/>
                    </w:rPr>
                    <w:t>/</w:t>
                  </w:r>
                </w:p>
              </w:tc>
              <w:tc>
                <w:tcPr>
                  <w:tcW w:w="917" w:type="pct"/>
                  <w:tcBorders>
                    <w:tl2br w:val="nil"/>
                    <w:tr2bl w:val="nil"/>
                  </w:tcBorders>
                  <w:shd w:val="clear" w:color="auto" w:fill="auto"/>
                  <w:vAlign w:val="center"/>
                </w:tcPr>
                <w:p w14:paraId="2872FFE9">
                  <w:pPr>
                    <w:pStyle w:val="40"/>
                    <w:bidi w:val="0"/>
                    <w:rPr>
                      <w:rFonts w:hint="default"/>
                      <w:color w:val="auto"/>
                      <w:highlight w:val="none"/>
                      <w:lang w:val="en-US" w:eastAsia="zh-CN"/>
                    </w:rPr>
                  </w:pPr>
                  <w:r>
                    <w:rPr>
                      <w:rFonts w:hint="default"/>
                      <w:color w:val="auto"/>
                      <w:highlight w:val="none"/>
                      <w:lang w:val="en-US" w:eastAsia="zh-CN"/>
                    </w:rPr>
                    <w:t>1台</w:t>
                  </w:r>
                </w:p>
              </w:tc>
            </w:tr>
            <w:tr w14:paraId="5BD6FF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tcBorders>
                    <w:tl2br w:val="nil"/>
                    <w:tr2bl w:val="nil"/>
                  </w:tcBorders>
                  <w:shd w:val="clear" w:color="auto" w:fill="auto"/>
                  <w:vAlign w:val="center"/>
                </w:tcPr>
                <w:p w14:paraId="1AB7563E">
                  <w:pPr>
                    <w:pStyle w:val="40"/>
                    <w:bidi w:val="0"/>
                    <w:rPr>
                      <w:rFonts w:hint="default"/>
                      <w:color w:val="auto"/>
                      <w:highlight w:val="none"/>
                      <w:lang w:val="en-US" w:eastAsia="zh-CN"/>
                    </w:rPr>
                  </w:pPr>
                  <w:r>
                    <w:rPr>
                      <w:rFonts w:hint="eastAsia"/>
                      <w:color w:val="auto"/>
                      <w:highlight w:val="none"/>
                      <w:lang w:val="en-US" w:eastAsia="zh-CN"/>
                    </w:rPr>
                    <w:t>15</w:t>
                  </w:r>
                </w:p>
              </w:tc>
              <w:tc>
                <w:tcPr>
                  <w:tcW w:w="951" w:type="pct"/>
                  <w:tcBorders>
                    <w:tl2br w:val="nil"/>
                    <w:tr2bl w:val="nil"/>
                  </w:tcBorders>
                  <w:shd w:val="clear" w:color="auto" w:fill="auto"/>
                  <w:vAlign w:val="center"/>
                </w:tcPr>
                <w:p w14:paraId="07112185">
                  <w:pPr>
                    <w:pStyle w:val="40"/>
                    <w:bidi w:val="0"/>
                    <w:rPr>
                      <w:rFonts w:hint="default"/>
                      <w:color w:val="auto"/>
                      <w:highlight w:val="none"/>
                      <w:lang w:val="en-US" w:eastAsia="zh-CN"/>
                    </w:rPr>
                  </w:pPr>
                  <w:r>
                    <w:rPr>
                      <w:rFonts w:hint="eastAsia"/>
                      <w:color w:val="auto"/>
                      <w:highlight w:val="none"/>
                    </w:rPr>
                    <w:t>地磅</w:t>
                  </w:r>
                </w:p>
              </w:tc>
              <w:tc>
                <w:tcPr>
                  <w:tcW w:w="2725" w:type="pct"/>
                  <w:tcBorders>
                    <w:tl2br w:val="nil"/>
                    <w:tr2bl w:val="nil"/>
                  </w:tcBorders>
                  <w:shd w:val="clear" w:color="auto" w:fill="auto"/>
                  <w:vAlign w:val="center"/>
                </w:tcPr>
                <w:p w14:paraId="29DFC942">
                  <w:pPr>
                    <w:pStyle w:val="40"/>
                    <w:bidi w:val="0"/>
                    <w:rPr>
                      <w:rFonts w:hint="default"/>
                      <w:color w:val="auto"/>
                      <w:highlight w:val="none"/>
                      <w:lang w:val="en-US" w:eastAsia="zh-CN"/>
                    </w:rPr>
                  </w:pPr>
                  <w:r>
                    <w:rPr>
                      <w:rFonts w:hint="eastAsia"/>
                      <w:color w:val="auto"/>
                      <w:highlight w:val="none"/>
                      <w:lang w:val="en-US" w:eastAsia="zh-CN"/>
                    </w:rPr>
                    <w:t>电子式</w:t>
                  </w:r>
                </w:p>
              </w:tc>
              <w:tc>
                <w:tcPr>
                  <w:tcW w:w="917" w:type="pct"/>
                  <w:tcBorders>
                    <w:tl2br w:val="nil"/>
                    <w:tr2bl w:val="nil"/>
                  </w:tcBorders>
                  <w:shd w:val="clear" w:color="auto" w:fill="auto"/>
                  <w:vAlign w:val="center"/>
                </w:tcPr>
                <w:p w14:paraId="0068B796">
                  <w:pPr>
                    <w:pStyle w:val="40"/>
                    <w:bidi w:val="0"/>
                    <w:rPr>
                      <w:rFonts w:hint="default"/>
                      <w:color w:val="auto"/>
                      <w:highlight w:val="none"/>
                      <w:lang w:val="en-US" w:eastAsia="zh-CN"/>
                    </w:rPr>
                  </w:pPr>
                  <w:r>
                    <w:rPr>
                      <w:rFonts w:hint="default"/>
                      <w:color w:val="auto"/>
                      <w:highlight w:val="none"/>
                      <w:lang w:val="en-US" w:eastAsia="zh-CN"/>
                    </w:rPr>
                    <w:t>1台</w:t>
                  </w:r>
                </w:p>
              </w:tc>
            </w:tr>
          </w:tbl>
          <w:p w14:paraId="59F31CB1">
            <w:pPr>
              <w:pStyle w:val="41"/>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color w:val="auto"/>
                <w:highlight w:val="none"/>
                <w:lang w:val="en-US" w:eastAsia="zh-CN"/>
              </w:rPr>
            </w:pPr>
            <w:r>
              <w:rPr>
                <w:rFonts w:hint="eastAsia"/>
                <w:color w:val="auto"/>
                <w:highlight w:val="none"/>
                <w:lang w:val="en-US" w:eastAsia="zh-CN"/>
              </w:rPr>
              <w:t>三、项目产品方案</w:t>
            </w:r>
          </w:p>
          <w:p w14:paraId="0422A01F">
            <w:pPr>
              <w:pStyle w:val="41"/>
              <w:bidi w:val="0"/>
              <w:rPr>
                <w:rFonts w:hint="default"/>
                <w:color w:val="auto"/>
                <w:highlight w:val="none"/>
                <w:lang w:val="en-US" w:eastAsia="zh-CN"/>
              </w:rPr>
            </w:pPr>
            <w:r>
              <w:rPr>
                <w:rFonts w:hint="eastAsia"/>
                <w:color w:val="auto"/>
                <w:highlight w:val="none"/>
                <w:lang w:val="en-US" w:eastAsia="zh-CN"/>
              </w:rPr>
              <w:t>1、蒸压硅酸盐功能骨料生产线</w:t>
            </w:r>
          </w:p>
          <w:p w14:paraId="4A620DAE">
            <w:pPr>
              <w:pStyle w:val="41"/>
              <w:bidi w:val="0"/>
              <w:rPr>
                <w:rFonts w:hint="default"/>
                <w:color w:val="auto"/>
                <w:highlight w:val="none"/>
                <w:lang w:val="en-US" w:eastAsia="zh-CN"/>
              </w:rPr>
            </w:pPr>
            <w:r>
              <w:rPr>
                <w:rFonts w:hint="eastAsia"/>
                <w:color w:val="auto"/>
                <w:highlight w:val="none"/>
                <w:lang w:val="en-US" w:eastAsia="zh-CN"/>
              </w:rPr>
              <w:t>（1）产品方案</w:t>
            </w:r>
          </w:p>
          <w:p w14:paraId="18055A4A">
            <w:pPr>
              <w:pStyle w:val="8"/>
              <w:ind w:firstLine="420"/>
              <w:rPr>
                <w:rFonts w:hint="default" w:eastAsia="宋体"/>
                <w:color w:val="auto"/>
                <w:highlight w:val="none"/>
                <w:lang w:val="en-US" w:eastAsia="zh-CN"/>
              </w:rPr>
            </w:pPr>
            <w:r>
              <w:rPr>
                <w:rFonts w:hint="eastAsia"/>
                <w:color w:val="auto"/>
                <w:highlight w:val="none"/>
              </w:rPr>
              <w:t>随着建筑材料的发展革新，</w:t>
            </w:r>
            <w:r>
              <w:rPr>
                <w:rFonts w:hint="eastAsia"/>
                <w:color w:val="auto"/>
                <w:highlight w:val="none"/>
                <w:lang w:val="en-US" w:eastAsia="zh-CN"/>
              </w:rPr>
              <w:t>蒸压硅酸盐功能骨料</w:t>
            </w:r>
            <w:r>
              <w:rPr>
                <w:rFonts w:hint="eastAsia"/>
                <w:color w:val="auto"/>
                <w:highlight w:val="none"/>
              </w:rPr>
              <w:t>以其优异的性能，广泛应用于</w:t>
            </w:r>
            <w:r>
              <w:rPr>
                <w:rFonts w:hint="eastAsia"/>
                <w:color w:val="auto"/>
                <w:highlight w:val="none"/>
                <w:lang w:val="en-US" w:eastAsia="zh-CN"/>
              </w:rPr>
              <w:t>轻骨料</w:t>
            </w:r>
            <w:r>
              <w:rPr>
                <w:rFonts w:hint="eastAsia"/>
                <w:color w:val="auto"/>
                <w:highlight w:val="none"/>
              </w:rPr>
              <w:t>混凝土、节能保温工程、装配式建筑、地坪装饰材料、</w:t>
            </w:r>
            <w:r>
              <w:rPr>
                <w:rFonts w:hint="eastAsia"/>
                <w:color w:val="auto"/>
                <w:highlight w:val="none"/>
                <w:lang w:val="en-US" w:eastAsia="zh-CN"/>
              </w:rPr>
              <w:t>超高性能混凝土及高延性混凝土、</w:t>
            </w:r>
            <w:r>
              <w:rPr>
                <w:rFonts w:hint="eastAsia"/>
                <w:color w:val="auto"/>
                <w:highlight w:val="none"/>
              </w:rPr>
              <w:t>园林绿化、污水处理各种工程及领域</w:t>
            </w:r>
            <w:r>
              <w:rPr>
                <w:rFonts w:hint="eastAsia"/>
                <w:color w:val="auto"/>
                <w:highlight w:val="none"/>
                <w:lang w:eastAsia="zh-CN"/>
              </w:rPr>
              <w:t>，</w:t>
            </w:r>
            <w:r>
              <w:rPr>
                <w:rFonts w:hint="eastAsia"/>
                <w:color w:val="auto"/>
                <w:highlight w:val="none"/>
                <w:lang w:val="en-US" w:eastAsia="zh-CN"/>
              </w:rPr>
              <w:t>具体应用场景见附图4</w:t>
            </w:r>
            <w:r>
              <w:rPr>
                <w:rFonts w:hint="eastAsia"/>
                <w:color w:val="auto"/>
                <w:highlight w:val="none"/>
              </w:rPr>
              <w:t>。</w:t>
            </w:r>
          </w:p>
          <w:p w14:paraId="59555468">
            <w:pPr>
              <w:pStyle w:val="8"/>
              <w:ind w:firstLine="420"/>
              <w:rPr>
                <w:color w:val="auto"/>
                <w:highlight w:val="none"/>
              </w:rPr>
            </w:pPr>
            <w:r>
              <w:rPr>
                <w:rFonts w:hint="eastAsia"/>
                <w:color w:val="auto"/>
                <w:highlight w:val="none"/>
              </w:rPr>
              <w:t>蒸压硅酸盐功能骨料属于工业废渣轻集料，《轻集料及其试验方法 第1部分：轻集料》（GB/T 17431.1-2010）适用于“混凝土用的轻集料，主要包括人造轻集料、工业废渣轻集料”，因此本项目产品适用该标准，是可大量消纳固废的绿色环保新材料。项目产品方案及生产规模详见</w:t>
            </w:r>
            <w:r>
              <w:rPr>
                <w:rFonts w:hint="eastAsia"/>
                <w:color w:val="auto"/>
                <w:highlight w:val="none"/>
                <w:lang w:eastAsia="zh-CN"/>
              </w:rPr>
              <w:fldChar w:fldCharType="begin"/>
            </w:r>
            <w:r>
              <w:rPr>
                <w:rFonts w:hint="eastAsia"/>
                <w:color w:val="auto"/>
                <w:highlight w:val="none"/>
                <w:lang w:eastAsia="zh-CN"/>
              </w:rPr>
              <w:instrText xml:space="preserve"> REF _Ref5326 \h </w:instrText>
            </w:r>
            <w:r>
              <w:rPr>
                <w:rFonts w:hint="eastAsia"/>
                <w:color w:val="auto"/>
                <w:highlight w:val="none"/>
                <w:lang w:eastAsia="zh-CN"/>
              </w:rPr>
              <w:fldChar w:fldCharType="separate"/>
            </w:r>
            <w:r>
              <w:rPr>
                <w:color w:val="auto"/>
                <w:highlight w:val="none"/>
              </w:rPr>
              <w:t>表2-4</w:t>
            </w:r>
            <w:r>
              <w:rPr>
                <w:rFonts w:hint="eastAsia"/>
                <w:color w:val="auto"/>
                <w:highlight w:val="none"/>
                <w:lang w:eastAsia="zh-CN"/>
              </w:rPr>
              <w:fldChar w:fldCharType="end"/>
            </w:r>
            <w:r>
              <w:rPr>
                <w:rFonts w:hint="eastAsia"/>
                <w:color w:val="auto"/>
                <w:highlight w:val="none"/>
              </w:rPr>
              <w:t>。</w:t>
            </w:r>
          </w:p>
          <w:p w14:paraId="4623460E">
            <w:pPr>
              <w:pStyle w:val="7"/>
              <w:bidi w:val="0"/>
              <w:rPr>
                <w:rFonts w:hint="default"/>
                <w:color w:val="auto"/>
                <w:highlight w:val="none"/>
                <w:lang w:val="en-US" w:eastAsia="zh-CN"/>
              </w:rPr>
            </w:pPr>
            <w:bookmarkStart w:id="12" w:name="_Ref5326"/>
            <w:r>
              <w:rPr>
                <w:color w:val="auto"/>
                <w:highlight w:val="none"/>
              </w:rPr>
              <w:t>表2-</w:t>
            </w:r>
            <w:r>
              <w:rPr>
                <w:color w:val="auto"/>
                <w:highlight w:val="none"/>
              </w:rPr>
              <w:fldChar w:fldCharType="begin"/>
            </w:r>
            <w:r>
              <w:rPr>
                <w:color w:val="auto"/>
                <w:highlight w:val="none"/>
              </w:rPr>
              <w:instrText xml:space="preserve"> SEQ 表2- \* ARABIC </w:instrText>
            </w:r>
            <w:r>
              <w:rPr>
                <w:color w:val="auto"/>
                <w:highlight w:val="none"/>
              </w:rPr>
              <w:fldChar w:fldCharType="separate"/>
            </w:r>
            <w:r>
              <w:rPr>
                <w:color w:val="auto"/>
                <w:highlight w:val="none"/>
              </w:rPr>
              <w:t>4</w:t>
            </w:r>
            <w:r>
              <w:rPr>
                <w:color w:val="auto"/>
                <w:highlight w:val="none"/>
              </w:rPr>
              <w:fldChar w:fldCharType="end"/>
            </w:r>
            <w:bookmarkEnd w:id="12"/>
            <w:r>
              <w:rPr>
                <w:rFonts w:hint="eastAsia"/>
                <w:color w:val="auto"/>
                <w:highlight w:val="none"/>
                <w:lang w:val="en-US" w:eastAsia="zh-CN"/>
              </w:rPr>
              <w:t xml:space="preserve">  蒸压硅酸盐功能骨料</w:t>
            </w:r>
            <w:r>
              <w:rPr>
                <w:color w:val="auto"/>
                <w:highlight w:val="none"/>
                <w:lang w:val="zh-CN"/>
              </w:rPr>
              <w:t>产品方案一览表</w:t>
            </w:r>
          </w:p>
          <w:tbl>
            <w:tblPr>
              <w:tblStyle w:val="24"/>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063"/>
              <w:gridCol w:w="1682"/>
              <w:gridCol w:w="1685"/>
              <w:gridCol w:w="1296"/>
              <w:gridCol w:w="1632"/>
            </w:tblGrid>
            <w:tr w14:paraId="23B3FD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34" w:type="pct"/>
                  <w:tcBorders>
                    <w:tl2br w:val="nil"/>
                    <w:tr2bl w:val="nil"/>
                  </w:tcBorders>
                  <w:noWrap w:val="0"/>
                  <w:vAlign w:val="center"/>
                </w:tcPr>
                <w:p w14:paraId="616BCFE6">
                  <w:pPr>
                    <w:pStyle w:val="40"/>
                    <w:bidi w:val="0"/>
                    <w:rPr>
                      <w:rFonts w:hint="default"/>
                      <w:color w:val="auto"/>
                      <w:highlight w:val="none"/>
                      <w:lang w:val="en-US" w:eastAsia="zh-CN"/>
                    </w:rPr>
                  </w:pPr>
                  <w:r>
                    <w:rPr>
                      <w:rFonts w:hint="eastAsia"/>
                      <w:color w:val="auto"/>
                      <w:highlight w:val="none"/>
                      <w:lang w:val="en-US" w:eastAsia="zh-CN"/>
                    </w:rPr>
                    <w:t>产品名称</w:t>
                  </w:r>
                </w:p>
              </w:tc>
              <w:tc>
                <w:tcPr>
                  <w:tcW w:w="2014" w:type="pct"/>
                  <w:gridSpan w:val="2"/>
                  <w:tcBorders>
                    <w:tl2br w:val="nil"/>
                    <w:tr2bl w:val="nil"/>
                  </w:tcBorders>
                  <w:noWrap w:val="0"/>
                  <w:vAlign w:val="center"/>
                </w:tcPr>
                <w:p w14:paraId="00530485">
                  <w:pPr>
                    <w:pStyle w:val="40"/>
                    <w:bidi w:val="0"/>
                    <w:rPr>
                      <w:rFonts w:hint="default"/>
                      <w:color w:val="auto"/>
                      <w:highlight w:val="none"/>
                      <w:lang w:val="en-US" w:eastAsia="zh-CN"/>
                    </w:rPr>
                  </w:pPr>
                  <w:r>
                    <w:rPr>
                      <w:rFonts w:hint="eastAsia"/>
                      <w:color w:val="auto"/>
                      <w:highlight w:val="none"/>
                      <w:lang w:val="en-US" w:eastAsia="zh-CN"/>
                    </w:rPr>
                    <w:t>产品规格</w:t>
                  </w:r>
                </w:p>
              </w:tc>
              <w:tc>
                <w:tcPr>
                  <w:tcW w:w="775" w:type="pct"/>
                  <w:tcBorders>
                    <w:tl2br w:val="nil"/>
                    <w:tr2bl w:val="nil"/>
                  </w:tcBorders>
                  <w:noWrap w:val="0"/>
                  <w:vAlign w:val="center"/>
                </w:tcPr>
                <w:p w14:paraId="77E14EEE">
                  <w:pPr>
                    <w:pStyle w:val="40"/>
                    <w:bidi w:val="0"/>
                    <w:rPr>
                      <w:rFonts w:hint="default"/>
                      <w:color w:val="auto"/>
                      <w:highlight w:val="none"/>
                    </w:rPr>
                  </w:pPr>
                  <w:r>
                    <w:rPr>
                      <w:rFonts w:hint="default"/>
                      <w:color w:val="auto"/>
                      <w:highlight w:val="none"/>
                    </w:rPr>
                    <w:t>生产规模</w:t>
                  </w:r>
                </w:p>
              </w:tc>
              <w:tc>
                <w:tcPr>
                  <w:tcW w:w="976" w:type="pct"/>
                  <w:tcBorders>
                    <w:tl2br w:val="nil"/>
                    <w:tr2bl w:val="nil"/>
                  </w:tcBorders>
                  <w:noWrap w:val="0"/>
                  <w:vAlign w:val="center"/>
                </w:tcPr>
                <w:p w14:paraId="66A3097E">
                  <w:pPr>
                    <w:pStyle w:val="40"/>
                    <w:bidi w:val="0"/>
                    <w:rPr>
                      <w:rFonts w:hint="eastAsia"/>
                      <w:color w:val="auto"/>
                      <w:highlight w:val="none"/>
                      <w:lang w:val="en-US" w:eastAsia="zh-CN"/>
                    </w:rPr>
                  </w:pPr>
                  <w:r>
                    <w:rPr>
                      <w:rFonts w:hint="eastAsia"/>
                      <w:color w:val="auto"/>
                      <w:highlight w:val="none"/>
                      <w:lang w:val="en-US" w:eastAsia="zh-CN"/>
                    </w:rPr>
                    <w:t>备注</w:t>
                  </w:r>
                </w:p>
              </w:tc>
            </w:tr>
            <w:tr w14:paraId="180ADA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1234" w:type="pct"/>
                  <w:vMerge w:val="restart"/>
                  <w:tcBorders>
                    <w:tl2br w:val="nil"/>
                    <w:tr2bl w:val="nil"/>
                  </w:tcBorders>
                  <w:noWrap w:val="0"/>
                  <w:vAlign w:val="center"/>
                </w:tcPr>
                <w:p w14:paraId="00E4F8FD">
                  <w:pPr>
                    <w:pStyle w:val="40"/>
                    <w:bidi w:val="0"/>
                    <w:rPr>
                      <w:rFonts w:hint="default"/>
                      <w:color w:val="auto"/>
                      <w:highlight w:val="none"/>
                      <w:lang w:val="en-US" w:eastAsia="zh-CN"/>
                    </w:rPr>
                  </w:pPr>
                  <w:r>
                    <w:rPr>
                      <w:rFonts w:hint="eastAsia"/>
                      <w:color w:val="auto"/>
                      <w:highlight w:val="none"/>
                      <w:lang w:val="en-US" w:eastAsia="zh-CN"/>
                    </w:rPr>
                    <w:t>蒸压硅酸盐功能骨料</w:t>
                  </w:r>
                </w:p>
              </w:tc>
              <w:tc>
                <w:tcPr>
                  <w:tcW w:w="1006" w:type="pct"/>
                  <w:tcBorders>
                    <w:tl2br w:val="nil"/>
                    <w:tr2bl w:val="nil"/>
                  </w:tcBorders>
                  <w:noWrap w:val="0"/>
                  <w:vAlign w:val="center"/>
                </w:tcPr>
                <w:p w14:paraId="61E4A49C">
                  <w:pPr>
                    <w:pStyle w:val="40"/>
                    <w:bidi w:val="0"/>
                    <w:rPr>
                      <w:rFonts w:hint="default"/>
                      <w:color w:val="auto"/>
                      <w:highlight w:val="none"/>
                    </w:rPr>
                  </w:pPr>
                  <w:r>
                    <w:rPr>
                      <w:rFonts w:hint="default"/>
                      <w:color w:val="auto"/>
                      <w:highlight w:val="none"/>
                    </w:rPr>
                    <w:t>产品规格</w:t>
                  </w:r>
                </w:p>
              </w:tc>
              <w:tc>
                <w:tcPr>
                  <w:tcW w:w="1008" w:type="pct"/>
                  <w:tcBorders>
                    <w:tl2br w:val="nil"/>
                    <w:tr2bl w:val="nil"/>
                  </w:tcBorders>
                  <w:noWrap w:val="0"/>
                  <w:vAlign w:val="center"/>
                </w:tcPr>
                <w:p w14:paraId="1F28DAAC">
                  <w:pPr>
                    <w:pStyle w:val="40"/>
                    <w:bidi w:val="0"/>
                    <w:rPr>
                      <w:rFonts w:hint="eastAsia"/>
                      <w:color w:val="auto"/>
                      <w:highlight w:val="none"/>
                      <w:lang w:val="en-US" w:eastAsia="zh-CN"/>
                    </w:rPr>
                  </w:pPr>
                  <w:r>
                    <w:rPr>
                      <w:rFonts w:hint="eastAsia"/>
                      <w:color w:val="auto"/>
                      <w:highlight w:val="none"/>
                      <w:lang w:val="en-US" w:eastAsia="zh-CN"/>
                    </w:rPr>
                    <w:t>产品占比</w:t>
                  </w:r>
                </w:p>
              </w:tc>
              <w:tc>
                <w:tcPr>
                  <w:tcW w:w="775" w:type="pct"/>
                  <w:vMerge w:val="restart"/>
                  <w:tcBorders>
                    <w:tl2br w:val="nil"/>
                    <w:tr2bl w:val="nil"/>
                  </w:tcBorders>
                  <w:noWrap w:val="0"/>
                  <w:vAlign w:val="center"/>
                </w:tcPr>
                <w:p w14:paraId="66B32CC6">
                  <w:pPr>
                    <w:pStyle w:val="40"/>
                    <w:bidi w:val="0"/>
                    <w:rPr>
                      <w:rFonts w:hint="default"/>
                      <w:color w:val="auto"/>
                      <w:highlight w:val="none"/>
                      <w:lang w:val="en-US" w:eastAsia="zh-CN"/>
                    </w:rPr>
                  </w:pPr>
                  <w:r>
                    <w:rPr>
                      <w:rFonts w:hint="eastAsia"/>
                      <w:color w:val="auto"/>
                      <w:highlight w:val="none"/>
                      <w:lang w:val="en-US" w:eastAsia="zh-CN"/>
                    </w:rPr>
                    <w:t>100万t/a</w:t>
                  </w:r>
                </w:p>
              </w:tc>
              <w:tc>
                <w:tcPr>
                  <w:tcW w:w="976" w:type="pct"/>
                  <w:vMerge w:val="restart"/>
                  <w:tcBorders>
                    <w:tl2br w:val="nil"/>
                    <w:tr2bl w:val="nil"/>
                  </w:tcBorders>
                  <w:noWrap w:val="0"/>
                  <w:vAlign w:val="center"/>
                </w:tcPr>
                <w:p w14:paraId="1689AD65">
                  <w:pPr>
                    <w:pStyle w:val="40"/>
                    <w:bidi w:val="0"/>
                    <w:rPr>
                      <w:rFonts w:hint="default"/>
                      <w:color w:val="auto"/>
                      <w:highlight w:val="none"/>
                      <w:lang w:val="en-US" w:eastAsia="zh-CN"/>
                    </w:rPr>
                  </w:pPr>
                  <w:r>
                    <w:rPr>
                      <w:rFonts w:hint="eastAsia"/>
                      <w:color w:val="auto"/>
                      <w:highlight w:val="none"/>
                      <w:lang w:val="en-US" w:eastAsia="zh-CN"/>
                    </w:rPr>
                    <w:t>根据客户需求可调整产品粒径种类及级配范围</w:t>
                  </w:r>
                </w:p>
              </w:tc>
            </w:tr>
            <w:tr w14:paraId="17B42C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34" w:type="pct"/>
                  <w:vMerge w:val="continue"/>
                  <w:tcBorders>
                    <w:tl2br w:val="nil"/>
                    <w:tr2bl w:val="nil"/>
                  </w:tcBorders>
                  <w:noWrap w:val="0"/>
                  <w:vAlign w:val="center"/>
                </w:tcPr>
                <w:p w14:paraId="57E9C24E">
                  <w:pPr>
                    <w:pStyle w:val="40"/>
                    <w:bidi w:val="0"/>
                    <w:rPr>
                      <w:rFonts w:hint="default"/>
                      <w:color w:val="auto"/>
                      <w:highlight w:val="none"/>
                      <w:lang w:val="en-US" w:eastAsia="zh-CN"/>
                    </w:rPr>
                  </w:pPr>
                </w:p>
              </w:tc>
              <w:tc>
                <w:tcPr>
                  <w:tcW w:w="1006" w:type="pct"/>
                  <w:tcBorders>
                    <w:tl2br w:val="nil"/>
                    <w:tr2bl w:val="nil"/>
                  </w:tcBorders>
                  <w:noWrap w:val="0"/>
                  <w:vAlign w:val="center"/>
                </w:tcPr>
                <w:p w14:paraId="7EB0C8CD">
                  <w:pPr>
                    <w:pStyle w:val="40"/>
                    <w:bidi w:val="0"/>
                    <w:rPr>
                      <w:rFonts w:hint="default"/>
                      <w:color w:val="auto"/>
                      <w:highlight w:val="none"/>
                      <w:lang w:val="en-US" w:eastAsia="zh-CN"/>
                    </w:rPr>
                  </w:pPr>
                  <w:r>
                    <w:rPr>
                      <w:rFonts w:hint="eastAsia"/>
                      <w:color w:val="auto"/>
                      <w:highlight w:val="none"/>
                      <w:lang w:val="en-US" w:eastAsia="zh-CN"/>
                    </w:rPr>
                    <w:t>1~5mm</w:t>
                  </w:r>
                </w:p>
              </w:tc>
              <w:tc>
                <w:tcPr>
                  <w:tcW w:w="1008" w:type="pct"/>
                  <w:tcBorders>
                    <w:tl2br w:val="nil"/>
                    <w:tr2bl w:val="nil"/>
                  </w:tcBorders>
                  <w:noWrap w:val="0"/>
                  <w:vAlign w:val="center"/>
                </w:tcPr>
                <w:p w14:paraId="407F3745">
                  <w:pPr>
                    <w:pStyle w:val="40"/>
                    <w:bidi w:val="0"/>
                    <w:rPr>
                      <w:rFonts w:hint="default"/>
                      <w:color w:val="auto"/>
                      <w:highlight w:val="none"/>
                      <w:lang w:val="en-US" w:eastAsia="zh-CN"/>
                    </w:rPr>
                  </w:pPr>
                  <w:r>
                    <w:rPr>
                      <w:rFonts w:hint="eastAsia"/>
                      <w:color w:val="auto"/>
                      <w:highlight w:val="none"/>
                      <w:lang w:val="en-US" w:eastAsia="zh-CN"/>
                    </w:rPr>
                    <w:t>~20%</w:t>
                  </w:r>
                </w:p>
              </w:tc>
              <w:tc>
                <w:tcPr>
                  <w:tcW w:w="775" w:type="pct"/>
                  <w:vMerge w:val="continue"/>
                  <w:tcBorders>
                    <w:tl2br w:val="nil"/>
                    <w:tr2bl w:val="nil"/>
                  </w:tcBorders>
                  <w:noWrap w:val="0"/>
                  <w:vAlign w:val="center"/>
                </w:tcPr>
                <w:p w14:paraId="20BC2230">
                  <w:pPr>
                    <w:pStyle w:val="40"/>
                    <w:bidi w:val="0"/>
                    <w:rPr>
                      <w:rFonts w:hint="default"/>
                      <w:color w:val="auto"/>
                      <w:highlight w:val="none"/>
                      <w:lang w:val="en-US" w:eastAsia="zh-CN"/>
                    </w:rPr>
                  </w:pPr>
                </w:p>
              </w:tc>
              <w:tc>
                <w:tcPr>
                  <w:tcW w:w="976" w:type="pct"/>
                  <w:vMerge w:val="continue"/>
                  <w:tcBorders>
                    <w:tl2br w:val="nil"/>
                    <w:tr2bl w:val="nil"/>
                  </w:tcBorders>
                  <w:noWrap w:val="0"/>
                  <w:vAlign w:val="center"/>
                </w:tcPr>
                <w:p w14:paraId="4FD609E2">
                  <w:pPr>
                    <w:pStyle w:val="40"/>
                    <w:bidi w:val="0"/>
                    <w:rPr>
                      <w:rFonts w:hint="default"/>
                      <w:color w:val="auto"/>
                      <w:highlight w:val="none"/>
                      <w:lang w:val="en-US" w:eastAsia="zh-CN"/>
                    </w:rPr>
                  </w:pPr>
                </w:p>
              </w:tc>
            </w:tr>
            <w:tr w14:paraId="23A6FE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34" w:type="pct"/>
                  <w:vMerge w:val="continue"/>
                  <w:tcBorders>
                    <w:tl2br w:val="nil"/>
                    <w:tr2bl w:val="nil"/>
                  </w:tcBorders>
                  <w:noWrap w:val="0"/>
                  <w:vAlign w:val="center"/>
                </w:tcPr>
                <w:p w14:paraId="58A06B91">
                  <w:pPr>
                    <w:pStyle w:val="40"/>
                    <w:bidi w:val="0"/>
                    <w:rPr>
                      <w:rFonts w:hint="eastAsia"/>
                      <w:color w:val="auto"/>
                      <w:highlight w:val="none"/>
                      <w:lang w:val="en-US" w:eastAsia="zh-CN"/>
                    </w:rPr>
                  </w:pPr>
                </w:p>
              </w:tc>
              <w:tc>
                <w:tcPr>
                  <w:tcW w:w="1006" w:type="pct"/>
                  <w:tcBorders>
                    <w:tl2br w:val="nil"/>
                    <w:tr2bl w:val="nil"/>
                  </w:tcBorders>
                  <w:noWrap w:val="0"/>
                  <w:vAlign w:val="center"/>
                </w:tcPr>
                <w:p w14:paraId="53EB8BB6">
                  <w:pPr>
                    <w:pStyle w:val="40"/>
                    <w:bidi w:val="0"/>
                    <w:rPr>
                      <w:rFonts w:hint="default"/>
                      <w:color w:val="auto"/>
                      <w:highlight w:val="none"/>
                      <w:lang w:val="en-US" w:eastAsia="zh-CN"/>
                    </w:rPr>
                  </w:pPr>
                  <w:r>
                    <w:rPr>
                      <w:rFonts w:hint="eastAsia"/>
                      <w:color w:val="auto"/>
                      <w:highlight w:val="none"/>
                      <w:lang w:val="en-US" w:eastAsia="zh-CN"/>
                    </w:rPr>
                    <w:t>5~20mm</w:t>
                  </w:r>
                </w:p>
              </w:tc>
              <w:tc>
                <w:tcPr>
                  <w:tcW w:w="1008" w:type="pct"/>
                  <w:tcBorders>
                    <w:tl2br w:val="nil"/>
                    <w:tr2bl w:val="nil"/>
                  </w:tcBorders>
                  <w:noWrap w:val="0"/>
                  <w:vAlign w:val="center"/>
                </w:tcPr>
                <w:p w14:paraId="76490F59">
                  <w:pPr>
                    <w:pStyle w:val="40"/>
                    <w:bidi w:val="0"/>
                    <w:rPr>
                      <w:rFonts w:hint="default"/>
                      <w:color w:val="auto"/>
                      <w:highlight w:val="none"/>
                      <w:lang w:val="en-US" w:eastAsia="zh-CN"/>
                    </w:rPr>
                  </w:pPr>
                  <w:r>
                    <w:rPr>
                      <w:rFonts w:hint="eastAsia"/>
                      <w:color w:val="auto"/>
                      <w:highlight w:val="none"/>
                      <w:lang w:val="en-US" w:eastAsia="zh-CN"/>
                    </w:rPr>
                    <w:t>~80%</w:t>
                  </w:r>
                </w:p>
              </w:tc>
              <w:tc>
                <w:tcPr>
                  <w:tcW w:w="775" w:type="pct"/>
                  <w:vMerge w:val="continue"/>
                  <w:tcBorders>
                    <w:tl2br w:val="nil"/>
                    <w:tr2bl w:val="nil"/>
                  </w:tcBorders>
                  <w:noWrap w:val="0"/>
                  <w:vAlign w:val="center"/>
                </w:tcPr>
                <w:p w14:paraId="0A8AF838">
                  <w:pPr>
                    <w:pStyle w:val="40"/>
                    <w:bidi w:val="0"/>
                    <w:rPr>
                      <w:rFonts w:hint="eastAsia"/>
                      <w:color w:val="auto"/>
                      <w:highlight w:val="none"/>
                      <w:lang w:val="en-US" w:eastAsia="zh-CN"/>
                    </w:rPr>
                  </w:pPr>
                </w:p>
              </w:tc>
              <w:tc>
                <w:tcPr>
                  <w:tcW w:w="976" w:type="pct"/>
                  <w:vMerge w:val="continue"/>
                  <w:tcBorders>
                    <w:tl2br w:val="nil"/>
                    <w:tr2bl w:val="nil"/>
                  </w:tcBorders>
                  <w:noWrap w:val="0"/>
                  <w:vAlign w:val="center"/>
                </w:tcPr>
                <w:p w14:paraId="2D0466D9">
                  <w:pPr>
                    <w:pStyle w:val="40"/>
                    <w:bidi w:val="0"/>
                    <w:rPr>
                      <w:rFonts w:hint="eastAsia"/>
                      <w:color w:val="auto"/>
                      <w:highlight w:val="none"/>
                      <w:lang w:val="en-US" w:eastAsia="zh-CN"/>
                    </w:rPr>
                  </w:pPr>
                </w:p>
              </w:tc>
            </w:tr>
          </w:tbl>
          <w:p w14:paraId="054D722D">
            <w:pPr>
              <w:pStyle w:val="41"/>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color w:val="auto"/>
                <w:highlight w:val="none"/>
                <w:lang w:val="en-US" w:eastAsia="zh-CN"/>
              </w:rPr>
            </w:pPr>
            <w:r>
              <w:rPr>
                <w:rFonts w:hint="eastAsia"/>
                <w:color w:val="auto"/>
                <w:highlight w:val="none"/>
                <w:lang w:val="en-US" w:eastAsia="zh-CN"/>
              </w:rPr>
              <w:t>（2）产品指标</w:t>
            </w:r>
          </w:p>
          <w:p w14:paraId="53A2F083">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both"/>
              <w:textAlignment w:val="auto"/>
              <w:rPr>
                <w:rFonts w:hint="eastAsia"/>
                <w:color w:val="auto"/>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bidi="ar-SA"/>
              </w:rPr>
              <w:t>蒸压硅酸盐功能骨料的质量品质</w:t>
            </w:r>
            <w:r>
              <w:rPr>
                <w:rFonts w:hint="eastAsia" w:cs="Times New Roman"/>
                <w:b w:val="0"/>
                <w:bCs w:val="0"/>
                <w:color w:val="auto"/>
                <w:kern w:val="0"/>
                <w:sz w:val="24"/>
                <w:szCs w:val="24"/>
                <w:highlight w:val="none"/>
                <w:lang w:val="en-US" w:eastAsia="zh-CN" w:bidi="ar-SA"/>
              </w:rPr>
              <w:t>由技术合作方浙江中劲环保科技有限公司</w:t>
            </w:r>
            <w:r>
              <w:rPr>
                <w:rFonts w:hint="eastAsia" w:ascii="Times New Roman" w:hAnsi="Times New Roman" w:eastAsia="宋体" w:cs="Times New Roman"/>
                <w:b w:val="0"/>
                <w:bCs w:val="0"/>
                <w:color w:val="auto"/>
                <w:kern w:val="0"/>
                <w:sz w:val="24"/>
                <w:szCs w:val="24"/>
                <w:highlight w:val="none"/>
                <w:lang w:val="en-US" w:eastAsia="zh-CN" w:bidi="ar-SA"/>
              </w:rPr>
              <w:t>经过实验进行确定，满足《轻集料及其试验方法 第1部分：轻集料》（GB/T 17431.1-2010）产品要求，</w:t>
            </w:r>
            <w:r>
              <w:rPr>
                <w:rFonts w:hint="eastAsia" w:cs="Times New Roman"/>
                <w:b w:val="0"/>
                <w:bCs w:val="0"/>
                <w:color w:val="auto"/>
                <w:kern w:val="0"/>
                <w:sz w:val="24"/>
                <w:szCs w:val="24"/>
                <w:highlight w:val="none"/>
                <w:lang w:val="en-US" w:eastAsia="zh-CN" w:bidi="ar-SA"/>
              </w:rPr>
              <w:t>见</w:t>
            </w:r>
            <w:r>
              <w:rPr>
                <w:rFonts w:hint="eastAsia" w:cs="Times New Roman"/>
                <w:b w:val="0"/>
                <w:bCs w:val="0"/>
                <w:color w:val="auto"/>
                <w:kern w:val="0"/>
                <w:sz w:val="24"/>
                <w:szCs w:val="24"/>
                <w:highlight w:val="none"/>
                <w:lang w:val="en-US" w:eastAsia="zh-CN" w:bidi="ar-SA"/>
              </w:rPr>
              <w:fldChar w:fldCharType="begin"/>
            </w:r>
            <w:r>
              <w:rPr>
                <w:rFonts w:hint="eastAsia" w:cs="Times New Roman"/>
                <w:b w:val="0"/>
                <w:bCs w:val="0"/>
                <w:color w:val="auto"/>
                <w:kern w:val="0"/>
                <w:sz w:val="24"/>
                <w:szCs w:val="24"/>
                <w:highlight w:val="none"/>
                <w:lang w:val="en-US" w:eastAsia="zh-CN" w:bidi="ar-SA"/>
              </w:rPr>
              <w:instrText xml:space="preserve"> REF _Ref29264 \h </w:instrText>
            </w:r>
            <w:r>
              <w:rPr>
                <w:rFonts w:hint="eastAsia" w:cs="Times New Roman"/>
                <w:b w:val="0"/>
                <w:bCs w:val="0"/>
                <w:color w:val="auto"/>
                <w:kern w:val="0"/>
                <w:sz w:val="24"/>
                <w:szCs w:val="24"/>
                <w:highlight w:val="none"/>
                <w:lang w:val="en-US" w:eastAsia="zh-CN" w:bidi="ar-SA"/>
              </w:rPr>
              <w:fldChar w:fldCharType="separate"/>
            </w:r>
            <w:r>
              <w:rPr>
                <w:color w:val="auto"/>
                <w:highlight w:val="none"/>
              </w:rPr>
              <w:t>表2-5</w:t>
            </w:r>
            <w:r>
              <w:rPr>
                <w:rFonts w:hint="eastAsia" w:cs="Times New Roman"/>
                <w:b w:val="0"/>
                <w:bCs w:val="0"/>
                <w:color w:val="auto"/>
                <w:kern w:val="0"/>
                <w:sz w:val="24"/>
                <w:szCs w:val="24"/>
                <w:highlight w:val="none"/>
                <w:lang w:val="en-US" w:eastAsia="zh-CN" w:bidi="ar-SA"/>
              </w:rPr>
              <w:fldChar w:fldCharType="end"/>
            </w:r>
            <w:r>
              <w:rPr>
                <w:rFonts w:hint="eastAsia" w:cs="Times New Roman"/>
                <w:b w:val="0"/>
                <w:bCs w:val="0"/>
                <w:color w:val="auto"/>
                <w:kern w:val="0"/>
                <w:sz w:val="24"/>
                <w:szCs w:val="24"/>
                <w:highlight w:val="none"/>
                <w:lang w:val="en-US" w:eastAsia="zh-CN" w:bidi="ar-SA"/>
              </w:rPr>
              <w:t>，具体检测报告见附件6</w:t>
            </w:r>
            <w:r>
              <w:rPr>
                <w:rFonts w:hint="eastAsia"/>
                <w:color w:val="auto"/>
                <w:highlight w:val="none"/>
                <w:lang w:val="en-US" w:eastAsia="zh-CN"/>
              </w:rPr>
              <w:t>。</w:t>
            </w:r>
          </w:p>
          <w:p w14:paraId="2D03BA51">
            <w:pPr>
              <w:pStyle w:val="7"/>
              <w:rPr>
                <w:rFonts w:hint="default"/>
                <w:color w:val="auto"/>
                <w:highlight w:val="none"/>
                <w:lang w:val="en-US" w:eastAsia="zh-CN"/>
              </w:rPr>
            </w:pPr>
            <w:bookmarkStart w:id="13" w:name="_Ref29264"/>
            <w:bookmarkStart w:id="14" w:name="_Ref25241"/>
            <w:r>
              <w:rPr>
                <w:color w:val="auto"/>
                <w:highlight w:val="none"/>
              </w:rPr>
              <w:t>表2-</w:t>
            </w:r>
            <w:r>
              <w:rPr>
                <w:color w:val="auto"/>
                <w:highlight w:val="none"/>
              </w:rPr>
              <w:fldChar w:fldCharType="begin"/>
            </w:r>
            <w:r>
              <w:rPr>
                <w:color w:val="auto"/>
                <w:highlight w:val="none"/>
              </w:rPr>
              <w:instrText xml:space="preserve"> SEQ 表2- \* ARABIC </w:instrText>
            </w:r>
            <w:r>
              <w:rPr>
                <w:color w:val="auto"/>
                <w:highlight w:val="none"/>
              </w:rPr>
              <w:fldChar w:fldCharType="separate"/>
            </w:r>
            <w:r>
              <w:rPr>
                <w:color w:val="auto"/>
                <w:highlight w:val="none"/>
              </w:rPr>
              <w:t>5</w:t>
            </w:r>
            <w:r>
              <w:rPr>
                <w:color w:val="auto"/>
                <w:highlight w:val="none"/>
              </w:rPr>
              <w:fldChar w:fldCharType="end"/>
            </w:r>
            <w:bookmarkEnd w:id="13"/>
            <w:r>
              <w:rPr>
                <w:rFonts w:hint="eastAsia"/>
                <w:color w:val="auto"/>
                <w:highlight w:val="none"/>
                <w:lang w:val="en-US" w:eastAsia="zh-CN"/>
              </w:rPr>
              <w:t xml:space="preserve">  蒸压硅酸盐功能骨料产品指标</w:t>
            </w:r>
          </w:p>
          <w:tbl>
            <w:tblPr>
              <w:tblStyle w:val="25"/>
              <w:tblW w:w="839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718"/>
              <w:gridCol w:w="844"/>
              <w:gridCol w:w="875"/>
              <w:gridCol w:w="688"/>
              <w:gridCol w:w="1262"/>
              <w:gridCol w:w="1275"/>
              <w:gridCol w:w="1079"/>
            </w:tblGrid>
            <w:tr w14:paraId="1BB6D2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0" w:type="dxa"/>
                  <w:tcBorders>
                    <w:tl2br w:val="nil"/>
                    <w:tr2bl w:val="nil"/>
                  </w:tcBorders>
                  <w:vAlign w:val="center"/>
                </w:tcPr>
                <w:p w14:paraId="2FE1BEDF">
                  <w:pPr>
                    <w:pStyle w:val="4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序号</w:t>
                  </w:r>
                </w:p>
              </w:tc>
              <w:tc>
                <w:tcPr>
                  <w:tcW w:w="3437" w:type="dxa"/>
                  <w:gridSpan w:val="3"/>
                  <w:tcBorders>
                    <w:tl2br w:val="nil"/>
                    <w:tr2bl w:val="nil"/>
                  </w:tcBorders>
                  <w:vAlign w:val="center"/>
                </w:tcPr>
                <w:p w14:paraId="18AF218F">
                  <w:pPr>
                    <w:pStyle w:val="40"/>
                    <w:bidi w:val="0"/>
                    <w:rPr>
                      <w:rFonts w:hint="default" w:ascii="Times New Roman" w:hAnsi="Times New Roman" w:eastAsia="宋体" w:cs="Times New Roman"/>
                      <w:color w:val="auto"/>
                      <w:spacing w:val="-6"/>
                      <w:sz w:val="21"/>
                      <w:highlight w:val="none"/>
                      <w:lang w:val="en-US" w:eastAsia="zh-CN"/>
                    </w:rPr>
                  </w:pPr>
                  <w:r>
                    <w:rPr>
                      <w:rFonts w:hint="default" w:ascii="Times New Roman" w:hAnsi="Times New Roman" w:cs="Times New Roman"/>
                      <w:color w:val="auto"/>
                      <w:spacing w:val="-6"/>
                      <w:sz w:val="21"/>
                      <w:highlight w:val="none"/>
                      <w:lang w:val="en-US" w:eastAsia="zh-CN"/>
                    </w:rPr>
                    <w:t>名称</w:t>
                  </w:r>
                </w:p>
              </w:tc>
              <w:tc>
                <w:tcPr>
                  <w:tcW w:w="1950" w:type="dxa"/>
                  <w:gridSpan w:val="2"/>
                  <w:tcBorders>
                    <w:tl2br w:val="nil"/>
                    <w:tr2bl w:val="nil"/>
                  </w:tcBorders>
                  <w:vAlign w:val="center"/>
                </w:tcPr>
                <w:p w14:paraId="5A6095D4">
                  <w:pPr>
                    <w:pStyle w:val="40"/>
                    <w:bidi w:val="0"/>
                    <w:rPr>
                      <w:rFonts w:hint="default" w:ascii="Times New Roman" w:hAnsi="Times New Roman" w:eastAsia="宋体" w:cs="Times New Roman"/>
                      <w:color w:val="auto"/>
                      <w:spacing w:val="-6"/>
                      <w:sz w:val="21"/>
                      <w:highlight w:val="none"/>
                      <w:lang w:val="en-US" w:eastAsia="zh-CN"/>
                    </w:rPr>
                  </w:pPr>
                  <w:r>
                    <w:rPr>
                      <w:rFonts w:hint="default" w:ascii="Times New Roman" w:hAnsi="Times New Roman" w:cs="Times New Roman"/>
                      <w:color w:val="auto"/>
                      <w:spacing w:val="-6"/>
                      <w:sz w:val="21"/>
                      <w:highlight w:val="none"/>
                      <w:lang w:val="en-US" w:eastAsia="zh-CN"/>
                    </w:rPr>
                    <w:t>标准要求</w:t>
                  </w:r>
                </w:p>
              </w:tc>
              <w:tc>
                <w:tcPr>
                  <w:tcW w:w="1275" w:type="dxa"/>
                  <w:tcBorders>
                    <w:tl2br w:val="nil"/>
                    <w:tr2bl w:val="nil"/>
                  </w:tcBorders>
                  <w:vAlign w:val="center"/>
                </w:tcPr>
                <w:p w14:paraId="18DE20D0">
                  <w:pPr>
                    <w:pStyle w:val="4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检验结果</w:t>
                  </w:r>
                </w:p>
              </w:tc>
              <w:tc>
                <w:tcPr>
                  <w:tcW w:w="1079" w:type="dxa"/>
                  <w:tcBorders>
                    <w:tl2br w:val="nil"/>
                    <w:tr2bl w:val="nil"/>
                  </w:tcBorders>
                  <w:vAlign w:val="center"/>
                </w:tcPr>
                <w:p w14:paraId="7EC03DB4">
                  <w:pPr>
                    <w:pStyle w:val="4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单项结论</w:t>
                  </w:r>
                </w:p>
              </w:tc>
            </w:tr>
            <w:tr w14:paraId="20B143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0" w:type="dxa"/>
                  <w:vMerge w:val="restart"/>
                  <w:tcBorders>
                    <w:tl2br w:val="nil"/>
                    <w:tr2bl w:val="nil"/>
                  </w:tcBorders>
                  <w:vAlign w:val="center"/>
                </w:tcPr>
                <w:p w14:paraId="29EA9AAD">
                  <w:pPr>
                    <w:pStyle w:val="4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w:t>
                  </w:r>
                </w:p>
              </w:tc>
              <w:tc>
                <w:tcPr>
                  <w:tcW w:w="2562" w:type="dxa"/>
                  <w:gridSpan w:val="2"/>
                  <w:vMerge w:val="restart"/>
                  <w:tcBorders>
                    <w:tl2br w:val="nil"/>
                    <w:tr2bl w:val="nil"/>
                  </w:tcBorders>
                  <w:vAlign w:val="center"/>
                </w:tcPr>
                <w:p w14:paraId="3F9E0F08">
                  <w:pPr>
                    <w:pStyle w:val="40"/>
                    <w:bidi w:val="0"/>
                    <w:rPr>
                      <w:rFonts w:hint="default" w:ascii="Times New Roman" w:hAnsi="Times New Roman" w:cs="Times New Roman"/>
                      <w:color w:val="auto"/>
                      <w:spacing w:val="-6"/>
                      <w:sz w:val="21"/>
                      <w:highlight w:val="none"/>
                      <w:lang w:val="en-US" w:eastAsia="zh-CN"/>
                    </w:rPr>
                  </w:pPr>
                  <w:r>
                    <w:rPr>
                      <w:rFonts w:hint="default" w:ascii="Times New Roman" w:hAnsi="Times New Roman" w:cs="Times New Roman"/>
                      <w:color w:val="auto"/>
                      <w:spacing w:val="-6"/>
                      <w:sz w:val="21"/>
                      <w:highlight w:val="none"/>
                      <w:lang w:val="en-US" w:eastAsia="zh-CN"/>
                    </w:rPr>
                    <w:t>颗粒级配</w:t>
                  </w:r>
                </w:p>
                <w:p w14:paraId="565208C8">
                  <w:pPr>
                    <w:pStyle w:val="40"/>
                    <w:bidi w:val="0"/>
                    <w:rPr>
                      <w:rFonts w:hint="default" w:ascii="Times New Roman" w:hAnsi="Times New Roman" w:cs="Times New Roman"/>
                      <w:color w:val="auto"/>
                      <w:spacing w:val="-6"/>
                      <w:sz w:val="21"/>
                      <w:highlight w:val="none"/>
                      <w:lang w:val="en-US" w:eastAsia="zh-CN"/>
                    </w:rPr>
                  </w:pPr>
                  <w:r>
                    <w:rPr>
                      <w:rFonts w:hint="default" w:ascii="Times New Roman" w:hAnsi="Times New Roman" w:cs="Times New Roman"/>
                      <w:color w:val="auto"/>
                      <w:spacing w:val="-6"/>
                      <w:sz w:val="21"/>
                      <w:highlight w:val="none"/>
                      <w:lang w:val="en-US" w:eastAsia="zh-CN"/>
                    </w:rPr>
                    <w:t>（累计筛余按质量计）/（%）</w:t>
                  </w:r>
                </w:p>
                <w:p w14:paraId="5CFB4188">
                  <w:pPr>
                    <w:pStyle w:val="40"/>
                    <w:bidi w:val="0"/>
                    <w:rPr>
                      <w:rFonts w:hint="default" w:ascii="Times New Roman" w:hAnsi="Times New Roman" w:cs="Times New Roman"/>
                      <w:color w:val="auto"/>
                      <w:spacing w:val="-6"/>
                      <w:sz w:val="21"/>
                      <w:highlight w:val="none"/>
                      <w:lang w:val="en-US" w:eastAsia="zh-CN"/>
                    </w:rPr>
                  </w:pPr>
                  <w:r>
                    <w:rPr>
                      <w:rFonts w:hint="default" w:ascii="Times New Roman" w:hAnsi="Times New Roman" w:cs="Times New Roman"/>
                      <w:color w:val="auto"/>
                      <w:spacing w:val="-6"/>
                      <w:sz w:val="21"/>
                      <w:highlight w:val="none"/>
                      <w:lang w:val="en-US" w:eastAsia="zh-CN"/>
                    </w:rPr>
                    <w:t>（粗集料-连续粒级5mm~16mm）</w:t>
                  </w:r>
                </w:p>
              </w:tc>
              <w:tc>
                <w:tcPr>
                  <w:tcW w:w="875" w:type="dxa"/>
                  <w:tcBorders>
                    <w:tl2br w:val="nil"/>
                    <w:tr2bl w:val="nil"/>
                  </w:tcBorders>
                  <w:vAlign w:val="center"/>
                </w:tcPr>
                <w:p w14:paraId="02108899">
                  <w:pPr>
                    <w:pStyle w:val="40"/>
                    <w:bidi w:val="0"/>
                    <w:rPr>
                      <w:rFonts w:hint="default" w:ascii="Times New Roman" w:hAnsi="Times New Roman" w:eastAsia="宋体" w:cs="Times New Roman"/>
                      <w:color w:val="auto"/>
                      <w:spacing w:val="-6"/>
                      <w:sz w:val="21"/>
                      <w:highlight w:val="none"/>
                      <w:lang w:val="en-US" w:eastAsia="zh-CN"/>
                    </w:rPr>
                  </w:pPr>
                  <w:r>
                    <w:rPr>
                      <w:rFonts w:hint="default" w:ascii="Times New Roman" w:hAnsi="Times New Roman" w:cs="Times New Roman"/>
                      <w:color w:val="auto"/>
                      <w:spacing w:val="-6"/>
                      <w:sz w:val="21"/>
                      <w:highlight w:val="none"/>
                      <w:lang w:val="en-US" w:eastAsia="zh-CN"/>
                    </w:rPr>
                    <w:t>16.0mm</w:t>
                  </w:r>
                </w:p>
              </w:tc>
              <w:tc>
                <w:tcPr>
                  <w:tcW w:w="1950" w:type="dxa"/>
                  <w:gridSpan w:val="2"/>
                  <w:tcBorders>
                    <w:tl2br w:val="nil"/>
                    <w:tr2bl w:val="nil"/>
                  </w:tcBorders>
                  <w:vAlign w:val="center"/>
                </w:tcPr>
                <w:p w14:paraId="55BAE8A5">
                  <w:pPr>
                    <w:pStyle w:val="40"/>
                    <w:bidi w:val="0"/>
                    <w:rPr>
                      <w:rFonts w:hint="default" w:ascii="Times New Roman" w:hAnsi="Times New Roman" w:eastAsia="宋体" w:cs="Times New Roman"/>
                      <w:color w:val="auto"/>
                      <w:spacing w:val="-6"/>
                      <w:sz w:val="21"/>
                      <w:highlight w:val="none"/>
                      <w:lang w:val="en-US" w:eastAsia="zh-CN"/>
                    </w:rPr>
                  </w:pPr>
                  <w:r>
                    <w:rPr>
                      <w:rFonts w:hint="default" w:ascii="Times New Roman" w:hAnsi="Times New Roman" w:cs="Times New Roman"/>
                      <w:color w:val="auto"/>
                      <w:spacing w:val="-6"/>
                      <w:sz w:val="21"/>
                      <w:highlight w:val="none"/>
                      <w:lang w:val="en-US" w:eastAsia="zh-CN"/>
                    </w:rPr>
                    <w:t>0~10</w:t>
                  </w:r>
                </w:p>
              </w:tc>
              <w:tc>
                <w:tcPr>
                  <w:tcW w:w="1275" w:type="dxa"/>
                  <w:tcBorders>
                    <w:tl2br w:val="nil"/>
                    <w:tr2bl w:val="nil"/>
                  </w:tcBorders>
                  <w:vAlign w:val="center"/>
                </w:tcPr>
                <w:p w14:paraId="0883D770">
                  <w:pPr>
                    <w:pStyle w:val="4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9</w:t>
                  </w:r>
                </w:p>
              </w:tc>
              <w:tc>
                <w:tcPr>
                  <w:tcW w:w="1079" w:type="dxa"/>
                  <w:vMerge w:val="restart"/>
                  <w:tcBorders>
                    <w:tl2br w:val="nil"/>
                    <w:tr2bl w:val="nil"/>
                  </w:tcBorders>
                  <w:vAlign w:val="center"/>
                </w:tcPr>
                <w:p w14:paraId="50B08DF8">
                  <w:pPr>
                    <w:pStyle w:val="4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合格</w:t>
                  </w:r>
                </w:p>
              </w:tc>
            </w:tr>
            <w:tr w14:paraId="308208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0" w:type="dxa"/>
                  <w:vMerge w:val="continue"/>
                  <w:tcBorders>
                    <w:tl2br w:val="nil"/>
                    <w:tr2bl w:val="nil"/>
                  </w:tcBorders>
                  <w:vAlign w:val="center"/>
                </w:tcPr>
                <w:p w14:paraId="6BC168E4">
                  <w:pPr>
                    <w:pStyle w:val="40"/>
                    <w:bidi w:val="0"/>
                    <w:rPr>
                      <w:rFonts w:hint="default" w:ascii="Times New Roman" w:hAnsi="Times New Roman" w:cs="Times New Roman"/>
                      <w:color w:val="auto"/>
                      <w:highlight w:val="none"/>
                      <w:lang w:val="en-US" w:eastAsia="zh-CN"/>
                    </w:rPr>
                  </w:pPr>
                </w:p>
              </w:tc>
              <w:tc>
                <w:tcPr>
                  <w:tcW w:w="2562" w:type="dxa"/>
                  <w:gridSpan w:val="2"/>
                  <w:vMerge w:val="continue"/>
                  <w:tcBorders>
                    <w:tl2br w:val="nil"/>
                    <w:tr2bl w:val="nil"/>
                  </w:tcBorders>
                  <w:vAlign w:val="center"/>
                </w:tcPr>
                <w:p w14:paraId="58FF168E">
                  <w:pPr>
                    <w:pStyle w:val="40"/>
                    <w:bidi w:val="0"/>
                    <w:rPr>
                      <w:rFonts w:hint="default" w:ascii="Times New Roman" w:hAnsi="Times New Roman" w:cs="Times New Roman"/>
                      <w:color w:val="auto"/>
                      <w:spacing w:val="-6"/>
                      <w:sz w:val="21"/>
                      <w:highlight w:val="none"/>
                    </w:rPr>
                  </w:pPr>
                </w:p>
              </w:tc>
              <w:tc>
                <w:tcPr>
                  <w:tcW w:w="875" w:type="dxa"/>
                  <w:tcBorders>
                    <w:tl2br w:val="nil"/>
                    <w:tr2bl w:val="nil"/>
                  </w:tcBorders>
                  <w:vAlign w:val="center"/>
                </w:tcPr>
                <w:p w14:paraId="4EBA711D">
                  <w:pPr>
                    <w:pStyle w:val="40"/>
                    <w:bidi w:val="0"/>
                    <w:rPr>
                      <w:rFonts w:hint="default" w:ascii="Times New Roman" w:hAnsi="Times New Roman" w:eastAsia="宋体" w:cs="Times New Roman"/>
                      <w:color w:val="auto"/>
                      <w:spacing w:val="-6"/>
                      <w:sz w:val="21"/>
                      <w:highlight w:val="none"/>
                      <w:lang w:val="en-US" w:eastAsia="zh-CN"/>
                    </w:rPr>
                  </w:pPr>
                  <w:r>
                    <w:rPr>
                      <w:rFonts w:hint="default" w:ascii="Times New Roman" w:hAnsi="Times New Roman" w:cs="Times New Roman"/>
                      <w:color w:val="auto"/>
                      <w:spacing w:val="-6"/>
                      <w:sz w:val="21"/>
                      <w:highlight w:val="none"/>
                      <w:lang w:val="en-US" w:eastAsia="zh-CN"/>
                    </w:rPr>
                    <w:t>9.50mm</w:t>
                  </w:r>
                </w:p>
              </w:tc>
              <w:tc>
                <w:tcPr>
                  <w:tcW w:w="1950" w:type="dxa"/>
                  <w:gridSpan w:val="2"/>
                  <w:tcBorders>
                    <w:tl2br w:val="nil"/>
                    <w:tr2bl w:val="nil"/>
                  </w:tcBorders>
                  <w:vAlign w:val="center"/>
                </w:tcPr>
                <w:p w14:paraId="6B653A40">
                  <w:pPr>
                    <w:pStyle w:val="40"/>
                    <w:bidi w:val="0"/>
                    <w:rPr>
                      <w:rFonts w:hint="default" w:ascii="Times New Roman" w:hAnsi="Times New Roman" w:eastAsia="宋体" w:cs="Times New Roman"/>
                      <w:color w:val="auto"/>
                      <w:spacing w:val="-6"/>
                      <w:sz w:val="21"/>
                      <w:highlight w:val="none"/>
                      <w:lang w:val="en-US" w:eastAsia="zh-CN"/>
                    </w:rPr>
                  </w:pPr>
                  <w:r>
                    <w:rPr>
                      <w:rFonts w:hint="default" w:ascii="Times New Roman" w:hAnsi="Times New Roman" w:cs="Times New Roman"/>
                      <w:color w:val="auto"/>
                      <w:spacing w:val="-6"/>
                      <w:sz w:val="21"/>
                      <w:highlight w:val="none"/>
                      <w:lang w:val="en-US" w:eastAsia="zh-CN"/>
                    </w:rPr>
                    <w:t>20~60</w:t>
                  </w:r>
                </w:p>
              </w:tc>
              <w:tc>
                <w:tcPr>
                  <w:tcW w:w="1275" w:type="dxa"/>
                  <w:tcBorders>
                    <w:tl2br w:val="nil"/>
                    <w:tr2bl w:val="nil"/>
                  </w:tcBorders>
                  <w:vAlign w:val="center"/>
                </w:tcPr>
                <w:p w14:paraId="2659D193">
                  <w:pPr>
                    <w:pStyle w:val="4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21</w:t>
                  </w:r>
                </w:p>
              </w:tc>
              <w:tc>
                <w:tcPr>
                  <w:tcW w:w="1079" w:type="dxa"/>
                  <w:vMerge w:val="continue"/>
                  <w:tcBorders>
                    <w:tl2br w:val="nil"/>
                    <w:tr2bl w:val="nil"/>
                  </w:tcBorders>
                  <w:vAlign w:val="center"/>
                </w:tcPr>
                <w:p w14:paraId="5A5A3F19">
                  <w:pPr>
                    <w:pStyle w:val="40"/>
                    <w:bidi w:val="0"/>
                    <w:rPr>
                      <w:rFonts w:hint="default" w:ascii="Times New Roman" w:hAnsi="Times New Roman" w:cs="Times New Roman"/>
                      <w:color w:val="auto"/>
                      <w:highlight w:val="none"/>
                    </w:rPr>
                  </w:pPr>
                </w:p>
              </w:tc>
            </w:tr>
            <w:tr w14:paraId="587670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0" w:type="dxa"/>
                  <w:vMerge w:val="continue"/>
                  <w:tcBorders>
                    <w:tl2br w:val="nil"/>
                    <w:tr2bl w:val="nil"/>
                  </w:tcBorders>
                  <w:vAlign w:val="center"/>
                </w:tcPr>
                <w:p w14:paraId="79E78DFA">
                  <w:pPr>
                    <w:pStyle w:val="40"/>
                    <w:bidi w:val="0"/>
                    <w:rPr>
                      <w:rFonts w:hint="default" w:ascii="Times New Roman" w:hAnsi="Times New Roman" w:cs="Times New Roman"/>
                      <w:color w:val="auto"/>
                      <w:highlight w:val="none"/>
                      <w:lang w:val="en-US" w:eastAsia="zh-CN"/>
                    </w:rPr>
                  </w:pPr>
                </w:p>
              </w:tc>
              <w:tc>
                <w:tcPr>
                  <w:tcW w:w="2562" w:type="dxa"/>
                  <w:gridSpan w:val="2"/>
                  <w:vMerge w:val="continue"/>
                  <w:tcBorders>
                    <w:tl2br w:val="nil"/>
                    <w:tr2bl w:val="nil"/>
                  </w:tcBorders>
                  <w:vAlign w:val="center"/>
                </w:tcPr>
                <w:p w14:paraId="6F4F6AB8">
                  <w:pPr>
                    <w:pStyle w:val="40"/>
                    <w:bidi w:val="0"/>
                    <w:rPr>
                      <w:rFonts w:hint="default" w:ascii="Times New Roman" w:hAnsi="Times New Roman" w:cs="Times New Roman"/>
                      <w:color w:val="auto"/>
                      <w:spacing w:val="-6"/>
                      <w:sz w:val="21"/>
                      <w:highlight w:val="none"/>
                    </w:rPr>
                  </w:pPr>
                </w:p>
              </w:tc>
              <w:tc>
                <w:tcPr>
                  <w:tcW w:w="875" w:type="dxa"/>
                  <w:tcBorders>
                    <w:tl2br w:val="nil"/>
                    <w:tr2bl w:val="nil"/>
                  </w:tcBorders>
                  <w:vAlign w:val="center"/>
                </w:tcPr>
                <w:p w14:paraId="2BD69B7A">
                  <w:pPr>
                    <w:pStyle w:val="40"/>
                    <w:bidi w:val="0"/>
                    <w:rPr>
                      <w:rFonts w:hint="default" w:ascii="Times New Roman" w:hAnsi="Times New Roman" w:eastAsia="宋体" w:cs="Times New Roman"/>
                      <w:color w:val="auto"/>
                      <w:spacing w:val="-6"/>
                      <w:sz w:val="21"/>
                      <w:highlight w:val="none"/>
                      <w:lang w:val="en-US" w:eastAsia="zh-CN"/>
                    </w:rPr>
                  </w:pPr>
                  <w:r>
                    <w:rPr>
                      <w:rFonts w:hint="default" w:ascii="Times New Roman" w:hAnsi="Times New Roman" w:cs="Times New Roman"/>
                      <w:color w:val="auto"/>
                      <w:spacing w:val="-6"/>
                      <w:sz w:val="21"/>
                      <w:highlight w:val="none"/>
                      <w:lang w:val="en-US" w:eastAsia="zh-CN"/>
                    </w:rPr>
                    <w:t>4.75mm</w:t>
                  </w:r>
                </w:p>
              </w:tc>
              <w:tc>
                <w:tcPr>
                  <w:tcW w:w="1950" w:type="dxa"/>
                  <w:gridSpan w:val="2"/>
                  <w:tcBorders>
                    <w:tl2br w:val="nil"/>
                    <w:tr2bl w:val="nil"/>
                  </w:tcBorders>
                  <w:vAlign w:val="center"/>
                </w:tcPr>
                <w:p w14:paraId="6BBA00DD">
                  <w:pPr>
                    <w:pStyle w:val="40"/>
                    <w:bidi w:val="0"/>
                    <w:rPr>
                      <w:rFonts w:hint="default" w:ascii="Times New Roman" w:hAnsi="Times New Roman" w:eastAsia="宋体" w:cs="Times New Roman"/>
                      <w:color w:val="auto"/>
                      <w:spacing w:val="-6"/>
                      <w:sz w:val="21"/>
                      <w:highlight w:val="none"/>
                      <w:lang w:val="en-US" w:eastAsia="zh-CN"/>
                    </w:rPr>
                  </w:pPr>
                  <w:r>
                    <w:rPr>
                      <w:rFonts w:hint="default" w:ascii="Times New Roman" w:hAnsi="Times New Roman" w:cs="Times New Roman"/>
                      <w:color w:val="auto"/>
                      <w:spacing w:val="-6"/>
                      <w:sz w:val="21"/>
                      <w:highlight w:val="none"/>
                      <w:lang w:val="en-US" w:eastAsia="zh-CN"/>
                    </w:rPr>
                    <w:t>85~100</w:t>
                  </w:r>
                </w:p>
              </w:tc>
              <w:tc>
                <w:tcPr>
                  <w:tcW w:w="1275" w:type="dxa"/>
                  <w:tcBorders>
                    <w:tl2br w:val="nil"/>
                    <w:tr2bl w:val="nil"/>
                  </w:tcBorders>
                  <w:vAlign w:val="center"/>
                </w:tcPr>
                <w:p w14:paraId="3951B89A">
                  <w:pPr>
                    <w:pStyle w:val="4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99</w:t>
                  </w:r>
                </w:p>
              </w:tc>
              <w:tc>
                <w:tcPr>
                  <w:tcW w:w="1079" w:type="dxa"/>
                  <w:vMerge w:val="continue"/>
                  <w:tcBorders>
                    <w:tl2br w:val="nil"/>
                    <w:tr2bl w:val="nil"/>
                  </w:tcBorders>
                  <w:vAlign w:val="center"/>
                </w:tcPr>
                <w:p w14:paraId="72AB1E87">
                  <w:pPr>
                    <w:pStyle w:val="40"/>
                    <w:bidi w:val="0"/>
                    <w:rPr>
                      <w:rFonts w:hint="default" w:ascii="Times New Roman" w:hAnsi="Times New Roman" w:cs="Times New Roman"/>
                      <w:color w:val="auto"/>
                      <w:highlight w:val="none"/>
                    </w:rPr>
                  </w:pPr>
                </w:p>
              </w:tc>
            </w:tr>
            <w:tr w14:paraId="4B2870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0" w:type="dxa"/>
                  <w:vMerge w:val="continue"/>
                  <w:tcBorders>
                    <w:tl2br w:val="nil"/>
                    <w:tr2bl w:val="nil"/>
                  </w:tcBorders>
                  <w:vAlign w:val="center"/>
                </w:tcPr>
                <w:p w14:paraId="795DCA30">
                  <w:pPr>
                    <w:pStyle w:val="40"/>
                    <w:bidi w:val="0"/>
                    <w:rPr>
                      <w:rFonts w:hint="default" w:ascii="Times New Roman" w:hAnsi="Times New Roman" w:cs="Times New Roman"/>
                      <w:color w:val="auto"/>
                      <w:highlight w:val="none"/>
                      <w:lang w:val="en-US" w:eastAsia="zh-CN"/>
                    </w:rPr>
                  </w:pPr>
                </w:p>
              </w:tc>
              <w:tc>
                <w:tcPr>
                  <w:tcW w:w="2562" w:type="dxa"/>
                  <w:gridSpan w:val="2"/>
                  <w:vMerge w:val="continue"/>
                  <w:tcBorders>
                    <w:tl2br w:val="nil"/>
                    <w:tr2bl w:val="nil"/>
                  </w:tcBorders>
                  <w:vAlign w:val="center"/>
                </w:tcPr>
                <w:p w14:paraId="05BB0FE6">
                  <w:pPr>
                    <w:pStyle w:val="40"/>
                    <w:bidi w:val="0"/>
                    <w:rPr>
                      <w:rFonts w:hint="default" w:ascii="Times New Roman" w:hAnsi="Times New Roman" w:cs="Times New Roman"/>
                      <w:color w:val="auto"/>
                      <w:spacing w:val="-6"/>
                      <w:sz w:val="21"/>
                      <w:highlight w:val="none"/>
                    </w:rPr>
                  </w:pPr>
                </w:p>
              </w:tc>
              <w:tc>
                <w:tcPr>
                  <w:tcW w:w="875" w:type="dxa"/>
                  <w:tcBorders>
                    <w:tl2br w:val="nil"/>
                    <w:tr2bl w:val="nil"/>
                  </w:tcBorders>
                  <w:vAlign w:val="center"/>
                </w:tcPr>
                <w:p w14:paraId="2713F282">
                  <w:pPr>
                    <w:pStyle w:val="40"/>
                    <w:bidi w:val="0"/>
                    <w:rPr>
                      <w:rFonts w:hint="default" w:ascii="Times New Roman" w:hAnsi="Times New Roman" w:eastAsia="宋体" w:cs="Times New Roman"/>
                      <w:color w:val="auto"/>
                      <w:spacing w:val="-6"/>
                      <w:sz w:val="21"/>
                      <w:highlight w:val="none"/>
                      <w:lang w:val="en-US" w:eastAsia="zh-CN"/>
                    </w:rPr>
                  </w:pPr>
                  <w:r>
                    <w:rPr>
                      <w:rFonts w:hint="default" w:ascii="Times New Roman" w:hAnsi="Times New Roman" w:cs="Times New Roman"/>
                      <w:color w:val="auto"/>
                      <w:spacing w:val="-6"/>
                      <w:sz w:val="21"/>
                      <w:highlight w:val="none"/>
                      <w:lang w:val="en-US" w:eastAsia="zh-CN"/>
                    </w:rPr>
                    <w:t>2.36mm</w:t>
                  </w:r>
                </w:p>
              </w:tc>
              <w:tc>
                <w:tcPr>
                  <w:tcW w:w="1950" w:type="dxa"/>
                  <w:gridSpan w:val="2"/>
                  <w:tcBorders>
                    <w:tl2br w:val="nil"/>
                    <w:tr2bl w:val="nil"/>
                  </w:tcBorders>
                  <w:vAlign w:val="center"/>
                </w:tcPr>
                <w:p w14:paraId="2DA0C96A">
                  <w:pPr>
                    <w:pStyle w:val="40"/>
                    <w:bidi w:val="0"/>
                    <w:rPr>
                      <w:rFonts w:hint="default" w:ascii="Times New Roman" w:hAnsi="Times New Roman" w:eastAsia="宋体" w:cs="Times New Roman"/>
                      <w:color w:val="auto"/>
                      <w:spacing w:val="-6"/>
                      <w:sz w:val="21"/>
                      <w:highlight w:val="none"/>
                      <w:lang w:val="en-US" w:eastAsia="zh-CN"/>
                    </w:rPr>
                  </w:pPr>
                  <w:r>
                    <w:rPr>
                      <w:rFonts w:hint="default" w:ascii="Times New Roman" w:hAnsi="Times New Roman" w:cs="Times New Roman"/>
                      <w:color w:val="auto"/>
                      <w:spacing w:val="-6"/>
                      <w:sz w:val="21"/>
                      <w:highlight w:val="none"/>
                      <w:lang w:val="en-US" w:eastAsia="zh-CN"/>
                    </w:rPr>
                    <w:t>95~100</w:t>
                  </w:r>
                </w:p>
              </w:tc>
              <w:tc>
                <w:tcPr>
                  <w:tcW w:w="1275" w:type="dxa"/>
                  <w:tcBorders>
                    <w:tl2br w:val="nil"/>
                    <w:tr2bl w:val="nil"/>
                  </w:tcBorders>
                  <w:vAlign w:val="center"/>
                </w:tcPr>
                <w:p w14:paraId="312B9B63">
                  <w:pPr>
                    <w:pStyle w:val="4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100</w:t>
                  </w:r>
                </w:p>
              </w:tc>
              <w:tc>
                <w:tcPr>
                  <w:tcW w:w="1079" w:type="dxa"/>
                  <w:vMerge w:val="continue"/>
                  <w:tcBorders>
                    <w:tl2br w:val="nil"/>
                    <w:tr2bl w:val="nil"/>
                  </w:tcBorders>
                  <w:vAlign w:val="center"/>
                </w:tcPr>
                <w:p w14:paraId="02826886">
                  <w:pPr>
                    <w:pStyle w:val="40"/>
                    <w:bidi w:val="0"/>
                    <w:rPr>
                      <w:rFonts w:hint="default" w:ascii="Times New Roman" w:hAnsi="Times New Roman" w:cs="Times New Roman"/>
                      <w:color w:val="auto"/>
                      <w:highlight w:val="none"/>
                    </w:rPr>
                  </w:pPr>
                </w:p>
              </w:tc>
            </w:tr>
            <w:tr w14:paraId="4AB399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0" w:type="dxa"/>
                  <w:tcBorders>
                    <w:tl2br w:val="nil"/>
                    <w:tr2bl w:val="nil"/>
                  </w:tcBorders>
                  <w:vAlign w:val="center"/>
                </w:tcPr>
                <w:p w14:paraId="20C4E9D1">
                  <w:pPr>
                    <w:pStyle w:val="4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2</w:t>
                  </w:r>
                </w:p>
              </w:tc>
              <w:tc>
                <w:tcPr>
                  <w:tcW w:w="3437" w:type="dxa"/>
                  <w:gridSpan w:val="3"/>
                  <w:tcBorders>
                    <w:tl2br w:val="nil"/>
                    <w:tr2bl w:val="nil"/>
                  </w:tcBorders>
                  <w:vAlign w:val="center"/>
                </w:tcPr>
                <w:p w14:paraId="6B9533C6">
                  <w:pPr>
                    <w:pStyle w:val="40"/>
                    <w:bidi w:val="0"/>
                    <w:rPr>
                      <w:rFonts w:hint="default" w:ascii="Times New Roman" w:hAnsi="Times New Roman" w:eastAsia="宋体" w:cs="Times New Roman"/>
                      <w:color w:val="auto"/>
                      <w:spacing w:val="-6"/>
                      <w:sz w:val="21"/>
                      <w:highlight w:val="none"/>
                      <w:lang w:val="en-US" w:eastAsia="zh-CN"/>
                    </w:rPr>
                  </w:pPr>
                  <w:r>
                    <w:rPr>
                      <w:rFonts w:hint="default" w:ascii="Times New Roman" w:hAnsi="Times New Roman" w:cs="Times New Roman"/>
                      <w:color w:val="auto"/>
                      <w:spacing w:val="-6"/>
                      <w:sz w:val="21"/>
                      <w:highlight w:val="none"/>
                      <w:lang w:val="en-US" w:eastAsia="zh-CN"/>
                    </w:rPr>
                    <w:t>密度等级（堆积密度）/（kg/m</w:t>
                  </w:r>
                  <w:r>
                    <w:rPr>
                      <w:rFonts w:hint="default" w:ascii="Times New Roman" w:hAnsi="Times New Roman" w:cs="Times New Roman"/>
                      <w:color w:val="auto"/>
                      <w:spacing w:val="-6"/>
                      <w:sz w:val="21"/>
                      <w:highlight w:val="none"/>
                      <w:vertAlign w:val="superscript"/>
                      <w:lang w:val="en-US" w:eastAsia="zh-CN"/>
                    </w:rPr>
                    <w:t>3</w:t>
                  </w:r>
                  <w:r>
                    <w:rPr>
                      <w:rFonts w:hint="default" w:ascii="Times New Roman" w:hAnsi="Times New Roman" w:cs="Times New Roman"/>
                      <w:color w:val="auto"/>
                      <w:spacing w:val="-6"/>
                      <w:sz w:val="21"/>
                      <w:highlight w:val="none"/>
                      <w:lang w:val="en-US" w:eastAsia="zh-CN"/>
                    </w:rPr>
                    <w:t>）</w:t>
                  </w:r>
                </w:p>
              </w:tc>
              <w:tc>
                <w:tcPr>
                  <w:tcW w:w="1950" w:type="dxa"/>
                  <w:gridSpan w:val="2"/>
                  <w:tcBorders>
                    <w:tl2br w:val="nil"/>
                    <w:tr2bl w:val="nil"/>
                  </w:tcBorders>
                  <w:vAlign w:val="center"/>
                </w:tcPr>
                <w:p w14:paraId="422748D2">
                  <w:pPr>
                    <w:pStyle w:val="40"/>
                    <w:bidi w:val="0"/>
                    <w:rPr>
                      <w:rFonts w:hint="default" w:ascii="Times New Roman" w:hAnsi="Times New Roman" w:eastAsia="宋体" w:cs="Times New Roman"/>
                      <w:color w:val="auto"/>
                      <w:spacing w:val="-6"/>
                      <w:sz w:val="21"/>
                      <w:highlight w:val="none"/>
                      <w:lang w:val="en-US" w:eastAsia="zh-CN"/>
                    </w:rPr>
                  </w:pPr>
                  <w:r>
                    <w:rPr>
                      <w:rFonts w:hint="default" w:ascii="Times New Roman" w:hAnsi="Times New Roman" w:cs="Times New Roman"/>
                      <w:color w:val="auto"/>
                      <w:spacing w:val="-6"/>
                      <w:sz w:val="21"/>
                      <w:highlight w:val="none"/>
                      <w:lang w:val="en-US" w:eastAsia="zh-CN"/>
                    </w:rPr>
                    <w:t>＞1000，≤1100</w:t>
                  </w:r>
                </w:p>
              </w:tc>
              <w:tc>
                <w:tcPr>
                  <w:tcW w:w="1275" w:type="dxa"/>
                  <w:tcBorders>
                    <w:tl2br w:val="nil"/>
                    <w:tr2bl w:val="nil"/>
                  </w:tcBorders>
                  <w:vAlign w:val="center"/>
                </w:tcPr>
                <w:p w14:paraId="69443719">
                  <w:pPr>
                    <w:pStyle w:val="4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1030</w:t>
                  </w:r>
                </w:p>
              </w:tc>
              <w:tc>
                <w:tcPr>
                  <w:tcW w:w="1079" w:type="dxa"/>
                  <w:tcBorders>
                    <w:tl2br w:val="nil"/>
                    <w:tr2bl w:val="nil"/>
                  </w:tcBorders>
                  <w:vAlign w:val="center"/>
                </w:tcPr>
                <w:p w14:paraId="27CD2F59">
                  <w:pPr>
                    <w:pStyle w:val="4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合格</w:t>
                  </w:r>
                </w:p>
              </w:tc>
            </w:tr>
            <w:tr w14:paraId="46F778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0" w:type="dxa"/>
                  <w:tcBorders>
                    <w:tl2br w:val="nil"/>
                    <w:tr2bl w:val="nil"/>
                  </w:tcBorders>
                  <w:vAlign w:val="center"/>
                </w:tcPr>
                <w:p w14:paraId="7A0228EA">
                  <w:pPr>
                    <w:pStyle w:val="4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3</w:t>
                  </w:r>
                </w:p>
              </w:tc>
              <w:tc>
                <w:tcPr>
                  <w:tcW w:w="3437" w:type="dxa"/>
                  <w:gridSpan w:val="3"/>
                  <w:tcBorders>
                    <w:tl2br w:val="nil"/>
                    <w:tr2bl w:val="nil"/>
                  </w:tcBorders>
                  <w:vAlign w:val="center"/>
                </w:tcPr>
                <w:p w14:paraId="1841B4E2">
                  <w:pPr>
                    <w:pStyle w:val="40"/>
                    <w:bidi w:val="0"/>
                    <w:rPr>
                      <w:rFonts w:hint="default" w:ascii="Times New Roman" w:hAnsi="Times New Roman" w:eastAsia="宋体" w:cs="Times New Roman"/>
                      <w:color w:val="auto"/>
                      <w:spacing w:val="-6"/>
                      <w:sz w:val="21"/>
                      <w:highlight w:val="none"/>
                      <w:lang w:val="en-US" w:eastAsia="zh-CN"/>
                    </w:rPr>
                  </w:pPr>
                  <w:r>
                    <w:rPr>
                      <w:rFonts w:hint="default" w:ascii="Times New Roman" w:hAnsi="Times New Roman" w:cs="Times New Roman"/>
                      <w:color w:val="auto"/>
                      <w:spacing w:val="-6"/>
                      <w:sz w:val="21"/>
                      <w:highlight w:val="none"/>
                      <w:lang w:val="en-US" w:eastAsia="zh-CN"/>
                    </w:rPr>
                    <w:t>表观密度/（kg/m</w:t>
                  </w:r>
                  <w:r>
                    <w:rPr>
                      <w:rFonts w:hint="default" w:ascii="Times New Roman" w:hAnsi="Times New Roman" w:cs="Times New Roman"/>
                      <w:color w:val="auto"/>
                      <w:spacing w:val="-6"/>
                      <w:sz w:val="21"/>
                      <w:highlight w:val="none"/>
                      <w:vertAlign w:val="superscript"/>
                      <w:lang w:val="en-US" w:eastAsia="zh-CN"/>
                    </w:rPr>
                    <w:t>3</w:t>
                  </w:r>
                  <w:r>
                    <w:rPr>
                      <w:rFonts w:hint="default" w:ascii="Times New Roman" w:hAnsi="Times New Roman" w:cs="Times New Roman"/>
                      <w:color w:val="auto"/>
                      <w:spacing w:val="-6"/>
                      <w:sz w:val="21"/>
                      <w:highlight w:val="none"/>
                      <w:lang w:val="en-US" w:eastAsia="zh-CN"/>
                    </w:rPr>
                    <w:t>）</w:t>
                  </w:r>
                </w:p>
              </w:tc>
              <w:tc>
                <w:tcPr>
                  <w:tcW w:w="1950" w:type="dxa"/>
                  <w:gridSpan w:val="2"/>
                  <w:tcBorders>
                    <w:tl2br w:val="nil"/>
                    <w:tr2bl w:val="nil"/>
                  </w:tcBorders>
                  <w:vAlign w:val="center"/>
                </w:tcPr>
                <w:p w14:paraId="4F7D4E9F">
                  <w:pPr>
                    <w:pStyle w:val="40"/>
                    <w:bidi w:val="0"/>
                    <w:rPr>
                      <w:rFonts w:hint="default" w:ascii="Times New Roman" w:hAnsi="Times New Roman" w:eastAsia="宋体" w:cs="Times New Roman"/>
                      <w:color w:val="auto"/>
                      <w:spacing w:val="-6"/>
                      <w:sz w:val="21"/>
                      <w:highlight w:val="none"/>
                      <w:lang w:eastAsia="zh-CN"/>
                    </w:rPr>
                  </w:pPr>
                  <w:r>
                    <w:rPr>
                      <w:rFonts w:hint="default" w:ascii="Times New Roman" w:hAnsi="Times New Roman" w:cs="Times New Roman"/>
                      <w:color w:val="auto"/>
                      <w:spacing w:val="-6"/>
                      <w:sz w:val="21"/>
                      <w:highlight w:val="none"/>
                      <w:lang w:eastAsia="zh-CN"/>
                    </w:rPr>
                    <w:t>—</w:t>
                  </w:r>
                </w:p>
              </w:tc>
              <w:tc>
                <w:tcPr>
                  <w:tcW w:w="1275" w:type="dxa"/>
                  <w:tcBorders>
                    <w:tl2br w:val="nil"/>
                    <w:tr2bl w:val="nil"/>
                  </w:tcBorders>
                  <w:vAlign w:val="center"/>
                </w:tcPr>
                <w:p w14:paraId="2ACB3A32">
                  <w:pPr>
                    <w:pStyle w:val="4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1950</w:t>
                  </w:r>
                </w:p>
              </w:tc>
              <w:tc>
                <w:tcPr>
                  <w:tcW w:w="1079" w:type="dxa"/>
                  <w:tcBorders>
                    <w:tl2br w:val="nil"/>
                    <w:tr2bl w:val="nil"/>
                  </w:tcBorders>
                  <w:vAlign w:val="center"/>
                </w:tcPr>
                <w:p w14:paraId="2B8DA331">
                  <w:pPr>
                    <w:pStyle w:val="4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合格</w:t>
                  </w:r>
                </w:p>
              </w:tc>
            </w:tr>
            <w:tr w14:paraId="6B3548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0" w:type="dxa"/>
                  <w:tcBorders>
                    <w:tl2br w:val="nil"/>
                    <w:tr2bl w:val="nil"/>
                  </w:tcBorders>
                  <w:vAlign w:val="center"/>
                </w:tcPr>
                <w:p w14:paraId="064BF6D1">
                  <w:pPr>
                    <w:pStyle w:val="4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4</w:t>
                  </w:r>
                </w:p>
              </w:tc>
              <w:tc>
                <w:tcPr>
                  <w:tcW w:w="3437" w:type="dxa"/>
                  <w:gridSpan w:val="3"/>
                  <w:tcBorders>
                    <w:tl2br w:val="nil"/>
                    <w:tr2bl w:val="nil"/>
                  </w:tcBorders>
                  <w:vAlign w:val="center"/>
                </w:tcPr>
                <w:p w14:paraId="5CBA572F">
                  <w:pPr>
                    <w:pStyle w:val="40"/>
                    <w:bidi w:val="0"/>
                    <w:rPr>
                      <w:rFonts w:hint="default" w:ascii="Times New Roman" w:hAnsi="Times New Roman" w:eastAsia="宋体" w:cs="Times New Roman"/>
                      <w:color w:val="auto"/>
                      <w:spacing w:val="-6"/>
                      <w:sz w:val="21"/>
                      <w:highlight w:val="none"/>
                      <w:lang w:val="en-US" w:eastAsia="zh-CN"/>
                    </w:rPr>
                  </w:pPr>
                  <w:r>
                    <w:rPr>
                      <w:rFonts w:hint="default" w:ascii="Times New Roman" w:hAnsi="Times New Roman" w:cs="Times New Roman"/>
                      <w:color w:val="auto"/>
                      <w:spacing w:val="-6"/>
                      <w:sz w:val="21"/>
                      <w:highlight w:val="none"/>
                      <w:lang w:val="en-US" w:eastAsia="zh-CN"/>
                    </w:rPr>
                    <w:t>筒压强度/MPa</w:t>
                  </w:r>
                </w:p>
              </w:tc>
              <w:tc>
                <w:tcPr>
                  <w:tcW w:w="1950" w:type="dxa"/>
                  <w:gridSpan w:val="2"/>
                  <w:tcBorders>
                    <w:tl2br w:val="nil"/>
                    <w:tr2bl w:val="nil"/>
                  </w:tcBorders>
                  <w:vAlign w:val="center"/>
                </w:tcPr>
                <w:p w14:paraId="04B0657B">
                  <w:pPr>
                    <w:pStyle w:val="40"/>
                    <w:bidi w:val="0"/>
                    <w:rPr>
                      <w:rFonts w:hint="default" w:ascii="Times New Roman" w:hAnsi="Times New Roman" w:eastAsia="宋体" w:cs="Times New Roman"/>
                      <w:color w:val="auto"/>
                      <w:spacing w:val="-6"/>
                      <w:sz w:val="21"/>
                      <w:highlight w:val="none"/>
                      <w:lang w:val="en-US" w:eastAsia="zh-CN"/>
                    </w:rPr>
                  </w:pPr>
                  <w:r>
                    <w:rPr>
                      <w:rFonts w:hint="default" w:ascii="Times New Roman" w:hAnsi="Times New Roman" w:cs="Times New Roman"/>
                      <w:color w:val="auto"/>
                      <w:spacing w:val="-6"/>
                      <w:sz w:val="21"/>
                      <w:highlight w:val="none"/>
                      <w:lang w:val="en-US" w:eastAsia="zh-CN"/>
                    </w:rPr>
                    <w:t>≥6.5</w:t>
                  </w:r>
                </w:p>
              </w:tc>
              <w:tc>
                <w:tcPr>
                  <w:tcW w:w="1275" w:type="dxa"/>
                  <w:tcBorders>
                    <w:tl2br w:val="nil"/>
                    <w:tr2bl w:val="nil"/>
                  </w:tcBorders>
                  <w:vAlign w:val="center"/>
                </w:tcPr>
                <w:p w14:paraId="2563A6C1">
                  <w:pPr>
                    <w:pStyle w:val="4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16.4</w:t>
                  </w:r>
                </w:p>
              </w:tc>
              <w:tc>
                <w:tcPr>
                  <w:tcW w:w="1079" w:type="dxa"/>
                  <w:tcBorders>
                    <w:tl2br w:val="nil"/>
                    <w:tr2bl w:val="nil"/>
                  </w:tcBorders>
                  <w:vAlign w:val="center"/>
                </w:tcPr>
                <w:p w14:paraId="03AE3136">
                  <w:pPr>
                    <w:pStyle w:val="4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合格</w:t>
                  </w:r>
                </w:p>
              </w:tc>
            </w:tr>
            <w:tr w14:paraId="62EDFE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0" w:type="dxa"/>
                  <w:tcBorders>
                    <w:tl2br w:val="nil"/>
                    <w:tr2bl w:val="nil"/>
                  </w:tcBorders>
                  <w:vAlign w:val="center"/>
                </w:tcPr>
                <w:p w14:paraId="3A6DF14E">
                  <w:pPr>
                    <w:pStyle w:val="4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5</w:t>
                  </w:r>
                </w:p>
              </w:tc>
              <w:tc>
                <w:tcPr>
                  <w:tcW w:w="3437" w:type="dxa"/>
                  <w:gridSpan w:val="3"/>
                  <w:tcBorders>
                    <w:tl2br w:val="nil"/>
                    <w:tr2bl w:val="nil"/>
                  </w:tcBorders>
                  <w:vAlign w:val="center"/>
                </w:tcPr>
                <w:p w14:paraId="7A5E0775">
                  <w:pPr>
                    <w:pStyle w:val="40"/>
                    <w:bidi w:val="0"/>
                    <w:rPr>
                      <w:rFonts w:hint="default" w:ascii="Times New Roman" w:hAnsi="Times New Roman" w:eastAsia="宋体" w:cs="Times New Roman"/>
                      <w:color w:val="auto"/>
                      <w:spacing w:val="-6"/>
                      <w:sz w:val="21"/>
                      <w:highlight w:val="none"/>
                      <w:lang w:val="en-US" w:eastAsia="zh-CN"/>
                    </w:rPr>
                  </w:pPr>
                  <w:r>
                    <w:rPr>
                      <w:rFonts w:hint="default" w:ascii="Times New Roman" w:hAnsi="Times New Roman" w:cs="Times New Roman"/>
                      <w:color w:val="auto"/>
                      <w:spacing w:val="-6"/>
                      <w:sz w:val="21"/>
                      <w:highlight w:val="none"/>
                      <w:lang w:val="en-US" w:eastAsia="zh-CN"/>
                    </w:rPr>
                    <w:t>强度标号</w:t>
                  </w:r>
                </w:p>
              </w:tc>
              <w:tc>
                <w:tcPr>
                  <w:tcW w:w="1950" w:type="dxa"/>
                  <w:gridSpan w:val="2"/>
                  <w:tcBorders>
                    <w:tl2br w:val="nil"/>
                    <w:tr2bl w:val="nil"/>
                  </w:tcBorders>
                  <w:vAlign w:val="center"/>
                </w:tcPr>
                <w:p w14:paraId="26981020">
                  <w:pPr>
                    <w:pStyle w:val="40"/>
                    <w:bidi w:val="0"/>
                    <w:rPr>
                      <w:rFonts w:hint="default" w:ascii="Times New Roman" w:hAnsi="Times New Roman" w:cs="Times New Roman"/>
                      <w:color w:val="auto"/>
                      <w:spacing w:val="-6"/>
                      <w:sz w:val="21"/>
                      <w:highlight w:val="none"/>
                    </w:rPr>
                  </w:pPr>
                  <w:r>
                    <w:rPr>
                      <w:rFonts w:hint="default" w:ascii="Times New Roman" w:hAnsi="Times New Roman" w:cs="Times New Roman"/>
                      <w:color w:val="auto"/>
                      <w:spacing w:val="-6"/>
                      <w:sz w:val="21"/>
                      <w:highlight w:val="none"/>
                      <w:lang w:eastAsia="zh-CN"/>
                    </w:rPr>
                    <w:t>—</w:t>
                  </w:r>
                </w:p>
              </w:tc>
              <w:tc>
                <w:tcPr>
                  <w:tcW w:w="1275" w:type="dxa"/>
                  <w:tcBorders>
                    <w:tl2br w:val="nil"/>
                    <w:tr2bl w:val="nil"/>
                  </w:tcBorders>
                  <w:vAlign w:val="center"/>
                </w:tcPr>
                <w:p w14:paraId="56C1A4BC">
                  <w:pPr>
                    <w:pStyle w:val="4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50</w:t>
                  </w:r>
                </w:p>
              </w:tc>
              <w:tc>
                <w:tcPr>
                  <w:tcW w:w="1079" w:type="dxa"/>
                  <w:tcBorders>
                    <w:tl2br w:val="nil"/>
                    <w:tr2bl w:val="nil"/>
                  </w:tcBorders>
                  <w:vAlign w:val="center"/>
                </w:tcPr>
                <w:p w14:paraId="5F8107DC">
                  <w:pPr>
                    <w:pStyle w:val="4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合格</w:t>
                  </w:r>
                </w:p>
              </w:tc>
            </w:tr>
            <w:tr w14:paraId="136977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0" w:type="dxa"/>
                  <w:tcBorders>
                    <w:tl2br w:val="nil"/>
                    <w:tr2bl w:val="nil"/>
                  </w:tcBorders>
                  <w:vAlign w:val="center"/>
                </w:tcPr>
                <w:p w14:paraId="4C177293">
                  <w:pPr>
                    <w:pStyle w:val="4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6</w:t>
                  </w:r>
                </w:p>
              </w:tc>
              <w:tc>
                <w:tcPr>
                  <w:tcW w:w="3437" w:type="dxa"/>
                  <w:gridSpan w:val="3"/>
                  <w:tcBorders>
                    <w:tl2br w:val="nil"/>
                    <w:tr2bl w:val="nil"/>
                  </w:tcBorders>
                  <w:vAlign w:val="center"/>
                </w:tcPr>
                <w:p w14:paraId="49C135E7">
                  <w:pPr>
                    <w:pStyle w:val="40"/>
                    <w:bidi w:val="0"/>
                    <w:rPr>
                      <w:rFonts w:hint="default" w:ascii="Times New Roman" w:hAnsi="Times New Roman" w:eastAsia="宋体" w:cs="Times New Roman"/>
                      <w:color w:val="auto"/>
                      <w:spacing w:val="-6"/>
                      <w:sz w:val="21"/>
                      <w:highlight w:val="none"/>
                      <w:lang w:val="en-US" w:eastAsia="zh-CN"/>
                    </w:rPr>
                  </w:pPr>
                  <w:r>
                    <w:rPr>
                      <w:rFonts w:hint="default" w:ascii="Times New Roman" w:hAnsi="Times New Roman" w:cs="Times New Roman"/>
                      <w:color w:val="auto"/>
                      <w:spacing w:val="-6"/>
                      <w:sz w:val="21"/>
                      <w:highlight w:val="none"/>
                      <w:lang w:val="en-US" w:eastAsia="zh-CN"/>
                    </w:rPr>
                    <w:t>吸水率（1h）/%</w:t>
                  </w:r>
                </w:p>
              </w:tc>
              <w:tc>
                <w:tcPr>
                  <w:tcW w:w="1950" w:type="dxa"/>
                  <w:gridSpan w:val="2"/>
                  <w:tcBorders>
                    <w:tl2br w:val="nil"/>
                    <w:tr2bl w:val="nil"/>
                  </w:tcBorders>
                  <w:vAlign w:val="center"/>
                </w:tcPr>
                <w:p w14:paraId="268D2A8E">
                  <w:pPr>
                    <w:pStyle w:val="40"/>
                    <w:bidi w:val="0"/>
                    <w:rPr>
                      <w:rFonts w:hint="default" w:ascii="Times New Roman" w:hAnsi="Times New Roman" w:cs="Times New Roman"/>
                      <w:color w:val="auto"/>
                      <w:spacing w:val="-6"/>
                      <w:sz w:val="21"/>
                      <w:highlight w:val="none"/>
                      <w:lang w:val="en-US"/>
                    </w:rPr>
                  </w:pPr>
                  <w:r>
                    <w:rPr>
                      <w:rFonts w:hint="default" w:ascii="Times New Roman" w:hAnsi="Times New Roman" w:cs="Times New Roman"/>
                      <w:color w:val="auto"/>
                      <w:spacing w:val="-6"/>
                      <w:sz w:val="21"/>
                      <w:highlight w:val="none"/>
                      <w:lang w:val="en-US" w:eastAsia="zh-CN"/>
                    </w:rPr>
                    <w:t>≤10</w:t>
                  </w:r>
                </w:p>
              </w:tc>
              <w:tc>
                <w:tcPr>
                  <w:tcW w:w="1275" w:type="dxa"/>
                  <w:tcBorders>
                    <w:tl2br w:val="nil"/>
                    <w:tr2bl w:val="nil"/>
                  </w:tcBorders>
                  <w:vAlign w:val="center"/>
                </w:tcPr>
                <w:p w14:paraId="59FEEE2B">
                  <w:pPr>
                    <w:pStyle w:val="4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9.8</w:t>
                  </w:r>
                </w:p>
              </w:tc>
              <w:tc>
                <w:tcPr>
                  <w:tcW w:w="1079" w:type="dxa"/>
                  <w:tcBorders>
                    <w:tl2br w:val="nil"/>
                    <w:tr2bl w:val="nil"/>
                  </w:tcBorders>
                  <w:vAlign w:val="center"/>
                </w:tcPr>
                <w:p w14:paraId="1E65BA6F">
                  <w:pPr>
                    <w:pStyle w:val="4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合格</w:t>
                  </w:r>
                </w:p>
              </w:tc>
            </w:tr>
            <w:tr w14:paraId="68946B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0" w:type="dxa"/>
                  <w:tcBorders>
                    <w:tl2br w:val="nil"/>
                    <w:tr2bl w:val="nil"/>
                  </w:tcBorders>
                  <w:vAlign w:val="center"/>
                </w:tcPr>
                <w:p w14:paraId="6760A55C">
                  <w:pPr>
                    <w:pStyle w:val="4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7</w:t>
                  </w:r>
                </w:p>
              </w:tc>
              <w:tc>
                <w:tcPr>
                  <w:tcW w:w="3437" w:type="dxa"/>
                  <w:gridSpan w:val="3"/>
                  <w:tcBorders>
                    <w:tl2br w:val="nil"/>
                    <w:tr2bl w:val="nil"/>
                  </w:tcBorders>
                  <w:vAlign w:val="center"/>
                </w:tcPr>
                <w:p w14:paraId="422DB9C4">
                  <w:pPr>
                    <w:pStyle w:val="40"/>
                    <w:bidi w:val="0"/>
                    <w:rPr>
                      <w:rFonts w:hint="default" w:ascii="Times New Roman" w:hAnsi="Times New Roman" w:eastAsia="宋体" w:cs="Times New Roman"/>
                      <w:color w:val="auto"/>
                      <w:spacing w:val="-6"/>
                      <w:sz w:val="21"/>
                      <w:highlight w:val="none"/>
                      <w:lang w:val="en-US" w:eastAsia="zh-CN"/>
                    </w:rPr>
                  </w:pPr>
                  <w:r>
                    <w:rPr>
                      <w:rFonts w:hint="default" w:ascii="Times New Roman" w:hAnsi="Times New Roman" w:cs="Times New Roman"/>
                      <w:color w:val="auto"/>
                      <w:spacing w:val="-6"/>
                      <w:sz w:val="21"/>
                      <w:highlight w:val="none"/>
                      <w:lang w:val="en-US" w:eastAsia="zh-CN"/>
                    </w:rPr>
                    <w:t>软化系数</w:t>
                  </w:r>
                </w:p>
              </w:tc>
              <w:tc>
                <w:tcPr>
                  <w:tcW w:w="1950" w:type="dxa"/>
                  <w:gridSpan w:val="2"/>
                  <w:tcBorders>
                    <w:tl2br w:val="nil"/>
                    <w:tr2bl w:val="nil"/>
                  </w:tcBorders>
                  <w:vAlign w:val="center"/>
                </w:tcPr>
                <w:p w14:paraId="778BA31F">
                  <w:pPr>
                    <w:pStyle w:val="40"/>
                    <w:bidi w:val="0"/>
                    <w:rPr>
                      <w:rFonts w:hint="default" w:ascii="Times New Roman" w:hAnsi="Times New Roman" w:cs="Times New Roman"/>
                      <w:color w:val="auto"/>
                      <w:spacing w:val="-6"/>
                      <w:sz w:val="21"/>
                      <w:highlight w:val="none"/>
                      <w:lang w:val="en-US"/>
                    </w:rPr>
                  </w:pPr>
                  <w:r>
                    <w:rPr>
                      <w:rFonts w:hint="default" w:ascii="Times New Roman" w:hAnsi="Times New Roman" w:cs="Times New Roman"/>
                      <w:color w:val="auto"/>
                      <w:spacing w:val="-6"/>
                      <w:sz w:val="21"/>
                      <w:highlight w:val="none"/>
                      <w:lang w:val="en-US" w:eastAsia="zh-CN"/>
                    </w:rPr>
                    <w:t>≥0.8</w:t>
                  </w:r>
                </w:p>
              </w:tc>
              <w:tc>
                <w:tcPr>
                  <w:tcW w:w="1275" w:type="dxa"/>
                  <w:tcBorders>
                    <w:tl2br w:val="nil"/>
                    <w:tr2bl w:val="nil"/>
                  </w:tcBorders>
                  <w:vAlign w:val="center"/>
                </w:tcPr>
                <w:p w14:paraId="7131D8B0">
                  <w:pPr>
                    <w:pStyle w:val="4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0.85</w:t>
                  </w:r>
                </w:p>
              </w:tc>
              <w:tc>
                <w:tcPr>
                  <w:tcW w:w="1079" w:type="dxa"/>
                  <w:tcBorders>
                    <w:tl2br w:val="nil"/>
                    <w:tr2bl w:val="nil"/>
                  </w:tcBorders>
                  <w:vAlign w:val="center"/>
                </w:tcPr>
                <w:p w14:paraId="2EE5C6C4">
                  <w:pPr>
                    <w:pStyle w:val="4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合格</w:t>
                  </w:r>
                </w:p>
              </w:tc>
            </w:tr>
            <w:tr w14:paraId="095587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0" w:type="dxa"/>
                  <w:tcBorders>
                    <w:tl2br w:val="nil"/>
                    <w:tr2bl w:val="nil"/>
                  </w:tcBorders>
                  <w:vAlign w:val="center"/>
                </w:tcPr>
                <w:p w14:paraId="01421F0A">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8</w:t>
                  </w:r>
                </w:p>
              </w:tc>
              <w:tc>
                <w:tcPr>
                  <w:tcW w:w="3437" w:type="dxa"/>
                  <w:gridSpan w:val="3"/>
                  <w:tcBorders>
                    <w:tl2br w:val="nil"/>
                    <w:tr2bl w:val="nil"/>
                  </w:tcBorders>
                  <w:vAlign w:val="center"/>
                </w:tcPr>
                <w:p w14:paraId="0F199FC2">
                  <w:pPr>
                    <w:pStyle w:val="40"/>
                    <w:bidi w:val="0"/>
                    <w:rPr>
                      <w:rFonts w:hint="default" w:ascii="Times New Roman" w:hAnsi="Times New Roman" w:cs="Times New Roman"/>
                      <w:color w:val="auto"/>
                      <w:spacing w:val="-6"/>
                      <w:sz w:val="21"/>
                      <w:highlight w:val="none"/>
                      <w:lang w:val="en-US" w:eastAsia="zh-CN"/>
                    </w:rPr>
                  </w:pPr>
                  <w:r>
                    <w:rPr>
                      <w:rFonts w:hint="default" w:ascii="Times New Roman" w:hAnsi="Times New Roman" w:cs="Times New Roman"/>
                      <w:color w:val="auto"/>
                      <w:spacing w:val="-6"/>
                      <w:sz w:val="21"/>
                      <w:highlight w:val="none"/>
                      <w:lang w:val="en-US" w:eastAsia="zh-CN"/>
                    </w:rPr>
                    <w:t>粒型系数</w:t>
                  </w:r>
                </w:p>
              </w:tc>
              <w:tc>
                <w:tcPr>
                  <w:tcW w:w="1950" w:type="dxa"/>
                  <w:gridSpan w:val="2"/>
                  <w:tcBorders>
                    <w:tl2br w:val="nil"/>
                    <w:tr2bl w:val="nil"/>
                  </w:tcBorders>
                  <w:vAlign w:val="center"/>
                </w:tcPr>
                <w:p w14:paraId="1552F773">
                  <w:pPr>
                    <w:pStyle w:val="40"/>
                    <w:bidi w:val="0"/>
                    <w:rPr>
                      <w:rFonts w:hint="default" w:ascii="Times New Roman" w:hAnsi="Times New Roman" w:cs="Times New Roman"/>
                      <w:color w:val="auto"/>
                      <w:spacing w:val="-6"/>
                      <w:sz w:val="21"/>
                      <w:highlight w:val="none"/>
                      <w:lang w:val="en-US"/>
                    </w:rPr>
                  </w:pPr>
                  <w:r>
                    <w:rPr>
                      <w:rFonts w:hint="default" w:ascii="Times New Roman" w:hAnsi="Times New Roman" w:cs="Times New Roman"/>
                      <w:color w:val="auto"/>
                      <w:spacing w:val="-6"/>
                      <w:sz w:val="21"/>
                      <w:highlight w:val="none"/>
                      <w:lang w:val="en-US" w:eastAsia="zh-CN"/>
                    </w:rPr>
                    <w:t>≤2.0</w:t>
                  </w:r>
                </w:p>
              </w:tc>
              <w:tc>
                <w:tcPr>
                  <w:tcW w:w="1275" w:type="dxa"/>
                  <w:tcBorders>
                    <w:tl2br w:val="nil"/>
                    <w:tr2bl w:val="nil"/>
                  </w:tcBorders>
                  <w:vAlign w:val="center"/>
                </w:tcPr>
                <w:p w14:paraId="7BCA2F52">
                  <w:pPr>
                    <w:pStyle w:val="4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1.1</w:t>
                  </w:r>
                </w:p>
              </w:tc>
              <w:tc>
                <w:tcPr>
                  <w:tcW w:w="1079" w:type="dxa"/>
                  <w:tcBorders>
                    <w:tl2br w:val="nil"/>
                    <w:tr2bl w:val="nil"/>
                  </w:tcBorders>
                  <w:vAlign w:val="center"/>
                </w:tcPr>
                <w:p w14:paraId="411229A2">
                  <w:pPr>
                    <w:pStyle w:val="4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合格</w:t>
                  </w:r>
                </w:p>
              </w:tc>
            </w:tr>
            <w:tr w14:paraId="4916E8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0" w:type="dxa"/>
                  <w:tcBorders>
                    <w:tl2br w:val="nil"/>
                    <w:tr2bl w:val="nil"/>
                  </w:tcBorders>
                  <w:vAlign w:val="center"/>
                </w:tcPr>
                <w:p w14:paraId="1B90817B">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9</w:t>
                  </w:r>
                </w:p>
              </w:tc>
              <w:tc>
                <w:tcPr>
                  <w:tcW w:w="3437" w:type="dxa"/>
                  <w:gridSpan w:val="3"/>
                  <w:tcBorders>
                    <w:tl2br w:val="nil"/>
                    <w:tr2bl w:val="nil"/>
                  </w:tcBorders>
                  <w:vAlign w:val="center"/>
                </w:tcPr>
                <w:p w14:paraId="588189A7">
                  <w:pPr>
                    <w:pStyle w:val="40"/>
                    <w:bidi w:val="0"/>
                    <w:rPr>
                      <w:rFonts w:hint="default" w:ascii="Times New Roman" w:hAnsi="Times New Roman" w:cs="Times New Roman"/>
                      <w:color w:val="auto"/>
                      <w:spacing w:val="-6"/>
                      <w:sz w:val="21"/>
                      <w:highlight w:val="none"/>
                      <w:lang w:val="en-US" w:eastAsia="zh-CN"/>
                    </w:rPr>
                  </w:pPr>
                  <w:r>
                    <w:rPr>
                      <w:rFonts w:hint="default" w:ascii="Times New Roman" w:hAnsi="Times New Roman" w:cs="Times New Roman"/>
                      <w:color w:val="auto"/>
                      <w:spacing w:val="-6"/>
                      <w:sz w:val="21"/>
                      <w:highlight w:val="none"/>
                      <w:lang w:val="en-US" w:eastAsia="zh-CN"/>
                    </w:rPr>
                    <w:t>含泥量/%</w:t>
                  </w:r>
                </w:p>
              </w:tc>
              <w:tc>
                <w:tcPr>
                  <w:tcW w:w="1950" w:type="dxa"/>
                  <w:gridSpan w:val="2"/>
                  <w:tcBorders>
                    <w:tl2br w:val="nil"/>
                    <w:tr2bl w:val="nil"/>
                  </w:tcBorders>
                  <w:vAlign w:val="center"/>
                </w:tcPr>
                <w:p w14:paraId="4A81E6F5">
                  <w:pPr>
                    <w:pStyle w:val="40"/>
                    <w:bidi w:val="0"/>
                    <w:rPr>
                      <w:rFonts w:hint="default" w:ascii="Times New Roman" w:hAnsi="Times New Roman" w:cs="Times New Roman"/>
                      <w:color w:val="auto"/>
                      <w:spacing w:val="-6"/>
                      <w:sz w:val="21"/>
                      <w:highlight w:val="none"/>
                      <w:lang w:val="en-US"/>
                    </w:rPr>
                  </w:pPr>
                  <w:r>
                    <w:rPr>
                      <w:rFonts w:hint="default" w:ascii="Times New Roman" w:hAnsi="Times New Roman" w:cs="Times New Roman"/>
                      <w:color w:val="auto"/>
                      <w:spacing w:val="-6"/>
                      <w:sz w:val="21"/>
                      <w:highlight w:val="none"/>
                      <w:lang w:val="en-US" w:eastAsia="zh-CN"/>
                    </w:rPr>
                    <w:t>≤</w:t>
                  </w:r>
                  <w:r>
                    <w:rPr>
                      <w:rFonts w:hint="eastAsia" w:cs="Times New Roman"/>
                      <w:color w:val="auto"/>
                      <w:spacing w:val="-6"/>
                      <w:sz w:val="21"/>
                      <w:highlight w:val="none"/>
                      <w:lang w:val="en-US" w:eastAsia="zh-CN"/>
                    </w:rPr>
                    <w:t>3.0</w:t>
                  </w:r>
                </w:p>
              </w:tc>
              <w:tc>
                <w:tcPr>
                  <w:tcW w:w="1275" w:type="dxa"/>
                  <w:tcBorders>
                    <w:tl2br w:val="nil"/>
                    <w:tr2bl w:val="nil"/>
                  </w:tcBorders>
                  <w:vAlign w:val="center"/>
                </w:tcPr>
                <w:p w14:paraId="0B435194">
                  <w:pPr>
                    <w:pStyle w:val="40"/>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1.0</w:t>
                  </w:r>
                </w:p>
              </w:tc>
              <w:tc>
                <w:tcPr>
                  <w:tcW w:w="1079" w:type="dxa"/>
                  <w:tcBorders>
                    <w:tl2br w:val="nil"/>
                    <w:tr2bl w:val="nil"/>
                  </w:tcBorders>
                  <w:vAlign w:val="center"/>
                </w:tcPr>
                <w:p w14:paraId="749BE9BA">
                  <w:pPr>
                    <w:pStyle w:val="4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合格</w:t>
                  </w:r>
                </w:p>
              </w:tc>
            </w:tr>
            <w:tr w14:paraId="3839EA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0" w:type="dxa"/>
                  <w:tcBorders>
                    <w:tl2br w:val="nil"/>
                    <w:tr2bl w:val="nil"/>
                  </w:tcBorders>
                  <w:vAlign w:val="center"/>
                </w:tcPr>
                <w:p w14:paraId="52A5C0EF">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10</w:t>
                  </w:r>
                </w:p>
              </w:tc>
              <w:tc>
                <w:tcPr>
                  <w:tcW w:w="3437" w:type="dxa"/>
                  <w:gridSpan w:val="3"/>
                  <w:tcBorders>
                    <w:tl2br w:val="nil"/>
                    <w:tr2bl w:val="nil"/>
                  </w:tcBorders>
                  <w:vAlign w:val="center"/>
                </w:tcPr>
                <w:p w14:paraId="21E3F842">
                  <w:pPr>
                    <w:pStyle w:val="40"/>
                    <w:bidi w:val="0"/>
                    <w:rPr>
                      <w:rFonts w:hint="default" w:ascii="Times New Roman" w:hAnsi="Times New Roman" w:cs="Times New Roman"/>
                      <w:color w:val="auto"/>
                      <w:spacing w:val="-6"/>
                      <w:sz w:val="21"/>
                      <w:highlight w:val="none"/>
                      <w:lang w:val="en-US" w:eastAsia="zh-CN"/>
                    </w:rPr>
                  </w:pPr>
                  <w:r>
                    <w:rPr>
                      <w:rFonts w:hint="default" w:ascii="Times New Roman" w:hAnsi="Times New Roman" w:cs="Times New Roman"/>
                      <w:color w:val="auto"/>
                      <w:spacing w:val="-6"/>
                      <w:sz w:val="21"/>
                      <w:highlight w:val="none"/>
                      <w:lang w:val="en-US" w:eastAsia="zh-CN"/>
                    </w:rPr>
                    <w:t>泥块含量/%</w:t>
                  </w:r>
                </w:p>
              </w:tc>
              <w:tc>
                <w:tcPr>
                  <w:tcW w:w="1950" w:type="dxa"/>
                  <w:gridSpan w:val="2"/>
                  <w:tcBorders>
                    <w:tl2br w:val="nil"/>
                    <w:tr2bl w:val="nil"/>
                  </w:tcBorders>
                  <w:vAlign w:val="center"/>
                </w:tcPr>
                <w:p w14:paraId="69F49A75">
                  <w:pPr>
                    <w:pStyle w:val="40"/>
                    <w:bidi w:val="0"/>
                    <w:rPr>
                      <w:rFonts w:hint="default" w:ascii="Times New Roman" w:hAnsi="Times New Roman" w:cs="Times New Roman"/>
                      <w:color w:val="auto"/>
                      <w:spacing w:val="-6"/>
                      <w:sz w:val="21"/>
                      <w:highlight w:val="none"/>
                      <w:lang w:val="en-US"/>
                    </w:rPr>
                  </w:pPr>
                  <w:r>
                    <w:rPr>
                      <w:rFonts w:hint="default" w:ascii="Times New Roman" w:hAnsi="Times New Roman" w:cs="Times New Roman"/>
                      <w:color w:val="auto"/>
                      <w:spacing w:val="-6"/>
                      <w:sz w:val="21"/>
                      <w:highlight w:val="none"/>
                      <w:lang w:val="en-US" w:eastAsia="zh-CN"/>
                    </w:rPr>
                    <w:t>≤</w:t>
                  </w:r>
                  <w:r>
                    <w:rPr>
                      <w:rFonts w:hint="eastAsia" w:cs="Times New Roman"/>
                      <w:color w:val="auto"/>
                      <w:spacing w:val="-6"/>
                      <w:sz w:val="21"/>
                      <w:highlight w:val="none"/>
                      <w:lang w:val="en-US" w:eastAsia="zh-CN"/>
                    </w:rPr>
                    <w:t>1.0</w:t>
                  </w:r>
                </w:p>
              </w:tc>
              <w:tc>
                <w:tcPr>
                  <w:tcW w:w="1275" w:type="dxa"/>
                  <w:tcBorders>
                    <w:tl2br w:val="nil"/>
                    <w:tr2bl w:val="nil"/>
                  </w:tcBorders>
                  <w:vAlign w:val="center"/>
                </w:tcPr>
                <w:p w14:paraId="79AF3C56">
                  <w:pPr>
                    <w:pStyle w:val="40"/>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0.0</w:t>
                  </w:r>
                </w:p>
              </w:tc>
              <w:tc>
                <w:tcPr>
                  <w:tcW w:w="1079" w:type="dxa"/>
                  <w:tcBorders>
                    <w:tl2br w:val="nil"/>
                    <w:tr2bl w:val="nil"/>
                  </w:tcBorders>
                  <w:vAlign w:val="center"/>
                </w:tcPr>
                <w:p w14:paraId="17492BB1">
                  <w:pPr>
                    <w:pStyle w:val="4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合格</w:t>
                  </w:r>
                </w:p>
              </w:tc>
            </w:tr>
            <w:tr w14:paraId="090F71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0" w:type="dxa"/>
                  <w:tcBorders>
                    <w:tl2br w:val="nil"/>
                    <w:tr2bl w:val="nil"/>
                  </w:tcBorders>
                  <w:vAlign w:val="center"/>
                </w:tcPr>
                <w:p w14:paraId="6942FD3F">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11</w:t>
                  </w:r>
                </w:p>
              </w:tc>
              <w:tc>
                <w:tcPr>
                  <w:tcW w:w="3437" w:type="dxa"/>
                  <w:gridSpan w:val="3"/>
                  <w:tcBorders>
                    <w:tl2br w:val="nil"/>
                    <w:tr2bl w:val="nil"/>
                  </w:tcBorders>
                  <w:vAlign w:val="center"/>
                </w:tcPr>
                <w:p w14:paraId="3280AB53">
                  <w:pPr>
                    <w:pStyle w:val="40"/>
                    <w:bidi w:val="0"/>
                    <w:rPr>
                      <w:rFonts w:hint="default" w:ascii="Times New Roman" w:hAnsi="Times New Roman" w:cs="Times New Roman"/>
                      <w:color w:val="auto"/>
                      <w:spacing w:val="-6"/>
                      <w:sz w:val="21"/>
                      <w:highlight w:val="none"/>
                      <w:lang w:val="en-US" w:eastAsia="zh-CN"/>
                    </w:rPr>
                  </w:pPr>
                  <w:r>
                    <w:rPr>
                      <w:rFonts w:hint="default" w:ascii="Times New Roman" w:hAnsi="Times New Roman" w:cs="Times New Roman"/>
                      <w:color w:val="auto"/>
                      <w:spacing w:val="-6"/>
                      <w:sz w:val="21"/>
                      <w:highlight w:val="none"/>
                      <w:lang w:val="en-US" w:eastAsia="zh-CN"/>
                    </w:rPr>
                    <w:t>煮沸质量损失/%</w:t>
                  </w:r>
                </w:p>
              </w:tc>
              <w:tc>
                <w:tcPr>
                  <w:tcW w:w="1950" w:type="dxa"/>
                  <w:gridSpan w:val="2"/>
                  <w:tcBorders>
                    <w:tl2br w:val="nil"/>
                    <w:tr2bl w:val="nil"/>
                  </w:tcBorders>
                  <w:vAlign w:val="center"/>
                </w:tcPr>
                <w:p w14:paraId="3E107700">
                  <w:pPr>
                    <w:pStyle w:val="40"/>
                    <w:bidi w:val="0"/>
                    <w:rPr>
                      <w:rFonts w:hint="default" w:ascii="Times New Roman" w:hAnsi="Times New Roman" w:cs="Times New Roman"/>
                      <w:color w:val="auto"/>
                      <w:spacing w:val="-6"/>
                      <w:sz w:val="21"/>
                      <w:highlight w:val="none"/>
                      <w:lang w:val="en-US"/>
                    </w:rPr>
                  </w:pPr>
                  <w:r>
                    <w:rPr>
                      <w:rFonts w:hint="default" w:ascii="Times New Roman" w:hAnsi="Times New Roman" w:cs="Times New Roman"/>
                      <w:color w:val="auto"/>
                      <w:spacing w:val="-6"/>
                      <w:sz w:val="21"/>
                      <w:highlight w:val="none"/>
                      <w:lang w:val="en-US" w:eastAsia="zh-CN"/>
                    </w:rPr>
                    <w:t>≤</w:t>
                  </w:r>
                  <w:r>
                    <w:rPr>
                      <w:rFonts w:hint="eastAsia" w:cs="Times New Roman"/>
                      <w:color w:val="auto"/>
                      <w:spacing w:val="-6"/>
                      <w:sz w:val="21"/>
                      <w:highlight w:val="none"/>
                      <w:lang w:val="en-US" w:eastAsia="zh-CN"/>
                    </w:rPr>
                    <w:t>5.0</w:t>
                  </w:r>
                </w:p>
              </w:tc>
              <w:tc>
                <w:tcPr>
                  <w:tcW w:w="1275" w:type="dxa"/>
                  <w:tcBorders>
                    <w:tl2br w:val="nil"/>
                    <w:tr2bl w:val="nil"/>
                  </w:tcBorders>
                  <w:vAlign w:val="center"/>
                </w:tcPr>
                <w:p w14:paraId="7DB7198D">
                  <w:pPr>
                    <w:pStyle w:val="40"/>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0.6</w:t>
                  </w:r>
                </w:p>
              </w:tc>
              <w:tc>
                <w:tcPr>
                  <w:tcW w:w="1079" w:type="dxa"/>
                  <w:tcBorders>
                    <w:tl2br w:val="nil"/>
                    <w:tr2bl w:val="nil"/>
                  </w:tcBorders>
                  <w:vAlign w:val="center"/>
                </w:tcPr>
                <w:p w14:paraId="3B0941A9">
                  <w:pPr>
                    <w:pStyle w:val="4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合格</w:t>
                  </w:r>
                </w:p>
              </w:tc>
            </w:tr>
            <w:tr w14:paraId="01F146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0" w:type="dxa"/>
                  <w:tcBorders>
                    <w:tl2br w:val="nil"/>
                    <w:tr2bl w:val="nil"/>
                  </w:tcBorders>
                  <w:vAlign w:val="center"/>
                </w:tcPr>
                <w:p w14:paraId="2B7B159B">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12</w:t>
                  </w:r>
                </w:p>
              </w:tc>
              <w:tc>
                <w:tcPr>
                  <w:tcW w:w="3437" w:type="dxa"/>
                  <w:gridSpan w:val="3"/>
                  <w:tcBorders>
                    <w:tl2br w:val="nil"/>
                    <w:tr2bl w:val="nil"/>
                  </w:tcBorders>
                  <w:vAlign w:val="center"/>
                </w:tcPr>
                <w:p w14:paraId="4FFFDF79">
                  <w:pPr>
                    <w:pStyle w:val="40"/>
                    <w:bidi w:val="0"/>
                    <w:rPr>
                      <w:rFonts w:hint="default" w:ascii="Times New Roman" w:hAnsi="Times New Roman" w:cs="Times New Roman"/>
                      <w:color w:val="auto"/>
                      <w:spacing w:val="-6"/>
                      <w:sz w:val="21"/>
                      <w:highlight w:val="none"/>
                      <w:lang w:val="en-US" w:eastAsia="zh-CN"/>
                    </w:rPr>
                  </w:pPr>
                  <w:r>
                    <w:rPr>
                      <w:rFonts w:hint="default" w:ascii="Times New Roman" w:hAnsi="Times New Roman" w:cs="Times New Roman"/>
                      <w:color w:val="auto"/>
                      <w:spacing w:val="-6"/>
                      <w:sz w:val="21"/>
                      <w:highlight w:val="none"/>
                      <w:lang w:val="en-US" w:eastAsia="zh-CN"/>
                    </w:rPr>
                    <w:t>有机物含量</w:t>
                  </w:r>
                </w:p>
              </w:tc>
              <w:tc>
                <w:tcPr>
                  <w:tcW w:w="1950" w:type="dxa"/>
                  <w:gridSpan w:val="2"/>
                  <w:tcBorders>
                    <w:tl2br w:val="nil"/>
                    <w:tr2bl w:val="nil"/>
                  </w:tcBorders>
                  <w:vAlign w:val="center"/>
                </w:tcPr>
                <w:p w14:paraId="26A4EB82">
                  <w:pPr>
                    <w:pStyle w:val="40"/>
                    <w:bidi w:val="0"/>
                    <w:rPr>
                      <w:rFonts w:hint="default" w:ascii="Times New Roman" w:hAnsi="Times New Roman" w:cs="Times New Roman"/>
                      <w:color w:val="auto"/>
                      <w:spacing w:val="-6"/>
                      <w:sz w:val="21"/>
                      <w:highlight w:val="none"/>
                      <w:lang w:val="en-US"/>
                    </w:rPr>
                  </w:pPr>
                  <w:r>
                    <w:rPr>
                      <w:rFonts w:hint="default" w:ascii="Times New Roman" w:hAnsi="Times New Roman" w:cs="Times New Roman"/>
                      <w:color w:val="auto"/>
                      <w:spacing w:val="-6"/>
                      <w:sz w:val="21"/>
                      <w:highlight w:val="none"/>
                      <w:lang w:val="en-US" w:eastAsia="zh-CN"/>
                    </w:rPr>
                    <w:t>≤</w:t>
                  </w:r>
                  <w:r>
                    <w:rPr>
                      <w:rFonts w:hint="eastAsia" w:cs="Times New Roman"/>
                      <w:color w:val="auto"/>
                      <w:spacing w:val="-6"/>
                      <w:sz w:val="21"/>
                      <w:highlight w:val="none"/>
                      <w:lang w:val="en-US" w:eastAsia="zh-CN"/>
                    </w:rPr>
                    <w:t>1.0</w:t>
                  </w:r>
                </w:p>
              </w:tc>
              <w:tc>
                <w:tcPr>
                  <w:tcW w:w="1275" w:type="dxa"/>
                  <w:tcBorders>
                    <w:tl2br w:val="nil"/>
                    <w:tr2bl w:val="nil"/>
                  </w:tcBorders>
                  <w:vAlign w:val="center"/>
                </w:tcPr>
                <w:p w14:paraId="5ECBF701">
                  <w:pPr>
                    <w:pStyle w:val="40"/>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0.84</w:t>
                  </w:r>
                </w:p>
              </w:tc>
              <w:tc>
                <w:tcPr>
                  <w:tcW w:w="1079" w:type="dxa"/>
                  <w:tcBorders>
                    <w:tl2br w:val="nil"/>
                    <w:tr2bl w:val="nil"/>
                  </w:tcBorders>
                  <w:vAlign w:val="center"/>
                </w:tcPr>
                <w:p w14:paraId="0E340995">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合格</w:t>
                  </w:r>
                </w:p>
              </w:tc>
            </w:tr>
            <w:tr w14:paraId="29D7FC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0" w:type="dxa"/>
                  <w:tcBorders>
                    <w:tl2br w:val="nil"/>
                    <w:tr2bl w:val="nil"/>
                  </w:tcBorders>
                  <w:vAlign w:val="center"/>
                </w:tcPr>
                <w:p w14:paraId="40EE7877">
                  <w:pPr>
                    <w:pStyle w:val="4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13</w:t>
                  </w:r>
                </w:p>
              </w:tc>
              <w:tc>
                <w:tcPr>
                  <w:tcW w:w="3437" w:type="dxa"/>
                  <w:gridSpan w:val="3"/>
                  <w:tcBorders>
                    <w:tl2br w:val="nil"/>
                    <w:tr2bl w:val="nil"/>
                  </w:tcBorders>
                  <w:vAlign w:val="center"/>
                </w:tcPr>
                <w:p w14:paraId="6219C132">
                  <w:pPr>
                    <w:pStyle w:val="40"/>
                    <w:bidi w:val="0"/>
                    <w:rPr>
                      <w:rFonts w:hint="default" w:ascii="Times New Roman" w:hAnsi="Times New Roman" w:cs="Times New Roman"/>
                      <w:color w:val="auto"/>
                      <w:spacing w:val="-6"/>
                      <w:sz w:val="21"/>
                      <w:highlight w:val="none"/>
                      <w:lang w:val="en-US" w:eastAsia="zh-CN"/>
                    </w:rPr>
                  </w:pPr>
                  <w:r>
                    <w:rPr>
                      <w:rFonts w:hint="eastAsia" w:ascii="Times New Roman" w:hAnsi="Times New Roman" w:cs="Times New Roman"/>
                      <w:color w:val="auto"/>
                      <w:spacing w:val="-6"/>
                      <w:sz w:val="21"/>
                      <w:highlight w:val="none"/>
                      <w:lang w:val="en-US" w:eastAsia="zh-CN"/>
                    </w:rPr>
                    <w:t>硫化物和硫酸盐含量（按SO</w:t>
                  </w:r>
                  <w:r>
                    <w:rPr>
                      <w:rFonts w:hint="eastAsia" w:ascii="Times New Roman" w:hAnsi="Times New Roman" w:cs="Times New Roman"/>
                      <w:color w:val="auto"/>
                      <w:spacing w:val="-6"/>
                      <w:sz w:val="21"/>
                      <w:highlight w:val="none"/>
                      <w:vertAlign w:val="subscript"/>
                      <w:lang w:val="en-US" w:eastAsia="zh-CN"/>
                    </w:rPr>
                    <w:t>3</w:t>
                  </w:r>
                  <w:r>
                    <w:rPr>
                      <w:rFonts w:hint="eastAsia" w:ascii="Times New Roman" w:hAnsi="Times New Roman" w:cs="Times New Roman"/>
                      <w:color w:val="auto"/>
                      <w:spacing w:val="-6"/>
                      <w:sz w:val="21"/>
                      <w:highlight w:val="none"/>
                      <w:lang w:val="en-US" w:eastAsia="zh-CN"/>
                    </w:rPr>
                    <w:t>计）/%</w:t>
                  </w:r>
                </w:p>
              </w:tc>
              <w:tc>
                <w:tcPr>
                  <w:tcW w:w="1950" w:type="dxa"/>
                  <w:gridSpan w:val="2"/>
                  <w:tcBorders>
                    <w:tl2br w:val="nil"/>
                    <w:tr2bl w:val="nil"/>
                  </w:tcBorders>
                  <w:vAlign w:val="center"/>
                </w:tcPr>
                <w:p w14:paraId="59DD5755">
                  <w:pPr>
                    <w:pStyle w:val="40"/>
                    <w:bidi w:val="0"/>
                    <w:rPr>
                      <w:rFonts w:hint="eastAsia" w:ascii="Times New Roman" w:hAnsi="Times New Roman" w:eastAsia="宋体" w:cs="Times New Roman"/>
                      <w:color w:val="auto"/>
                      <w:spacing w:val="-6"/>
                      <w:sz w:val="21"/>
                      <w:highlight w:val="none"/>
                      <w:lang w:val="en-US" w:eastAsia="zh-CN"/>
                    </w:rPr>
                  </w:pPr>
                  <w:r>
                    <w:rPr>
                      <w:rFonts w:hint="eastAsia" w:ascii="Times New Roman" w:hAnsi="Times New Roman" w:cs="Times New Roman"/>
                      <w:color w:val="auto"/>
                      <w:spacing w:val="-6"/>
                      <w:sz w:val="21"/>
                      <w:highlight w:val="none"/>
                      <w:lang w:val="en-US" w:eastAsia="zh-CN"/>
                    </w:rPr>
                    <w:t>不深于标准色</w:t>
                  </w:r>
                </w:p>
              </w:tc>
              <w:tc>
                <w:tcPr>
                  <w:tcW w:w="1275" w:type="dxa"/>
                  <w:tcBorders>
                    <w:tl2br w:val="nil"/>
                    <w:tr2bl w:val="nil"/>
                  </w:tcBorders>
                  <w:vAlign w:val="center"/>
                </w:tcPr>
                <w:p w14:paraId="454D44AA">
                  <w:pPr>
                    <w:pStyle w:val="40"/>
                    <w:bidi w:val="0"/>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spacing w:val="-6"/>
                      <w:sz w:val="21"/>
                      <w:highlight w:val="none"/>
                      <w:lang w:val="en-US" w:eastAsia="zh-CN"/>
                    </w:rPr>
                    <w:t>浅于标准色</w:t>
                  </w:r>
                </w:p>
              </w:tc>
              <w:tc>
                <w:tcPr>
                  <w:tcW w:w="1079" w:type="dxa"/>
                  <w:tcBorders>
                    <w:tl2br w:val="nil"/>
                    <w:tr2bl w:val="nil"/>
                  </w:tcBorders>
                  <w:vAlign w:val="center"/>
                </w:tcPr>
                <w:p w14:paraId="683175A0">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合格</w:t>
                  </w:r>
                </w:p>
              </w:tc>
            </w:tr>
            <w:tr w14:paraId="539BA9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0" w:type="dxa"/>
                  <w:tcBorders>
                    <w:tl2br w:val="nil"/>
                    <w:tr2bl w:val="nil"/>
                  </w:tcBorders>
                  <w:vAlign w:val="center"/>
                </w:tcPr>
                <w:p w14:paraId="5FCFE8D3">
                  <w:pPr>
                    <w:pStyle w:val="4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14</w:t>
                  </w:r>
                </w:p>
              </w:tc>
              <w:tc>
                <w:tcPr>
                  <w:tcW w:w="3437" w:type="dxa"/>
                  <w:gridSpan w:val="3"/>
                  <w:tcBorders>
                    <w:tl2br w:val="nil"/>
                    <w:tr2bl w:val="nil"/>
                  </w:tcBorders>
                  <w:vAlign w:val="center"/>
                </w:tcPr>
                <w:p w14:paraId="0BCC5420">
                  <w:pPr>
                    <w:pStyle w:val="40"/>
                    <w:bidi w:val="0"/>
                    <w:rPr>
                      <w:rFonts w:hint="default" w:ascii="Times New Roman" w:hAnsi="Times New Roman" w:cs="Times New Roman"/>
                      <w:color w:val="auto"/>
                      <w:spacing w:val="-6"/>
                      <w:sz w:val="21"/>
                      <w:highlight w:val="none"/>
                      <w:lang w:val="en-US" w:eastAsia="zh-CN"/>
                    </w:rPr>
                  </w:pPr>
                  <w:r>
                    <w:rPr>
                      <w:rFonts w:hint="default" w:ascii="Times New Roman" w:hAnsi="Times New Roman" w:cs="Times New Roman"/>
                      <w:color w:val="auto"/>
                      <w:spacing w:val="-6"/>
                      <w:sz w:val="21"/>
                      <w:highlight w:val="none"/>
                      <w:lang w:val="en-US" w:eastAsia="zh-CN"/>
                    </w:rPr>
                    <w:t>氯化物（以氯离子含量计）含量/%</w:t>
                  </w:r>
                </w:p>
              </w:tc>
              <w:tc>
                <w:tcPr>
                  <w:tcW w:w="1950" w:type="dxa"/>
                  <w:gridSpan w:val="2"/>
                  <w:tcBorders>
                    <w:tl2br w:val="nil"/>
                    <w:tr2bl w:val="nil"/>
                  </w:tcBorders>
                  <w:vAlign w:val="center"/>
                </w:tcPr>
                <w:p w14:paraId="37E82924">
                  <w:pPr>
                    <w:pStyle w:val="40"/>
                    <w:bidi w:val="0"/>
                    <w:rPr>
                      <w:rFonts w:hint="default" w:ascii="Times New Roman" w:hAnsi="Times New Roman" w:cs="Times New Roman"/>
                      <w:color w:val="auto"/>
                      <w:spacing w:val="-6"/>
                      <w:sz w:val="21"/>
                      <w:highlight w:val="none"/>
                      <w:lang w:val="en-US"/>
                    </w:rPr>
                  </w:pPr>
                  <w:r>
                    <w:rPr>
                      <w:rFonts w:hint="default" w:ascii="Times New Roman" w:hAnsi="Times New Roman" w:cs="Times New Roman"/>
                      <w:color w:val="auto"/>
                      <w:spacing w:val="-6"/>
                      <w:sz w:val="21"/>
                      <w:highlight w:val="none"/>
                      <w:lang w:val="en-US" w:eastAsia="zh-CN"/>
                    </w:rPr>
                    <w:t>≤</w:t>
                  </w:r>
                  <w:r>
                    <w:rPr>
                      <w:rFonts w:hint="eastAsia" w:cs="Times New Roman"/>
                      <w:color w:val="auto"/>
                      <w:spacing w:val="-6"/>
                      <w:sz w:val="21"/>
                      <w:highlight w:val="none"/>
                      <w:lang w:val="en-US" w:eastAsia="zh-CN"/>
                    </w:rPr>
                    <w:t>0.02</w:t>
                  </w:r>
                </w:p>
              </w:tc>
              <w:tc>
                <w:tcPr>
                  <w:tcW w:w="1275" w:type="dxa"/>
                  <w:tcBorders>
                    <w:tl2br w:val="nil"/>
                    <w:tr2bl w:val="nil"/>
                  </w:tcBorders>
                  <w:vAlign w:val="center"/>
                </w:tcPr>
                <w:p w14:paraId="3C19438F">
                  <w:pPr>
                    <w:pStyle w:val="40"/>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0.01</w:t>
                  </w:r>
                </w:p>
              </w:tc>
              <w:tc>
                <w:tcPr>
                  <w:tcW w:w="1079" w:type="dxa"/>
                  <w:tcBorders>
                    <w:tl2br w:val="nil"/>
                    <w:tr2bl w:val="nil"/>
                  </w:tcBorders>
                  <w:vAlign w:val="center"/>
                </w:tcPr>
                <w:p w14:paraId="7A0B9714">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合格</w:t>
                  </w:r>
                </w:p>
              </w:tc>
            </w:tr>
            <w:tr w14:paraId="221EDA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0" w:type="dxa"/>
                  <w:vMerge w:val="restart"/>
                  <w:tcBorders>
                    <w:tl2br w:val="nil"/>
                    <w:tr2bl w:val="nil"/>
                  </w:tcBorders>
                  <w:vAlign w:val="center"/>
                </w:tcPr>
                <w:p w14:paraId="0653C7D3">
                  <w:pPr>
                    <w:pStyle w:val="4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15</w:t>
                  </w:r>
                </w:p>
              </w:tc>
              <w:tc>
                <w:tcPr>
                  <w:tcW w:w="3437" w:type="dxa"/>
                  <w:gridSpan w:val="3"/>
                  <w:vMerge w:val="restart"/>
                  <w:tcBorders>
                    <w:tl2br w:val="nil"/>
                    <w:tr2bl w:val="nil"/>
                  </w:tcBorders>
                  <w:vAlign w:val="center"/>
                </w:tcPr>
                <w:p w14:paraId="3C402B81">
                  <w:pPr>
                    <w:pStyle w:val="40"/>
                    <w:bidi w:val="0"/>
                    <w:rPr>
                      <w:rFonts w:hint="default" w:ascii="Times New Roman" w:hAnsi="Times New Roman" w:cs="Times New Roman"/>
                      <w:color w:val="auto"/>
                      <w:spacing w:val="-6"/>
                      <w:sz w:val="21"/>
                      <w:highlight w:val="none"/>
                      <w:lang w:val="en-US" w:eastAsia="zh-CN"/>
                    </w:rPr>
                  </w:pPr>
                  <w:r>
                    <w:rPr>
                      <w:rFonts w:hint="default" w:ascii="Times New Roman" w:hAnsi="Times New Roman" w:cs="Times New Roman"/>
                      <w:color w:val="auto"/>
                      <w:spacing w:val="-6"/>
                      <w:sz w:val="21"/>
                      <w:highlight w:val="none"/>
                      <w:lang w:val="en-US" w:eastAsia="zh-CN"/>
                    </w:rPr>
                    <w:t>放射性（放射性比活度）</w:t>
                  </w:r>
                </w:p>
              </w:tc>
              <w:tc>
                <w:tcPr>
                  <w:tcW w:w="688" w:type="dxa"/>
                  <w:vMerge w:val="restart"/>
                  <w:tcBorders>
                    <w:tl2br w:val="nil"/>
                    <w:tr2bl w:val="nil"/>
                  </w:tcBorders>
                  <w:vAlign w:val="center"/>
                </w:tcPr>
                <w:p w14:paraId="7BD2A656">
                  <w:pPr>
                    <w:pStyle w:val="40"/>
                    <w:bidi w:val="0"/>
                    <w:rPr>
                      <w:rFonts w:hint="default" w:ascii="Times New Roman" w:hAnsi="Times New Roman" w:eastAsia="宋体" w:cs="Times New Roman"/>
                      <w:color w:val="auto"/>
                      <w:spacing w:val="-6"/>
                      <w:sz w:val="21"/>
                      <w:highlight w:val="none"/>
                      <w:lang w:val="en-US" w:eastAsia="zh-CN"/>
                    </w:rPr>
                  </w:pPr>
                  <w:r>
                    <w:rPr>
                      <w:rFonts w:hint="default" w:ascii="Times New Roman" w:hAnsi="Times New Roman" w:cs="Times New Roman"/>
                      <w:color w:val="auto"/>
                      <w:spacing w:val="-6"/>
                      <w:sz w:val="21"/>
                      <w:highlight w:val="none"/>
                      <w:lang w:val="en-US" w:eastAsia="zh-CN"/>
                    </w:rPr>
                    <w:t>建筑主体材料</w:t>
                  </w:r>
                </w:p>
              </w:tc>
              <w:tc>
                <w:tcPr>
                  <w:tcW w:w="1262" w:type="dxa"/>
                  <w:tcBorders>
                    <w:tl2br w:val="nil"/>
                    <w:tr2bl w:val="nil"/>
                  </w:tcBorders>
                  <w:vAlign w:val="center"/>
                </w:tcPr>
                <w:p w14:paraId="4737F810">
                  <w:pPr>
                    <w:pStyle w:val="40"/>
                    <w:bidi w:val="0"/>
                    <w:rPr>
                      <w:rFonts w:hint="default" w:ascii="Times New Roman" w:hAnsi="Times New Roman" w:eastAsia="宋体" w:cs="Times New Roman"/>
                      <w:color w:val="auto"/>
                      <w:spacing w:val="-6"/>
                      <w:sz w:val="21"/>
                      <w:highlight w:val="none"/>
                      <w:lang w:val="en-US" w:eastAsia="zh-CN"/>
                    </w:rPr>
                  </w:pPr>
                  <w:r>
                    <w:rPr>
                      <w:rFonts w:hint="default" w:ascii="Times New Roman" w:hAnsi="Times New Roman" w:cs="Times New Roman"/>
                      <w:color w:val="auto"/>
                      <w:spacing w:val="-6"/>
                      <w:sz w:val="21"/>
                      <w:highlight w:val="none"/>
                      <w:lang w:val="en-US" w:eastAsia="zh-CN"/>
                    </w:rPr>
                    <w:t>内照射指数（I</w:t>
                  </w:r>
                  <w:r>
                    <w:rPr>
                      <w:rFonts w:hint="default" w:ascii="Times New Roman" w:hAnsi="Times New Roman" w:cs="Times New Roman"/>
                      <w:color w:val="auto"/>
                      <w:spacing w:val="-6"/>
                      <w:sz w:val="21"/>
                      <w:highlight w:val="none"/>
                      <w:vertAlign w:val="subscript"/>
                      <w:lang w:val="en-US" w:eastAsia="zh-CN"/>
                    </w:rPr>
                    <w:t>Ra</w:t>
                  </w:r>
                  <w:r>
                    <w:rPr>
                      <w:rFonts w:hint="default" w:ascii="Times New Roman" w:hAnsi="Times New Roman" w:cs="Times New Roman"/>
                      <w:color w:val="auto"/>
                      <w:spacing w:val="-6"/>
                      <w:sz w:val="21"/>
                      <w:highlight w:val="none"/>
                      <w:lang w:val="en-US" w:eastAsia="zh-CN"/>
                    </w:rPr>
                    <w:t>）≤1.0</w:t>
                  </w:r>
                </w:p>
              </w:tc>
              <w:tc>
                <w:tcPr>
                  <w:tcW w:w="1275" w:type="dxa"/>
                  <w:tcBorders>
                    <w:tl2br w:val="nil"/>
                    <w:tr2bl w:val="nil"/>
                  </w:tcBorders>
                  <w:vAlign w:val="center"/>
                </w:tcPr>
                <w:p w14:paraId="27B6F2D8">
                  <w:pPr>
                    <w:pStyle w:val="40"/>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0.3</w:t>
                  </w:r>
                </w:p>
              </w:tc>
              <w:tc>
                <w:tcPr>
                  <w:tcW w:w="1079" w:type="dxa"/>
                  <w:tcBorders>
                    <w:tl2br w:val="nil"/>
                    <w:tr2bl w:val="nil"/>
                  </w:tcBorders>
                  <w:vAlign w:val="center"/>
                </w:tcPr>
                <w:p w14:paraId="7672D364">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合格</w:t>
                  </w:r>
                </w:p>
              </w:tc>
            </w:tr>
            <w:tr w14:paraId="2DB1BD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0" w:type="dxa"/>
                  <w:vMerge w:val="continue"/>
                  <w:tcBorders>
                    <w:tl2br w:val="nil"/>
                    <w:tr2bl w:val="nil"/>
                  </w:tcBorders>
                  <w:vAlign w:val="center"/>
                </w:tcPr>
                <w:p w14:paraId="43739148">
                  <w:pPr>
                    <w:pStyle w:val="40"/>
                    <w:bidi w:val="0"/>
                    <w:rPr>
                      <w:rFonts w:hint="default" w:ascii="Times New Roman" w:hAnsi="Times New Roman" w:cs="Times New Roman"/>
                      <w:color w:val="auto"/>
                      <w:highlight w:val="none"/>
                      <w:lang w:val="en-US" w:eastAsia="zh-CN"/>
                    </w:rPr>
                  </w:pPr>
                </w:p>
              </w:tc>
              <w:tc>
                <w:tcPr>
                  <w:tcW w:w="3437" w:type="dxa"/>
                  <w:gridSpan w:val="3"/>
                  <w:vMerge w:val="continue"/>
                  <w:tcBorders>
                    <w:tl2br w:val="nil"/>
                    <w:tr2bl w:val="nil"/>
                  </w:tcBorders>
                  <w:vAlign w:val="center"/>
                </w:tcPr>
                <w:p w14:paraId="24F3BF66">
                  <w:pPr>
                    <w:pStyle w:val="40"/>
                    <w:bidi w:val="0"/>
                    <w:rPr>
                      <w:rFonts w:hint="default" w:ascii="Times New Roman" w:hAnsi="Times New Roman" w:cs="Times New Roman"/>
                      <w:color w:val="auto"/>
                      <w:spacing w:val="-6"/>
                      <w:sz w:val="21"/>
                      <w:highlight w:val="none"/>
                      <w:lang w:val="en-US" w:eastAsia="zh-CN"/>
                    </w:rPr>
                  </w:pPr>
                </w:p>
              </w:tc>
              <w:tc>
                <w:tcPr>
                  <w:tcW w:w="688" w:type="dxa"/>
                  <w:vMerge w:val="continue"/>
                  <w:tcBorders>
                    <w:tl2br w:val="nil"/>
                    <w:tr2bl w:val="nil"/>
                  </w:tcBorders>
                  <w:vAlign w:val="center"/>
                </w:tcPr>
                <w:p w14:paraId="7225D43D">
                  <w:pPr>
                    <w:pStyle w:val="40"/>
                    <w:bidi w:val="0"/>
                    <w:rPr>
                      <w:rFonts w:hint="default" w:ascii="Times New Roman" w:hAnsi="Times New Roman" w:cs="Times New Roman"/>
                      <w:color w:val="auto"/>
                      <w:spacing w:val="-6"/>
                      <w:sz w:val="21"/>
                      <w:highlight w:val="none"/>
                    </w:rPr>
                  </w:pPr>
                </w:p>
              </w:tc>
              <w:tc>
                <w:tcPr>
                  <w:tcW w:w="1262" w:type="dxa"/>
                  <w:tcBorders>
                    <w:tl2br w:val="nil"/>
                    <w:tr2bl w:val="nil"/>
                  </w:tcBorders>
                  <w:vAlign w:val="center"/>
                </w:tcPr>
                <w:p w14:paraId="31828980">
                  <w:pPr>
                    <w:pStyle w:val="40"/>
                    <w:bidi w:val="0"/>
                    <w:rPr>
                      <w:rFonts w:hint="default" w:ascii="Times New Roman" w:hAnsi="Times New Roman" w:cs="Times New Roman"/>
                      <w:color w:val="auto"/>
                      <w:spacing w:val="-6"/>
                      <w:sz w:val="21"/>
                      <w:highlight w:val="none"/>
                    </w:rPr>
                  </w:pPr>
                  <w:r>
                    <w:rPr>
                      <w:rFonts w:hint="default" w:ascii="Times New Roman" w:hAnsi="Times New Roman" w:cs="Times New Roman"/>
                      <w:color w:val="auto"/>
                      <w:spacing w:val="-6"/>
                      <w:sz w:val="21"/>
                      <w:highlight w:val="none"/>
                      <w:lang w:val="en-US" w:eastAsia="zh-CN"/>
                    </w:rPr>
                    <w:t>外照射指数（I</w:t>
                  </w:r>
                  <w:r>
                    <w:rPr>
                      <w:rFonts w:hint="default" w:ascii="Times New Roman" w:hAnsi="Times New Roman" w:cs="Times New Roman"/>
                      <w:color w:val="auto"/>
                      <w:spacing w:val="-6"/>
                      <w:sz w:val="21"/>
                      <w:highlight w:val="none"/>
                      <w:vertAlign w:val="subscript"/>
                      <w:lang w:val="en-US" w:eastAsia="zh-CN"/>
                    </w:rPr>
                    <w:t>γ</w:t>
                  </w:r>
                  <w:r>
                    <w:rPr>
                      <w:rFonts w:hint="default" w:ascii="Times New Roman" w:hAnsi="Times New Roman" w:cs="Times New Roman"/>
                      <w:color w:val="auto"/>
                      <w:spacing w:val="-6"/>
                      <w:sz w:val="21"/>
                      <w:highlight w:val="none"/>
                      <w:lang w:val="en-US" w:eastAsia="zh-CN"/>
                    </w:rPr>
                    <w:t>）≤1.0</w:t>
                  </w:r>
                </w:p>
              </w:tc>
              <w:tc>
                <w:tcPr>
                  <w:tcW w:w="1275" w:type="dxa"/>
                  <w:tcBorders>
                    <w:tl2br w:val="nil"/>
                    <w:tr2bl w:val="nil"/>
                  </w:tcBorders>
                  <w:vAlign w:val="center"/>
                </w:tcPr>
                <w:p w14:paraId="339DF6AD">
                  <w:pPr>
                    <w:pStyle w:val="40"/>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0.4</w:t>
                  </w:r>
                </w:p>
              </w:tc>
              <w:tc>
                <w:tcPr>
                  <w:tcW w:w="1079" w:type="dxa"/>
                  <w:tcBorders>
                    <w:tl2br w:val="nil"/>
                    <w:tr2bl w:val="nil"/>
                  </w:tcBorders>
                  <w:vAlign w:val="center"/>
                </w:tcPr>
                <w:p w14:paraId="790EF346">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合格</w:t>
                  </w:r>
                </w:p>
              </w:tc>
            </w:tr>
            <w:tr w14:paraId="38889A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0" w:type="dxa"/>
                  <w:vMerge w:val="restart"/>
                  <w:tcBorders>
                    <w:tl2br w:val="nil"/>
                    <w:tr2bl w:val="nil"/>
                  </w:tcBorders>
                  <w:vAlign w:val="center"/>
                </w:tcPr>
                <w:p w14:paraId="3598176D">
                  <w:pPr>
                    <w:pStyle w:val="4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16</w:t>
                  </w:r>
                </w:p>
              </w:tc>
              <w:tc>
                <w:tcPr>
                  <w:tcW w:w="1718" w:type="dxa"/>
                  <w:vMerge w:val="restart"/>
                  <w:tcBorders>
                    <w:tl2br w:val="nil"/>
                    <w:tr2bl w:val="nil"/>
                  </w:tcBorders>
                  <w:vAlign w:val="center"/>
                </w:tcPr>
                <w:p w14:paraId="0AB31867">
                  <w:pPr>
                    <w:pStyle w:val="40"/>
                    <w:bidi w:val="0"/>
                    <w:rPr>
                      <w:rFonts w:hint="default" w:ascii="Times New Roman" w:hAnsi="Times New Roman" w:cs="Times New Roman"/>
                      <w:color w:val="auto"/>
                      <w:spacing w:val="-6"/>
                      <w:sz w:val="21"/>
                      <w:highlight w:val="none"/>
                      <w:lang w:val="en-US" w:eastAsia="zh-CN"/>
                    </w:rPr>
                  </w:pPr>
                  <w:r>
                    <w:rPr>
                      <w:rFonts w:hint="eastAsia" w:ascii="Times New Roman" w:hAnsi="Times New Roman" w:cs="Times New Roman"/>
                      <w:color w:val="auto"/>
                      <w:spacing w:val="-6"/>
                      <w:sz w:val="21"/>
                      <w:highlight w:val="none"/>
                      <w:lang w:val="en-US" w:eastAsia="zh-CN"/>
                    </w:rPr>
                    <w:t>可浸出重金属含量（mg/L）</w:t>
                  </w:r>
                </w:p>
              </w:tc>
              <w:tc>
                <w:tcPr>
                  <w:tcW w:w="1719" w:type="dxa"/>
                  <w:gridSpan w:val="2"/>
                  <w:tcBorders>
                    <w:tl2br w:val="nil"/>
                    <w:tr2bl w:val="nil"/>
                  </w:tcBorders>
                  <w:vAlign w:val="center"/>
                </w:tcPr>
                <w:p w14:paraId="0DC29B13">
                  <w:pPr>
                    <w:pStyle w:val="40"/>
                    <w:bidi w:val="0"/>
                    <w:rPr>
                      <w:rFonts w:hint="default" w:ascii="Times New Roman" w:hAnsi="Times New Roman" w:cs="Times New Roman"/>
                      <w:color w:val="auto"/>
                      <w:spacing w:val="-6"/>
                      <w:sz w:val="21"/>
                      <w:highlight w:val="none"/>
                      <w:lang w:val="en-US" w:eastAsia="zh-CN"/>
                    </w:rPr>
                  </w:pPr>
                  <w:r>
                    <w:rPr>
                      <w:rFonts w:hint="eastAsia" w:ascii="Times New Roman" w:hAnsi="Times New Roman" w:cs="Times New Roman"/>
                      <w:color w:val="auto"/>
                      <w:spacing w:val="-6"/>
                      <w:sz w:val="21"/>
                      <w:highlight w:val="none"/>
                      <w:lang w:val="en-US" w:eastAsia="zh-CN"/>
                    </w:rPr>
                    <w:t>铅</w:t>
                  </w:r>
                </w:p>
              </w:tc>
              <w:tc>
                <w:tcPr>
                  <w:tcW w:w="1950" w:type="dxa"/>
                  <w:gridSpan w:val="2"/>
                  <w:tcBorders>
                    <w:tl2br w:val="nil"/>
                    <w:tr2bl w:val="nil"/>
                  </w:tcBorders>
                  <w:vAlign w:val="center"/>
                </w:tcPr>
                <w:p w14:paraId="6C05ECDC">
                  <w:pPr>
                    <w:pStyle w:val="40"/>
                    <w:bidi w:val="0"/>
                    <w:rPr>
                      <w:rFonts w:hint="default" w:ascii="Times New Roman" w:hAnsi="Times New Roman" w:cs="Times New Roman"/>
                      <w:color w:val="auto"/>
                      <w:spacing w:val="-6"/>
                      <w:sz w:val="21"/>
                      <w:highlight w:val="none"/>
                      <w:lang w:val="en-US" w:eastAsia="zh-CN"/>
                    </w:rPr>
                  </w:pPr>
                  <w:r>
                    <w:rPr>
                      <w:rFonts w:hint="eastAsia" w:ascii="Times New Roman" w:hAnsi="Times New Roman" w:cs="Times New Roman"/>
                      <w:color w:val="auto"/>
                      <w:spacing w:val="-6"/>
                      <w:sz w:val="21"/>
                      <w:highlight w:val="none"/>
                      <w:lang w:val="en-US" w:eastAsia="zh-CN"/>
                    </w:rPr>
                    <w:t>—</w:t>
                  </w:r>
                </w:p>
              </w:tc>
              <w:tc>
                <w:tcPr>
                  <w:tcW w:w="1275" w:type="dxa"/>
                  <w:tcBorders>
                    <w:tl2br w:val="nil"/>
                    <w:tr2bl w:val="nil"/>
                  </w:tcBorders>
                  <w:vAlign w:val="center"/>
                </w:tcPr>
                <w:p w14:paraId="7C44007B">
                  <w:pPr>
                    <w:pStyle w:val="40"/>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0.085</w:t>
                  </w:r>
                </w:p>
              </w:tc>
              <w:tc>
                <w:tcPr>
                  <w:tcW w:w="1079" w:type="dxa"/>
                  <w:tcBorders>
                    <w:tl2br w:val="nil"/>
                    <w:tr2bl w:val="nil"/>
                  </w:tcBorders>
                  <w:shd w:val="clear" w:color="auto" w:fill="auto"/>
                  <w:vAlign w:val="center"/>
                </w:tcPr>
                <w:p w14:paraId="4FE81B12">
                  <w:pPr>
                    <w:pStyle w:val="40"/>
                    <w:bidi w:val="0"/>
                    <w:ind w:firstLine="0" w:firstLineChars="0"/>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ascii="Times New Roman" w:hAnsi="Times New Roman" w:cs="Times New Roman"/>
                      <w:color w:val="auto"/>
                      <w:spacing w:val="-6"/>
                      <w:sz w:val="21"/>
                      <w:highlight w:val="none"/>
                      <w:lang w:val="en-US" w:eastAsia="zh-CN"/>
                    </w:rPr>
                    <w:t>—</w:t>
                  </w:r>
                </w:p>
              </w:tc>
            </w:tr>
            <w:tr w14:paraId="3FA9B3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0" w:type="dxa"/>
                  <w:vMerge w:val="continue"/>
                  <w:tcBorders>
                    <w:tl2br w:val="nil"/>
                    <w:tr2bl w:val="nil"/>
                  </w:tcBorders>
                  <w:vAlign w:val="center"/>
                </w:tcPr>
                <w:p w14:paraId="372FA286">
                  <w:pPr>
                    <w:pStyle w:val="40"/>
                    <w:bidi w:val="0"/>
                    <w:rPr>
                      <w:rFonts w:hint="default" w:ascii="Times New Roman" w:hAnsi="Times New Roman" w:cs="Times New Roman"/>
                      <w:color w:val="auto"/>
                      <w:highlight w:val="none"/>
                      <w:lang w:val="en-US" w:eastAsia="zh-CN"/>
                    </w:rPr>
                  </w:pPr>
                </w:p>
              </w:tc>
              <w:tc>
                <w:tcPr>
                  <w:tcW w:w="1718" w:type="dxa"/>
                  <w:vMerge w:val="continue"/>
                  <w:tcBorders>
                    <w:tl2br w:val="nil"/>
                    <w:tr2bl w:val="nil"/>
                  </w:tcBorders>
                  <w:vAlign w:val="center"/>
                </w:tcPr>
                <w:p w14:paraId="32A31D38">
                  <w:pPr>
                    <w:pStyle w:val="40"/>
                    <w:bidi w:val="0"/>
                    <w:rPr>
                      <w:rFonts w:hint="default" w:ascii="Times New Roman" w:hAnsi="Times New Roman" w:cs="Times New Roman"/>
                      <w:color w:val="auto"/>
                      <w:spacing w:val="-6"/>
                      <w:sz w:val="21"/>
                      <w:highlight w:val="none"/>
                      <w:lang w:val="en-US" w:eastAsia="zh-CN"/>
                    </w:rPr>
                  </w:pPr>
                </w:p>
              </w:tc>
              <w:tc>
                <w:tcPr>
                  <w:tcW w:w="1719" w:type="dxa"/>
                  <w:gridSpan w:val="2"/>
                  <w:tcBorders>
                    <w:tl2br w:val="nil"/>
                    <w:tr2bl w:val="nil"/>
                  </w:tcBorders>
                  <w:vAlign w:val="center"/>
                </w:tcPr>
                <w:p w14:paraId="773D5B9F">
                  <w:pPr>
                    <w:pStyle w:val="40"/>
                    <w:bidi w:val="0"/>
                    <w:rPr>
                      <w:rFonts w:hint="default" w:ascii="Times New Roman" w:hAnsi="Times New Roman" w:cs="Times New Roman"/>
                      <w:color w:val="auto"/>
                      <w:spacing w:val="-6"/>
                      <w:sz w:val="21"/>
                      <w:highlight w:val="none"/>
                      <w:lang w:val="en-US" w:eastAsia="zh-CN"/>
                    </w:rPr>
                  </w:pPr>
                  <w:r>
                    <w:rPr>
                      <w:rFonts w:hint="eastAsia" w:ascii="Times New Roman" w:hAnsi="Times New Roman" w:cs="Times New Roman"/>
                      <w:color w:val="auto"/>
                      <w:spacing w:val="-6"/>
                      <w:sz w:val="21"/>
                      <w:highlight w:val="none"/>
                      <w:lang w:val="en-US" w:eastAsia="zh-CN"/>
                    </w:rPr>
                    <w:t>铬</w:t>
                  </w:r>
                </w:p>
              </w:tc>
              <w:tc>
                <w:tcPr>
                  <w:tcW w:w="1950" w:type="dxa"/>
                  <w:gridSpan w:val="2"/>
                  <w:tcBorders>
                    <w:tl2br w:val="nil"/>
                    <w:tr2bl w:val="nil"/>
                  </w:tcBorders>
                  <w:vAlign w:val="center"/>
                </w:tcPr>
                <w:p w14:paraId="6FBB86CD">
                  <w:pPr>
                    <w:pStyle w:val="40"/>
                    <w:bidi w:val="0"/>
                    <w:rPr>
                      <w:rFonts w:hint="default" w:ascii="Times New Roman" w:hAnsi="Times New Roman" w:cs="Times New Roman"/>
                      <w:color w:val="auto"/>
                      <w:spacing w:val="-6"/>
                      <w:sz w:val="21"/>
                      <w:highlight w:val="none"/>
                      <w:lang w:val="en-US" w:eastAsia="zh-CN"/>
                    </w:rPr>
                  </w:pPr>
                  <w:r>
                    <w:rPr>
                      <w:rFonts w:hint="eastAsia" w:ascii="Times New Roman" w:hAnsi="Times New Roman" w:cs="Times New Roman"/>
                      <w:color w:val="auto"/>
                      <w:spacing w:val="-6"/>
                      <w:sz w:val="21"/>
                      <w:highlight w:val="none"/>
                      <w:lang w:val="en-US" w:eastAsia="zh-CN"/>
                    </w:rPr>
                    <w:t>—</w:t>
                  </w:r>
                </w:p>
              </w:tc>
              <w:tc>
                <w:tcPr>
                  <w:tcW w:w="1275" w:type="dxa"/>
                  <w:tcBorders>
                    <w:tl2br w:val="nil"/>
                    <w:tr2bl w:val="nil"/>
                  </w:tcBorders>
                  <w:vAlign w:val="center"/>
                </w:tcPr>
                <w:p w14:paraId="5C5A16D0">
                  <w:pPr>
                    <w:pStyle w:val="40"/>
                    <w:bidi w:val="0"/>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未检出</w:t>
                  </w:r>
                </w:p>
              </w:tc>
              <w:tc>
                <w:tcPr>
                  <w:tcW w:w="1079" w:type="dxa"/>
                  <w:tcBorders>
                    <w:tl2br w:val="nil"/>
                    <w:tr2bl w:val="nil"/>
                  </w:tcBorders>
                  <w:shd w:val="clear" w:color="auto" w:fill="auto"/>
                  <w:vAlign w:val="center"/>
                </w:tcPr>
                <w:p w14:paraId="7DF929F3">
                  <w:pPr>
                    <w:pStyle w:val="40"/>
                    <w:bidi w:val="0"/>
                    <w:ind w:firstLine="0" w:firstLineChars="0"/>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ascii="Times New Roman" w:hAnsi="Times New Roman" w:cs="Times New Roman"/>
                      <w:color w:val="auto"/>
                      <w:spacing w:val="-6"/>
                      <w:sz w:val="21"/>
                      <w:highlight w:val="none"/>
                      <w:lang w:val="en-US" w:eastAsia="zh-CN"/>
                    </w:rPr>
                    <w:t>—</w:t>
                  </w:r>
                </w:p>
              </w:tc>
            </w:tr>
            <w:tr w14:paraId="7C9E53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0" w:type="dxa"/>
                  <w:vMerge w:val="continue"/>
                  <w:tcBorders>
                    <w:tl2br w:val="nil"/>
                    <w:tr2bl w:val="nil"/>
                  </w:tcBorders>
                  <w:vAlign w:val="center"/>
                </w:tcPr>
                <w:p w14:paraId="0D6E4696">
                  <w:pPr>
                    <w:pStyle w:val="40"/>
                    <w:bidi w:val="0"/>
                    <w:rPr>
                      <w:rFonts w:hint="default" w:ascii="Times New Roman" w:hAnsi="Times New Roman" w:cs="Times New Roman"/>
                      <w:color w:val="auto"/>
                      <w:highlight w:val="none"/>
                      <w:lang w:val="en-US" w:eastAsia="zh-CN"/>
                    </w:rPr>
                  </w:pPr>
                </w:p>
              </w:tc>
              <w:tc>
                <w:tcPr>
                  <w:tcW w:w="1718" w:type="dxa"/>
                  <w:vMerge w:val="continue"/>
                  <w:tcBorders>
                    <w:tl2br w:val="nil"/>
                    <w:tr2bl w:val="nil"/>
                  </w:tcBorders>
                  <w:vAlign w:val="center"/>
                </w:tcPr>
                <w:p w14:paraId="4729300B">
                  <w:pPr>
                    <w:pStyle w:val="40"/>
                    <w:bidi w:val="0"/>
                    <w:rPr>
                      <w:rFonts w:hint="default" w:ascii="Times New Roman" w:hAnsi="Times New Roman" w:cs="Times New Roman"/>
                      <w:color w:val="auto"/>
                      <w:spacing w:val="-6"/>
                      <w:sz w:val="21"/>
                      <w:highlight w:val="none"/>
                      <w:lang w:val="en-US" w:eastAsia="zh-CN"/>
                    </w:rPr>
                  </w:pPr>
                </w:p>
              </w:tc>
              <w:tc>
                <w:tcPr>
                  <w:tcW w:w="1719" w:type="dxa"/>
                  <w:gridSpan w:val="2"/>
                  <w:tcBorders>
                    <w:tl2br w:val="nil"/>
                    <w:tr2bl w:val="nil"/>
                  </w:tcBorders>
                  <w:vAlign w:val="center"/>
                </w:tcPr>
                <w:p w14:paraId="12C21D2A">
                  <w:pPr>
                    <w:pStyle w:val="40"/>
                    <w:bidi w:val="0"/>
                    <w:rPr>
                      <w:rFonts w:hint="default" w:ascii="Times New Roman" w:hAnsi="Times New Roman" w:cs="Times New Roman"/>
                      <w:color w:val="auto"/>
                      <w:spacing w:val="-6"/>
                      <w:sz w:val="21"/>
                      <w:highlight w:val="none"/>
                      <w:lang w:val="en-US" w:eastAsia="zh-CN"/>
                    </w:rPr>
                  </w:pPr>
                  <w:r>
                    <w:rPr>
                      <w:rFonts w:hint="eastAsia" w:ascii="Times New Roman" w:hAnsi="Times New Roman" w:cs="Times New Roman"/>
                      <w:color w:val="auto"/>
                      <w:spacing w:val="-6"/>
                      <w:sz w:val="21"/>
                      <w:highlight w:val="none"/>
                      <w:lang w:val="en-US" w:eastAsia="zh-CN"/>
                    </w:rPr>
                    <w:t>镉</w:t>
                  </w:r>
                </w:p>
              </w:tc>
              <w:tc>
                <w:tcPr>
                  <w:tcW w:w="1950" w:type="dxa"/>
                  <w:gridSpan w:val="2"/>
                  <w:tcBorders>
                    <w:tl2br w:val="nil"/>
                    <w:tr2bl w:val="nil"/>
                  </w:tcBorders>
                  <w:vAlign w:val="center"/>
                </w:tcPr>
                <w:p w14:paraId="2EC52076">
                  <w:pPr>
                    <w:pStyle w:val="40"/>
                    <w:bidi w:val="0"/>
                    <w:rPr>
                      <w:rFonts w:hint="default" w:ascii="Times New Roman" w:hAnsi="Times New Roman" w:cs="Times New Roman"/>
                      <w:color w:val="auto"/>
                      <w:spacing w:val="-6"/>
                      <w:sz w:val="21"/>
                      <w:highlight w:val="none"/>
                      <w:lang w:val="en-US" w:eastAsia="zh-CN"/>
                    </w:rPr>
                  </w:pPr>
                  <w:r>
                    <w:rPr>
                      <w:rFonts w:hint="eastAsia" w:ascii="Times New Roman" w:hAnsi="Times New Roman" w:cs="Times New Roman"/>
                      <w:color w:val="auto"/>
                      <w:spacing w:val="-6"/>
                      <w:sz w:val="21"/>
                      <w:highlight w:val="none"/>
                      <w:lang w:val="en-US" w:eastAsia="zh-CN"/>
                    </w:rPr>
                    <w:t>—</w:t>
                  </w:r>
                </w:p>
              </w:tc>
              <w:tc>
                <w:tcPr>
                  <w:tcW w:w="1275" w:type="dxa"/>
                  <w:tcBorders>
                    <w:tl2br w:val="nil"/>
                    <w:tr2bl w:val="nil"/>
                  </w:tcBorders>
                  <w:vAlign w:val="center"/>
                </w:tcPr>
                <w:p w14:paraId="02F21C86">
                  <w:pPr>
                    <w:pStyle w:val="40"/>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0.012</w:t>
                  </w:r>
                </w:p>
              </w:tc>
              <w:tc>
                <w:tcPr>
                  <w:tcW w:w="1079" w:type="dxa"/>
                  <w:tcBorders>
                    <w:tl2br w:val="nil"/>
                    <w:tr2bl w:val="nil"/>
                  </w:tcBorders>
                  <w:shd w:val="clear" w:color="auto" w:fill="auto"/>
                  <w:vAlign w:val="center"/>
                </w:tcPr>
                <w:p w14:paraId="3A469C71">
                  <w:pPr>
                    <w:pStyle w:val="40"/>
                    <w:bidi w:val="0"/>
                    <w:ind w:firstLine="0" w:firstLineChars="0"/>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ascii="Times New Roman" w:hAnsi="Times New Roman" w:cs="Times New Roman"/>
                      <w:color w:val="auto"/>
                      <w:spacing w:val="-6"/>
                      <w:sz w:val="21"/>
                      <w:highlight w:val="none"/>
                      <w:lang w:val="en-US" w:eastAsia="zh-CN"/>
                    </w:rPr>
                    <w:t>—</w:t>
                  </w:r>
                </w:p>
              </w:tc>
            </w:tr>
            <w:tr w14:paraId="39B1A0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0" w:type="dxa"/>
                  <w:vMerge w:val="continue"/>
                  <w:tcBorders>
                    <w:tl2br w:val="nil"/>
                    <w:tr2bl w:val="nil"/>
                  </w:tcBorders>
                  <w:vAlign w:val="center"/>
                </w:tcPr>
                <w:p w14:paraId="71D71E6B">
                  <w:pPr>
                    <w:pStyle w:val="40"/>
                    <w:bidi w:val="0"/>
                    <w:rPr>
                      <w:rFonts w:hint="default" w:ascii="Times New Roman" w:hAnsi="Times New Roman" w:cs="Times New Roman"/>
                      <w:color w:val="auto"/>
                      <w:highlight w:val="none"/>
                      <w:lang w:val="en-US" w:eastAsia="zh-CN"/>
                    </w:rPr>
                  </w:pPr>
                </w:p>
              </w:tc>
              <w:tc>
                <w:tcPr>
                  <w:tcW w:w="1718" w:type="dxa"/>
                  <w:vMerge w:val="continue"/>
                  <w:tcBorders>
                    <w:tl2br w:val="nil"/>
                    <w:tr2bl w:val="nil"/>
                  </w:tcBorders>
                  <w:vAlign w:val="center"/>
                </w:tcPr>
                <w:p w14:paraId="658D00F9">
                  <w:pPr>
                    <w:pStyle w:val="40"/>
                    <w:bidi w:val="0"/>
                    <w:rPr>
                      <w:rFonts w:hint="default" w:ascii="Times New Roman" w:hAnsi="Times New Roman" w:cs="Times New Roman"/>
                      <w:color w:val="auto"/>
                      <w:spacing w:val="-6"/>
                      <w:sz w:val="21"/>
                      <w:highlight w:val="none"/>
                      <w:lang w:val="en-US" w:eastAsia="zh-CN"/>
                    </w:rPr>
                  </w:pPr>
                </w:p>
              </w:tc>
              <w:tc>
                <w:tcPr>
                  <w:tcW w:w="1719" w:type="dxa"/>
                  <w:gridSpan w:val="2"/>
                  <w:tcBorders>
                    <w:tl2br w:val="nil"/>
                    <w:tr2bl w:val="nil"/>
                  </w:tcBorders>
                  <w:vAlign w:val="center"/>
                </w:tcPr>
                <w:p w14:paraId="70D4CBB3">
                  <w:pPr>
                    <w:pStyle w:val="40"/>
                    <w:bidi w:val="0"/>
                    <w:rPr>
                      <w:rFonts w:hint="default" w:ascii="Times New Roman" w:hAnsi="Times New Roman" w:cs="Times New Roman"/>
                      <w:color w:val="auto"/>
                      <w:spacing w:val="-6"/>
                      <w:sz w:val="21"/>
                      <w:highlight w:val="none"/>
                      <w:lang w:val="en-US" w:eastAsia="zh-CN"/>
                    </w:rPr>
                  </w:pPr>
                  <w:r>
                    <w:rPr>
                      <w:rFonts w:hint="eastAsia" w:ascii="Times New Roman" w:hAnsi="Times New Roman" w:cs="Times New Roman"/>
                      <w:color w:val="auto"/>
                      <w:spacing w:val="-6"/>
                      <w:sz w:val="21"/>
                      <w:highlight w:val="none"/>
                      <w:lang w:val="en-US" w:eastAsia="zh-CN"/>
                    </w:rPr>
                    <w:t>铜</w:t>
                  </w:r>
                </w:p>
              </w:tc>
              <w:tc>
                <w:tcPr>
                  <w:tcW w:w="1950" w:type="dxa"/>
                  <w:gridSpan w:val="2"/>
                  <w:tcBorders>
                    <w:tl2br w:val="nil"/>
                    <w:tr2bl w:val="nil"/>
                  </w:tcBorders>
                  <w:vAlign w:val="center"/>
                </w:tcPr>
                <w:p w14:paraId="43BDD300">
                  <w:pPr>
                    <w:pStyle w:val="40"/>
                    <w:bidi w:val="0"/>
                    <w:rPr>
                      <w:rFonts w:hint="default" w:ascii="Times New Roman" w:hAnsi="Times New Roman" w:cs="Times New Roman"/>
                      <w:color w:val="auto"/>
                      <w:spacing w:val="-6"/>
                      <w:sz w:val="21"/>
                      <w:highlight w:val="none"/>
                      <w:lang w:val="en-US" w:eastAsia="zh-CN"/>
                    </w:rPr>
                  </w:pPr>
                  <w:r>
                    <w:rPr>
                      <w:rFonts w:hint="eastAsia" w:ascii="Times New Roman" w:hAnsi="Times New Roman" w:cs="Times New Roman"/>
                      <w:color w:val="auto"/>
                      <w:spacing w:val="-6"/>
                      <w:sz w:val="21"/>
                      <w:highlight w:val="none"/>
                      <w:lang w:val="en-US" w:eastAsia="zh-CN"/>
                    </w:rPr>
                    <w:t>—</w:t>
                  </w:r>
                </w:p>
              </w:tc>
              <w:tc>
                <w:tcPr>
                  <w:tcW w:w="1275" w:type="dxa"/>
                  <w:tcBorders>
                    <w:tl2br w:val="nil"/>
                    <w:tr2bl w:val="nil"/>
                  </w:tcBorders>
                  <w:vAlign w:val="center"/>
                </w:tcPr>
                <w:p w14:paraId="1CDF1FB2">
                  <w:pPr>
                    <w:pStyle w:val="40"/>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0.120</w:t>
                  </w:r>
                </w:p>
              </w:tc>
              <w:tc>
                <w:tcPr>
                  <w:tcW w:w="1079" w:type="dxa"/>
                  <w:tcBorders>
                    <w:tl2br w:val="nil"/>
                    <w:tr2bl w:val="nil"/>
                  </w:tcBorders>
                  <w:shd w:val="clear" w:color="auto" w:fill="auto"/>
                  <w:vAlign w:val="center"/>
                </w:tcPr>
                <w:p w14:paraId="05F7CE4F">
                  <w:pPr>
                    <w:pStyle w:val="40"/>
                    <w:bidi w:val="0"/>
                    <w:ind w:firstLine="0" w:firstLineChars="0"/>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ascii="Times New Roman" w:hAnsi="Times New Roman" w:cs="Times New Roman"/>
                      <w:color w:val="auto"/>
                      <w:spacing w:val="-6"/>
                      <w:sz w:val="21"/>
                      <w:highlight w:val="none"/>
                      <w:lang w:val="en-US" w:eastAsia="zh-CN"/>
                    </w:rPr>
                    <w:t>—</w:t>
                  </w:r>
                </w:p>
              </w:tc>
            </w:tr>
            <w:tr w14:paraId="66068D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0" w:type="dxa"/>
                  <w:vMerge w:val="continue"/>
                  <w:tcBorders>
                    <w:tl2br w:val="nil"/>
                    <w:tr2bl w:val="nil"/>
                  </w:tcBorders>
                  <w:vAlign w:val="center"/>
                </w:tcPr>
                <w:p w14:paraId="6EE59606">
                  <w:pPr>
                    <w:pStyle w:val="40"/>
                    <w:bidi w:val="0"/>
                    <w:rPr>
                      <w:rFonts w:hint="default" w:ascii="Times New Roman" w:hAnsi="Times New Roman" w:cs="Times New Roman"/>
                      <w:color w:val="auto"/>
                      <w:highlight w:val="none"/>
                      <w:lang w:val="en-US" w:eastAsia="zh-CN"/>
                    </w:rPr>
                  </w:pPr>
                </w:p>
              </w:tc>
              <w:tc>
                <w:tcPr>
                  <w:tcW w:w="1718" w:type="dxa"/>
                  <w:vMerge w:val="continue"/>
                  <w:tcBorders>
                    <w:tl2br w:val="nil"/>
                    <w:tr2bl w:val="nil"/>
                  </w:tcBorders>
                  <w:vAlign w:val="center"/>
                </w:tcPr>
                <w:p w14:paraId="612277CD">
                  <w:pPr>
                    <w:pStyle w:val="40"/>
                    <w:bidi w:val="0"/>
                    <w:rPr>
                      <w:rFonts w:hint="default" w:ascii="Times New Roman" w:hAnsi="Times New Roman" w:cs="Times New Roman"/>
                      <w:color w:val="auto"/>
                      <w:spacing w:val="-6"/>
                      <w:sz w:val="21"/>
                      <w:highlight w:val="none"/>
                      <w:lang w:val="en-US" w:eastAsia="zh-CN"/>
                    </w:rPr>
                  </w:pPr>
                </w:p>
              </w:tc>
              <w:tc>
                <w:tcPr>
                  <w:tcW w:w="1719" w:type="dxa"/>
                  <w:gridSpan w:val="2"/>
                  <w:tcBorders>
                    <w:tl2br w:val="nil"/>
                    <w:tr2bl w:val="nil"/>
                  </w:tcBorders>
                  <w:vAlign w:val="center"/>
                </w:tcPr>
                <w:p w14:paraId="5224A19F">
                  <w:pPr>
                    <w:pStyle w:val="40"/>
                    <w:bidi w:val="0"/>
                    <w:rPr>
                      <w:rFonts w:hint="default" w:ascii="Times New Roman" w:hAnsi="Times New Roman" w:cs="Times New Roman"/>
                      <w:color w:val="auto"/>
                      <w:spacing w:val="-6"/>
                      <w:sz w:val="21"/>
                      <w:highlight w:val="none"/>
                      <w:lang w:val="en-US" w:eastAsia="zh-CN"/>
                    </w:rPr>
                  </w:pPr>
                  <w:r>
                    <w:rPr>
                      <w:rFonts w:hint="eastAsia" w:ascii="Times New Roman" w:hAnsi="Times New Roman" w:cs="Times New Roman"/>
                      <w:color w:val="auto"/>
                      <w:spacing w:val="-6"/>
                      <w:sz w:val="21"/>
                      <w:highlight w:val="none"/>
                      <w:lang w:val="en-US" w:eastAsia="zh-CN"/>
                    </w:rPr>
                    <w:t>镍</w:t>
                  </w:r>
                </w:p>
              </w:tc>
              <w:tc>
                <w:tcPr>
                  <w:tcW w:w="1950" w:type="dxa"/>
                  <w:gridSpan w:val="2"/>
                  <w:tcBorders>
                    <w:tl2br w:val="nil"/>
                    <w:tr2bl w:val="nil"/>
                  </w:tcBorders>
                  <w:vAlign w:val="center"/>
                </w:tcPr>
                <w:p w14:paraId="38604A4C">
                  <w:pPr>
                    <w:pStyle w:val="40"/>
                    <w:bidi w:val="0"/>
                    <w:rPr>
                      <w:rFonts w:hint="default" w:ascii="Times New Roman" w:hAnsi="Times New Roman" w:cs="Times New Roman"/>
                      <w:color w:val="auto"/>
                      <w:spacing w:val="-6"/>
                      <w:sz w:val="21"/>
                      <w:highlight w:val="none"/>
                      <w:lang w:val="en-US" w:eastAsia="zh-CN"/>
                    </w:rPr>
                  </w:pPr>
                  <w:r>
                    <w:rPr>
                      <w:rFonts w:hint="eastAsia" w:ascii="Times New Roman" w:hAnsi="Times New Roman" w:cs="Times New Roman"/>
                      <w:color w:val="auto"/>
                      <w:spacing w:val="-6"/>
                      <w:sz w:val="21"/>
                      <w:highlight w:val="none"/>
                      <w:lang w:val="en-US" w:eastAsia="zh-CN"/>
                    </w:rPr>
                    <w:t>—</w:t>
                  </w:r>
                </w:p>
              </w:tc>
              <w:tc>
                <w:tcPr>
                  <w:tcW w:w="1275" w:type="dxa"/>
                  <w:tcBorders>
                    <w:tl2br w:val="nil"/>
                    <w:tr2bl w:val="nil"/>
                  </w:tcBorders>
                  <w:vAlign w:val="center"/>
                </w:tcPr>
                <w:p w14:paraId="219AB843">
                  <w:pPr>
                    <w:pStyle w:val="40"/>
                    <w:bidi w:val="0"/>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未检出</w:t>
                  </w:r>
                </w:p>
              </w:tc>
              <w:tc>
                <w:tcPr>
                  <w:tcW w:w="1079" w:type="dxa"/>
                  <w:tcBorders>
                    <w:tl2br w:val="nil"/>
                    <w:tr2bl w:val="nil"/>
                  </w:tcBorders>
                  <w:shd w:val="clear" w:color="auto" w:fill="auto"/>
                  <w:vAlign w:val="center"/>
                </w:tcPr>
                <w:p w14:paraId="1DFEC3EB">
                  <w:pPr>
                    <w:pStyle w:val="40"/>
                    <w:bidi w:val="0"/>
                    <w:ind w:firstLine="0" w:firstLineChars="0"/>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ascii="Times New Roman" w:hAnsi="Times New Roman" w:cs="Times New Roman"/>
                      <w:color w:val="auto"/>
                      <w:spacing w:val="-6"/>
                      <w:sz w:val="21"/>
                      <w:highlight w:val="none"/>
                      <w:lang w:val="en-US" w:eastAsia="zh-CN"/>
                    </w:rPr>
                    <w:t>—</w:t>
                  </w:r>
                </w:p>
              </w:tc>
            </w:tr>
            <w:tr w14:paraId="32144D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0" w:type="dxa"/>
                  <w:vMerge w:val="continue"/>
                  <w:tcBorders>
                    <w:tl2br w:val="nil"/>
                    <w:tr2bl w:val="nil"/>
                  </w:tcBorders>
                  <w:vAlign w:val="center"/>
                </w:tcPr>
                <w:p w14:paraId="654A61EF">
                  <w:pPr>
                    <w:pStyle w:val="40"/>
                    <w:bidi w:val="0"/>
                    <w:rPr>
                      <w:rFonts w:hint="default" w:ascii="Times New Roman" w:hAnsi="Times New Roman" w:cs="Times New Roman"/>
                      <w:color w:val="auto"/>
                      <w:highlight w:val="none"/>
                      <w:lang w:val="en-US" w:eastAsia="zh-CN"/>
                    </w:rPr>
                  </w:pPr>
                </w:p>
              </w:tc>
              <w:tc>
                <w:tcPr>
                  <w:tcW w:w="1718" w:type="dxa"/>
                  <w:vMerge w:val="continue"/>
                  <w:tcBorders>
                    <w:tl2br w:val="nil"/>
                    <w:tr2bl w:val="nil"/>
                  </w:tcBorders>
                  <w:vAlign w:val="center"/>
                </w:tcPr>
                <w:p w14:paraId="594DC8C5">
                  <w:pPr>
                    <w:pStyle w:val="40"/>
                    <w:bidi w:val="0"/>
                    <w:rPr>
                      <w:rFonts w:hint="default" w:ascii="Times New Roman" w:hAnsi="Times New Roman" w:cs="Times New Roman"/>
                      <w:color w:val="auto"/>
                      <w:spacing w:val="-6"/>
                      <w:sz w:val="21"/>
                      <w:highlight w:val="none"/>
                      <w:lang w:val="en-US" w:eastAsia="zh-CN"/>
                    </w:rPr>
                  </w:pPr>
                </w:p>
              </w:tc>
              <w:tc>
                <w:tcPr>
                  <w:tcW w:w="1719" w:type="dxa"/>
                  <w:gridSpan w:val="2"/>
                  <w:tcBorders>
                    <w:tl2br w:val="nil"/>
                    <w:tr2bl w:val="nil"/>
                  </w:tcBorders>
                  <w:vAlign w:val="center"/>
                </w:tcPr>
                <w:p w14:paraId="5EF301DF">
                  <w:pPr>
                    <w:pStyle w:val="40"/>
                    <w:bidi w:val="0"/>
                    <w:rPr>
                      <w:rFonts w:hint="default" w:ascii="Times New Roman" w:hAnsi="Times New Roman" w:cs="Times New Roman"/>
                      <w:color w:val="auto"/>
                      <w:spacing w:val="-6"/>
                      <w:sz w:val="21"/>
                      <w:highlight w:val="none"/>
                      <w:lang w:val="en-US" w:eastAsia="zh-CN"/>
                    </w:rPr>
                  </w:pPr>
                  <w:r>
                    <w:rPr>
                      <w:rFonts w:hint="eastAsia" w:ascii="Times New Roman" w:hAnsi="Times New Roman" w:cs="Times New Roman"/>
                      <w:color w:val="auto"/>
                      <w:spacing w:val="-6"/>
                      <w:sz w:val="21"/>
                      <w:highlight w:val="none"/>
                      <w:lang w:val="en-US" w:eastAsia="zh-CN"/>
                    </w:rPr>
                    <w:t>砷</w:t>
                  </w:r>
                </w:p>
              </w:tc>
              <w:tc>
                <w:tcPr>
                  <w:tcW w:w="1950" w:type="dxa"/>
                  <w:gridSpan w:val="2"/>
                  <w:tcBorders>
                    <w:tl2br w:val="nil"/>
                    <w:tr2bl w:val="nil"/>
                  </w:tcBorders>
                  <w:vAlign w:val="center"/>
                </w:tcPr>
                <w:p w14:paraId="4B2D62DC">
                  <w:pPr>
                    <w:pStyle w:val="40"/>
                    <w:bidi w:val="0"/>
                    <w:rPr>
                      <w:rFonts w:hint="default" w:ascii="Times New Roman" w:hAnsi="Times New Roman" w:cs="Times New Roman"/>
                      <w:color w:val="auto"/>
                      <w:spacing w:val="-6"/>
                      <w:sz w:val="21"/>
                      <w:highlight w:val="none"/>
                      <w:lang w:val="en-US" w:eastAsia="zh-CN"/>
                    </w:rPr>
                  </w:pPr>
                  <w:r>
                    <w:rPr>
                      <w:rFonts w:hint="eastAsia" w:ascii="Times New Roman" w:hAnsi="Times New Roman" w:cs="Times New Roman"/>
                      <w:color w:val="auto"/>
                      <w:spacing w:val="-6"/>
                      <w:sz w:val="21"/>
                      <w:highlight w:val="none"/>
                      <w:lang w:val="en-US" w:eastAsia="zh-CN"/>
                    </w:rPr>
                    <w:t>—</w:t>
                  </w:r>
                </w:p>
              </w:tc>
              <w:tc>
                <w:tcPr>
                  <w:tcW w:w="1275" w:type="dxa"/>
                  <w:tcBorders>
                    <w:tl2br w:val="nil"/>
                    <w:tr2bl w:val="nil"/>
                  </w:tcBorders>
                  <w:vAlign w:val="center"/>
                </w:tcPr>
                <w:p w14:paraId="4AD8C289">
                  <w:pPr>
                    <w:pStyle w:val="40"/>
                    <w:bidi w:val="0"/>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未检出</w:t>
                  </w:r>
                </w:p>
              </w:tc>
              <w:tc>
                <w:tcPr>
                  <w:tcW w:w="1079" w:type="dxa"/>
                  <w:tcBorders>
                    <w:tl2br w:val="nil"/>
                    <w:tr2bl w:val="nil"/>
                  </w:tcBorders>
                  <w:shd w:val="clear" w:color="auto" w:fill="auto"/>
                  <w:vAlign w:val="center"/>
                </w:tcPr>
                <w:p w14:paraId="58AAA9DB">
                  <w:pPr>
                    <w:pStyle w:val="40"/>
                    <w:bidi w:val="0"/>
                    <w:ind w:firstLine="0" w:firstLineChars="0"/>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ascii="Times New Roman" w:hAnsi="Times New Roman" w:cs="Times New Roman"/>
                      <w:color w:val="auto"/>
                      <w:spacing w:val="-6"/>
                      <w:sz w:val="21"/>
                      <w:highlight w:val="none"/>
                      <w:lang w:val="en-US" w:eastAsia="zh-CN"/>
                    </w:rPr>
                    <w:t>—</w:t>
                  </w:r>
                </w:p>
              </w:tc>
            </w:tr>
            <w:tr w14:paraId="038D69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0" w:type="dxa"/>
                  <w:vMerge w:val="continue"/>
                  <w:tcBorders>
                    <w:tl2br w:val="nil"/>
                    <w:tr2bl w:val="nil"/>
                  </w:tcBorders>
                  <w:vAlign w:val="center"/>
                </w:tcPr>
                <w:p w14:paraId="774AC273">
                  <w:pPr>
                    <w:pStyle w:val="40"/>
                    <w:bidi w:val="0"/>
                    <w:rPr>
                      <w:rFonts w:hint="default" w:ascii="Times New Roman" w:hAnsi="Times New Roman" w:cs="Times New Roman"/>
                      <w:color w:val="auto"/>
                      <w:highlight w:val="none"/>
                      <w:lang w:val="en-US" w:eastAsia="zh-CN"/>
                    </w:rPr>
                  </w:pPr>
                </w:p>
              </w:tc>
              <w:tc>
                <w:tcPr>
                  <w:tcW w:w="1718" w:type="dxa"/>
                  <w:vMerge w:val="continue"/>
                  <w:tcBorders>
                    <w:tl2br w:val="nil"/>
                    <w:tr2bl w:val="nil"/>
                  </w:tcBorders>
                  <w:vAlign w:val="center"/>
                </w:tcPr>
                <w:p w14:paraId="1A9BB5F7">
                  <w:pPr>
                    <w:pStyle w:val="40"/>
                    <w:bidi w:val="0"/>
                    <w:rPr>
                      <w:rFonts w:hint="default" w:ascii="Times New Roman" w:hAnsi="Times New Roman" w:cs="Times New Roman"/>
                      <w:color w:val="auto"/>
                      <w:spacing w:val="-6"/>
                      <w:sz w:val="21"/>
                      <w:highlight w:val="none"/>
                      <w:lang w:val="en-US" w:eastAsia="zh-CN"/>
                    </w:rPr>
                  </w:pPr>
                </w:p>
              </w:tc>
              <w:tc>
                <w:tcPr>
                  <w:tcW w:w="1719" w:type="dxa"/>
                  <w:gridSpan w:val="2"/>
                  <w:tcBorders>
                    <w:tl2br w:val="nil"/>
                    <w:tr2bl w:val="nil"/>
                  </w:tcBorders>
                  <w:vAlign w:val="center"/>
                </w:tcPr>
                <w:p w14:paraId="33976584">
                  <w:pPr>
                    <w:pStyle w:val="40"/>
                    <w:bidi w:val="0"/>
                    <w:rPr>
                      <w:rFonts w:hint="default" w:ascii="Times New Roman" w:hAnsi="Times New Roman" w:cs="Times New Roman"/>
                      <w:color w:val="auto"/>
                      <w:spacing w:val="-6"/>
                      <w:sz w:val="21"/>
                      <w:highlight w:val="none"/>
                      <w:lang w:val="en-US" w:eastAsia="zh-CN"/>
                    </w:rPr>
                  </w:pPr>
                  <w:r>
                    <w:rPr>
                      <w:rFonts w:hint="eastAsia" w:ascii="Times New Roman" w:hAnsi="Times New Roman" w:cs="Times New Roman"/>
                      <w:color w:val="auto"/>
                      <w:spacing w:val="-6"/>
                      <w:sz w:val="21"/>
                      <w:highlight w:val="none"/>
                      <w:lang w:val="en-US" w:eastAsia="zh-CN"/>
                    </w:rPr>
                    <w:t>锌</w:t>
                  </w:r>
                </w:p>
              </w:tc>
              <w:tc>
                <w:tcPr>
                  <w:tcW w:w="1950" w:type="dxa"/>
                  <w:gridSpan w:val="2"/>
                  <w:tcBorders>
                    <w:tl2br w:val="nil"/>
                    <w:tr2bl w:val="nil"/>
                  </w:tcBorders>
                  <w:vAlign w:val="center"/>
                </w:tcPr>
                <w:p w14:paraId="3CC7CE70">
                  <w:pPr>
                    <w:pStyle w:val="40"/>
                    <w:bidi w:val="0"/>
                    <w:rPr>
                      <w:rFonts w:hint="default" w:ascii="Times New Roman" w:hAnsi="Times New Roman" w:cs="Times New Roman"/>
                      <w:color w:val="auto"/>
                      <w:spacing w:val="-6"/>
                      <w:sz w:val="21"/>
                      <w:highlight w:val="none"/>
                      <w:lang w:val="en-US" w:eastAsia="zh-CN"/>
                    </w:rPr>
                  </w:pPr>
                  <w:r>
                    <w:rPr>
                      <w:rFonts w:hint="eastAsia" w:ascii="Times New Roman" w:hAnsi="Times New Roman" w:cs="Times New Roman"/>
                      <w:color w:val="auto"/>
                      <w:spacing w:val="-6"/>
                      <w:sz w:val="21"/>
                      <w:highlight w:val="none"/>
                      <w:lang w:val="en-US" w:eastAsia="zh-CN"/>
                    </w:rPr>
                    <w:t>—</w:t>
                  </w:r>
                </w:p>
              </w:tc>
              <w:tc>
                <w:tcPr>
                  <w:tcW w:w="1275" w:type="dxa"/>
                  <w:tcBorders>
                    <w:tl2br w:val="nil"/>
                    <w:tr2bl w:val="nil"/>
                  </w:tcBorders>
                  <w:vAlign w:val="center"/>
                </w:tcPr>
                <w:p w14:paraId="17346689">
                  <w:pPr>
                    <w:pStyle w:val="40"/>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0.3</w:t>
                  </w:r>
                </w:p>
              </w:tc>
              <w:tc>
                <w:tcPr>
                  <w:tcW w:w="1079" w:type="dxa"/>
                  <w:tcBorders>
                    <w:tl2br w:val="nil"/>
                    <w:tr2bl w:val="nil"/>
                  </w:tcBorders>
                  <w:shd w:val="clear" w:color="auto" w:fill="auto"/>
                  <w:vAlign w:val="center"/>
                </w:tcPr>
                <w:p w14:paraId="65F3E6F3">
                  <w:pPr>
                    <w:pStyle w:val="40"/>
                    <w:bidi w:val="0"/>
                    <w:ind w:firstLine="0" w:firstLineChars="0"/>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ascii="Times New Roman" w:hAnsi="Times New Roman" w:cs="Times New Roman"/>
                      <w:color w:val="auto"/>
                      <w:spacing w:val="-6"/>
                      <w:sz w:val="21"/>
                      <w:highlight w:val="none"/>
                      <w:lang w:val="en-US" w:eastAsia="zh-CN"/>
                    </w:rPr>
                    <w:t>—</w:t>
                  </w:r>
                </w:p>
              </w:tc>
            </w:tr>
            <w:tr w14:paraId="35EEA7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0" w:type="dxa"/>
                  <w:vMerge w:val="continue"/>
                  <w:tcBorders>
                    <w:tl2br w:val="nil"/>
                    <w:tr2bl w:val="nil"/>
                  </w:tcBorders>
                  <w:vAlign w:val="center"/>
                </w:tcPr>
                <w:p w14:paraId="067DAAF9">
                  <w:pPr>
                    <w:pStyle w:val="40"/>
                    <w:bidi w:val="0"/>
                    <w:rPr>
                      <w:rFonts w:hint="default" w:ascii="Times New Roman" w:hAnsi="Times New Roman" w:cs="Times New Roman"/>
                      <w:color w:val="auto"/>
                      <w:highlight w:val="none"/>
                      <w:lang w:val="en-US" w:eastAsia="zh-CN"/>
                    </w:rPr>
                  </w:pPr>
                </w:p>
              </w:tc>
              <w:tc>
                <w:tcPr>
                  <w:tcW w:w="1718" w:type="dxa"/>
                  <w:vMerge w:val="continue"/>
                  <w:tcBorders>
                    <w:tl2br w:val="nil"/>
                    <w:tr2bl w:val="nil"/>
                  </w:tcBorders>
                  <w:vAlign w:val="center"/>
                </w:tcPr>
                <w:p w14:paraId="7A2926A7">
                  <w:pPr>
                    <w:pStyle w:val="40"/>
                    <w:bidi w:val="0"/>
                    <w:rPr>
                      <w:rFonts w:hint="default" w:ascii="Times New Roman" w:hAnsi="Times New Roman" w:cs="Times New Roman"/>
                      <w:color w:val="auto"/>
                      <w:spacing w:val="-6"/>
                      <w:sz w:val="21"/>
                      <w:highlight w:val="none"/>
                      <w:lang w:val="en-US" w:eastAsia="zh-CN"/>
                    </w:rPr>
                  </w:pPr>
                </w:p>
              </w:tc>
              <w:tc>
                <w:tcPr>
                  <w:tcW w:w="1719" w:type="dxa"/>
                  <w:gridSpan w:val="2"/>
                  <w:tcBorders>
                    <w:tl2br w:val="nil"/>
                    <w:tr2bl w:val="nil"/>
                  </w:tcBorders>
                  <w:vAlign w:val="center"/>
                </w:tcPr>
                <w:p w14:paraId="3BE28430">
                  <w:pPr>
                    <w:pStyle w:val="40"/>
                    <w:bidi w:val="0"/>
                    <w:rPr>
                      <w:rFonts w:hint="default" w:ascii="Times New Roman" w:hAnsi="Times New Roman" w:cs="Times New Roman"/>
                      <w:color w:val="auto"/>
                      <w:spacing w:val="-6"/>
                      <w:sz w:val="21"/>
                      <w:highlight w:val="none"/>
                      <w:lang w:val="en-US" w:eastAsia="zh-CN"/>
                    </w:rPr>
                  </w:pPr>
                  <w:r>
                    <w:rPr>
                      <w:rFonts w:hint="eastAsia" w:ascii="Times New Roman" w:hAnsi="Times New Roman" w:cs="Times New Roman"/>
                      <w:color w:val="auto"/>
                      <w:spacing w:val="-6"/>
                      <w:sz w:val="21"/>
                      <w:highlight w:val="none"/>
                      <w:lang w:val="en-US" w:eastAsia="zh-CN"/>
                    </w:rPr>
                    <w:t>锰</w:t>
                  </w:r>
                </w:p>
              </w:tc>
              <w:tc>
                <w:tcPr>
                  <w:tcW w:w="1950" w:type="dxa"/>
                  <w:gridSpan w:val="2"/>
                  <w:tcBorders>
                    <w:tl2br w:val="nil"/>
                    <w:tr2bl w:val="nil"/>
                  </w:tcBorders>
                  <w:vAlign w:val="center"/>
                </w:tcPr>
                <w:p w14:paraId="7E8B3290">
                  <w:pPr>
                    <w:pStyle w:val="40"/>
                    <w:bidi w:val="0"/>
                    <w:rPr>
                      <w:rFonts w:hint="default" w:ascii="Times New Roman" w:hAnsi="Times New Roman" w:cs="Times New Roman"/>
                      <w:color w:val="auto"/>
                      <w:spacing w:val="-6"/>
                      <w:sz w:val="21"/>
                      <w:highlight w:val="none"/>
                      <w:lang w:val="en-US" w:eastAsia="zh-CN"/>
                    </w:rPr>
                  </w:pPr>
                  <w:r>
                    <w:rPr>
                      <w:rFonts w:hint="eastAsia" w:ascii="Times New Roman" w:hAnsi="Times New Roman" w:cs="Times New Roman"/>
                      <w:color w:val="auto"/>
                      <w:spacing w:val="-6"/>
                      <w:sz w:val="21"/>
                      <w:highlight w:val="none"/>
                      <w:lang w:val="en-US" w:eastAsia="zh-CN"/>
                    </w:rPr>
                    <w:t>—</w:t>
                  </w:r>
                </w:p>
              </w:tc>
              <w:tc>
                <w:tcPr>
                  <w:tcW w:w="1275" w:type="dxa"/>
                  <w:tcBorders>
                    <w:tl2br w:val="nil"/>
                    <w:tr2bl w:val="nil"/>
                  </w:tcBorders>
                  <w:vAlign w:val="center"/>
                </w:tcPr>
                <w:p w14:paraId="1D4D538B">
                  <w:pPr>
                    <w:pStyle w:val="40"/>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0.4</w:t>
                  </w:r>
                </w:p>
              </w:tc>
              <w:tc>
                <w:tcPr>
                  <w:tcW w:w="1079" w:type="dxa"/>
                  <w:tcBorders>
                    <w:tl2br w:val="nil"/>
                    <w:tr2bl w:val="nil"/>
                  </w:tcBorders>
                  <w:shd w:val="clear" w:color="auto" w:fill="auto"/>
                  <w:vAlign w:val="center"/>
                </w:tcPr>
                <w:p w14:paraId="6B1B7EEC">
                  <w:pPr>
                    <w:pStyle w:val="40"/>
                    <w:bidi w:val="0"/>
                    <w:ind w:firstLine="0" w:firstLineChars="0"/>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ascii="Times New Roman" w:hAnsi="Times New Roman" w:cs="Times New Roman"/>
                      <w:color w:val="auto"/>
                      <w:spacing w:val="-6"/>
                      <w:sz w:val="21"/>
                      <w:highlight w:val="none"/>
                      <w:lang w:val="en-US" w:eastAsia="zh-CN"/>
                    </w:rPr>
                    <w:t>—</w:t>
                  </w:r>
                </w:p>
              </w:tc>
            </w:tr>
            <w:bookmarkEnd w:id="14"/>
          </w:tbl>
          <w:p w14:paraId="10F06C80">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b w:val="0"/>
                <w:bCs w:val="0"/>
                <w:color w:val="auto"/>
                <w:highlight w:val="none"/>
                <w:lang w:val="en-US" w:eastAsia="zh-CN"/>
              </w:rPr>
            </w:pPr>
            <w:r>
              <w:rPr>
                <w:rFonts w:hint="eastAsia"/>
                <w:color w:val="auto"/>
                <w:highlight w:val="none"/>
                <w:lang w:val="en-US" w:eastAsia="zh-CN"/>
              </w:rPr>
              <w:t>蒸压硅酸盐功能骨料下属系列产品细分为绿能珠、云砼砂、云豆石、墨炭石、植炭石、第3代活性生物滤料等产品，已存在相关工程实例。</w:t>
            </w:r>
            <w:r>
              <w:rPr>
                <w:rFonts w:hint="default"/>
                <w:color w:val="auto"/>
                <w:highlight w:val="none"/>
                <w:lang w:val="en-US" w:eastAsia="zh-CN"/>
              </w:rPr>
              <w:t>2022年10月21日</w:t>
            </w:r>
            <w:r>
              <w:rPr>
                <w:rFonts w:hint="eastAsia"/>
                <w:color w:val="auto"/>
                <w:highlight w:val="none"/>
                <w:lang w:val="en-US" w:eastAsia="zh-CN"/>
              </w:rPr>
              <w:t>，</w:t>
            </w:r>
            <w:r>
              <w:rPr>
                <w:rFonts w:hint="default"/>
                <w:color w:val="auto"/>
                <w:highlight w:val="none"/>
                <w:lang w:val="en-US" w:eastAsia="zh-CN"/>
              </w:rPr>
              <w:t>榆林市生态环境局神木分局关于</w:t>
            </w:r>
            <w:r>
              <w:rPr>
                <w:rFonts w:hint="eastAsia"/>
                <w:color w:val="auto"/>
                <w:highlight w:val="none"/>
                <w:lang w:val="en-US" w:eastAsia="zh-CN"/>
              </w:rPr>
              <w:t>《</w:t>
            </w:r>
            <w:r>
              <w:rPr>
                <w:rFonts w:hint="default"/>
                <w:color w:val="auto"/>
                <w:highlight w:val="none"/>
                <w:lang w:val="en-US" w:eastAsia="zh-CN"/>
              </w:rPr>
              <w:t>神木恒稳生态绿碳产业有限公司神木固废资源综合利用项目环境影响报告表</w:t>
            </w:r>
            <w:r>
              <w:rPr>
                <w:rFonts w:hint="eastAsia"/>
                <w:color w:val="auto"/>
                <w:highlight w:val="none"/>
                <w:lang w:val="en-US" w:eastAsia="zh-CN"/>
              </w:rPr>
              <w:t>》</w:t>
            </w:r>
            <w:r>
              <w:rPr>
                <w:rFonts w:hint="default"/>
                <w:color w:val="auto"/>
                <w:highlight w:val="none"/>
                <w:lang w:val="en-US" w:eastAsia="zh-CN"/>
              </w:rPr>
              <w:t>的批复</w:t>
            </w:r>
            <w:r>
              <w:rPr>
                <w:rFonts w:hint="eastAsia"/>
                <w:color w:val="auto"/>
                <w:highlight w:val="none"/>
                <w:lang w:val="en-US" w:eastAsia="zh-CN"/>
              </w:rPr>
              <w:t>（神环环发〔2022〕115号），该项目</w:t>
            </w:r>
            <w:r>
              <w:rPr>
                <w:rFonts w:hint="default"/>
                <w:color w:val="auto"/>
                <w:highlight w:val="none"/>
                <w:lang w:val="en-US" w:eastAsia="zh-CN"/>
              </w:rPr>
              <w:t>建设一条60×10</w:t>
            </w:r>
            <w:r>
              <w:rPr>
                <w:rFonts w:hint="default"/>
                <w:color w:val="auto"/>
                <w:highlight w:val="none"/>
                <w:vertAlign w:val="superscript"/>
                <w:lang w:val="en-US" w:eastAsia="zh-CN"/>
              </w:rPr>
              <w:t>4</w:t>
            </w:r>
            <w:r>
              <w:rPr>
                <w:rFonts w:hint="default"/>
                <w:color w:val="auto"/>
                <w:highlight w:val="none"/>
                <w:lang w:val="en-US" w:eastAsia="zh-CN"/>
              </w:rPr>
              <w:t>m</w:t>
            </w:r>
            <w:r>
              <w:rPr>
                <w:rFonts w:hint="default"/>
                <w:color w:val="auto"/>
                <w:highlight w:val="none"/>
                <w:vertAlign w:val="superscript"/>
                <w:lang w:val="en-US" w:eastAsia="zh-CN"/>
              </w:rPr>
              <w:t>3</w:t>
            </w:r>
            <w:r>
              <w:rPr>
                <w:rFonts w:hint="default"/>
                <w:color w:val="auto"/>
                <w:highlight w:val="none"/>
                <w:lang w:val="en-US" w:eastAsia="zh-CN"/>
              </w:rPr>
              <w:t>/a高强度轻骨料</w:t>
            </w:r>
            <w:r>
              <w:rPr>
                <w:rFonts w:hint="eastAsia"/>
                <w:color w:val="auto"/>
                <w:highlight w:val="none"/>
                <w:lang w:val="en-US" w:eastAsia="zh-CN"/>
              </w:rPr>
              <w:t>-</w:t>
            </w:r>
            <w:r>
              <w:rPr>
                <w:rFonts w:hint="default"/>
                <w:color w:val="auto"/>
                <w:highlight w:val="none"/>
                <w:lang w:val="en-US" w:eastAsia="zh-CN"/>
              </w:rPr>
              <w:t>云砼石生产线及5×10</w:t>
            </w:r>
            <w:r>
              <w:rPr>
                <w:rFonts w:hint="default"/>
                <w:color w:val="auto"/>
                <w:highlight w:val="none"/>
                <w:vertAlign w:val="superscript"/>
                <w:lang w:val="en-US" w:eastAsia="zh-CN"/>
              </w:rPr>
              <w:t>4</w:t>
            </w:r>
            <w:r>
              <w:rPr>
                <w:rFonts w:hint="default"/>
                <w:color w:val="auto"/>
                <w:highlight w:val="none"/>
                <w:lang w:val="en-US" w:eastAsia="zh-CN"/>
              </w:rPr>
              <w:t>m</w:t>
            </w:r>
            <w:r>
              <w:rPr>
                <w:rFonts w:hint="default"/>
                <w:color w:val="auto"/>
                <w:highlight w:val="none"/>
                <w:vertAlign w:val="superscript"/>
                <w:lang w:val="en-US" w:eastAsia="zh-CN"/>
              </w:rPr>
              <w:t>3</w:t>
            </w:r>
            <w:r>
              <w:rPr>
                <w:rFonts w:hint="default"/>
                <w:color w:val="auto"/>
                <w:highlight w:val="none"/>
                <w:lang w:val="en-US" w:eastAsia="zh-CN"/>
              </w:rPr>
              <w:t>/a的灰渣储存钢板仓，项目处理神木电化公司产生的粉煤灰、脱硫石膏、炉渣</w:t>
            </w:r>
            <w:r>
              <w:rPr>
                <w:rFonts w:hint="eastAsia"/>
                <w:color w:val="auto"/>
                <w:highlight w:val="none"/>
                <w:lang w:val="en-US" w:eastAsia="zh-CN"/>
              </w:rPr>
              <w:t>，每年可消纳工业固废约50万吨，已于2024年8月正式投产。</w:t>
            </w:r>
            <w:r>
              <w:rPr>
                <w:rFonts w:hint="eastAsia"/>
                <w:b w:val="0"/>
                <w:bCs w:val="0"/>
                <w:color w:val="auto"/>
                <w:highlight w:val="none"/>
                <w:lang w:val="en-US" w:eastAsia="zh-CN"/>
              </w:rPr>
              <w:t>该项目产品云砼石与本项目蒸压硅酸盐功能骨料的生产工艺相似，选取的核心配料活化剂成分相同，技术合作方均为浙江中劲环保科技有限公司。</w:t>
            </w:r>
          </w:p>
          <w:p w14:paraId="541A553A">
            <w:pPr>
              <w:pStyle w:val="41"/>
              <w:keepNext w:val="0"/>
              <w:keepLines w:val="0"/>
              <w:pageBreakBefore w:val="0"/>
              <w:widowControl w:val="0"/>
              <w:kinsoku/>
              <w:wordWrap/>
              <w:overflowPunct/>
              <w:topLinePunct w:val="0"/>
              <w:autoSpaceDE/>
              <w:autoSpaceDN/>
              <w:bidi w:val="0"/>
              <w:adjustRightInd/>
              <w:snapToGrid/>
              <w:textAlignment w:val="auto"/>
              <w:rPr>
                <w:rFonts w:hint="default"/>
                <w:color w:val="auto"/>
                <w:highlight w:val="none"/>
                <w:lang w:val="en-US" w:eastAsia="zh-CN"/>
              </w:rPr>
            </w:pPr>
            <w:r>
              <w:rPr>
                <w:rFonts w:hint="eastAsia"/>
                <w:color w:val="auto"/>
                <w:highlight w:val="none"/>
                <w:lang w:val="en-US" w:eastAsia="zh-CN"/>
              </w:rPr>
              <w:t>2、绿色智能化预拌混凝土生产线产品方案</w:t>
            </w:r>
          </w:p>
          <w:p w14:paraId="56E90A64">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both"/>
              <w:textAlignment w:val="auto"/>
              <w:rPr>
                <w:rFonts w:hint="eastAsia"/>
                <w:color w:val="auto"/>
                <w:highlight w:val="none"/>
                <w:lang w:val="en-US" w:eastAsia="zh-CN"/>
              </w:rPr>
            </w:pPr>
            <w:r>
              <w:rPr>
                <w:rFonts w:hint="eastAsia"/>
                <w:color w:val="auto"/>
                <w:highlight w:val="none"/>
                <w:lang w:val="en-US" w:eastAsia="zh-CN"/>
              </w:rPr>
              <w:t>绿色智能化预拌混凝土生产线，采用蒸压硅酸盐功能骨料、粉煤灰、水泥、砂石作为主要原材料生产低碳高强混凝土，可有效消纳工业固废。在配制混凝土中有以下优点：</w:t>
            </w:r>
          </w:p>
          <w:p w14:paraId="641D83BA">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（1）内部微纳孔结构相互贯通，具有吸水释水功能，可以作为混凝土内部保湿剂，大大减少混凝土内部自干燥和干燥作用引起的收缩开裂；</w:t>
            </w:r>
          </w:p>
          <w:p w14:paraId="2FF69A97">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（2）特有的硅酸盐界面与水泥浆体形成良好的结合，改善过渡区的微结构，提高结构自防水效能；</w:t>
            </w:r>
          </w:p>
          <w:p w14:paraId="0A3D19CA">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（3）粒形接近正球形和可控的颗粒级配，能大幅度改善混凝土的和易性，可以低成本配制超高泵送和自密实混凝土；</w:t>
            </w:r>
          </w:p>
          <w:p w14:paraId="03FBBA9E">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（4）导热系数小于0.4W/（m·K），配制的混凝土导热系数小于1.0W/（m·K），能够大幅度提高结构保温性能，对建筑节能带来明显效果，应用于地下空间还能达到防潮效果；</w:t>
            </w:r>
          </w:p>
          <w:p w14:paraId="18C65974">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（5）弹性模量与水泥砂浆弹性模量比较接近，配制的混凝土对冲击能量吸收快、传递慢，抗震性能更好；</w:t>
            </w:r>
          </w:p>
          <w:p w14:paraId="3A01606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（6）内部水分在混凝土终凝后促进水泥及活性掺合料的水化反应，3天强度达到混凝土设计强度的70%以上，可以大幅缩短施工工期。</w:t>
            </w:r>
          </w:p>
          <w:p w14:paraId="7AD9ECEA">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（7）使用云砼石混凝土可减少结构整体的重量，进而减少钢筋的使用量，降低整体的造价。</w:t>
            </w:r>
          </w:p>
          <w:p w14:paraId="0CB721B4">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both"/>
              <w:textAlignment w:val="auto"/>
              <w:rPr>
                <w:rFonts w:hint="eastAsia"/>
                <w:color w:val="auto"/>
                <w:highlight w:val="none"/>
                <w:lang w:val="en-US" w:eastAsia="zh-CN"/>
              </w:rPr>
            </w:pPr>
            <w:r>
              <w:rPr>
                <w:rFonts w:hint="eastAsia"/>
                <w:bCs/>
                <w:color w:val="auto"/>
                <w:sz w:val="24"/>
                <w:highlight w:val="none"/>
                <w:lang w:val="en-US" w:eastAsia="zh-CN"/>
              </w:rPr>
              <w:t>本项目混凝土的</w:t>
            </w:r>
            <w:r>
              <w:rPr>
                <w:bCs/>
                <w:color w:val="auto"/>
                <w:sz w:val="24"/>
                <w:highlight w:val="none"/>
              </w:rPr>
              <w:t>主要原辅材料及品质按设计需要进行配比，配比计算符合《中华人民共和国国家标准-</w:t>
            </w:r>
            <w:r>
              <w:rPr>
                <w:rFonts w:hint="eastAsia"/>
                <w:bCs/>
                <w:color w:val="auto"/>
                <w:sz w:val="24"/>
                <w:highlight w:val="none"/>
              </w:rPr>
              <w:t>预拌</w:t>
            </w:r>
            <w:r>
              <w:rPr>
                <w:bCs/>
                <w:color w:val="auto"/>
                <w:sz w:val="24"/>
                <w:highlight w:val="none"/>
              </w:rPr>
              <w:t>混凝土》</w:t>
            </w:r>
            <w:r>
              <w:rPr>
                <w:rFonts w:hint="eastAsia"/>
                <w:bCs/>
                <w:color w:val="auto"/>
                <w:sz w:val="24"/>
                <w:highlight w:val="none"/>
              </w:rPr>
              <w:t>（</w:t>
            </w:r>
            <w:r>
              <w:rPr>
                <w:bCs/>
                <w:color w:val="auto"/>
                <w:sz w:val="24"/>
                <w:highlight w:val="none"/>
              </w:rPr>
              <w:t>GB/T</w:t>
            </w:r>
            <w:r>
              <w:rPr>
                <w:rFonts w:hint="eastAsia"/>
                <w:bCs/>
                <w:color w:val="auto"/>
                <w:sz w:val="24"/>
                <w:highlight w:val="none"/>
                <w:lang w:val="en-US" w:eastAsia="zh-CN"/>
              </w:rPr>
              <w:t xml:space="preserve"> </w:t>
            </w:r>
            <w:r>
              <w:rPr>
                <w:bCs/>
                <w:color w:val="auto"/>
                <w:sz w:val="24"/>
                <w:highlight w:val="none"/>
              </w:rPr>
              <w:t>14902-2012</w:t>
            </w:r>
            <w:r>
              <w:rPr>
                <w:rFonts w:hint="eastAsia"/>
                <w:bCs/>
                <w:color w:val="auto"/>
                <w:sz w:val="24"/>
                <w:highlight w:val="none"/>
              </w:rPr>
              <w:t>）</w:t>
            </w:r>
            <w:r>
              <w:rPr>
                <w:bCs/>
                <w:color w:val="auto"/>
                <w:sz w:val="24"/>
                <w:highlight w:val="none"/>
              </w:rPr>
              <w:t>及《普通混凝土配合比设计规程》（JGJ</w:t>
            </w:r>
            <w:r>
              <w:rPr>
                <w:rFonts w:hint="eastAsia"/>
                <w:bCs/>
                <w:color w:val="auto"/>
                <w:sz w:val="24"/>
                <w:highlight w:val="none"/>
                <w:lang w:val="en-US" w:eastAsia="zh-CN"/>
              </w:rPr>
              <w:t xml:space="preserve"> </w:t>
            </w:r>
            <w:r>
              <w:rPr>
                <w:bCs/>
                <w:color w:val="auto"/>
                <w:sz w:val="24"/>
                <w:highlight w:val="none"/>
              </w:rPr>
              <w:t>55-201</w:t>
            </w:r>
            <w:r>
              <w:rPr>
                <w:rFonts w:hint="eastAsia"/>
                <w:bCs/>
                <w:color w:val="auto"/>
                <w:sz w:val="24"/>
                <w:highlight w:val="none"/>
              </w:rPr>
              <w:t>1</w:t>
            </w:r>
            <w:r>
              <w:rPr>
                <w:bCs/>
                <w:color w:val="auto"/>
                <w:sz w:val="24"/>
                <w:highlight w:val="none"/>
              </w:rPr>
              <w:t>）要求。</w:t>
            </w:r>
            <w:r>
              <w:rPr>
                <w:rFonts w:hint="eastAsia"/>
                <w:color w:val="auto"/>
                <w:highlight w:val="none"/>
              </w:rPr>
              <w:t>项目</w:t>
            </w:r>
            <w:r>
              <w:rPr>
                <w:rFonts w:hint="eastAsia"/>
                <w:color w:val="auto"/>
                <w:highlight w:val="none"/>
                <w:lang w:val="en-US" w:eastAsia="zh-CN"/>
              </w:rPr>
              <w:t>产品方案及生产规模</w:t>
            </w:r>
            <w:r>
              <w:rPr>
                <w:rFonts w:hint="eastAsia"/>
                <w:color w:val="auto"/>
                <w:highlight w:val="none"/>
              </w:rPr>
              <w:t>详见</w:t>
            </w:r>
            <w:r>
              <w:rPr>
                <w:rFonts w:hint="eastAsia"/>
                <w:color w:val="auto"/>
                <w:highlight w:val="none"/>
                <w:lang w:eastAsia="zh-CN"/>
              </w:rPr>
              <w:fldChar w:fldCharType="begin"/>
            </w:r>
            <w:r>
              <w:rPr>
                <w:rFonts w:hint="eastAsia"/>
                <w:color w:val="auto"/>
                <w:highlight w:val="none"/>
                <w:lang w:eastAsia="zh-CN"/>
              </w:rPr>
              <w:instrText xml:space="preserve"> REF _Ref13495 \h </w:instrText>
            </w:r>
            <w:r>
              <w:rPr>
                <w:rFonts w:hint="eastAsia"/>
                <w:color w:val="auto"/>
                <w:highlight w:val="none"/>
                <w:lang w:eastAsia="zh-CN"/>
              </w:rPr>
              <w:fldChar w:fldCharType="separate"/>
            </w:r>
            <w:r>
              <w:rPr>
                <w:color w:val="auto"/>
                <w:highlight w:val="none"/>
              </w:rPr>
              <w:t>表2-6</w:t>
            </w:r>
            <w:r>
              <w:rPr>
                <w:rFonts w:hint="eastAsia"/>
                <w:color w:val="auto"/>
                <w:highlight w:val="none"/>
                <w:lang w:eastAsia="zh-CN"/>
              </w:rPr>
              <w:fldChar w:fldCharType="end"/>
            </w:r>
            <w:r>
              <w:rPr>
                <w:rFonts w:hint="eastAsia"/>
                <w:color w:val="auto"/>
                <w:highlight w:val="none"/>
                <w:lang w:val="en-US" w:eastAsia="zh-CN"/>
              </w:rPr>
              <w:t>。</w:t>
            </w:r>
          </w:p>
          <w:p w14:paraId="351F8E29">
            <w:pPr>
              <w:pStyle w:val="7"/>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lang w:val="en-US" w:eastAsia="zh-CN"/>
              </w:rPr>
            </w:pPr>
            <w:bookmarkStart w:id="15" w:name="_Ref13495"/>
            <w:bookmarkStart w:id="16" w:name="_Ref13645"/>
            <w:r>
              <w:rPr>
                <w:color w:val="auto"/>
                <w:highlight w:val="none"/>
              </w:rPr>
              <w:t>表2-</w:t>
            </w:r>
            <w:r>
              <w:rPr>
                <w:color w:val="auto"/>
                <w:highlight w:val="none"/>
              </w:rPr>
              <w:fldChar w:fldCharType="begin"/>
            </w:r>
            <w:r>
              <w:rPr>
                <w:color w:val="auto"/>
                <w:highlight w:val="none"/>
              </w:rPr>
              <w:instrText xml:space="preserve"> SEQ 表2- \* ARABIC </w:instrText>
            </w:r>
            <w:r>
              <w:rPr>
                <w:color w:val="auto"/>
                <w:highlight w:val="none"/>
              </w:rPr>
              <w:fldChar w:fldCharType="separate"/>
            </w:r>
            <w:r>
              <w:rPr>
                <w:color w:val="auto"/>
                <w:highlight w:val="none"/>
              </w:rPr>
              <w:t>6</w:t>
            </w:r>
            <w:r>
              <w:rPr>
                <w:color w:val="auto"/>
                <w:highlight w:val="none"/>
              </w:rPr>
              <w:fldChar w:fldCharType="end"/>
            </w:r>
            <w:bookmarkEnd w:id="15"/>
            <w:bookmarkEnd w:id="16"/>
            <w:r>
              <w:rPr>
                <w:rFonts w:hint="eastAsia"/>
                <w:color w:val="auto"/>
                <w:highlight w:val="none"/>
                <w:lang w:val="en-US" w:eastAsia="zh-CN"/>
              </w:rPr>
              <w:t xml:space="preserve">  绿色智能化预拌混凝土</w:t>
            </w:r>
            <w:r>
              <w:rPr>
                <w:color w:val="auto"/>
                <w:highlight w:val="none"/>
                <w:lang w:val="zh-CN"/>
              </w:rPr>
              <w:t>产品方案一览表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063"/>
              <w:gridCol w:w="1682"/>
              <w:gridCol w:w="1684"/>
              <w:gridCol w:w="1296"/>
              <w:gridCol w:w="1633"/>
            </w:tblGrid>
            <w:tr w14:paraId="07A1C2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34" w:type="pct"/>
                  <w:tcBorders>
                    <w:tl2br w:val="nil"/>
                    <w:tr2bl w:val="nil"/>
                  </w:tcBorders>
                  <w:noWrap w:val="0"/>
                  <w:vAlign w:val="center"/>
                </w:tcPr>
                <w:p w14:paraId="461FE91F">
                  <w:pPr>
                    <w:pStyle w:val="40"/>
                    <w:bidi w:val="0"/>
                    <w:rPr>
                      <w:rFonts w:hint="default"/>
                      <w:color w:val="auto"/>
                      <w:highlight w:val="none"/>
                      <w:lang w:val="en-US" w:eastAsia="zh-CN"/>
                    </w:rPr>
                  </w:pPr>
                  <w:r>
                    <w:rPr>
                      <w:rFonts w:hint="eastAsia"/>
                      <w:color w:val="auto"/>
                      <w:highlight w:val="none"/>
                      <w:lang w:val="en-US" w:eastAsia="zh-CN"/>
                    </w:rPr>
                    <w:t>产品名称</w:t>
                  </w:r>
                </w:p>
              </w:tc>
              <w:tc>
                <w:tcPr>
                  <w:tcW w:w="2013" w:type="pct"/>
                  <w:gridSpan w:val="2"/>
                  <w:tcBorders>
                    <w:tl2br w:val="nil"/>
                    <w:tr2bl w:val="nil"/>
                  </w:tcBorders>
                  <w:noWrap w:val="0"/>
                  <w:vAlign w:val="center"/>
                </w:tcPr>
                <w:p w14:paraId="17F6B872">
                  <w:pPr>
                    <w:pStyle w:val="40"/>
                    <w:bidi w:val="0"/>
                    <w:rPr>
                      <w:rFonts w:hint="default"/>
                      <w:color w:val="auto"/>
                      <w:highlight w:val="none"/>
                      <w:lang w:val="en-US" w:eastAsia="zh-CN"/>
                    </w:rPr>
                  </w:pPr>
                  <w:r>
                    <w:rPr>
                      <w:rFonts w:hint="eastAsia"/>
                      <w:color w:val="auto"/>
                      <w:highlight w:val="none"/>
                      <w:lang w:val="en-US" w:eastAsia="zh-CN"/>
                    </w:rPr>
                    <w:t>产品规格</w:t>
                  </w:r>
                </w:p>
              </w:tc>
              <w:tc>
                <w:tcPr>
                  <w:tcW w:w="775" w:type="pct"/>
                  <w:tcBorders>
                    <w:tl2br w:val="nil"/>
                    <w:tr2bl w:val="nil"/>
                  </w:tcBorders>
                  <w:noWrap w:val="0"/>
                  <w:vAlign w:val="center"/>
                </w:tcPr>
                <w:p w14:paraId="2BB3B156">
                  <w:pPr>
                    <w:pStyle w:val="40"/>
                    <w:bidi w:val="0"/>
                    <w:rPr>
                      <w:rFonts w:hint="default"/>
                      <w:color w:val="auto"/>
                      <w:highlight w:val="none"/>
                    </w:rPr>
                  </w:pPr>
                  <w:r>
                    <w:rPr>
                      <w:rFonts w:hint="default"/>
                      <w:color w:val="auto"/>
                      <w:highlight w:val="none"/>
                    </w:rPr>
                    <w:t>生产规模</w:t>
                  </w:r>
                </w:p>
              </w:tc>
              <w:tc>
                <w:tcPr>
                  <w:tcW w:w="976" w:type="pct"/>
                  <w:tcBorders>
                    <w:tl2br w:val="nil"/>
                    <w:tr2bl w:val="nil"/>
                  </w:tcBorders>
                  <w:noWrap w:val="0"/>
                  <w:vAlign w:val="center"/>
                </w:tcPr>
                <w:p w14:paraId="65E64210">
                  <w:pPr>
                    <w:pStyle w:val="40"/>
                    <w:bidi w:val="0"/>
                    <w:rPr>
                      <w:rFonts w:hint="eastAsia"/>
                      <w:color w:val="auto"/>
                      <w:highlight w:val="none"/>
                      <w:lang w:val="en-US" w:eastAsia="zh-CN"/>
                    </w:rPr>
                  </w:pPr>
                  <w:r>
                    <w:rPr>
                      <w:rFonts w:hint="eastAsia"/>
                      <w:color w:val="auto"/>
                      <w:highlight w:val="none"/>
                      <w:lang w:val="en-US" w:eastAsia="zh-CN"/>
                    </w:rPr>
                    <w:t>备注</w:t>
                  </w:r>
                </w:p>
              </w:tc>
            </w:tr>
            <w:tr w14:paraId="568CC4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34" w:type="pct"/>
                  <w:vMerge w:val="restart"/>
                  <w:tcBorders>
                    <w:tl2br w:val="nil"/>
                    <w:tr2bl w:val="nil"/>
                  </w:tcBorders>
                  <w:noWrap w:val="0"/>
                  <w:vAlign w:val="center"/>
                </w:tcPr>
                <w:p w14:paraId="4191B888">
                  <w:pPr>
                    <w:pStyle w:val="40"/>
                    <w:bidi w:val="0"/>
                    <w:rPr>
                      <w:rFonts w:hint="default"/>
                      <w:color w:val="auto"/>
                      <w:highlight w:val="none"/>
                    </w:rPr>
                  </w:pPr>
                  <w:r>
                    <w:rPr>
                      <w:rFonts w:hint="default"/>
                      <w:color w:val="auto"/>
                      <w:highlight w:val="none"/>
                    </w:rPr>
                    <w:t>商品混凝土</w:t>
                  </w:r>
                </w:p>
              </w:tc>
              <w:tc>
                <w:tcPr>
                  <w:tcW w:w="1006" w:type="pct"/>
                  <w:tcBorders>
                    <w:tl2br w:val="nil"/>
                    <w:tr2bl w:val="nil"/>
                  </w:tcBorders>
                  <w:noWrap w:val="0"/>
                  <w:vAlign w:val="center"/>
                </w:tcPr>
                <w:p w14:paraId="410EF665">
                  <w:pPr>
                    <w:pStyle w:val="40"/>
                    <w:bidi w:val="0"/>
                    <w:rPr>
                      <w:rFonts w:hint="default"/>
                      <w:color w:val="auto"/>
                      <w:highlight w:val="none"/>
                      <w:lang w:val="en-US" w:eastAsia="zh-CN"/>
                    </w:rPr>
                  </w:pPr>
                  <w:r>
                    <w:rPr>
                      <w:rFonts w:hint="eastAsia"/>
                      <w:color w:val="auto"/>
                      <w:highlight w:val="none"/>
                      <w:lang w:val="en-US" w:eastAsia="zh-CN"/>
                    </w:rPr>
                    <w:t>普通混凝土</w:t>
                  </w:r>
                </w:p>
              </w:tc>
              <w:tc>
                <w:tcPr>
                  <w:tcW w:w="1007" w:type="pct"/>
                  <w:tcBorders>
                    <w:tl2br w:val="nil"/>
                    <w:tr2bl w:val="nil"/>
                  </w:tcBorders>
                  <w:noWrap w:val="0"/>
                  <w:vAlign w:val="center"/>
                </w:tcPr>
                <w:p w14:paraId="46CF8B07">
                  <w:pPr>
                    <w:pStyle w:val="40"/>
                    <w:bidi w:val="0"/>
                    <w:rPr>
                      <w:rFonts w:hint="eastAsia"/>
                      <w:color w:val="auto"/>
                      <w:highlight w:val="none"/>
                      <w:lang w:val="en-US" w:eastAsia="zh-CN"/>
                    </w:rPr>
                  </w:pPr>
                  <w:r>
                    <w:rPr>
                      <w:rFonts w:hint="eastAsia"/>
                      <w:color w:val="auto"/>
                      <w:highlight w:val="none"/>
                      <w:lang w:val="en-US" w:eastAsia="zh-CN"/>
                    </w:rPr>
                    <w:t>高强混凝土</w:t>
                  </w:r>
                </w:p>
              </w:tc>
              <w:tc>
                <w:tcPr>
                  <w:tcW w:w="775" w:type="pct"/>
                  <w:vMerge w:val="restart"/>
                  <w:tcBorders>
                    <w:tl2br w:val="nil"/>
                    <w:tr2bl w:val="nil"/>
                  </w:tcBorders>
                  <w:noWrap w:val="0"/>
                  <w:vAlign w:val="center"/>
                </w:tcPr>
                <w:p w14:paraId="512657F8">
                  <w:pPr>
                    <w:pStyle w:val="40"/>
                    <w:bidi w:val="0"/>
                    <w:rPr>
                      <w:rFonts w:hint="default"/>
                      <w:color w:val="auto"/>
                      <w:highlight w:val="none"/>
                    </w:rPr>
                  </w:pPr>
                  <w:r>
                    <w:rPr>
                      <w:rFonts w:hint="eastAsia"/>
                      <w:color w:val="auto"/>
                      <w:highlight w:val="none"/>
                      <w:lang w:val="en-US" w:eastAsia="zh-CN"/>
                    </w:rPr>
                    <w:t>50</w:t>
                  </w:r>
                  <w:r>
                    <w:rPr>
                      <w:rFonts w:hint="default"/>
                      <w:color w:val="auto"/>
                      <w:highlight w:val="none"/>
                    </w:rPr>
                    <w:t>万</w:t>
                  </w:r>
                  <w:r>
                    <w:rPr>
                      <w:rFonts w:hint="eastAsia"/>
                      <w:color w:val="auto"/>
                      <w:highlight w:val="none"/>
                      <w:lang w:val="en-US" w:eastAsia="zh-CN"/>
                    </w:rPr>
                    <w:t>m</w:t>
                  </w:r>
                  <w:r>
                    <w:rPr>
                      <w:rFonts w:hint="eastAsia"/>
                      <w:color w:val="auto"/>
                      <w:highlight w:val="none"/>
                      <w:vertAlign w:val="superscript"/>
                      <w:lang w:val="en-US" w:eastAsia="zh-CN"/>
                    </w:rPr>
                    <w:t>3</w:t>
                  </w:r>
                  <w:r>
                    <w:rPr>
                      <w:rFonts w:hint="default"/>
                      <w:color w:val="auto"/>
                      <w:highlight w:val="none"/>
                    </w:rPr>
                    <w:t>/a</w:t>
                  </w:r>
                </w:p>
              </w:tc>
              <w:tc>
                <w:tcPr>
                  <w:tcW w:w="976" w:type="pct"/>
                  <w:vMerge w:val="restart"/>
                  <w:tcBorders>
                    <w:tl2br w:val="nil"/>
                    <w:tr2bl w:val="nil"/>
                  </w:tcBorders>
                  <w:noWrap w:val="0"/>
                  <w:vAlign w:val="center"/>
                </w:tcPr>
                <w:p w14:paraId="33C2B8F5">
                  <w:pPr>
                    <w:pStyle w:val="40"/>
                    <w:bidi w:val="0"/>
                    <w:rPr>
                      <w:rFonts w:hint="eastAsia"/>
                      <w:color w:val="auto"/>
                      <w:highlight w:val="none"/>
                      <w:lang w:val="en-US" w:eastAsia="zh-CN"/>
                    </w:rPr>
                  </w:pPr>
                  <w:r>
                    <w:rPr>
                      <w:rFonts w:hint="eastAsia"/>
                      <w:color w:val="auto"/>
                      <w:highlight w:val="none"/>
                      <w:lang w:val="en-US" w:eastAsia="zh-CN"/>
                    </w:rPr>
                    <w:t>根据客户需要进行生产</w:t>
                  </w:r>
                </w:p>
              </w:tc>
            </w:tr>
            <w:tr w14:paraId="67EABE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34" w:type="pct"/>
                  <w:vMerge w:val="continue"/>
                  <w:tcBorders>
                    <w:tl2br w:val="nil"/>
                    <w:tr2bl w:val="nil"/>
                  </w:tcBorders>
                  <w:noWrap w:val="0"/>
                  <w:vAlign w:val="center"/>
                </w:tcPr>
                <w:p w14:paraId="271F18D1">
                  <w:pPr>
                    <w:pStyle w:val="40"/>
                    <w:bidi w:val="0"/>
                    <w:rPr>
                      <w:rFonts w:hint="default"/>
                      <w:color w:val="auto"/>
                      <w:highlight w:val="none"/>
                    </w:rPr>
                  </w:pPr>
                </w:p>
              </w:tc>
              <w:tc>
                <w:tcPr>
                  <w:tcW w:w="1006" w:type="pct"/>
                  <w:tcBorders>
                    <w:tl2br w:val="nil"/>
                    <w:tr2bl w:val="nil"/>
                  </w:tcBorders>
                  <w:shd w:val="clear" w:color="auto" w:fill="auto"/>
                  <w:noWrap w:val="0"/>
                  <w:vAlign w:val="center"/>
                </w:tcPr>
                <w:p w14:paraId="7410F75F">
                  <w:pPr>
                    <w:pStyle w:val="40"/>
                    <w:bidi w:val="0"/>
                    <w:rPr>
                      <w:rFonts w:hint="default"/>
                      <w:color w:val="auto"/>
                      <w:highlight w:val="none"/>
                      <w:lang w:val="en-US" w:eastAsia="zh-CN"/>
                    </w:rPr>
                  </w:pPr>
                  <w:r>
                    <w:rPr>
                      <w:rFonts w:hint="default"/>
                      <w:color w:val="auto"/>
                      <w:highlight w:val="none"/>
                    </w:rPr>
                    <w:t>C</w:t>
                  </w:r>
                  <w:r>
                    <w:rPr>
                      <w:rFonts w:hint="eastAsia"/>
                      <w:color w:val="auto"/>
                      <w:highlight w:val="none"/>
                      <w:lang w:val="en-US" w:eastAsia="zh-CN"/>
                    </w:rPr>
                    <w:t>30</w:t>
                  </w:r>
                  <w:r>
                    <w:rPr>
                      <w:rFonts w:hint="default"/>
                      <w:color w:val="auto"/>
                      <w:highlight w:val="none"/>
                    </w:rPr>
                    <w:t>~C</w:t>
                  </w:r>
                  <w:r>
                    <w:rPr>
                      <w:rFonts w:hint="eastAsia"/>
                      <w:color w:val="auto"/>
                      <w:highlight w:val="none"/>
                      <w:lang w:val="en-US" w:eastAsia="zh-CN"/>
                    </w:rPr>
                    <w:t>60</w:t>
                  </w:r>
                </w:p>
              </w:tc>
              <w:tc>
                <w:tcPr>
                  <w:tcW w:w="1007" w:type="pct"/>
                  <w:tcBorders>
                    <w:tl2br w:val="nil"/>
                    <w:tr2bl w:val="nil"/>
                  </w:tcBorders>
                  <w:shd w:val="clear" w:color="auto" w:fill="auto"/>
                  <w:noWrap w:val="0"/>
                  <w:vAlign w:val="center"/>
                </w:tcPr>
                <w:p w14:paraId="007216E3">
                  <w:pPr>
                    <w:pStyle w:val="40"/>
                    <w:bidi w:val="0"/>
                    <w:rPr>
                      <w:rFonts w:hint="default"/>
                      <w:color w:val="auto"/>
                      <w:highlight w:val="none"/>
                      <w:lang w:val="en-US" w:eastAsia="zh-CN"/>
                    </w:rPr>
                  </w:pPr>
                  <w:r>
                    <w:rPr>
                      <w:rFonts w:hint="default"/>
                      <w:color w:val="auto"/>
                      <w:highlight w:val="none"/>
                    </w:rPr>
                    <w:t>C</w:t>
                  </w:r>
                  <w:r>
                    <w:rPr>
                      <w:rFonts w:hint="eastAsia"/>
                      <w:color w:val="auto"/>
                      <w:highlight w:val="none"/>
                      <w:lang w:val="en-US" w:eastAsia="zh-CN"/>
                    </w:rPr>
                    <w:t>60</w:t>
                  </w:r>
                  <w:r>
                    <w:rPr>
                      <w:rFonts w:hint="default"/>
                      <w:color w:val="auto"/>
                      <w:highlight w:val="none"/>
                    </w:rPr>
                    <w:t>~C</w:t>
                  </w:r>
                  <w:r>
                    <w:rPr>
                      <w:rFonts w:hint="eastAsia"/>
                      <w:color w:val="auto"/>
                      <w:highlight w:val="none"/>
                      <w:lang w:val="en-US" w:eastAsia="zh-CN"/>
                    </w:rPr>
                    <w:t>100</w:t>
                  </w:r>
                </w:p>
              </w:tc>
              <w:tc>
                <w:tcPr>
                  <w:tcW w:w="775" w:type="pct"/>
                  <w:vMerge w:val="continue"/>
                  <w:tcBorders>
                    <w:tl2br w:val="nil"/>
                    <w:tr2bl w:val="nil"/>
                  </w:tcBorders>
                  <w:noWrap w:val="0"/>
                  <w:vAlign w:val="center"/>
                </w:tcPr>
                <w:p w14:paraId="5B9D2725">
                  <w:pPr>
                    <w:pStyle w:val="40"/>
                    <w:bidi w:val="0"/>
                    <w:rPr>
                      <w:rFonts w:hint="default"/>
                      <w:color w:val="auto"/>
                      <w:highlight w:val="none"/>
                    </w:rPr>
                  </w:pPr>
                </w:p>
              </w:tc>
              <w:tc>
                <w:tcPr>
                  <w:tcW w:w="976" w:type="pct"/>
                  <w:vMerge w:val="continue"/>
                  <w:tcBorders>
                    <w:tl2br w:val="nil"/>
                    <w:tr2bl w:val="nil"/>
                  </w:tcBorders>
                  <w:noWrap w:val="0"/>
                  <w:vAlign w:val="center"/>
                </w:tcPr>
                <w:p w14:paraId="197F313D">
                  <w:pPr>
                    <w:pStyle w:val="40"/>
                    <w:bidi w:val="0"/>
                    <w:rPr>
                      <w:rFonts w:hint="default"/>
                      <w:color w:val="auto"/>
                      <w:highlight w:val="none"/>
                    </w:rPr>
                  </w:pPr>
                </w:p>
              </w:tc>
            </w:tr>
          </w:tbl>
          <w:p w14:paraId="5D24BDA7">
            <w:pPr>
              <w:pStyle w:val="41"/>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color w:val="auto"/>
                <w:highlight w:val="none"/>
                <w:lang w:val="en-US" w:eastAsia="zh-CN"/>
              </w:rPr>
            </w:pPr>
            <w:r>
              <w:rPr>
                <w:rFonts w:hint="eastAsia"/>
                <w:color w:val="auto"/>
                <w:highlight w:val="none"/>
                <w:lang w:val="en-US" w:eastAsia="zh-CN"/>
              </w:rPr>
              <w:t>四、项目主要原辅材料消耗及物料平衡</w:t>
            </w:r>
          </w:p>
          <w:p w14:paraId="3C82CA99">
            <w:pPr>
              <w:pStyle w:val="41"/>
              <w:bidi w:val="0"/>
              <w:rPr>
                <w:rFonts w:hint="default"/>
                <w:color w:val="auto"/>
                <w:highlight w:val="none"/>
                <w:lang w:val="en-US" w:eastAsia="zh-CN"/>
              </w:rPr>
            </w:pPr>
            <w:r>
              <w:rPr>
                <w:rFonts w:hint="eastAsia"/>
                <w:color w:val="auto"/>
                <w:highlight w:val="none"/>
                <w:lang w:val="en-US" w:eastAsia="zh-CN"/>
              </w:rPr>
              <w:t>1、主要原辅材料消耗</w:t>
            </w:r>
          </w:p>
          <w:p w14:paraId="7E43B8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rPr>
            </w:pPr>
            <w:r>
              <w:rPr>
                <w:rFonts w:hint="eastAsia" w:ascii="Times New Roman" w:hAnsi="Times New Roman" w:eastAsia="宋体" w:cs="Times New Roman"/>
                <w:b w:val="0"/>
                <w:bCs/>
                <w:color w:val="auto"/>
                <w:sz w:val="24"/>
                <w:highlight w:val="none"/>
                <w:lang w:val="en-US" w:eastAsia="zh-CN"/>
              </w:rPr>
              <w:t>项目</w:t>
            </w:r>
            <w:r>
              <w:rPr>
                <w:rFonts w:hint="default" w:ascii="Times New Roman" w:hAnsi="Times New Roman" w:eastAsia="宋体" w:cs="Times New Roman"/>
                <w:b w:val="0"/>
                <w:bCs/>
                <w:color w:val="auto"/>
                <w:sz w:val="24"/>
                <w:highlight w:val="none"/>
                <w:lang w:val="en-US" w:eastAsia="zh-CN"/>
              </w:rPr>
              <w:t>主要原辅料消耗及来源</w:t>
            </w:r>
            <w:r>
              <w:rPr>
                <w:rFonts w:hint="eastAsia"/>
                <w:color w:val="auto"/>
                <w:highlight w:val="none"/>
              </w:rPr>
              <w:t>见</w:t>
            </w:r>
            <w:r>
              <w:rPr>
                <w:rFonts w:hint="eastAsia"/>
                <w:color w:val="auto"/>
                <w:highlight w:val="none"/>
              </w:rPr>
              <w:fldChar w:fldCharType="begin"/>
            </w:r>
            <w:r>
              <w:rPr>
                <w:rFonts w:hint="eastAsia"/>
                <w:color w:val="auto"/>
                <w:highlight w:val="none"/>
              </w:rPr>
              <w:instrText xml:space="preserve"> REF _Ref5747 \h </w:instrText>
            </w:r>
            <w:r>
              <w:rPr>
                <w:rFonts w:hint="eastAsia"/>
                <w:color w:val="auto"/>
                <w:highlight w:val="none"/>
              </w:rPr>
              <w:fldChar w:fldCharType="separate"/>
            </w:r>
            <w:r>
              <w:rPr>
                <w:color w:val="auto"/>
                <w:highlight w:val="none"/>
              </w:rPr>
              <w:t>表2-7</w:t>
            </w:r>
            <w:r>
              <w:rPr>
                <w:rFonts w:hint="eastAsia"/>
                <w:color w:val="auto"/>
                <w:highlight w:val="none"/>
              </w:rPr>
              <w:fldChar w:fldCharType="end"/>
            </w:r>
            <w:r>
              <w:rPr>
                <w:rFonts w:hint="eastAsia"/>
                <w:color w:val="auto"/>
                <w:highlight w:val="none"/>
              </w:rPr>
              <w:t>。</w:t>
            </w:r>
          </w:p>
          <w:p w14:paraId="28FBAFBB">
            <w:pPr>
              <w:pStyle w:val="7"/>
              <w:keepNext w:val="0"/>
              <w:keepLines w:val="0"/>
              <w:pageBreakBefore w:val="0"/>
              <w:widowControl w:val="0"/>
              <w:kinsoku/>
              <w:wordWrap/>
              <w:overflowPunct/>
              <w:topLinePunct w:val="0"/>
              <w:autoSpaceDE/>
              <w:autoSpaceDN/>
              <w:bidi w:val="0"/>
              <w:adjustRightInd/>
              <w:snapToGrid/>
              <w:textAlignment w:val="auto"/>
              <w:rPr>
                <w:rFonts w:hint="default"/>
                <w:color w:val="auto"/>
                <w:highlight w:val="none"/>
                <w:lang w:val="en-US" w:eastAsia="zh-CN"/>
              </w:rPr>
            </w:pPr>
            <w:bookmarkStart w:id="17" w:name="_Ref5747"/>
            <w:r>
              <w:rPr>
                <w:color w:val="auto"/>
                <w:highlight w:val="none"/>
              </w:rPr>
              <w:t>表2-</w:t>
            </w:r>
            <w:r>
              <w:rPr>
                <w:color w:val="auto"/>
                <w:highlight w:val="none"/>
              </w:rPr>
              <w:fldChar w:fldCharType="begin"/>
            </w:r>
            <w:r>
              <w:rPr>
                <w:color w:val="auto"/>
                <w:highlight w:val="none"/>
              </w:rPr>
              <w:instrText xml:space="preserve"> SEQ 表2- \* ARABIC </w:instrText>
            </w:r>
            <w:r>
              <w:rPr>
                <w:color w:val="auto"/>
                <w:highlight w:val="none"/>
              </w:rPr>
              <w:fldChar w:fldCharType="separate"/>
            </w:r>
            <w:r>
              <w:rPr>
                <w:color w:val="auto"/>
                <w:highlight w:val="none"/>
              </w:rPr>
              <w:t>7</w:t>
            </w:r>
            <w:r>
              <w:rPr>
                <w:color w:val="auto"/>
                <w:highlight w:val="none"/>
              </w:rPr>
              <w:fldChar w:fldCharType="end"/>
            </w:r>
            <w:bookmarkEnd w:id="17"/>
            <w:r>
              <w:rPr>
                <w:rFonts w:hint="eastAsia"/>
                <w:color w:val="auto"/>
                <w:highlight w:val="none"/>
                <w:lang w:val="en-US" w:eastAsia="zh-CN"/>
              </w:rPr>
              <w:t xml:space="preserve"> </w:t>
            </w:r>
            <w:r>
              <w:rPr>
                <w:rFonts w:hint="default"/>
                <w:color w:val="auto"/>
                <w:highlight w:val="none"/>
                <w:lang w:val="en-US" w:eastAsia="zh-CN"/>
              </w:rPr>
              <w:t xml:space="preserve"> </w:t>
            </w:r>
            <w:r>
              <w:rPr>
                <w:rFonts w:hint="default"/>
                <w:color w:val="auto"/>
                <w:highlight w:val="none"/>
              </w:rPr>
              <w:t>项目主要原辅料消耗及</w:t>
            </w:r>
            <w:r>
              <w:rPr>
                <w:rFonts w:hint="default"/>
                <w:color w:val="auto"/>
                <w:highlight w:val="none"/>
                <w:lang w:val="en-US" w:eastAsia="zh-CN"/>
              </w:rPr>
              <w:t>能源用量</w:t>
            </w:r>
          </w:p>
          <w:tbl>
            <w:tblPr>
              <w:tblStyle w:val="25"/>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83"/>
              <w:gridCol w:w="1490"/>
              <w:gridCol w:w="1347"/>
              <w:gridCol w:w="1082"/>
              <w:gridCol w:w="3155"/>
            </w:tblGrid>
            <w:tr w14:paraId="216AA5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767" w:type="pct"/>
                  <w:tcBorders>
                    <w:tl2br w:val="nil"/>
                    <w:tr2bl w:val="nil"/>
                  </w:tcBorders>
                  <w:vAlign w:val="center"/>
                </w:tcPr>
                <w:p w14:paraId="20997A74">
                  <w:pPr>
                    <w:pStyle w:val="40"/>
                    <w:bidi w:val="0"/>
                    <w:rPr>
                      <w:rFonts w:hint="default"/>
                      <w:color w:val="auto"/>
                      <w:highlight w:val="none"/>
                      <w:lang w:val="en-US" w:eastAsia="zh-CN"/>
                    </w:rPr>
                  </w:pPr>
                  <w:r>
                    <w:rPr>
                      <w:rFonts w:hint="default"/>
                      <w:color w:val="auto"/>
                      <w:highlight w:val="none"/>
                      <w:lang w:val="en-US" w:eastAsia="zh-CN"/>
                    </w:rPr>
                    <w:t>产品</w:t>
                  </w:r>
                </w:p>
              </w:tc>
              <w:tc>
                <w:tcPr>
                  <w:tcW w:w="891" w:type="pct"/>
                  <w:tcBorders>
                    <w:tl2br w:val="nil"/>
                    <w:tr2bl w:val="nil"/>
                  </w:tcBorders>
                  <w:vAlign w:val="center"/>
                </w:tcPr>
                <w:p w14:paraId="4F33F385">
                  <w:pPr>
                    <w:pStyle w:val="40"/>
                    <w:bidi w:val="0"/>
                    <w:rPr>
                      <w:rFonts w:hint="default"/>
                      <w:color w:val="auto"/>
                      <w:highlight w:val="none"/>
                      <w:lang w:val="en-US" w:eastAsia="zh-CN"/>
                    </w:rPr>
                  </w:pPr>
                  <w:r>
                    <w:rPr>
                      <w:rFonts w:hint="default"/>
                      <w:color w:val="auto"/>
                      <w:highlight w:val="none"/>
                      <w:lang w:val="en-US" w:eastAsia="zh-CN"/>
                    </w:rPr>
                    <w:t>原料名称</w:t>
                  </w:r>
                </w:p>
              </w:tc>
              <w:tc>
                <w:tcPr>
                  <w:tcW w:w="805" w:type="pct"/>
                  <w:tcBorders>
                    <w:tl2br w:val="nil"/>
                    <w:tr2bl w:val="nil"/>
                  </w:tcBorders>
                  <w:vAlign w:val="center"/>
                </w:tcPr>
                <w:p w14:paraId="2278C700">
                  <w:pPr>
                    <w:pStyle w:val="40"/>
                    <w:bidi w:val="0"/>
                    <w:rPr>
                      <w:rFonts w:hint="default"/>
                      <w:color w:val="auto"/>
                      <w:highlight w:val="none"/>
                      <w:lang w:val="en-US" w:eastAsia="zh-CN"/>
                    </w:rPr>
                  </w:pPr>
                  <w:r>
                    <w:rPr>
                      <w:rFonts w:hint="default"/>
                      <w:color w:val="auto"/>
                      <w:highlight w:val="none"/>
                      <w:lang w:val="en-US" w:eastAsia="zh-CN"/>
                    </w:rPr>
                    <w:t>年耗量（t/a）</w:t>
                  </w:r>
                </w:p>
              </w:tc>
              <w:tc>
                <w:tcPr>
                  <w:tcW w:w="647" w:type="pct"/>
                  <w:tcBorders>
                    <w:tl2br w:val="nil"/>
                    <w:tr2bl w:val="nil"/>
                  </w:tcBorders>
                  <w:vAlign w:val="center"/>
                </w:tcPr>
                <w:p w14:paraId="58D9555A">
                  <w:pPr>
                    <w:pStyle w:val="40"/>
                    <w:bidi w:val="0"/>
                    <w:rPr>
                      <w:rFonts w:hint="default"/>
                      <w:color w:val="auto"/>
                      <w:highlight w:val="none"/>
                      <w:lang w:val="en-US" w:eastAsia="zh-CN"/>
                    </w:rPr>
                  </w:pPr>
                  <w:r>
                    <w:rPr>
                      <w:rFonts w:hint="default"/>
                      <w:color w:val="auto"/>
                      <w:highlight w:val="none"/>
                      <w:lang w:val="en-US" w:eastAsia="zh-CN"/>
                    </w:rPr>
                    <w:t>储存方式</w:t>
                  </w:r>
                </w:p>
              </w:tc>
              <w:tc>
                <w:tcPr>
                  <w:tcW w:w="1888" w:type="pct"/>
                  <w:tcBorders>
                    <w:tl2br w:val="nil"/>
                    <w:tr2bl w:val="nil"/>
                  </w:tcBorders>
                  <w:vAlign w:val="center"/>
                </w:tcPr>
                <w:p w14:paraId="283EF924">
                  <w:pPr>
                    <w:pStyle w:val="40"/>
                    <w:bidi w:val="0"/>
                    <w:rPr>
                      <w:rFonts w:hint="default"/>
                      <w:color w:val="auto"/>
                      <w:highlight w:val="none"/>
                      <w:lang w:val="en-US" w:eastAsia="zh-CN"/>
                    </w:rPr>
                  </w:pPr>
                  <w:r>
                    <w:rPr>
                      <w:rFonts w:hint="default"/>
                      <w:color w:val="auto"/>
                      <w:highlight w:val="none"/>
                      <w:lang w:val="en-US" w:eastAsia="zh-CN"/>
                    </w:rPr>
                    <w:t>来源</w:t>
                  </w:r>
                </w:p>
              </w:tc>
            </w:tr>
            <w:tr w14:paraId="0EE2AD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7" w:type="pct"/>
                  <w:vMerge w:val="restart"/>
                  <w:tcBorders>
                    <w:tl2br w:val="nil"/>
                    <w:tr2bl w:val="nil"/>
                  </w:tcBorders>
                  <w:vAlign w:val="center"/>
                </w:tcPr>
                <w:p w14:paraId="68E3A0F5">
                  <w:pPr>
                    <w:pStyle w:val="40"/>
                    <w:bidi w:val="0"/>
                    <w:rPr>
                      <w:rFonts w:hint="default"/>
                      <w:color w:val="auto"/>
                      <w:highlight w:val="none"/>
                      <w:lang w:val="en-US" w:eastAsia="zh-CN"/>
                    </w:rPr>
                  </w:pPr>
                  <w:r>
                    <w:rPr>
                      <w:rFonts w:hint="default"/>
                      <w:color w:val="auto"/>
                      <w:highlight w:val="none"/>
                      <w:lang w:val="en-US" w:eastAsia="zh-CN"/>
                    </w:rPr>
                    <w:t>蒸压硅酸盐功能骨料</w:t>
                  </w:r>
                </w:p>
              </w:tc>
              <w:tc>
                <w:tcPr>
                  <w:tcW w:w="891" w:type="pct"/>
                  <w:tcBorders>
                    <w:tl2br w:val="nil"/>
                    <w:tr2bl w:val="nil"/>
                  </w:tcBorders>
                  <w:vAlign w:val="center"/>
                </w:tcPr>
                <w:p w14:paraId="7CF882E9">
                  <w:pPr>
                    <w:pStyle w:val="40"/>
                    <w:bidi w:val="0"/>
                    <w:rPr>
                      <w:rFonts w:hint="default"/>
                      <w:color w:val="auto"/>
                      <w:highlight w:val="none"/>
                      <w:lang w:val="en-US" w:eastAsia="zh-CN"/>
                    </w:rPr>
                  </w:pPr>
                  <w:r>
                    <w:rPr>
                      <w:rFonts w:hint="default"/>
                      <w:color w:val="auto"/>
                      <w:highlight w:val="none"/>
                      <w:lang w:val="en-US" w:eastAsia="zh-CN"/>
                    </w:rPr>
                    <w:t>粉煤灰</w:t>
                  </w:r>
                </w:p>
              </w:tc>
              <w:tc>
                <w:tcPr>
                  <w:tcW w:w="805" w:type="pct"/>
                  <w:tcBorders>
                    <w:tl2br w:val="nil"/>
                    <w:tr2bl w:val="nil"/>
                  </w:tcBorders>
                  <w:vAlign w:val="center"/>
                </w:tcPr>
                <w:p w14:paraId="026589A1">
                  <w:pPr>
                    <w:pStyle w:val="40"/>
                    <w:bidi w:val="0"/>
                    <w:rPr>
                      <w:rFonts w:hint="default"/>
                      <w:color w:val="auto"/>
                      <w:highlight w:val="none"/>
                      <w:lang w:val="en-US" w:eastAsia="zh-CN"/>
                    </w:rPr>
                  </w:pPr>
                  <w:r>
                    <w:rPr>
                      <w:rFonts w:hint="eastAsia"/>
                      <w:color w:val="auto"/>
                      <w:highlight w:val="none"/>
                      <w:lang w:val="en-US" w:eastAsia="zh-CN"/>
                    </w:rPr>
                    <w:t>5</w:t>
                  </w:r>
                  <w:r>
                    <w:rPr>
                      <w:rFonts w:hint="default"/>
                      <w:color w:val="auto"/>
                      <w:highlight w:val="none"/>
                      <w:lang w:val="en-US" w:eastAsia="zh-CN"/>
                    </w:rPr>
                    <w:t>00000</w:t>
                  </w:r>
                </w:p>
              </w:tc>
              <w:tc>
                <w:tcPr>
                  <w:tcW w:w="647" w:type="pct"/>
                  <w:tcBorders>
                    <w:tl2br w:val="nil"/>
                    <w:tr2bl w:val="nil"/>
                  </w:tcBorders>
                  <w:vAlign w:val="center"/>
                </w:tcPr>
                <w:p w14:paraId="24BF93C2">
                  <w:pPr>
                    <w:pStyle w:val="40"/>
                    <w:bidi w:val="0"/>
                    <w:rPr>
                      <w:rFonts w:hint="default"/>
                      <w:color w:val="auto"/>
                      <w:highlight w:val="none"/>
                      <w:lang w:val="en-US" w:eastAsia="zh-CN"/>
                    </w:rPr>
                  </w:pPr>
                  <w:r>
                    <w:rPr>
                      <w:rFonts w:hint="eastAsia"/>
                      <w:color w:val="auto"/>
                      <w:highlight w:val="none"/>
                      <w:lang w:val="en-US" w:eastAsia="zh-CN"/>
                    </w:rPr>
                    <w:t>筒仓</w:t>
                  </w:r>
                </w:p>
              </w:tc>
              <w:tc>
                <w:tcPr>
                  <w:tcW w:w="1888" w:type="pct"/>
                  <w:tcBorders>
                    <w:tl2br w:val="nil"/>
                    <w:tr2bl w:val="nil"/>
                  </w:tcBorders>
                  <w:vAlign w:val="center"/>
                </w:tcPr>
                <w:p w14:paraId="39B42EE4">
                  <w:pPr>
                    <w:pStyle w:val="40"/>
                    <w:bidi w:val="0"/>
                    <w:rPr>
                      <w:rFonts w:hint="default"/>
                      <w:color w:val="auto"/>
                      <w:spacing w:val="-6"/>
                      <w:sz w:val="21"/>
                      <w:highlight w:val="none"/>
                      <w:lang w:val="en-US" w:eastAsia="zh-CN"/>
                    </w:rPr>
                  </w:pPr>
                  <w:r>
                    <w:rPr>
                      <w:rFonts w:hint="default"/>
                      <w:color w:val="auto"/>
                      <w:spacing w:val="-6"/>
                      <w:sz w:val="21"/>
                      <w:highlight w:val="none"/>
                      <w:lang w:val="en-US" w:eastAsia="zh-CN"/>
                    </w:rPr>
                    <w:t>陕投集团清水川发电有限公司、陕煤电力集团新元发电有限公司</w:t>
                  </w:r>
                </w:p>
              </w:tc>
            </w:tr>
            <w:tr w14:paraId="1D26FA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7" w:type="pct"/>
                  <w:vMerge w:val="continue"/>
                  <w:tcBorders>
                    <w:tl2br w:val="nil"/>
                    <w:tr2bl w:val="nil"/>
                  </w:tcBorders>
                  <w:vAlign w:val="center"/>
                </w:tcPr>
                <w:p w14:paraId="16B6AC46">
                  <w:pPr>
                    <w:pStyle w:val="40"/>
                    <w:bidi w:val="0"/>
                    <w:rPr>
                      <w:rFonts w:hint="default"/>
                      <w:color w:val="auto"/>
                      <w:highlight w:val="none"/>
                      <w:lang w:val="en-US" w:eastAsia="zh-CN"/>
                    </w:rPr>
                  </w:pPr>
                </w:p>
              </w:tc>
              <w:tc>
                <w:tcPr>
                  <w:tcW w:w="891" w:type="pct"/>
                  <w:tcBorders>
                    <w:tl2br w:val="nil"/>
                    <w:tr2bl w:val="nil"/>
                  </w:tcBorders>
                  <w:shd w:val="clear" w:color="auto" w:fill="auto"/>
                  <w:vAlign w:val="center"/>
                </w:tcPr>
                <w:p w14:paraId="2E47A9C4">
                  <w:pPr>
                    <w:pStyle w:val="40"/>
                    <w:bidi w:val="0"/>
                    <w:rPr>
                      <w:rFonts w:hint="default"/>
                      <w:color w:val="auto"/>
                      <w:highlight w:val="none"/>
                      <w:lang w:val="en-US" w:eastAsia="zh-CN"/>
                    </w:rPr>
                  </w:pPr>
                  <w:r>
                    <w:rPr>
                      <w:rFonts w:hint="default"/>
                      <w:color w:val="auto"/>
                      <w:highlight w:val="none"/>
                      <w:lang w:val="en-US" w:eastAsia="zh-CN"/>
                    </w:rPr>
                    <w:t>炉渣</w:t>
                  </w:r>
                </w:p>
              </w:tc>
              <w:tc>
                <w:tcPr>
                  <w:tcW w:w="805" w:type="pct"/>
                  <w:tcBorders>
                    <w:tl2br w:val="nil"/>
                    <w:tr2bl w:val="nil"/>
                  </w:tcBorders>
                  <w:shd w:val="clear" w:color="auto" w:fill="auto"/>
                  <w:vAlign w:val="center"/>
                </w:tcPr>
                <w:p w14:paraId="2501D851">
                  <w:pPr>
                    <w:pStyle w:val="40"/>
                    <w:bidi w:val="0"/>
                    <w:rPr>
                      <w:rFonts w:hint="default"/>
                      <w:color w:val="auto"/>
                      <w:highlight w:val="none"/>
                      <w:lang w:val="en-US" w:eastAsia="zh-CN"/>
                    </w:rPr>
                  </w:pPr>
                  <w:r>
                    <w:rPr>
                      <w:rFonts w:hint="eastAsia"/>
                      <w:color w:val="auto"/>
                      <w:highlight w:val="none"/>
                      <w:lang w:val="en-US" w:eastAsia="zh-CN"/>
                    </w:rPr>
                    <w:t>2</w:t>
                  </w:r>
                  <w:r>
                    <w:rPr>
                      <w:rFonts w:hint="default"/>
                      <w:color w:val="auto"/>
                      <w:highlight w:val="none"/>
                      <w:lang w:val="en-US" w:eastAsia="zh-CN"/>
                    </w:rPr>
                    <w:t>00000</w:t>
                  </w:r>
                </w:p>
              </w:tc>
              <w:tc>
                <w:tcPr>
                  <w:tcW w:w="647" w:type="pct"/>
                  <w:tcBorders>
                    <w:tl2br w:val="nil"/>
                    <w:tr2bl w:val="nil"/>
                  </w:tcBorders>
                  <w:shd w:val="clear" w:color="auto" w:fill="auto"/>
                  <w:vAlign w:val="center"/>
                </w:tcPr>
                <w:p w14:paraId="28EE5E67">
                  <w:pPr>
                    <w:pStyle w:val="40"/>
                    <w:bidi w:val="0"/>
                    <w:rPr>
                      <w:rFonts w:hint="default"/>
                      <w:color w:val="auto"/>
                      <w:highlight w:val="none"/>
                      <w:lang w:val="en-US" w:eastAsia="zh-CN"/>
                    </w:rPr>
                  </w:pPr>
                  <w:r>
                    <w:rPr>
                      <w:rFonts w:hint="eastAsia"/>
                      <w:color w:val="auto"/>
                      <w:highlight w:val="none"/>
                      <w:lang w:val="en-US" w:eastAsia="zh-CN"/>
                    </w:rPr>
                    <w:t>原料区</w:t>
                  </w:r>
                </w:p>
              </w:tc>
              <w:tc>
                <w:tcPr>
                  <w:tcW w:w="1888" w:type="pct"/>
                  <w:tcBorders>
                    <w:tl2br w:val="nil"/>
                    <w:tr2bl w:val="nil"/>
                  </w:tcBorders>
                  <w:vAlign w:val="center"/>
                </w:tcPr>
                <w:p w14:paraId="1A052B9A">
                  <w:pPr>
                    <w:pStyle w:val="40"/>
                    <w:bidi w:val="0"/>
                    <w:rPr>
                      <w:rFonts w:hint="eastAsia"/>
                      <w:color w:val="auto"/>
                      <w:spacing w:val="-6"/>
                      <w:sz w:val="21"/>
                      <w:highlight w:val="none"/>
                      <w:lang w:val="en-US" w:eastAsia="zh-CN"/>
                    </w:rPr>
                  </w:pPr>
                  <w:r>
                    <w:rPr>
                      <w:rFonts w:hint="default"/>
                      <w:color w:val="auto"/>
                      <w:spacing w:val="-6"/>
                      <w:sz w:val="21"/>
                      <w:highlight w:val="none"/>
                      <w:lang w:val="en-US" w:eastAsia="zh-CN"/>
                    </w:rPr>
                    <w:t>陕投集团清水川发电有限公司、陕煤电力集团新元发电有限公司</w:t>
                  </w:r>
                </w:p>
              </w:tc>
            </w:tr>
            <w:tr w14:paraId="5242C8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7" w:type="pct"/>
                  <w:vMerge w:val="continue"/>
                  <w:tcBorders>
                    <w:tl2br w:val="nil"/>
                    <w:tr2bl w:val="nil"/>
                  </w:tcBorders>
                  <w:vAlign w:val="center"/>
                </w:tcPr>
                <w:p w14:paraId="61282924">
                  <w:pPr>
                    <w:pStyle w:val="40"/>
                    <w:bidi w:val="0"/>
                    <w:rPr>
                      <w:rFonts w:hint="default"/>
                      <w:color w:val="auto"/>
                      <w:highlight w:val="none"/>
                      <w:lang w:val="en-US" w:eastAsia="zh-CN"/>
                    </w:rPr>
                  </w:pPr>
                </w:p>
              </w:tc>
              <w:tc>
                <w:tcPr>
                  <w:tcW w:w="891" w:type="pct"/>
                  <w:tcBorders>
                    <w:tl2br w:val="nil"/>
                    <w:tr2bl w:val="nil"/>
                  </w:tcBorders>
                  <w:shd w:val="clear" w:color="auto" w:fill="auto"/>
                  <w:vAlign w:val="center"/>
                </w:tcPr>
                <w:p w14:paraId="6E934F78">
                  <w:pPr>
                    <w:pStyle w:val="40"/>
                    <w:bidi w:val="0"/>
                    <w:rPr>
                      <w:rFonts w:hint="default"/>
                      <w:color w:val="auto"/>
                      <w:highlight w:val="none"/>
                      <w:lang w:val="en-US" w:eastAsia="zh-CN"/>
                    </w:rPr>
                  </w:pPr>
                  <w:r>
                    <w:rPr>
                      <w:rFonts w:hint="default"/>
                      <w:color w:val="auto"/>
                      <w:highlight w:val="none"/>
                      <w:lang w:val="en-US" w:eastAsia="zh-CN"/>
                    </w:rPr>
                    <w:t>脱硫石膏</w:t>
                  </w:r>
                </w:p>
              </w:tc>
              <w:tc>
                <w:tcPr>
                  <w:tcW w:w="805" w:type="pct"/>
                  <w:tcBorders>
                    <w:tl2br w:val="nil"/>
                    <w:tr2bl w:val="nil"/>
                  </w:tcBorders>
                  <w:shd w:val="clear" w:color="auto" w:fill="auto"/>
                  <w:vAlign w:val="center"/>
                </w:tcPr>
                <w:p w14:paraId="1E38B493">
                  <w:pPr>
                    <w:pStyle w:val="40"/>
                    <w:bidi w:val="0"/>
                    <w:rPr>
                      <w:rFonts w:hint="default"/>
                      <w:color w:val="auto"/>
                      <w:highlight w:val="none"/>
                      <w:lang w:val="en-US" w:eastAsia="zh-CN"/>
                    </w:rPr>
                  </w:pPr>
                  <w:r>
                    <w:rPr>
                      <w:rFonts w:hint="default"/>
                      <w:color w:val="auto"/>
                      <w:highlight w:val="none"/>
                      <w:lang w:val="en-US" w:eastAsia="zh-CN"/>
                    </w:rPr>
                    <w:t>25000</w:t>
                  </w:r>
                </w:p>
              </w:tc>
              <w:tc>
                <w:tcPr>
                  <w:tcW w:w="647" w:type="pct"/>
                  <w:tcBorders>
                    <w:tl2br w:val="nil"/>
                    <w:tr2bl w:val="nil"/>
                  </w:tcBorders>
                  <w:shd w:val="clear" w:color="auto" w:fill="auto"/>
                  <w:vAlign w:val="center"/>
                </w:tcPr>
                <w:p w14:paraId="741227DD">
                  <w:pPr>
                    <w:pStyle w:val="40"/>
                    <w:bidi w:val="0"/>
                    <w:rPr>
                      <w:rFonts w:hint="default"/>
                      <w:color w:val="auto"/>
                      <w:highlight w:val="none"/>
                      <w:lang w:val="en-US" w:eastAsia="zh-CN"/>
                    </w:rPr>
                  </w:pPr>
                  <w:r>
                    <w:rPr>
                      <w:rFonts w:hint="eastAsia"/>
                      <w:color w:val="auto"/>
                      <w:highlight w:val="none"/>
                      <w:lang w:val="en-US" w:eastAsia="zh-CN"/>
                    </w:rPr>
                    <w:t>原料区</w:t>
                  </w:r>
                </w:p>
              </w:tc>
              <w:tc>
                <w:tcPr>
                  <w:tcW w:w="1888" w:type="pct"/>
                  <w:tcBorders>
                    <w:tl2br w:val="nil"/>
                    <w:tr2bl w:val="nil"/>
                  </w:tcBorders>
                  <w:vAlign w:val="center"/>
                </w:tcPr>
                <w:p w14:paraId="41F339DB">
                  <w:pPr>
                    <w:pStyle w:val="40"/>
                    <w:bidi w:val="0"/>
                    <w:rPr>
                      <w:rFonts w:hint="default"/>
                      <w:color w:val="auto"/>
                      <w:highlight w:val="none"/>
                      <w:lang w:val="en-US" w:eastAsia="zh-CN"/>
                    </w:rPr>
                  </w:pPr>
                  <w:r>
                    <w:rPr>
                      <w:rFonts w:hint="eastAsia"/>
                      <w:color w:val="auto"/>
                      <w:highlight w:val="none"/>
                      <w:lang w:val="en-US" w:eastAsia="zh-CN"/>
                    </w:rPr>
                    <w:t>陕煤新建电厂</w:t>
                  </w:r>
                </w:p>
              </w:tc>
            </w:tr>
            <w:tr w14:paraId="5DBFB0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7" w:type="pct"/>
                  <w:vMerge w:val="continue"/>
                  <w:tcBorders>
                    <w:tl2br w:val="nil"/>
                    <w:tr2bl w:val="nil"/>
                  </w:tcBorders>
                  <w:vAlign w:val="center"/>
                </w:tcPr>
                <w:p w14:paraId="41FB28B0">
                  <w:pPr>
                    <w:pStyle w:val="40"/>
                    <w:bidi w:val="0"/>
                    <w:rPr>
                      <w:rFonts w:hint="default"/>
                      <w:color w:val="auto"/>
                      <w:highlight w:val="none"/>
                      <w:lang w:val="en-US" w:eastAsia="zh-CN"/>
                    </w:rPr>
                  </w:pPr>
                </w:p>
              </w:tc>
              <w:tc>
                <w:tcPr>
                  <w:tcW w:w="891" w:type="pct"/>
                  <w:tcBorders>
                    <w:tl2br w:val="nil"/>
                    <w:tr2bl w:val="nil"/>
                  </w:tcBorders>
                  <w:shd w:val="clear" w:color="auto" w:fill="auto"/>
                  <w:vAlign w:val="center"/>
                </w:tcPr>
                <w:p w14:paraId="4738D6DD">
                  <w:pPr>
                    <w:pStyle w:val="40"/>
                    <w:bidi w:val="0"/>
                    <w:rPr>
                      <w:rFonts w:hint="default"/>
                      <w:color w:val="auto"/>
                      <w:highlight w:val="none"/>
                      <w:lang w:val="en-US" w:eastAsia="zh-CN"/>
                    </w:rPr>
                  </w:pPr>
                  <w:r>
                    <w:rPr>
                      <w:rFonts w:hint="default"/>
                      <w:color w:val="auto"/>
                      <w:highlight w:val="none"/>
                      <w:lang w:val="en-US" w:eastAsia="zh-CN"/>
                    </w:rPr>
                    <w:t>镁渣</w:t>
                  </w:r>
                </w:p>
              </w:tc>
              <w:tc>
                <w:tcPr>
                  <w:tcW w:w="805" w:type="pct"/>
                  <w:tcBorders>
                    <w:tl2br w:val="nil"/>
                    <w:tr2bl w:val="nil"/>
                  </w:tcBorders>
                  <w:shd w:val="clear" w:color="auto" w:fill="auto"/>
                  <w:vAlign w:val="center"/>
                </w:tcPr>
                <w:p w14:paraId="73911BD1">
                  <w:pPr>
                    <w:pStyle w:val="40"/>
                    <w:bidi w:val="0"/>
                    <w:rPr>
                      <w:rFonts w:hint="default"/>
                      <w:color w:val="auto"/>
                      <w:highlight w:val="none"/>
                      <w:lang w:val="en-US" w:eastAsia="zh-CN"/>
                    </w:rPr>
                  </w:pPr>
                  <w:r>
                    <w:rPr>
                      <w:rFonts w:hint="default"/>
                      <w:color w:val="auto"/>
                      <w:highlight w:val="none"/>
                      <w:lang w:val="en-US" w:eastAsia="zh-CN"/>
                    </w:rPr>
                    <w:t>220000</w:t>
                  </w:r>
                </w:p>
              </w:tc>
              <w:tc>
                <w:tcPr>
                  <w:tcW w:w="647" w:type="pct"/>
                  <w:tcBorders>
                    <w:tl2br w:val="nil"/>
                    <w:tr2bl w:val="nil"/>
                  </w:tcBorders>
                  <w:shd w:val="clear" w:color="auto" w:fill="auto"/>
                  <w:vAlign w:val="center"/>
                </w:tcPr>
                <w:p w14:paraId="0BF386FB">
                  <w:pPr>
                    <w:pStyle w:val="40"/>
                    <w:bidi w:val="0"/>
                    <w:rPr>
                      <w:rFonts w:hint="default"/>
                      <w:color w:val="auto"/>
                      <w:highlight w:val="none"/>
                      <w:lang w:val="en-US" w:eastAsia="zh-CN"/>
                    </w:rPr>
                  </w:pPr>
                  <w:r>
                    <w:rPr>
                      <w:rFonts w:hint="eastAsia"/>
                      <w:color w:val="auto"/>
                      <w:highlight w:val="none"/>
                      <w:lang w:val="en-US" w:eastAsia="zh-CN"/>
                    </w:rPr>
                    <w:t>原料区</w:t>
                  </w:r>
                </w:p>
              </w:tc>
              <w:tc>
                <w:tcPr>
                  <w:tcW w:w="1888" w:type="pct"/>
                  <w:tcBorders>
                    <w:tl2br w:val="nil"/>
                    <w:tr2bl w:val="nil"/>
                  </w:tcBorders>
                  <w:vAlign w:val="center"/>
                </w:tcPr>
                <w:p w14:paraId="4E1DB6EF">
                  <w:pPr>
                    <w:pStyle w:val="40"/>
                    <w:bidi w:val="0"/>
                    <w:rPr>
                      <w:rFonts w:hint="default"/>
                      <w:color w:val="auto"/>
                      <w:highlight w:val="none"/>
                      <w:lang w:val="en-US" w:eastAsia="zh-CN"/>
                    </w:rPr>
                  </w:pPr>
                  <w:r>
                    <w:rPr>
                      <w:rFonts w:hint="default"/>
                      <w:color w:val="auto"/>
                      <w:highlight w:val="none"/>
                      <w:lang w:val="en-US" w:eastAsia="zh-CN"/>
                    </w:rPr>
                    <w:t>府谷县镁业集团有限责任公司</w:t>
                  </w:r>
                </w:p>
                <w:p w14:paraId="4163FEF0">
                  <w:pPr>
                    <w:pStyle w:val="40"/>
                    <w:bidi w:val="0"/>
                    <w:rPr>
                      <w:rFonts w:hint="default"/>
                      <w:color w:val="auto"/>
                      <w:highlight w:val="none"/>
                      <w:lang w:val="en-US" w:eastAsia="zh-CN"/>
                    </w:rPr>
                  </w:pPr>
                  <w:r>
                    <w:rPr>
                      <w:rFonts w:hint="eastAsia"/>
                      <w:color w:val="auto"/>
                      <w:highlight w:val="none"/>
                      <w:lang w:val="en-US" w:eastAsia="zh-CN"/>
                    </w:rPr>
                    <w:t>府谷县泰达煤化有限责任公司</w:t>
                  </w:r>
                </w:p>
              </w:tc>
            </w:tr>
            <w:tr w14:paraId="609F22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7" w:type="pct"/>
                  <w:vMerge w:val="continue"/>
                  <w:tcBorders>
                    <w:tl2br w:val="nil"/>
                    <w:tr2bl w:val="nil"/>
                  </w:tcBorders>
                  <w:vAlign w:val="center"/>
                </w:tcPr>
                <w:p w14:paraId="1341F4F2">
                  <w:pPr>
                    <w:pStyle w:val="40"/>
                    <w:bidi w:val="0"/>
                    <w:rPr>
                      <w:rFonts w:hint="default"/>
                      <w:color w:val="auto"/>
                      <w:highlight w:val="none"/>
                      <w:lang w:val="en-US" w:eastAsia="zh-CN"/>
                    </w:rPr>
                  </w:pPr>
                </w:p>
              </w:tc>
              <w:tc>
                <w:tcPr>
                  <w:tcW w:w="891" w:type="pct"/>
                  <w:tcBorders>
                    <w:tl2br w:val="nil"/>
                    <w:tr2bl w:val="nil"/>
                  </w:tcBorders>
                  <w:vAlign w:val="center"/>
                </w:tcPr>
                <w:p w14:paraId="617B2389">
                  <w:pPr>
                    <w:pStyle w:val="40"/>
                    <w:bidi w:val="0"/>
                    <w:rPr>
                      <w:rFonts w:hint="default"/>
                      <w:color w:val="auto"/>
                      <w:highlight w:val="none"/>
                      <w:lang w:val="en-US" w:eastAsia="zh-CN"/>
                    </w:rPr>
                  </w:pPr>
                  <w:r>
                    <w:rPr>
                      <w:rFonts w:hint="default"/>
                      <w:color w:val="auto"/>
                      <w:highlight w:val="none"/>
                      <w:lang w:val="en-US" w:eastAsia="zh-CN"/>
                    </w:rPr>
                    <w:t>活化剂</w:t>
                  </w:r>
                </w:p>
              </w:tc>
              <w:tc>
                <w:tcPr>
                  <w:tcW w:w="805" w:type="pct"/>
                  <w:tcBorders>
                    <w:tl2br w:val="nil"/>
                    <w:tr2bl w:val="nil"/>
                  </w:tcBorders>
                  <w:vAlign w:val="center"/>
                </w:tcPr>
                <w:p w14:paraId="5068AE98">
                  <w:pPr>
                    <w:pStyle w:val="40"/>
                    <w:bidi w:val="0"/>
                    <w:rPr>
                      <w:rFonts w:hint="default"/>
                      <w:color w:val="auto"/>
                      <w:highlight w:val="none"/>
                      <w:lang w:val="en-US" w:eastAsia="zh-CN"/>
                    </w:rPr>
                  </w:pPr>
                  <w:r>
                    <w:rPr>
                      <w:rFonts w:hint="default"/>
                      <w:color w:val="auto"/>
                      <w:highlight w:val="none"/>
                      <w:lang w:val="en-US" w:eastAsia="zh-CN"/>
                    </w:rPr>
                    <w:t>5000</w:t>
                  </w:r>
                </w:p>
              </w:tc>
              <w:tc>
                <w:tcPr>
                  <w:tcW w:w="647" w:type="pct"/>
                  <w:tcBorders>
                    <w:tl2br w:val="nil"/>
                    <w:tr2bl w:val="nil"/>
                  </w:tcBorders>
                  <w:vAlign w:val="center"/>
                </w:tcPr>
                <w:p w14:paraId="73FCB856">
                  <w:pPr>
                    <w:pStyle w:val="40"/>
                    <w:bidi w:val="0"/>
                    <w:rPr>
                      <w:rFonts w:hint="default"/>
                      <w:color w:val="auto"/>
                      <w:highlight w:val="none"/>
                      <w:lang w:val="en-US" w:eastAsia="zh-CN"/>
                    </w:rPr>
                  </w:pPr>
                  <w:r>
                    <w:rPr>
                      <w:rFonts w:hint="eastAsia"/>
                      <w:color w:val="auto"/>
                      <w:highlight w:val="none"/>
                      <w:lang w:val="en-US" w:eastAsia="zh-CN"/>
                    </w:rPr>
                    <w:t>筒仓</w:t>
                  </w:r>
                </w:p>
              </w:tc>
              <w:tc>
                <w:tcPr>
                  <w:tcW w:w="1888" w:type="pct"/>
                  <w:tcBorders>
                    <w:tl2br w:val="nil"/>
                    <w:tr2bl w:val="nil"/>
                  </w:tcBorders>
                  <w:vAlign w:val="center"/>
                </w:tcPr>
                <w:p w14:paraId="3661C0FF">
                  <w:pPr>
                    <w:pStyle w:val="40"/>
                    <w:bidi w:val="0"/>
                    <w:rPr>
                      <w:rFonts w:hint="default"/>
                      <w:color w:val="auto"/>
                      <w:highlight w:val="none"/>
                      <w:lang w:val="en-US" w:eastAsia="zh-CN"/>
                    </w:rPr>
                  </w:pPr>
                  <w:r>
                    <w:rPr>
                      <w:rFonts w:hint="default"/>
                      <w:color w:val="auto"/>
                      <w:highlight w:val="none"/>
                      <w:lang w:val="en-US" w:eastAsia="zh-CN"/>
                    </w:rPr>
                    <w:t>浙江中劲环保科技有限公司</w:t>
                  </w:r>
                </w:p>
              </w:tc>
            </w:tr>
            <w:tr w14:paraId="54E429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7" w:type="pct"/>
                  <w:vMerge w:val="restart"/>
                  <w:tcBorders>
                    <w:tl2br w:val="nil"/>
                    <w:tr2bl w:val="nil"/>
                  </w:tcBorders>
                  <w:vAlign w:val="center"/>
                </w:tcPr>
                <w:p w14:paraId="2F19A67D">
                  <w:pPr>
                    <w:pStyle w:val="40"/>
                    <w:bidi w:val="0"/>
                    <w:rPr>
                      <w:rFonts w:hint="default"/>
                      <w:color w:val="auto"/>
                      <w:highlight w:val="none"/>
                      <w:lang w:val="en-US" w:eastAsia="zh-CN"/>
                    </w:rPr>
                  </w:pPr>
                  <w:r>
                    <w:rPr>
                      <w:rFonts w:hint="default"/>
                      <w:color w:val="auto"/>
                      <w:highlight w:val="none"/>
                      <w:lang w:val="en-US" w:eastAsia="zh-CN"/>
                    </w:rPr>
                    <w:t>商品混凝土</w:t>
                  </w:r>
                </w:p>
              </w:tc>
              <w:tc>
                <w:tcPr>
                  <w:tcW w:w="891" w:type="pct"/>
                  <w:tcBorders>
                    <w:tl2br w:val="nil"/>
                    <w:tr2bl w:val="nil"/>
                  </w:tcBorders>
                  <w:shd w:val="clear" w:color="auto" w:fill="auto"/>
                  <w:vAlign w:val="center"/>
                </w:tcPr>
                <w:p w14:paraId="257009CF">
                  <w:pPr>
                    <w:pStyle w:val="40"/>
                    <w:bidi w:val="0"/>
                    <w:rPr>
                      <w:rFonts w:hint="default"/>
                      <w:color w:val="auto"/>
                      <w:highlight w:val="none"/>
                      <w:lang w:val="en-US" w:eastAsia="zh-CN"/>
                    </w:rPr>
                  </w:pPr>
                  <w:r>
                    <w:rPr>
                      <w:rFonts w:hint="eastAsia"/>
                      <w:color w:val="auto"/>
                      <w:highlight w:val="none"/>
                      <w:lang w:val="en-US" w:eastAsia="zh-CN"/>
                    </w:rPr>
                    <w:t>粉煤灰</w:t>
                  </w:r>
                </w:p>
              </w:tc>
              <w:tc>
                <w:tcPr>
                  <w:tcW w:w="805" w:type="pct"/>
                  <w:tcBorders>
                    <w:tl2br w:val="nil"/>
                    <w:tr2bl w:val="nil"/>
                  </w:tcBorders>
                  <w:shd w:val="clear" w:color="auto" w:fill="auto"/>
                  <w:vAlign w:val="center"/>
                </w:tcPr>
                <w:p w14:paraId="2761B08E">
                  <w:pPr>
                    <w:pStyle w:val="40"/>
                    <w:bidi w:val="0"/>
                    <w:rPr>
                      <w:rFonts w:hint="default"/>
                      <w:color w:val="auto"/>
                      <w:highlight w:val="none"/>
                      <w:lang w:val="en-US" w:eastAsia="zh-CN"/>
                    </w:rPr>
                  </w:pPr>
                  <w:r>
                    <w:rPr>
                      <w:rFonts w:hint="eastAsia"/>
                      <w:color w:val="auto"/>
                      <w:highlight w:val="none"/>
                      <w:lang w:val="en-US" w:eastAsia="zh-CN"/>
                    </w:rPr>
                    <w:t>67700</w:t>
                  </w:r>
                </w:p>
              </w:tc>
              <w:tc>
                <w:tcPr>
                  <w:tcW w:w="647" w:type="pct"/>
                  <w:tcBorders>
                    <w:tl2br w:val="nil"/>
                    <w:tr2bl w:val="nil"/>
                  </w:tcBorders>
                  <w:shd w:val="clear" w:color="auto" w:fill="auto"/>
                  <w:vAlign w:val="center"/>
                </w:tcPr>
                <w:p w14:paraId="624CC495">
                  <w:pPr>
                    <w:pStyle w:val="40"/>
                    <w:bidi w:val="0"/>
                    <w:rPr>
                      <w:rFonts w:hint="default"/>
                      <w:color w:val="auto"/>
                      <w:highlight w:val="none"/>
                      <w:lang w:val="en-US" w:eastAsia="zh-CN"/>
                    </w:rPr>
                  </w:pPr>
                  <w:r>
                    <w:rPr>
                      <w:rFonts w:hint="eastAsia"/>
                      <w:color w:val="auto"/>
                      <w:highlight w:val="none"/>
                      <w:lang w:val="en-US" w:eastAsia="zh-CN"/>
                    </w:rPr>
                    <w:t>筒仓</w:t>
                  </w:r>
                </w:p>
              </w:tc>
              <w:tc>
                <w:tcPr>
                  <w:tcW w:w="1888" w:type="pct"/>
                  <w:tcBorders>
                    <w:tl2br w:val="nil"/>
                    <w:tr2bl w:val="nil"/>
                  </w:tcBorders>
                  <w:shd w:val="clear" w:color="auto" w:fill="auto"/>
                  <w:vAlign w:val="center"/>
                </w:tcPr>
                <w:p w14:paraId="7F08D4FD">
                  <w:pPr>
                    <w:pStyle w:val="40"/>
                    <w:bidi w:val="0"/>
                    <w:rPr>
                      <w:rFonts w:hint="default"/>
                      <w:color w:val="auto"/>
                      <w:highlight w:val="none"/>
                      <w:lang w:val="en-US" w:eastAsia="zh-CN"/>
                    </w:rPr>
                  </w:pPr>
                  <w:r>
                    <w:rPr>
                      <w:rFonts w:hint="default"/>
                      <w:color w:val="auto"/>
                      <w:spacing w:val="-6"/>
                      <w:sz w:val="21"/>
                      <w:highlight w:val="none"/>
                      <w:lang w:val="en-US" w:eastAsia="zh-CN"/>
                    </w:rPr>
                    <w:t>陕投集团清水川发电有限公司、陕煤电力集团新元发电有限公司</w:t>
                  </w:r>
                </w:p>
              </w:tc>
            </w:tr>
            <w:tr w14:paraId="261E21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7" w:type="pct"/>
                  <w:vMerge w:val="continue"/>
                  <w:tcBorders>
                    <w:tl2br w:val="nil"/>
                    <w:tr2bl w:val="nil"/>
                  </w:tcBorders>
                  <w:vAlign w:val="center"/>
                </w:tcPr>
                <w:p w14:paraId="118BD602">
                  <w:pPr>
                    <w:pStyle w:val="40"/>
                    <w:bidi w:val="0"/>
                    <w:rPr>
                      <w:rFonts w:hint="default"/>
                      <w:color w:val="auto"/>
                      <w:highlight w:val="none"/>
                      <w:lang w:val="en-US" w:eastAsia="zh-CN"/>
                    </w:rPr>
                  </w:pPr>
                </w:p>
              </w:tc>
              <w:tc>
                <w:tcPr>
                  <w:tcW w:w="891" w:type="pct"/>
                  <w:tcBorders>
                    <w:tl2br w:val="nil"/>
                    <w:tr2bl w:val="nil"/>
                  </w:tcBorders>
                  <w:shd w:val="clear" w:color="auto" w:fill="auto"/>
                  <w:vAlign w:val="center"/>
                </w:tcPr>
                <w:p w14:paraId="01B7D932">
                  <w:pPr>
                    <w:pStyle w:val="40"/>
                    <w:bidi w:val="0"/>
                    <w:rPr>
                      <w:rFonts w:hint="default"/>
                      <w:color w:val="auto"/>
                      <w:highlight w:val="none"/>
                      <w:lang w:val="en-US" w:eastAsia="zh-CN"/>
                    </w:rPr>
                  </w:pPr>
                  <w:r>
                    <w:rPr>
                      <w:rFonts w:hint="eastAsia"/>
                      <w:color w:val="auto"/>
                      <w:highlight w:val="none"/>
                      <w:lang w:val="en-US" w:eastAsia="zh-CN"/>
                    </w:rPr>
                    <w:t>水泥</w:t>
                  </w:r>
                </w:p>
              </w:tc>
              <w:tc>
                <w:tcPr>
                  <w:tcW w:w="805" w:type="pct"/>
                  <w:tcBorders>
                    <w:tl2br w:val="nil"/>
                    <w:tr2bl w:val="nil"/>
                  </w:tcBorders>
                  <w:shd w:val="clear" w:color="auto" w:fill="auto"/>
                  <w:vAlign w:val="center"/>
                </w:tcPr>
                <w:p w14:paraId="6BCB11FF">
                  <w:pPr>
                    <w:pStyle w:val="40"/>
                    <w:bidi w:val="0"/>
                    <w:rPr>
                      <w:rFonts w:hint="default"/>
                      <w:color w:val="auto"/>
                      <w:highlight w:val="none"/>
                      <w:lang w:val="en-US" w:eastAsia="zh-CN"/>
                    </w:rPr>
                  </w:pPr>
                  <w:r>
                    <w:rPr>
                      <w:rFonts w:hint="eastAsia"/>
                      <w:color w:val="auto"/>
                      <w:highlight w:val="none"/>
                      <w:lang w:val="en-US" w:eastAsia="zh-CN"/>
                    </w:rPr>
                    <w:t>203000</w:t>
                  </w:r>
                </w:p>
              </w:tc>
              <w:tc>
                <w:tcPr>
                  <w:tcW w:w="647" w:type="pct"/>
                  <w:tcBorders>
                    <w:tl2br w:val="nil"/>
                    <w:tr2bl w:val="nil"/>
                  </w:tcBorders>
                  <w:shd w:val="clear" w:color="auto" w:fill="auto"/>
                  <w:vAlign w:val="center"/>
                </w:tcPr>
                <w:p w14:paraId="78037AE8">
                  <w:pPr>
                    <w:pStyle w:val="40"/>
                    <w:bidi w:val="0"/>
                    <w:rPr>
                      <w:rFonts w:hint="default"/>
                      <w:color w:val="auto"/>
                      <w:highlight w:val="none"/>
                      <w:lang w:val="en-US" w:eastAsia="zh-CN"/>
                    </w:rPr>
                  </w:pPr>
                  <w:r>
                    <w:rPr>
                      <w:rFonts w:hint="eastAsia"/>
                      <w:color w:val="auto"/>
                      <w:highlight w:val="none"/>
                      <w:lang w:val="en-US" w:eastAsia="zh-CN"/>
                    </w:rPr>
                    <w:t>筒仓</w:t>
                  </w:r>
                </w:p>
              </w:tc>
              <w:tc>
                <w:tcPr>
                  <w:tcW w:w="1888" w:type="pct"/>
                  <w:tcBorders>
                    <w:tl2br w:val="nil"/>
                    <w:tr2bl w:val="nil"/>
                  </w:tcBorders>
                  <w:shd w:val="clear" w:color="auto" w:fill="auto"/>
                  <w:vAlign w:val="center"/>
                </w:tcPr>
                <w:p w14:paraId="5D4EEFB7">
                  <w:pPr>
                    <w:pStyle w:val="40"/>
                    <w:bidi w:val="0"/>
                    <w:rPr>
                      <w:rFonts w:hint="default"/>
                      <w:color w:val="auto"/>
                      <w:highlight w:val="none"/>
                      <w:lang w:val="en-US" w:eastAsia="zh-CN"/>
                    </w:rPr>
                  </w:pPr>
                  <w:r>
                    <w:rPr>
                      <w:rFonts w:hint="default"/>
                      <w:color w:val="auto"/>
                      <w:highlight w:val="none"/>
                      <w:lang w:val="en-US" w:eastAsia="zh-CN"/>
                    </w:rPr>
                    <w:t>外购</w:t>
                  </w:r>
                </w:p>
              </w:tc>
            </w:tr>
            <w:tr w14:paraId="5990C1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7" w:type="pct"/>
                  <w:vMerge w:val="continue"/>
                  <w:tcBorders>
                    <w:tl2br w:val="nil"/>
                    <w:tr2bl w:val="nil"/>
                  </w:tcBorders>
                  <w:vAlign w:val="center"/>
                </w:tcPr>
                <w:p w14:paraId="49715E62">
                  <w:pPr>
                    <w:pStyle w:val="40"/>
                    <w:bidi w:val="0"/>
                    <w:rPr>
                      <w:rFonts w:hint="default"/>
                      <w:color w:val="auto"/>
                      <w:highlight w:val="none"/>
                      <w:lang w:val="en-US" w:eastAsia="zh-CN"/>
                    </w:rPr>
                  </w:pPr>
                </w:p>
              </w:tc>
              <w:tc>
                <w:tcPr>
                  <w:tcW w:w="891" w:type="pct"/>
                  <w:tcBorders>
                    <w:tl2br w:val="nil"/>
                    <w:tr2bl w:val="nil"/>
                  </w:tcBorders>
                  <w:shd w:val="clear" w:color="auto" w:fill="auto"/>
                  <w:vAlign w:val="center"/>
                </w:tcPr>
                <w:p w14:paraId="2544566B">
                  <w:pPr>
                    <w:pStyle w:val="40"/>
                    <w:bidi w:val="0"/>
                    <w:rPr>
                      <w:rFonts w:hint="default"/>
                      <w:color w:val="auto"/>
                      <w:highlight w:val="none"/>
                      <w:lang w:val="en-US" w:eastAsia="zh-CN"/>
                    </w:rPr>
                  </w:pPr>
                  <w:r>
                    <w:rPr>
                      <w:rFonts w:hint="eastAsia"/>
                      <w:color w:val="auto"/>
                      <w:highlight w:val="none"/>
                      <w:lang w:val="en-US" w:eastAsia="zh-CN"/>
                    </w:rPr>
                    <w:t>砂子</w:t>
                  </w:r>
                </w:p>
              </w:tc>
              <w:tc>
                <w:tcPr>
                  <w:tcW w:w="805" w:type="pct"/>
                  <w:tcBorders>
                    <w:tl2br w:val="nil"/>
                    <w:tr2bl w:val="nil"/>
                  </w:tcBorders>
                  <w:shd w:val="clear" w:color="auto" w:fill="auto"/>
                  <w:vAlign w:val="center"/>
                </w:tcPr>
                <w:p w14:paraId="67F0A991">
                  <w:pPr>
                    <w:pStyle w:val="40"/>
                    <w:bidi w:val="0"/>
                    <w:rPr>
                      <w:rFonts w:hint="default"/>
                      <w:color w:val="auto"/>
                      <w:highlight w:val="none"/>
                      <w:lang w:val="en-US" w:eastAsia="zh-CN"/>
                    </w:rPr>
                  </w:pPr>
                  <w:r>
                    <w:rPr>
                      <w:rFonts w:hint="eastAsia"/>
                      <w:color w:val="auto"/>
                      <w:highlight w:val="none"/>
                      <w:lang w:val="en-US" w:eastAsia="zh-CN"/>
                    </w:rPr>
                    <w:t>117400</w:t>
                  </w:r>
                </w:p>
              </w:tc>
              <w:tc>
                <w:tcPr>
                  <w:tcW w:w="647" w:type="pct"/>
                  <w:tcBorders>
                    <w:tl2br w:val="nil"/>
                    <w:tr2bl w:val="nil"/>
                  </w:tcBorders>
                  <w:shd w:val="clear" w:color="auto" w:fill="auto"/>
                  <w:vAlign w:val="center"/>
                </w:tcPr>
                <w:p w14:paraId="7E321EAF">
                  <w:pPr>
                    <w:pStyle w:val="40"/>
                    <w:bidi w:val="0"/>
                    <w:rPr>
                      <w:rFonts w:hint="default"/>
                      <w:color w:val="auto"/>
                      <w:highlight w:val="none"/>
                      <w:lang w:val="en-US" w:eastAsia="zh-CN"/>
                    </w:rPr>
                  </w:pPr>
                  <w:r>
                    <w:rPr>
                      <w:rFonts w:hint="eastAsia"/>
                      <w:color w:val="auto"/>
                      <w:highlight w:val="none"/>
                      <w:lang w:val="en-US" w:eastAsia="zh-CN"/>
                    </w:rPr>
                    <w:t>原料棚</w:t>
                  </w:r>
                </w:p>
              </w:tc>
              <w:tc>
                <w:tcPr>
                  <w:tcW w:w="1888" w:type="pct"/>
                  <w:tcBorders>
                    <w:tl2br w:val="nil"/>
                    <w:tr2bl w:val="nil"/>
                  </w:tcBorders>
                  <w:shd w:val="clear" w:color="auto" w:fill="auto"/>
                  <w:vAlign w:val="center"/>
                </w:tcPr>
                <w:p w14:paraId="33245D1D">
                  <w:pPr>
                    <w:pStyle w:val="40"/>
                    <w:bidi w:val="0"/>
                    <w:rPr>
                      <w:rFonts w:hint="default"/>
                      <w:color w:val="auto"/>
                      <w:highlight w:val="none"/>
                      <w:lang w:val="en-US" w:eastAsia="zh-CN"/>
                    </w:rPr>
                  </w:pPr>
                  <w:r>
                    <w:rPr>
                      <w:rFonts w:hint="default"/>
                      <w:color w:val="auto"/>
                      <w:highlight w:val="none"/>
                      <w:lang w:val="en-US" w:eastAsia="zh-CN"/>
                    </w:rPr>
                    <w:t>外购</w:t>
                  </w:r>
                </w:p>
              </w:tc>
            </w:tr>
            <w:tr w14:paraId="18B6D6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7" w:type="pct"/>
                  <w:vMerge w:val="continue"/>
                  <w:tcBorders>
                    <w:tl2br w:val="nil"/>
                    <w:tr2bl w:val="nil"/>
                  </w:tcBorders>
                  <w:vAlign w:val="center"/>
                </w:tcPr>
                <w:p w14:paraId="00CF2A7A">
                  <w:pPr>
                    <w:pStyle w:val="40"/>
                    <w:bidi w:val="0"/>
                    <w:rPr>
                      <w:rFonts w:hint="default"/>
                      <w:color w:val="auto"/>
                      <w:highlight w:val="none"/>
                      <w:lang w:val="en-US" w:eastAsia="zh-CN"/>
                    </w:rPr>
                  </w:pPr>
                </w:p>
              </w:tc>
              <w:tc>
                <w:tcPr>
                  <w:tcW w:w="891" w:type="pct"/>
                  <w:tcBorders>
                    <w:tl2br w:val="nil"/>
                    <w:tr2bl w:val="nil"/>
                  </w:tcBorders>
                  <w:shd w:val="clear" w:color="auto" w:fill="auto"/>
                  <w:vAlign w:val="center"/>
                </w:tcPr>
                <w:p w14:paraId="1631BAEF">
                  <w:pPr>
                    <w:pStyle w:val="40"/>
                    <w:bidi w:val="0"/>
                    <w:rPr>
                      <w:rFonts w:hint="default"/>
                      <w:color w:val="auto"/>
                      <w:highlight w:val="none"/>
                      <w:lang w:val="en-US" w:eastAsia="zh-CN"/>
                    </w:rPr>
                  </w:pPr>
                  <w:r>
                    <w:rPr>
                      <w:rFonts w:hint="eastAsia"/>
                      <w:color w:val="auto"/>
                      <w:highlight w:val="none"/>
                      <w:lang w:val="en-US" w:eastAsia="zh-CN"/>
                    </w:rPr>
                    <w:t>石子</w:t>
                  </w:r>
                </w:p>
              </w:tc>
              <w:tc>
                <w:tcPr>
                  <w:tcW w:w="805" w:type="pct"/>
                  <w:tcBorders>
                    <w:tl2br w:val="nil"/>
                    <w:tr2bl w:val="nil"/>
                  </w:tcBorders>
                  <w:shd w:val="clear" w:color="auto" w:fill="auto"/>
                  <w:vAlign w:val="center"/>
                </w:tcPr>
                <w:p w14:paraId="09D5A332">
                  <w:pPr>
                    <w:pStyle w:val="40"/>
                    <w:bidi w:val="0"/>
                    <w:rPr>
                      <w:rFonts w:hint="default"/>
                      <w:color w:val="auto"/>
                      <w:highlight w:val="none"/>
                      <w:lang w:val="en-US" w:eastAsia="zh-CN"/>
                    </w:rPr>
                  </w:pPr>
                  <w:r>
                    <w:rPr>
                      <w:rFonts w:hint="eastAsia"/>
                      <w:color w:val="auto"/>
                      <w:highlight w:val="none"/>
                      <w:lang w:val="en-US" w:eastAsia="zh-CN"/>
                    </w:rPr>
                    <w:t>55900</w:t>
                  </w:r>
                </w:p>
              </w:tc>
              <w:tc>
                <w:tcPr>
                  <w:tcW w:w="647" w:type="pct"/>
                  <w:tcBorders>
                    <w:tl2br w:val="nil"/>
                    <w:tr2bl w:val="nil"/>
                  </w:tcBorders>
                  <w:shd w:val="clear" w:color="auto" w:fill="auto"/>
                  <w:vAlign w:val="center"/>
                </w:tcPr>
                <w:p w14:paraId="5E40A6D7">
                  <w:pPr>
                    <w:pStyle w:val="40"/>
                    <w:bidi w:val="0"/>
                    <w:rPr>
                      <w:rFonts w:hint="default"/>
                      <w:color w:val="auto"/>
                      <w:highlight w:val="none"/>
                      <w:lang w:val="en-US" w:eastAsia="zh-CN"/>
                    </w:rPr>
                  </w:pPr>
                  <w:r>
                    <w:rPr>
                      <w:rFonts w:hint="eastAsia"/>
                      <w:color w:val="auto"/>
                      <w:highlight w:val="none"/>
                      <w:lang w:val="en-US" w:eastAsia="zh-CN"/>
                    </w:rPr>
                    <w:t>原料棚</w:t>
                  </w:r>
                </w:p>
              </w:tc>
              <w:tc>
                <w:tcPr>
                  <w:tcW w:w="1888" w:type="pct"/>
                  <w:tcBorders>
                    <w:tl2br w:val="nil"/>
                    <w:tr2bl w:val="nil"/>
                  </w:tcBorders>
                  <w:shd w:val="clear" w:color="auto" w:fill="auto"/>
                  <w:vAlign w:val="center"/>
                </w:tcPr>
                <w:p w14:paraId="0F316F24">
                  <w:pPr>
                    <w:pStyle w:val="40"/>
                    <w:bidi w:val="0"/>
                    <w:rPr>
                      <w:rFonts w:hint="default"/>
                      <w:color w:val="auto"/>
                      <w:highlight w:val="none"/>
                      <w:lang w:val="en-US" w:eastAsia="zh-CN"/>
                    </w:rPr>
                  </w:pPr>
                  <w:r>
                    <w:rPr>
                      <w:rFonts w:hint="default"/>
                      <w:color w:val="auto"/>
                      <w:highlight w:val="none"/>
                      <w:lang w:val="en-US" w:eastAsia="zh-CN"/>
                    </w:rPr>
                    <w:t>外购</w:t>
                  </w:r>
                </w:p>
              </w:tc>
            </w:tr>
            <w:tr w14:paraId="1F64AF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7" w:type="pct"/>
                  <w:vMerge w:val="continue"/>
                  <w:tcBorders>
                    <w:tl2br w:val="nil"/>
                    <w:tr2bl w:val="nil"/>
                  </w:tcBorders>
                  <w:vAlign w:val="center"/>
                </w:tcPr>
                <w:p w14:paraId="5E85AC02">
                  <w:pPr>
                    <w:pStyle w:val="40"/>
                    <w:bidi w:val="0"/>
                    <w:rPr>
                      <w:rFonts w:hint="default"/>
                      <w:color w:val="auto"/>
                      <w:highlight w:val="none"/>
                      <w:lang w:val="en-US" w:eastAsia="zh-CN"/>
                    </w:rPr>
                  </w:pPr>
                </w:p>
              </w:tc>
              <w:tc>
                <w:tcPr>
                  <w:tcW w:w="891" w:type="pct"/>
                  <w:tcBorders>
                    <w:tl2br w:val="nil"/>
                    <w:tr2bl w:val="nil"/>
                  </w:tcBorders>
                  <w:shd w:val="clear" w:color="auto" w:fill="auto"/>
                  <w:vAlign w:val="center"/>
                </w:tcPr>
                <w:p w14:paraId="58D0A488">
                  <w:pPr>
                    <w:pStyle w:val="40"/>
                    <w:bidi w:val="0"/>
                    <w:rPr>
                      <w:rFonts w:hint="default"/>
                      <w:color w:val="auto"/>
                      <w:highlight w:val="none"/>
                      <w:lang w:val="en-US" w:eastAsia="zh-CN"/>
                    </w:rPr>
                  </w:pPr>
                  <w:r>
                    <w:rPr>
                      <w:rFonts w:hint="eastAsia"/>
                      <w:color w:val="auto"/>
                      <w:highlight w:val="none"/>
                      <w:lang w:val="en-US" w:eastAsia="zh-CN"/>
                    </w:rPr>
                    <w:t>粗骨料</w:t>
                  </w:r>
                </w:p>
              </w:tc>
              <w:tc>
                <w:tcPr>
                  <w:tcW w:w="805" w:type="pct"/>
                  <w:tcBorders>
                    <w:tl2br w:val="nil"/>
                    <w:tr2bl w:val="nil"/>
                  </w:tcBorders>
                  <w:shd w:val="clear" w:color="auto" w:fill="auto"/>
                  <w:vAlign w:val="center"/>
                </w:tcPr>
                <w:p w14:paraId="68BB99CF">
                  <w:pPr>
                    <w:pStyle w:val="40"/>
                    <w:bidi w:val="0"/>
                    <w:rPr>
                      <w:rFonts w:hint="default"/>
                      <w:color w:val="auto"/>
                      <w:highlight w:val="none"/>
                      <w:lang w:val="en-US" w:eastAsia="zh-CN"/>
                    </w:rPr>
                  </w:pPr>
                  <w:r>
                    <w:rPr>
                      <w:rFonts w:hint="eastAsia"/>
                      <w:color w:val="auto"/>
                      <w:highlight w:val="none"/>
                      <w:lang w:val="en-US" w:eastAsia="zh-CN"/>
                    </w:rPr>
                    <w:t>221500</w:t>
                  </w:r>
                </w:p>
              </w:tc>
              <w:tc>
                <w:tcPr>
                  <w:tcW w:w="647" w:type="pct"/>
                  <w:tcBorders>
                    <w:tl2br w:val="nil"/>
                    <w:tr2bl w:val="nil"/>
                  </w:tcBorders>
                  <w:shd w:val="clear" w:color="auto" w:fill="auto"/>
                  <w:vAlign w:val="center"/>
                </w:tcPr>
                <w:p w14:paraId="58BE18A9">
                  <w:pPr>
                    <w:pStyle w:val="40"/>
                    <w:bidi w:val="0"/>
                    <w:rPr>
                      <w:rFonts w:hint="default"/>
                      <w:color w:val="auto"/>
                      <w:highlight w:val="none"/>
                      <w:lang w:val="en-US" w:eastAsia="zh-CN"/>
                    </w:rPr>
                  </w:pPr>
                  <w:r>
                    <w:rPr>
                      <w:rFonts w:hint="eastAsia"/>
                      <w:color w:val="auto"/>
                      <w:highlight w:val="none"/>
                      <w:lang w:val="en-US" w:eastAsia="zh-CN"/>
                    </w:rPr>
                    <w:t>成品仓</w:t>
                  </w:r>
                </w:p>
              </w:tc>
              <w:tc>
                <w:tcPr>
                  <w:tcW w:w="1888" w:type="pct"/>
                  <w:tcBorders>
                    <w:tl2br w:val="nil"/>
                    <w:tr2bl w:val="nil"/>
                  </w:tcBorders>
                  <w:shd w:val="clear" w:color="auto" w:fill="auto"/>
                  <w:vAlign w:val="center"/>
                </w:tcPr>
                <w:p w14:paraId="32856862">
                  <w:pPr>
                    <w:pStyle w:val="40"/>
                    <w:bidi w:val="0"/>
                    <w:rPr>
                      <w:rFonts w:hint="default"/>
                      <w:color w:val="auto"/>
                      <w:highlight w:val="none"/>
                      <w:lang w:val="en-US" w:eastAsia="zh-CN"/>
                    </w:rPr>
                  </w:pPr>
                  <w:r>
                    <w:rPr>
                      <w:rFonts w:hint="eastAsia"/>
                      <w:color w:val="auto"/>
                      <w:highlight w:val="none"/>
                      <w:lang w:val="en-US" w:eastAsia="zh-CN"/>
                    </w:rPr>
                    <w:t>骨料生产线产品（粒径5~20mm）</w:t>
                  </w:r>
                </w:p>
              </w:tc>
            </w:tr>
            <w:tr w14:paraId="0855E7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7" w:type="pct"/>
                  <w:vMerge w:val="continue"/>
                  <w:tcBorders>
                    <w:tl2br w:val="nil"/>
                    <w:tr2bl w:val="nil"/>
                  </w:tcBorders>
                  <w:vAlign w:val="center"/>
                </w:tcPr>
                <w:p w14:paraId="65EC0D9E">
                  <w:pPr>
                    <w:pStyle w:val="40"/>
                    <w:bidi w:val="0"/>
                    <w:rPr>
                      <w:rFonts w:hint="default"/>
                      <w:color w:val="auto"/>
                      <w:highlight w:val="none"/>
                      <w:lang w:val="en-US" w:eastAsia="zh-CN"/>
                    </w:rPr>
                  </w:pPr>
                </w:p>
              </w:tc>
              <w:tc>
                <w:tcPr>
                  <w:tcW w:w="891" w:type="pct"/>
                  <w:tcBorders>
                    <w:tl2br w:val="nil"/>
                    <w:tr2bl w:val="nil"/>
                  </w:tcBorders>
                  <w:shd w:val="clear" w:color="auto" w:fill="auto"/>
                  <w:vAlign w:val="center"/>
                </w:tcPr>
                <w:p w14:paraId="45B8CE8E">
                  <w:pPr>
                    <w:pStyle w:val="40"/>
                    <w:bidi w:val="0"/>
                    <w:rPr>
                      <w:rFonts w:hint="default"/>
                      <w:color w:val="auto"/>
                      <w:highlight w:val="none"/>
                      <w:lang w:val="en-US" w:eastAsia="zh-CN"/>
                    </w:rPr>
                  </w:pPr>
                  <w:r>
                    <w:rPr>
                      <w:rFonts w:hint="eastAsia"/>
                      <w:color w:val="auto"/>
                      <w:highlight w:val="none"/>
                      <w:lang w:val="en-US" w:eastAsia="zh-CN"/>
                    </w:rPr>
                    <w:t>细骨料</w:t>
                  </w:r>
                </w:p>
              </w:tc>
              <w:tc>
                <w:tcPr>
                  <w:tcW w:w="805" w:type="pct"/>
                  <w:tcBorders>
                    <w:tl2br w:val="nil"/>
                    <w:tr2bl w:val="nil"/>
                  </w:tcBorders>
                  <w:shd w:val="clear" w:color="auto" w:fill="auto"/>
                  <w:vAlign w:val="center"/>
                </w:tcPr>
                <w:p w14:paraId="726023AE">
                  <w:pPr>
                    <w:pStyle w:val="40"/>
                    <w:bidi w:val="0"/>
                    <w:rPr>
                      <w:rFonts w:hint="default"/>
                      <w:color w:val="auto"/>
                      <w:highlight w:val="none"/>
                      <w:lang w:val="en-US" w:eastAsia="zh-CN"/>
                    </w:rPr>
                  </w:pPr>
                  <w:r>
                    <w:rPr>
                      <w:rFonts w:hint="eastAsia"/>
                      <w:color w:val="auto"/>
                      <w:highlight w:val="none"/>
                      <w:lang w:val="en-US" w:eastAsia="zh-CN"/>
                    </w:rPr>
                    <w:t>201000</w:t>
                  </w:r>
                </w:p>
              </w:tc>
              <w:tc>
                <w:tcPr>
                  <w:tcW w:w="647" w:type="pct"/>
                  <w:tcBorders>
                    <w:tl2br w:val="nil"/>
                    <w:tr2bl w:val="nil"/>
                  </w:tcBorders>
                  <w:shd w:val="clear" w:color="auto" w:fill="auto"/>
                  <w:vAlign w:val="center"/>
                </w:tcPr>
                <w:p w14:paraId="2F54E941">
                  <w:pPr>
                    <w:pStyle w:val="40"/>
                    <w:bidi w:val="0"/>
                    <w:rPr>
                      <w:rFonts w:hint="default"/>
                      <w:color w:val="auto"/>
                      <w:highlight w:val="none"/>
                      <w:lang w:val="en-US" w:eastAsia="zh-CN"/>
                    </w:rPr>
                  </w:pPr>
                  <w:r>
                    <w:rPr>
                      <w:rFonts w:hint="eastAsia"/>
                      <w:color w:val="auto"/>
                      <w:highlight w:val="none"/>
                      <w:lang w:val="en-US" w:eastAsia="zh-CN"/>
                    </w:rPr>
                    <w:t>成品仓</w:t>
                  </w:r>
                </w:p>
              </w:tc>
              <w:tc>
                <w:tcPr>
                  <w:tcW w:w="1888" w:type="pct"/>
                  <w:tcBorders>
                    <w:tl2br w:val="nil"/>
                    <w:tr2bl w:val="nil"/>
                  </w:tcBorders>
                  <w:shd w:val="clear" w:color="auto" w:fill="auto"/>
                  <w:vAlign w:val="center"/>
                </w:tcPr>
                <w:p w14:paraId="2EA830D7">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骨料生产线产品（粒径1~5mm）</w:t>
                  </w:r>
                </w:p>
              </w:tc>
            </w:tr>
            <w:tr w14:paraId="709A89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7" w:type="pct"/>
                  <w:vMerge w:val="continue"/>
                  <w:tcBorders>
                    <w:tl2br w:val="nil"/>
                    <w:tr2bl w:val="nil"/>
                  </w:tcBorders>
                  <w:vAlign w:val="center"/>
                </w:tcPr>
                <w:p w14:paraId="1F31F1F9">
                  <w:pPr>
                    <w:pStyle w:val="40"/>
                    <w:bidi w:val="0"/>
                    <w:rPr>
                      <w:rFonts w:hint="default"/>
                      <w:color w:val="auto"/>
                      <w:highlight w:val="none"/>
                      <w:lang w:val="en-US" w:eastAsia="zh-CN"/>
                    </w:rPr>
                  </w:pPr>
                </w:p>
              </w:tc>
              <w:tc>
                <w:tcPr>
                  <w:tcW w:w="891" w:type="pct"/>
                  <w:tcBorders>
                    <w:tl2br w:val="nil"/>
                    <w:tr2bl w:val="nil"/>
                  </w:tcBorders>
                  <w:shd w:val="clear" w:color="auto" w:fill="auto"/>
                  <w:vAlign w:val="center"/>
                </w:tcPr>
                <w:p w14:paraId="1F470B61">
                  <w:pPr>
                    <w:pStyle w:val="40"/>
                    <w:bidi w:val="0"/>
                    <w:rPr>
                      <w:rFonts w:hint="default"/>
                      <w:color w:val="auto"/>
                      <w:highlight w:val="none"/>
                      <w:lang w:val="en-US" w:eastAsia="zh-CN"/>
                    </w:rPr>
                  </w:pPr>
                  <w:r>
                    <w:rPr>
                      <w:rFonts w:hint="eastAsia"/>
                      <w:color w:val="auto"/>
                      <w:highlight w:val="none"/>
                      <w:lang w:val="en-US" w:eastAsia="zh-CN"/>
                    </w:rPr>
                    <w:t>添加剂</w:t>
                  </w:r>
                </w:p>
              </w:tc>
              <w:tc>
                <w:tcPr>
                  <w:tcW w:w="805" w:type="pct"/>
                  <w:tcBorders>
                    <w:tl2br w:val="nil"/>
                    <w:tr2bl w:val="nil"/>
                  </w:tcBorders>
                  <w:shd w:val="clear" w:color="auto" w:fill="auto"/>
                  <w:vAlign w:val="center"/>
                </w:tcPr>
                <w:p w14:paraId="0EFE868E">
                  <w:pPr>
                    <w:pStyle w:val="40"/>
                    <w:bidi w:val="0"/>
                    <w:rPr>
                      <w:rFonts w:hint="default"/>
                      <w:color w:val="auto"/>
                      <w:highlight w:val="none"/>
                      <w:lang w:val="en-US" w:eastAsia="zh-CN"/>
                    </w:rPr>
                  </w:pPr>
                  <w:r>
                    <w:rPr>
                      <w:rFonts w:hint="eastAsia"/>
                      <w:color w:val="auto"/>
                      <w:highlight w:val="none"/>
                      <w:lang w:val="en-US" w:eastAsia="zh-CN"/>
                    </w:rPr>
                    <w:t>4000</w:t>
                  </w:r>
                </w:p>
              </w:tc>
              <w:tc>
                <w:tcPr>
                  <w:tcW w:w="647" w:type="pct"/>
                  <w:tcBorders>
                    <w:tl2br w:val="nil"/>
                    <w:tr2bl w:val="nil"/>
                  </w:tcBorders>
                  <w:shd w:val="clear" w:color="auto" w:fill="auto"/>
                  <w:vAlign w:val="center"/>
                </w:tcPr>
                <w:p w14:paraId="700D2C3D">
                  <w:pPr>
                    <w:pStyle w:val="40"/>
                    <w:bidi w:val="0"/>
                    <w:rPr>
                      <w:rFonts w:hint="default"/>
                      <w:color w:val="auto"/>
                      <w:highlight w:val="none"/>
                      <w:lang w:val="en-US" w:eastAsia="zh-CN"/>
                    </w:rPr>
                  </w:pPr>
                  <w:r>
                    <w:rPr>
                      <w:rFonts w:hint="eastAsia"/>
                      <w:color w:val="auto"/>
                      <w:highlight w:val="none"/>
                      <w:lang w:val="en-US" w:eastAsia="zh-CN"/>
                    </w:rPr>
                    <w:t>储罐</w:t>
                  </w:r>
                </w:p>
              </w:tc>
              <w:tc>
                <w:tcPr>
                  <w:tcW w:w="1888" w:type="pct"/>
                  <w:tcBorders>
                    <w:tl2br w:val="nil"/>
                    <w:tr2bl w:val="nil"/>
                  </w:tcBorders>
                  <w:shd w:val="clear" w:color="auto" w:fill="auto"/>
                  <w:vAlign w:val="center"/>
                </w:tcPr>
                <w:p w14:paraId="4F55BAF6">
                  <w:pPr>
                    <w:pStyle w:val="40"/>
                    <w:bidi w:val="0"/>
                    <w:ind w:firstLine="0" w:firstLineChars="0"/>
                    <w:rPr>
                      <w:rFonts w:hint="default"/>
                      <w:color w:val="auto"/>
                      <w:highlight w:val="none"/>
                      <w:lang w:val="en-US" w:eastAsia="zh-CN"/>
                    </w:rPr>
                  </w:pPr>
                  <w:r>
                    <w:rPr>
                      <w:rFonts w:hint="eastAsia"/>
                      <w:color w:val="auto"/>
                      <w:highlight w:val="none"/>
                      <w:lang w:val="en-US" w:eastAsia="zh-CN"/>
                    </w:rPr>
                    <w:t>外购</w:t>
                  </w:r>
                </w:p>
              </w:tc>
            </w:tr>
            <w:tr w14:paraId="43A928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7" w:type="pct"/>
                  <w:vMerge w:val="restart"/>
                  <w:tcBorders>
                    <w:tl2br w:val="nil"/>
                    <w:tr2bl w:val="nil"/>
                  </w:tcBorders>
                  <w:vAlign w:val="center"/>
                </w:tcPr>
                <w:p w14:paraId="5C4FB059">
                  <w:pPr>
                    <w:pStyle w:val="40"/>
                    <w:bidi w:val="0"/>
                    <w:rPr>
                      <w:rFonts w:hint="default"/>
                      <w:color w:val="auto"/>
                      <w:highlight w:val="none"/>
                      <w:lang w:val="en-US" w:eastAsia="zh-CN"/>
                    </w:rPr>
                  </w:pPr>
                  <w:r>
                    <w:rPr>
                      <w:rFonts w:hint="eastAsia"/>
                      <w:color w:val="auto"/>
                      <w:highlight w:val="none"/>
                      <w:lang w:val="en-US" w:eastAsia="zh-CN"/>
                    </w:rPr>
                    <w:t>锅炉</w:t>
                  </w:r>
                </w:p>
              </w:tc>
              <w:tc>
                <w:tcPr>
                  <w:tcW w:w="891" w:type="pct"/>
                  <w:tcBorders>
                    <w:tl2br w:val="nil"/>
                    <w:tr2bl w:val="nil"/>
                  </w:tcBorders>
                  <w:shd w:val="clear" w:color="auto" w:fill="auto"/>
                  <w:vAlign w:val="center"/>
                </w:tcPr>
                <w:p w14:paraId="1F809C05">
                  <w:pPr>
                    <w:pStyle w:val="40"/>
                    <w:bidi w:val="0"/>
                    <w:rPr>
                      <w:rFonts w:hint="default"/>
                      <w:color w:val="auto"/>
                      <w:highlight w:val="none"/>
                      <w:lang w:val="en-US" w:eastAsia="zh-CN"/>
                    </w:rPr>
                  </w:pPr>
                  <w:r>
                    <w:rPr>
                      <w:rFonts w:hint="eastAsia"/>
                      <w:color w:val="auto"/>
                      <w:highlight w:val="none"/>
                      <w:lang w:val="en-US" w:eastAsia="zh-CN"/>
                    </w:rPr>
                    <w:t>生物质颗粒</w:t>
                  </w:r>
                </w:p>
              </w:tc>
              <w:tc>
                <w:tcPr>
                  <w:tcW w:w="805" w:type="pct"/>
                  <w:tcBorders>
                    <w:tl2br w:val="nil"/>
                    <w:tr2bl w:val="nil"/>
                  </w:tcBorders>
                  <w:shd w:val="clear" w:color="auto" w:fill="auto"/>
                  <w:vAlign w:val="center"/>
                </w:tcPr>
                <w:p w14:paraId="7A47C5A2">
                  <w:pPr>
                    <w:pStyle w:val="40"/>
                    <w:bidi w:val="0"/>
                    <w:rPr>
                      <w:rFonts w:hint="default"/>
                      <w:color w:val="auto"/>
                      <w:highlight w:val="none"/>
                      <w:lang w:val="en-US" w:eastAsia="zh-CN"/>
                    </w:rPr>
                  </w:pPr>
                  <w:r>
                    <w:rPr>
                      <w:rFonts w:hint="eastAsia"/>
                      <w:color w:val="auto"/>
                      <w:highlight w:val="none"/>
                      <w:lang w:val="en-US" w:eastAsia="zh-CN"/>
                    </w:rPr>
                    <w:t>18356.4453</w:t>
                  </w:r>
                </w:p>
              </w:tc>
              <w:tc>
                <w:tcPr>
                  <w:tcW w:w="647" w:type="pct"/>
                  <w:tcBorders>
                    <w:tl2br w:val="nil"/>
                    <w:tr2bl w:val="nil"/>
                  </w:tcBorders>
                  <w:shd w:val="clear" w:color="auto" w:fill="auto"/>
                  <w:vAlign w:val="center"/>
                </w:tcPr>
                <w:p w14:paraId="7D59AB2C">
                  <w:pPr>
                    <w:pStyle w:val="40"/>
                    <w:bidi w:val="0"/>
                    <w:rPr>
                      <w:rFonts w:hint="default"/>
                      <w:color w:val="auto"/>
                      <w:highlight w:val="none"/>
                      <w:lang w:val="en-US" w:eastAsia="zh-CN"/>
                    </w:rPr>
                  </w:pPr>
                  <w:r>
                    <w:rPr>
                      <w:rFonts w:hint="eastAsia"/>
                      <w:color w:val="auto"/>
                      <w:highlight w:val="none"/>
                      <w:lang w:val="en-US" w:eastAsia="zh-CN"/>
                    </w:rPr>
                    <w:t>生物质颗粒储库</w:t>
                  </w:r>
                </w:p>
              </w:tc>
              <w:tc>
                <w:tcPr>
                  <w:tcW w:w="1888" w:type="pct"/>
                  <w:tcBorders>
                    <w:tl2br w:val="nil"/>
                    <w:tr2bl w:val="nil"/>
                  </w:tcBorders>
                  <w:shd w:val="clear" w:color="auto" w:fill="auto"/>
                  <w:vAlign w:val="center"/>
                </w:tcPr>
                <w:p w14:paraId="6225C76B">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default"/>
                      <w:color w:val="auto"/>
                      <w:highlight w:val="none"/>
                      <w:lang w:val="en-US" w:eastAsia="zh-CN"/>
                    </w:rPr>
                    <w:t>外购</w:t>
                  </w:r>
                </w:p>
              </w:tc>
            </w:tr>
            <w:tr w14:paraId="4F7078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7" w:type="pct"/>
                  <w:vMerge w:val="continue"/>
                  <w:tcBorders>
                    <w:tl2br w:val="nil"/>
                    <w:tr2bl w:val="nil"/>
                  </w:tcBorders>
                  <w:vAlign w:val="center"/>
                </w:tcPr>
                <w:p w14:paraId="79166080">
                  <w:pPr>
                    <w:pStyle w:val="40"/>
                    <w:bidi w:val="0"/>
                    <w:rPr>
                      <w:rFonts w:hint="default"/>
                      <w:color w:val="auto"/>
                      <w:highlight w:val="none"/>
                      <w:lang w:val="en-US" w:eastAsia="zh-CN"/>
                    </w:rPr>
                  </w:pPr>
                </w:p>
              </w:tc>
              <w:tc>
                <w:tcPr>
                  <w:tcW w:w="891" w:type="pct"/>
                  <w:tcBorders>
                    <w:tl2br w:val="nil"/>
                    <w:tr2bl w:val="nil"/>
                  </w:tcBorders>
                  <w:shd w:val="clear" w:color="auto" w:fill="auto"/>
                  <w:vAlign w:val="center"/>
                </w:tcPr>
                <w:p w14:paraId="0EE13F38">
                  <w:pPr>
                    <w:pStyle w:val="40"/>
                    <w:bidi w:val="0"/>
                    <w:rPr>
                      <w:rFonts w:hint="default"/>
                      <w:color w:val="auto"/>
                      <w:highlight w:val="none"/>
                      <w:lang w:val="en-US" w:eastAsia="zh-CN"/>
                    </w:rPr>
                  </w:pPr>
                  <w:r>
                    <w:rPr>
                      <w:rFonts w:hint="eastAsia"/>
                      <w:color w:val="auto"/>
                      <w:highlight w:val="none"/>
                      <w:lang w:val="en-US" w:eastAsia="zh-CN"/>
                    </w:rPr>
                    <w:t>离子交换树脂</w:t>
                  </w:r>
                </w:p>
              </w:tc>
              <w:tc>
                <w:tcPr>
                  <w:tcW w:w="805" w:type="pct"/>
                  <w:tcBorders>
                    <w:tl2br w:val="nil"/>
                    <w:tr2bl w:val="nil"/>
                  </w:tcBorders>
                  <w:shd w:val="clear" w:color="auto" w:fill="auto"/>
                  <w:vAlign w:val="center"/>
                </w:tcPr>
                <w:p w14:paraId="6527686A">
                  <w:pPr>
                    <w:pStyle w:val="40"/>
                    <w:bidi w:val="0"/>
                    <w:rPr>
                      <w:rFonts w:hint="default"/>
                      <w:color w:val="auto"/>
                      <w:highlight w:val="none"/>
                      <w:lang w:val="en-US" w:eastAsia="zh-CN"/>
                    </w:rPr>
                  </w:pPr>
                  <w:r>
                    <w:rPr>
                      <w:rFonts w:hint="eastAsia"/>
                      <w:color w:val="auto"/>
                      <w:highlight w:val="none"/>
                      <w:lang w:val="en-US" w:eastAsia="zh-CN"/>
                    </w:rPr>
                    <w:t>0.63</w:t>
                  </w:r>
                </w:p>
              </w:tc>
              <w:tc>
                <w:tcPr>
                  <w:tcW w:w="647" w:type="pct"/>
                  <w:tcBorders>
                    <w:tl2br w:val="nil"/>
                    <w:tr2bl w:val="nil"/>
                  </w:tcBorders>
                  <w:shd w:val="clear" w:color="auto" w:fill="auto"/>
                  <w:vAlign w:val="center"/>
                </w:tcPr>
                <w:p w14:paraId="7EE3F971">
                  <w:pPr>
                    <w:pStyle w:val="40"/>
                    <w:bidi w:val="0"/>
                    <w:rPr>
                      <w:rFonts w:hint="default"/>
                      <w:color w:val="auto"/>
                      <w:highlight w:val="none"/>
                      <w:lang w:val="en-US" w:eastAsia="zh-CN"/>
                    </w:rPr>
                  </w:pPr>
                  <w:r>
                    <w:rPr>
                      <w:rFonts w:hint="eastAsia"/>
                      <w:color w:val="auto"/>
                      <w:highlight w:val="none"/>
                      <w:lang w:val="en-US" w:eastAsia="zh-CN"/>
                    </w:rPr>
                    <w:t>生物质颗粒储库</w:t>
                  </w:r>
                </w:p>
              </w:tc>
              <w:tc>
                <w:tcPr>
                  <w:tcW w:w="1888" w:type="pct"/>
                  <w:tcBorders>
                    <w:tl2br w:val="nil"/>
                    <w:tr2bl w:val="nil"/>
                  </w:tcBorders>
                  <w:shd w:val="clear" w:color="auto" w:fill="auto"/>
                  <w:vAlign w:val="center"/>
                </w:tcPr>
                <w:p w14:paraId="6422A1F2">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default"/>
                      <w:color w:val="auto"/>
                      <w:highlight w:val="none"/>
                      <w:lang w:val="en-US" w:eastAsia="zh-CN"/>
                    </w:rPr>
                    <w:t>外购</w:t>
                  </w:r>
                </w:p>
              </w:tc>
            </w:tr>
            <w:tr w14:paraId="2B8AF1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7" w:type="pct"/>
                  <w:vMerge w:val="restart"/>
                  <w:tcBorders>
                    <w:tl2br w:val="nil"/>
                    <w:tr2bl w:val="nil"/>
                  </w:tcBorders>
                  <w:vAlign w:val="center"/>
                </w:tcPr>
                <w:p w14:paraId="0A4B7DBB">
                  <w:pPr>
                    <w:pStyle w:val="40"/>
                    <w:bidi w:val="0"/>
                    <w:rPr>
                      <w:rFonts w:hint="default"/>
                      <w:color w:val="auto"/>
                      <w:highlight w:val="none"/>
                      <w:lang w:val="en-US" w:eastAsia="zh-CN"/>
                    </w:rPr>
                  </w:pPr>
                  <w:r>
                    <w:rPr>
                      <w:rFonts w:hint="default"/>
                      <w:color w:val="auto"/>
                      <w:highlight w:val="none"/>
                      <w:lang w:val="en-US" w:eastAsia="zh-CN"/>
                    </w:rPr>
                    <w:t>能源</w:t>
                  </w:r>
                </w:p>
              </w:tc>
              <w:tc>
                <w:tcPr>
                  <w:tcW w:w="891" w:type="pct"/>
                  <w:tcBorders>
                    <w:tl2br w:val="nil"/>
                    <w:tr2bl w:val="nil"/>
                  </w:tcBorders>
                  <w:shd w:val="clear" w:color="auto" w:fill="auto"/>
                  <w:vAlign w:val="center"/>
                </w:tcPr>
                <w:p w14:paraId="0C55A645">
                  <w:pPr>
                    <w:pStyle w:val="40"/>
                    <w:bidi w:val="0"/>
                    <w:rPr>
                      <w:rFonts w:hint="default"/>
                      <w:color w:val="auto"/>
                      <w:highlight w:val="none"/>
                      <w:lang w:val="en-US" w:eastAsia="zh-CN"/>
                    </w:rPr>
                  </w:pPr>
                  <w:r>
                    <w:rPr>
                      <w:rFonts w:hint="eastAsia"/>
                      <w:color w:val="auto"/>
                      <w:highlight w:val="none"/>
                      <w:lang w:val="en-US" w:eastAsia="zh-CN"/>
                    </w:rPr>
                    <w:t>新鲜</w:t>
                  </w:r>
                  <w:r>
                    <w:rPr>
                      <w:rFonts w:hint="default"/>
                      <w:color w:val="auto"/>
                      <w:highlight w:val="none"/>
                      <w:lang w:val="en-US" w:eastAsia="zh-CN"/>
                    </w:rPr>
                    <w:t>水</w:t>
                  </w:r>
                </w:p>
              </w:tc>
              <w:tc>
                <w:tcPr>
                  <w:tcW w:w="805" w:type="pct"/>
                  <w:tcBorders>
                    <w:tl2br w:val="nil"/>
                    <w:tr2bl w:val="nil"/>
                  </w:tcBorders>
                  <w:shd w:val="clear" w:color="auto" w:fill="auto"/>
                  <w:vAlign w:val="center"/>
                </w:tcPr>
                <w:p w14:paraId="3AED188C">
                  <w:pPr>
                    <w:pStyle w:val="40"/>
                    <w:bidi w:val="0"/>
                    <w:rPr>
                      <w:rFonts w:hint="default"/>
                      <w:color w:val="auto"/>
                      <w:highlight w:val="none"/>
                      <w:lang w:val="en-US" w:eastAsia="zh-CN"/>
                    </w:rPr>
                  </w:pPr>
                  <w:r>
                    <w:rPr>
                      <w:rFonts w:hint="default"/>
                      <w:color w:val="auto"/>
                      <w:highlight w:val="none"/>
                      <w:lang w:val="en-US" w:eastAsia="zh-CN"/>
                    </w:rPr>
                    <w:t>151355.7</w:t>
                  </w:r>
                </w:p>
              </w:tc>
              <w:tc>
                <w:tcPr>
                  <w:tcW w:w="647" w:type="pct"/>
                  <w:tcBorders>
                    <w:tl2br w:val="nil"/>
                    <w:tr2bl w:val="nil"/>
                  </w:tcBorders>
                  <w:shd w:val="clear" w:color="auto" w:fill="auto"/>
                  <w:vAlign w:val="center"/>
                </w:tcPr>
                <w:p w14:paraId="5B41702B">
                  <w:pPr>
                    <w:pStyle w:val="40"/>
                    <w:bidi w:val="0"/>
                    <w:rPr>
                      <w:rFonts w:hint="default"/>
                      <w:color w:val="auto"/>
                      <w:highlight w:val="none"/>
                      <w:lang w:val="en-US" w:eastAsia="zh-CN"/>
                    </w:rPr>
                  </w:pPr>
                  <w:r>
                    <w:rPr>
                      <w:rFonts w:hint="default"/>
                      <w:color w:val="auto"/>
                      <w:highlight w:val="none"/>
                      <w:lang w:val="en-US" w:eastAsia="zh-CN"/>
                    </w:rPr>
                    <w:t>/</w:t>
                  </w:r>
                </w:p>
              </w:tc>
              <w:tc>
                <w:tcPr>
                  <w:tcW w:w="1888" w:type="pct"/>
                  <w:tcBorders>
                    <w:tl2br w:val="nil"/>
                    <w:tr2bl w:val="nil"/>
                  </w:tcBorders>
                  <w:shd w:val="clear" w:color="auto" w:fill="auto"/>
                  <w:vAlign w:val="center"/>
                </w:tcPr>
                <w:p w14:paraId="671D1A59">
                  <w:pPr>
                    <w:pStyle w:val="40"/>
                    <w:bidi w:val="0"/>
                    <w:rPr>
                      <w:rFonts w:hint="default"/>
                      <w:color w:val="auto"/>
                      <w:highlight w:val="none"/>
                      <w:lang w:val="en-US" w:eastAsia="zh-CN"/>
                    </w:rPr>
                  </w:pPr>
                  <w:r>
                    <w:rPr>
                      <w:rFonts w:hint="eastAsia"/>
                      <w:color w:val="auto"/>
                      <w:highlight w:val="none"/>
                      <w:lang w:val="en-US" w:eastAsia="zh-CN"/>
                    </w:rPr>
                    <w:t>园区供水管网</w:t>
                  </w:r>
                </w:p>
              </w:tc>
            </w:tr>
            <w:tr w14:paraId="410B87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7" w:type="pct"/>
                  <w:vMerge w:val="continue"/>
                  <w:tcBorders>
                    <w:tl2br w:val="nil"/>
                    <w:tr2bl w:val="nil"/>
                  </w:tcBorders>
                  <w:vAlign w:val="center"/>
                </w:tcPr>
                <w:p w14:paraId="0560CA07">
                  <w:pPr>
                    <w:pStyle w:val="40"/>
                    <w:bidi w:val="0"/>
                    <w:rPr>
                      <w:rFonts w:hint="default"/>
                      <w:color w:val="auto"/>
                      <w:highlight w:val="none"/>
                      <w:lang w:val="en-US" w:eastAsia="zh-CN"/>
                    </w:rPr>
                  </w:pPr>
                </w:p>
              </w:tc>
              <w:tc>
                <w:tcPr>
                  <w:tcW w:w="891" w:type="pct"/>
                  <w:tcBorders>
                    <w:tl2br w:val="nil"/>
                    <w:tr2bl w:val="nil"/>
                  </w:tcBorders>
                  <w:shd w:val="clear" w:color="auto" w:fill="auto"/>
                  <w:vAlign w:val="center"/>
                </w:tcPr>
                <w:p w14:paraId="23DA6BF8">
                  <w:pPr>
                    <w:pStyle w:val="40"/>
                    <w:bidi w:val="0"/>
                    <w:rPr>
                      <w:rFonts w:hint="default"/>
                      <w:color w:val="auto"/>
                      <w:highlight w:val="none"/>
                      <w:lang w:val="en-US" w:eastAsia="zh-CN"/>
                    </w:rPr>
                  </w:pPr>
                  <w:r>
                    <w:rPr>
                      <w:rFonts w:hint="default"/>
                      <w:color w:val="auto"/>
                      <w:highlight w:val="none"/>
                      <w:lang w:val="en-US" w:eastAsia="zh-CN"/>
                    </w:rPr>
                    <w:t>电</w:t>
                  </w:r>
                </w:p>
              </w:tc>
              <w:tc>
                <w:tcPr>
                  <w:tcW w:w="805" w:type="pct"/>
                  <w:tcBorders>
                    <w:tl2br w:val="nil"/>
                    <w:tr2bl w:val="nil"/>
                  </w:tcBorders>
                  <w:shd w:val="clear" w:color="auto" w:fill="auto"/>
                  <w:vAlign w:val="center"/>
                </w:tcPr>
                <w:p w14:paraId="38C432B9">
                  <w:pPr>
                    <w:pStyle w:val="40"/>
                    <w:bidi w:val="0"/>
                    <w:rPr>
                      <w:rFonts w:hint="default"/>
                      <w:color w:val="auto"/>
                      <w:highlight w:val="none"/>
                      <w:lang w:val="en-US" w:eastAsia="zh-CN"/>
                    </w:rPr>
                  </w:pPr>
                  <w:r>
                    <w:rPr>
                      <w:rFonts w:hint="default"/>
                      <w:color w:val="auto"/>
                      <w:highlight w:val="none"/>
                      <w:lang w:val="en-US" w:eastAsia="zh-CN"/>
                    </w:rPr>
                    <w:t>2896万</w:t>
                  </w:r>
                  <w:r>
                    <w:rPr>
                      <w:rFonts w:hint="eastAsia"/>
                      <w:color w:val="auto"/>
                      <w:highlight w:val="none"/>
                      <w:lang w:val="en-US" w:eastAsia="zh-CN"/>
                    </w:rPr>
                    <w:t>k</w:t>
                  </w:r>
                  <w:r>
                    <w:rPr>
                      <w:rFonts w:hint="default"/>
                      <w:color w:val="auto"/>
                      <w:highlight w:val="none"/>
                      <w:lang w:val="en-US" w:eastAsia="zh-CN"/>
                    </w:rPr>
                    <w:t>Wh</w:t>
                  </w:r>
                </w:p>
              </w:tc>
              <w:tc>
                <w:tcPr>
                  <w:tcW w:w="647" w:type="pct"/>
                  <w:tcBorders>
                    <w:tl2br w:val="nil"/>
                    <w:tr2bl w:val="nil"/>
                  </w:tcBorders>
                  <w:shd w:val="clear" w:color="auto" w:fill="auto"/>
                  <w:vAlign w:val="center"/>
                </w:tcPr>
                <w:p w14:paraId="74597747">
                  <w:pPr>
                    <w:pStyle w:val="40"/>
                    <w:bidi w:val="0"/>
                    <w:rPr>
                      <w:rFonts w:hint="default"/>
                      <w:color w:val="auto"/>
                      <w:highlight w:val="none"/>
                      <w:lang w:val="en-US" w:eastAsia="zh-CN"/>
                    </w:rPr>
                  </w:pPr>
                  <w:r>
                    <w:rPr>
                      <w:rFonts w:hint="default"/>
                      <w:color w:val="auto"/>
                      <w:highlight w:val="none"/>
                      <w:lang w:val="en-US" w:eastAsia="zh-CN"/>
                    </w:rPr>
                    <w:t>/</w:t>
                  </w:r>
                </w:p>
              </w:tc>
              <w:tc>
                <w:tcPr>
                  <w:tcW w:w="1888" w:type="pct"/>
                  <w:tcBorders>
                    <w:tl2br w:val="nil"/>
                    <w:tr2bl w:val="nil"/>
                  </w:tcBorders>
                  <w:shd w:val="clear" w:color="auto" w:fill="auto"/>
                  <w:vAlign w:val="center"/>
                </w:tcPr>
                <w:p w14:paraId="13F99A99">
                  <w:pPr>
                    <w:pStyle w:val="40"/>
                    <w:bidi w:val="0"/>
                    <w:rPr>
                      <w:rFonts w:hint="default"/>
                      <w:color w:val="auto"/>
                      <w:highlight w:val="none"/>
                      <w:lang w:val="en-US" w:eastAsia="zh-CN"/>
                    </w:rPr>
                  </w:pPr>
                  <w:r>
                    <w:rPr>
                      <w:rFonts w:hint="default"/>
                      <w:color w:val="auto"/>
                      <w:highlight w:val="none"/>
                      <w:lang w:val="en-US" w:eastAsia="zh-CN"/>
                    </w:rPr>
                    <w:t>园区电网</w:t>
                  </w:r>
                </w:p>
              </w:tc>
            </w:tr>
            <w:tr w14:paraId="6698C6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7" w:type="pct"/>
                  <w:vMerge w:val="continue"/>
                  <w:tcBorders>
                    <w:tl2br w:val="nil"/>
                    <w:tr2bl w:val="nil"/>
                  </w:tcBorders>
                  <w:vAlign w:val="center"/>
                </w:tcPr>
                <w:p w14:paraId="5D85BBFC">
                  <w:pPr>
                    <w:pStyle w:val="40"/>
                    <w:bidi w:val="0"/>
                    <w:rPr>
                      <w:rFonts w:hint="default"/>
                      <w:color w:val="auto"/>
                      <w:highlight w:val="none"/>
                      <w:lang w:val="en-US" w:eastAsia="zh-CN"/>
                    </w:rPr>
                  </w:pPr>
                </w:p>
              </w:tc>
              <w:tc>
                <w:tcPr>
                  <w:tcW w:w="891" w:type="pct"/>
                  <w:tcBorders>
                    <w:tl2br w:val="nil"/>
                    <w:tr2bl w:val="nil"/>
                  </w:tcBorders>
                  <w:shd w:val="clear" w:color="auto" w:fill="auto"/>
                  <w:vAlign w:val="center"/>
                </w:tcPr>
                <w:p w14:paraId="7138A89D">
                  <w:pPr>
                    <w:pStyle w:val="40"/>
                    <w:bidi w:val="0"/>
                    <w:rPr>
                      <w:rFonts w:hint="default"/>
                      <w:color w:val="auto"/>
                      <w:highlight w:val="none"/>
                      <w:lang w:val="en-US" w:eastAsia="zh-CN"/>
                    </w:rPr>
                  </w:pPr>
                  <w:r>
                    <w:rPr>
                      <w:rFonts w:hint="default"/>
                      <w:color w:val="auto"/>
                      <w:highlight w:val="none"/>
                      <w:lang w:val="en-US" w:eastAsia="zh-CN"/>
                    </w:rPr>
                    <w:t>蒸汽</w:t>
                  </w:r>
                </w:p>
              </w:tc>
              <w:tc>
                <w:tcPr>
                  <w:tcW w:w="805" w:type="pct"/>
                  <w:tcBorders>
                    <w:tl2br w:val="nil"/>
                    <w:tr2bl w:val="nil"/>
                  </w:tcBorders>
                  <w:shd w:val="clear" w:color="auto" w:fill="auto"/>
                  <w:vAlign w:val="center"/>
                </w:tcPr>
                <w:p w14:paraId="361BAC9B">
                  <w:pPr>
                    <w:pStyle w:val="40"/>
                    <w:bidi w:val="0"/>
                    <w:rPr>
                      <w:rFonts w:hint="default"/>
                      <w:color w:val="auto"/>
                      <w:highlight w:val="none"/>
                      <w:lang w:val="en-US" w:eastAsia="zh-CN"/>
                    </w:rPr>
                  </w:pPr>
                  <w:r>
                    <w:rPr>
                      <w:rFonts w:hint="eastAsia"/>
                      <w:color w:val="auto"/>
                      <w:highlight w:val="none"/>
                      <w:lang w:val="en-US" w:eastAsia="zh-CN"/>
                    </w:rPr>
                    <w:t>10</w:t>
                  </w:r>
                  <w:r>
                    <w:rPr>
                      <w:rFonts w:hint="default"/>
                      <w:color w:val="auto"/>
                      <w:highlight w:val="none"/>
                      <w:lang w:val="en-US" w:eastAsia="zh-CN"/>
                    </w:rPr>
                    <w:t>0000</w:t>
                  </w:r>
                </w:p>
              </w:tc>
              <w:tc>
                <w:tcPr>
                  <w:tcW w:w="647" w:type="pct"/>
                  <w:tcBorders>
                    <w:tl2br w:val="nil"/>
                    <w:tr2bl w:val="nil"/>
                  </w:tcBorders>
                  <w:shd w:val="clear" w:color="auto" w:fill="auto"/>
                  <w:vAlign w:val="center"/>
                </w:tcPr>
                <w:p w14:paraId="5F86E555">
                  <w:pPr>
                    <w:pStyle w:val="40"/>
                    <w:bidi w:val="0"/>
                    <w:rPr>
                      <w:rFonts w:hint="default"/>
                      <w:color w:val="auto"/>
                      <w:highlight w:val="none"/>
                      <w:lang w:val="en-US" w:eastAsia="zh-CN"/>
                    </w:rPr>
                  </w:pPr>
                  <w:r>
                    <w:rPr>
                      <w:rFonts w:hint="default"/>
                      <w:color w:val="auto"/>
                      <w:highlight w:val="none"/>
                      <w:lang w:val="en-US" w:eastAsia="zh-CN"/>
                    </w:rPr>
                    <w:t>/</w:t>
                  </w:r>
                </w:p>
              </w:tc>
              <w:tc>
                <w:tcPr>
                  <w:tcW w:w="1888" w:type="pct"/>
                  <w:tcBorders>
                    <w:tl2br w:val="nil"/>
                    <w:tr2bl w:val="nil"/>
                  </w:tcBorders>
                  <w:shd w:val="clear" w:color="auto" w:fill="auto"/>
                  <w:vAlign w:val="center"/>
                </w:tcPr>
                <w:p w14:paraId="7429F98D">
                  <w:pPr>
                    <w:pStyle w:val="40"/>
                    <w:bidi w:val="0"/>
                    <w:rPr>
                      <w:rFonts w:hint="default"/>
                      <w:color w:val="auto"/>
                      <w:highlight w:val="none"/>
                      <w:lang w:val="en-US" w:eastAsia="zh-CN"/>
                    </w:rPr>
                  </w:pPr>
                  <w:r>
                    <w:rPr>
                      <w:rFonts w:hint="eastAsia"/>
                      <w:color w:val="auto"/>
                      <w:highlight w:val="none"/>
                      <w:lang w:val="en-US" w:eastAsia="zh-CN"/>
                    </w:rPr>
                    <w:t>15t/h生物质蒸汽锅炉</w:t>
                  </w:r>
                </w:p>
              </w:tc>
            </w:tr>
          </w:tbl>
          <w:p w14:paraId="63DF35EF">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cs="Times New Roman"/>
                <w:color w:val="auto"/>
                <w:spacing w:val="-6"/>
                <w:sz w:val="24"/>
                <w:highlight w:val="none"/>
                <w:lang w:val="en-US" w:eastAsia="zh-CN"/>
              </w:rPr>
            </w:pPr>
            <w:r>
              <w:rPr>
                <w:rFonts w:hint="eastAsia" w:cs="Times New Roman"/>
                <w:color w:val="auto"/>
                <w:spacing w:val="-6"/>
                <w:sz w:val="24"/>
                <w:highlight w:val="none"/>
                <w:lang w:val="en-US" w:eastAsia="zh-CN"/>
              </w:rPr>
              <w:t>本项目所需镁渣原料量为22万吨/年，据建设单位介绍，府谷县镁业集团有限责任公司年产</w:t>
            </w:r>
            <w:r>
              <w:rPr>
                <w:rFonts w:hint="default" w:cs="Times New Roman"/>
                <w:color w:val="auto"/>
                <w:spacing w:val="-6"/>
                <w:sz w:val="24"/>
                <w:highlight w:val="none"/>
                <w:lang w:val="en-US" w:eastAsia="zh-CN"/>
              </w:rPr>
              <w:t>4万吨</w:t>
            </w:r>
            <w:r>
              <w:rPr>
                <w:rFonts w:hint="eastAsia" w:cs="Times New Roman"/>
                <w:color w:val="auto"/>
                <w:spacing w:val="-6"/>
                <w:sz w:val="24"/>
                <w:highlight w:val="none"/>
                <w:lang w:val="en-US" w:eastAsia="zh-CN"/>
              </w:rPr>
              <w:t>金属</w:t>
            </w:r>
            <w:r>
              <w:rPr>
                <w:rFonts w:hint="default" w:cs="Times New Roman"/>
                <w:color w:val="auto"/>
                <w:spacing w:val="-6"/>
                <w:sz w:val="24"/>
                <w:highlight w:val="none"/>
                <w:lang w:val="en-US" w:eastAsia="zh-CN"/>
              </w:rPr>
              <w:t>镁</w:t>
            </w:r>
            <w:r>
              <w:rPr>
                <w:rFonts w:hint="eastAsia" w:cs="Times New Roman"/>
                <w:color w:val="auto"/>
                <w:spacing w:val="-6"/>
                <w:sz w:val="24"/>
                <w:highlight w:val="none"/>
                <w:lang w:val="en-US" w:eastAsia="zh-CN"/>
              </w:rPr>
              <w:t>，约产生20万吨/年镁渣，填埋于填埋场，目前填埋场共计二百多万吨旧渣；府谷县泰达煤化有限责任公司年产2万吨金属镁，年产10万吨/年镁渣，因此上述镁渣均可供本项目使用。</w:t>
            </w:r>
          </w:p>
          <w:p w14:paraId="4183D45C">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spacing w:val="-6"/>
                <w:sz w:val="24"/>
                <w:highlight w:val="none"/>
                <w:lang w:val="en-US" w:eastAsia="zh-CN"/>
              </w:rPr>
              <w:t>本项目燃料采用黄甫镇村集体经济联合总社1.5万吨生物质颗粒燃料项目的产品，该项目生产的生物质颗粒委托保德县浩宇成利国标煤质化验中心进行了检测，检测报告见附件7，该生物质颗粒的低位发热值为</w:t>
            </w:r>
            <w:r>
              <w:rPr>
                <w:rFonts w:hint="default" w:ascii="Times New Roman" w:hAnsi="Times New Roman" w:cs="Times New Roman"/>
                <w:color w:val="auto"/>
                <w:spacing w:val="-6"/>
                <w:sz w:val="24"/>
                <w:highlight w:val="none"/>
              </w:rPr>
              <w:t>4118Kcal/kg</w:t>
            </w:r>
            <w:r>
              <w:rPr>
                <w:rFonts w:hint="default" w:ascii="Times New Roman" w:hAnsi="Times New Roman" w:cs="Times New Roman"/>
                <w:color w:val="auto"/>
                <w:spacing w:val="-6"/>
                <w:sz w:val="24"/>
                <w:highlight w:val="none"/>
                <w:lang w:eastAsia="zh-CN"/>
              </w:rPr>
              <w:t>，</w:t>
            </w:r>
            <w:r>
              <w:rPr>
                <w:rFonts w:hint="default" w:ascii="Times New Roman" w:hAnsi="Times New Roman" w:cs="Times New Roman"/>
                <w:color w:val="auto"/>
                <w:spacing w:val="-6"/>
                <w:sz w:val="24"/>
                <w:highlight w:val="none"/>
                <w:lang w:val="en-US" w:eastAsia="zh-CN"/>
              </w:rPr>
              <w:t>换算后为</w:t>
            </w:r>
            <w:r>
              <w:rPr>
                <w:rFonts w:hint="default" w:ascii="Times New Roman" w:hAnsi="Times New Roman" w:cs="Times New Roman"/>
                <w:color w:val="auto"/>
                <w:spacing w:val="-6"/>
                <w:sz w:val="24"/>
                <w:highlight w:val="none"/>
              </w:rPr>
              <w:t>17.2</w:t>
            </w:r>
            <w:r>
              <w:rPr>
                <w:rFonts w:hint="eastAsia" w:cs="Times New Roman"/>
                <w:color w:val="auto"/>
                <w:spacing w:val="-6"/>
                <w:sz w:val="24"/>
                <w:highlight w:val="none"/>
                <w:lang w:val="en-US" w:eastAsia="zh-CN"/>
              </w:rPr>
              <w:t>3</w:t>
            </w:r>
            <w:r>
              <w:rPr>
                <w:rFonts w:hint="default" w:ascii="Times New Roman" w:hAnsi="Times New Roman" w:cs="Times New Roman"/>
                <w:color w:val="auto"/>
                <w:spacing w:val="-6"/>
                <w:sz w:val="24"/>
                <w:highlight w:val="none"/>
              </w:rPr>
              <w:t>MJ/kg</w:t>
            </w:r>
            <w:r>
              <w:rPr>
                <w:rFonts w:hint="default" w:ascii="Times New Roman" w:hAnsi="Times New Roman" w:cs="Times New Roman"/>
                <w:color w:val="auto"/>
                <w:spacing w:val="-6"/>
                <w:sz w:val="24"/>
                <w:highlight w:val="none"/>
                <w:lang w:val="en-US" w:eastAsia="zh-CN"/>
              </w:rPr>
              <w:t>。锅炉的产汽量为15t/h，热效率为86%，饱和蒸汽热焓值为2676</w:t>
            </w:r>
            <w:r>
              <w:rPr>
                <w:rFonts w:hint="default" w:ascii="Times New Roman" w:hAnsi="Times New Roman" w:cs="Times New Roman"/>
                <w:color w:val="auto"/>
                <w:highlight w:val="none"/>
                <w:lang w:val="en-US" w:eastAsia="zh-CN"/>
              </w:rPr>
              <w:t>kJ/kg，锅炉的给水温度为40℃，则给水热焓值为167.5kJ/kg，</w:t>
            </w:r>
            <w:r>
              <w:rPr>
                <w:rFonts w:hint="default" w:ascii="Times New Roman" w:hAnsi="Times New Roman" w:cs="Times New Roman"/>
                <w:color w:val="auto"/>
                <w:spacing w:val="-6"/>
                <w:sz w:val="24"/>
                <w:highlight w:val="none"/>
                <w:lang w:val="en-US" w:eastAsia="zh-CN"/>
              </w:rPr>
              <w:t>年运行300天，每天运行24h</w:t>
            </w:r>
            <w:r>
              <w:rPr>
                <w:rFonts w:hint="default" w:ascii="Times New Roman" w:hAnsi="Times New Roman" w:cs="Times New Roman"/>
                <w:color w:val="auto"/>
                <w:spacing w:val="-6"/>
                <w:sz w:val="24"/>
                <w:highlight w:val="none"/>
                <w:lang w:eastAsia="zh-CN"/>
              </w:rPr>
              <w:t>。</w:t>
            </w:r>
            <w:r>
              <w:rPr>
                <w:rFonts w:hint="eastAsia" w:cs="Times New Roman"/>
                <w:color w:val="auto"/>
                <w:spacing w:val="-6"/>
                <w:sz w:val="24"/>
                <w:highlight w:val="none"/>
                <w:lang w:val="en-US" w:eastAsia="zh-CN"/>
              </w:rPr>
              <w:t>根据《工业锅炉热工性能实验规程》（GB/T 10180-2017）中蒸汽锅炉燃料消耗量的计算公式：</w:t>
            </w:r>
          </w:p>
          <w:p w14:paraId="78BCCF03">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olor w:val="auto"/>
                <w:highlight w:val="none"/>
                <w:lang w:val="en-US" w:eastAsia="zh-CN"/>
              </w:rPr>
            </w:pPr>
            <m:oMathPara>
              <m:oMath>
                <m:r>
                  <m:rPr>
                    <m:sty m:val="p"/>
                  </m:rPr>
                  <w:rPr>
                    <w:rFonts w:hint="default" w:ascii="Cambria Math" w:hAnsi="Cambria Math" w:cs="Times New Roman"/>
                    <w:color w:val="auto"/>
                    <w:kern w:val="2"/>
                    <w:sz w:val="24"/>
                    <w:szCs w:val="24"/>
                    <w:highlight w:val="none"/>
                    <w:lang w:val="en-US" w:eastAsia="zh-CN" w:bidi="ar-SA"/>
                  </w:rPr>
                  <m:t>B=</m:t>
                </m:r>
                <m:f>
                  <m:fPr>
                    <m:ctrlPr>
                      <w:rPr>
                        <w:rFonts w:hint="default" w:ascii="Cambria Math" w:hAnsi="Cambria Math" w:cs="Times New Roman"/>
                        <w:color w:val="auto"/>
                        <w:kern w:val="2"/>
                        <w:sz w:val="24"/>
                        <w:szCs w:val="24"/>
                        <w:highlight w:val="none"/>
                        <w:lang w:val="en-US" w:eastAsia="zh-CN" w:bidi="ar-SA"/>
                      </w:rPr>
                    </m:ctrlPr>
                  </m:fPr>
                  <m:num>
                    <m:r>
                      <m:rPr>
                        <m:sty m:val="p"/>
                      </m:rPr>
                      <w:rPr>
                        <w:rFonts w:hint="default" w:ascii="Cambria Math" w:hAnsi="Cambria Math" w:cs="Times New Roman"/>
                        <w:color w:val="auto"/>
                        <w:kern w:val="2"/>
                        <w:sz w:val="24"/>
                        <w:szCs w:val="24"/>
                        <w:highlight w:val="none"/>
                        <w:lang w:val="en-US" w:eastAsia="zh-CN" w:bidi="ar-SA"/>
                      </w:rPr>
                      <m:t>D</m:t>
                    </m:r>
                    <m:d>
                      <m:dPr>
                        <m:ctrlPr>
                          <w:rPr>
                            <w:rFonts w:hint="default" w:ascii="Cambria Math" w:hAnsi="Cambria Math" w:cs="Times New Roman"/>
                            <w:color w:val="auto"/>
                            <w:kern w:val="2"/>
                            <w:sz w:val="24"/>
                            <w:szCs w:val="24"/>
                            <w:highlight w:val="none"/>
                            <w:lang w:val="en-US" w:eastAsia="zh-CN" w:bidi="ar-SA"/>
                          </w:rPr>
                        </m:ctrlPr>
                      </m:dPr>
                      <m:e>
                        <m:r>
                          <m:rPr>
                            <m:sty m:val="p"/>
                          </m:rPr>
                          <w:rPr>
                            <w:rFonts w:hint="default" w:ascii="Cambria Math" w:hAnsi="Cambria Math" w:cs="Times New Roman"/>
                            <w:color w:val="auto"/>
                            <w:kern w:val="2"/>
                            <w:sz w:val="24"/>
                            <w:szCs w:val="24"/>
                            <w:highlight w:val="none"/>
                            <w:lang w:val="en-US" w:eastAsia="zh-CN" w:bidi="ar-SA"/>
                          </w:rPr>
                          <m:t>i−</m:t>
                        </m:r>
                        <m:sSub>
                          <m:sSubPr>
                            <m:ctrlPr>
                              <w:rPr>
                                <w:rFonts w:hint="default" w:ascii="Cambria Math" w:hAnsi="Cambria Math" w:cs="Times New Roman"/>
                                <w:color w:val="auto"/>
                                <w:kern w:val="2"/>
                                <w:sz w:val="24"/>
                                <w:szCs w:val="24"/>
                                <w:highlight w:val="none"/>
                                <w:lang w:val="en-US" w:eastAsia="zh-CN" w:bidi="ar-SA"/>
                              </w:rPr>
                            </m:ctrlPr>
                          </m:sSubPr>
                          <m:e>
                            <m:r>
                              <m:rPr>
                                <m:sty m:val="p"/>
                              </m:rPr>
                              <w:rPr>
                                <w:rFonts w:hint="default" w:ascii="Cambria Math" w:hAnsi="Cambria Math" w:cs="Times New Roman"/>
                                <w:color w:val="auto"/>
                                <w:kern w:val="2"/>
                                <w:sz w:val="24"/>
                                <w:szCs w:val="24"/>
                                <w:highlight w:val="none"/>
                                <w:lang w:val="en-US" w:eastAsia="zh-CN" w:bidi="ar-SA"/>
                              </w:rPr>
                              <m:t>i</m:t>
                            </m:r>
                            <m:ctrlPr>
                              <w:rPr>
                                <w:rFonts w:hint="default" w:ascii="Cambria Math" w:hAnsi="Cambria Math" w:cs="Times New Roman"/>
                                <w:color w:val="auto"/>
                                <w:kern w:val="2"/>
                                <w:sz w:val="24"/>
                                <w:szCs w:val="24"/>
                                <w:highlight w:val="none"/>
                                <w:lang w:val="en-US" w:eastAsia="zh-CN" w:bidi="ar-SA"/>
                              </w:rPr>
                            </m:ctrlPr>
                          </m:e>
                          <m:sub>
                            <m:r>
                              <m:rPr>
                                <m:sty m:val="p"/>
                              </m:rPr>
                              <w:rPr>
                                <w:rFonts w:hint="default" w:ascii="Cambria Math" w:hAnsi="Cambria Math" w:cs="Times New Roman"/>
                                <w:color w:val="auto"/>
                                <w:kern w:val="2"/>
                                <w:sz w:val="24"/>
                                <w:szCs w:val="24"/>
                                <w:highlight w:val="none"/>
                                <w:lang w:val="en-US" w:eastAsia="zh-CN" w:bidi="ar-SA"/>
                              </w:rPr>
                              <m:t>0</m:t>
                            </m:r>
                            <m:ctrlPr>
                              <w:rPr>
                                <w:rFonts w:hint="default" w:ascii="Cambria Math" w:hAnsi="Cambria Math" w:cs="Times New Roman"/>
                                <w:color w:val="auto"/>
                                <w:kern w:val="2"/>
                                <w:sz w:val="24"/>
                                <w:szCs w:val="24"/>
                                <w:highlight w:val="none"/>
                                <w:lang w:val="en-US" w:eastAsia="zh-CN" w:bidi="ar-SA"/>
                              </w:rPr>
                            </m:ctrlPr>
                          </m:sub>
                        </m:sSub>
                        <m:ctrlPr>
                          <w:rPr>
                            <w:rFonts w:hint="default" w:ascii="Cambria Math" w:hAnsi="Cambria Math" w:cs="Times New Roman"/>
                            <w:color w:val="auto"/>
                            <w:kern w:val="2"/>
                            <w:sz w:val="24"/>
                            <w:szCs w:val="24"/>
                            <w:highlight w:val="none"/>
                            <w:lang w:val="en-US" w:eastAsia="zh-CN" w:bidi="ar-SA"/>
                          </w:rPr>
                        </m:ctrlPr>
                      </m:e>
                    </m:d>
                    <m:ctrlPr>
                      <w:rPr>
                        <w:rFonts w:hint="default" w:ascii="Cambria Math" w:hAnsi="Cambria Math" w:cs="Times New Roman"/>
                        <w:color w:val="auto"/>
                        <w:kern w:val="2"/>
                        <w:sz w:val="24"/>
                        <w:szCs w:val="24"/>
                        <w:highlight w:val="none"/>
                        <w:lang w:val="en-US" w:eastAsia="zh-CN" w:bidi="ar-SA"/>
                      </w:rPr>
                    </m:ctrlPr>
                  </m:num>
                  <m:den>
                    <m:sSub>
                      <m:sSubPr>
                        <m:ctrlPr>
                          <w:rPr>
                            <w:rFonts w:hint="default" w:ascii="Cambria Math" w:hAnsi="Cambria Math" w:cs="Times New Roman"/>
                            <w:color w:val="auto"/>
                            <w:kern w:val="2"/>
                            <w:sz w:val="24"/>
                            <w:szCs w:val="24"/>
                            <w:highlight w:val="none"/>
                            <w:lang w:val="en-US" w:eastAsia="zh-CN" w:bidi="ar-SA"/>
                          </w:rPr>
                        </m:ctrlPr>
                      </m:sSubPr>
                      <m:e>
                        <m:r>
                          <m:rPr>
                            <m:sty m:val="p"/>
                          </m:rPr>
                          <w:rPr>
                            <w:rFonts w:hint="default" w:ascii="Cambria Math" w:hAnsi="Cambria Math" w:cs="Times New Roman"/>
                            <w:color w:val="auto"/>
                            <w:kern w:val="2"/>
                            <w:sz w:val="24"/>
                            <w:szCs w:val="24"/>
                            <w:highlight w:val="none"/>
                            <w:lang w:val="en-US" w:eastAsia="zh-CN" w:bidi="ar-SA"/>
                          </w:rPr>
                          <m:t>Q</m:t>
                        </m:r>
                        <m:ctrlPr>
                          <w:rPr>
                            <w:rFonts w:hint="default" w:ascii="Cambria Math" w:hAnsi="Cambria Math" w:cs="Times New Roman"/>
                            <w:color w:val="auto"/>
                            <w:kern w:val="2"/>
                            <w:sz w:val="24"/>
                            <w:szCs w:val="24"/>
                            <w:highlight w:val="none"/>
                            <w:lang w:val="en-US" w:eastAsia="zh-CN" w:bidi="ar-SA"/>
                          </w:rPr>
                        </m:ctrlPr>
                      </m:e>
                      <m:sub>
                        <m:r>
                          <m:rPr>
                            <m:sty m:val="p"/>
                          </m:rPr>
                          <w:rPr>
                            <w:rFonts w:hint="default" w:ascii="Cambria Math" w:hAnsi="Cambria Math" w:cs="Times New Roman"/>
                            <w:color w:val="auto"/>
                            <w:kern w:val="2"/>
                            <w:sz w:val="24"/>
                            <w:szCs w:val="24"/>
                            <w:highlight w:val="none"/>
                            <w:lang w:val="en-US" w:eastAsia="zh-CN" w:bidi="ar-SA"/>
                          </w:rPr>
                          <m:t>L</m:t>
                        </m:r>
                        <m:ctrlPr>
                          <w:rPr>
                            <w:rFonts w:hint="default" w:ascii="Cambria Math" w:hAnsi="Cambria Math" w:cs="Times New Roman"/>
                            <w:color w:val="auto"/>
                            <w:kern w:val="2"/>
                            <w:sz w:val="24"/>
                            <w:szCs w:val="24"/>
                            <w:highlight w:val="none"/>
                            <w:lang w:val="en-US" w:eastAsia="zh-CN" w:bidi="ar-SA"/>
                          </w:rPr>
                        </m:ctrlPr>
                      </m:sub>
                    </m:sSub>
                    <m:r>
                      <m:rPr>
                        <m:sty m:val="p"/>
                      </m:rPr>
                      <w:rPr>
                        <w:rFonts w:hint="default" w:ascii="Cambria Math" w:hAnsi="Cambria Math" w:cs="Times New Roman"/>
                        <w:color w:val="auto"/>
                        <w:kern w:val="2"/>
                        <w:sz w:val="24"/>
                        <w:szCs w:val="24"/>
                        <w:highlight w:val="none"/>
                        <w:lang w:val="en-US" w:bidi="ar-SA"/>
                      </w:rPr>
                      <m:t>∙</m:t>
                    </m:r>
                    <m:r>
                      <m:rPr>
                        <m:sty m:val="p"/>
                      </m:rPr>
                      <w:rPr>
                        <w:rFonts w:hint="default" w:ascii="Cambria Math" w:hAnsi="Cambria Math" w:cs="Times New Roman"/>
                        <w:color w:val="auto"/>
                        <w:kern w:val="2"/>
                        <w:sz w:val="24"/>
                        <w:szCs w:val="24"/>
                        <w:highlight w:val="none"/>
                        <w:lang w:val="en-US" w:eastAsia="zh-CN" w:bidi="ar-SA"/>
                      </w:rPr>
                      <m:t>η</m:t>
                    </m:r>
                    <m:ctrlPr>
                      <w:rPr>
                        <w:rFonts w:hint="default" w:ascii="Cambria Math" w:hAnsi="Cambria Math" w:cs="Times New Roman"/>
                        <w:color w:val="auto"/>
                        <w:kern w:val="2"/>
                        <w:sz w:val="24"/>
                        <w:szCs w:val="24"/>
                        <w:highlight w:val="none"/>
                        <w:lang w:val="en-US" w:eastAsia="zh-CN" w:bidi="ar-SA"/>
                      </w:rPr>
                    </m:ctrlPr>
                  </m:den>
                </m:f>
              </m:oMath>
            </m:oMathPara>
          </w:p>
          <w:p w14:paraId="4B046004">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式中：B—锅炉燃料耗量，kg/h；</w:t>
            </w:r>
          </w:p>
          <w:p w14:paraId="6556C74E">
            <w:pPr>
              <w:keepNext w:val="0"/>
              <w:keepLines w:val="0"/>
              <w:pageBreakBefore w:val="0"/>
              <w:widowControl w:val="0"/>
              <w:kinsoku/>
              <w:wordWrap/>
              <w:overflowPunct/>
              <w:topLinePunct w:val="0"/>
              <w:autoSpaceDE/>
              <w:autoSpaceDN/>
              <w:bidi w:val="0"/>
              <w:adjustRightInd/>
              <w:snapToGrid/>
              <w:ind w:leftChars="300"/>
              <w:textAlignment w:val="auto"/>
              <w:rPr>
                <w:rFonts w:hint="eastAsia"/>
                <w:color w:val="auto"/>
                <w:highlight w:val="none"/>
                <w:lang w:val="en-US" w:eastAsia="zh-CN"/>
              </w:rPr>
            </w:pPr>
            <w:r>
              <w:rPr>
                <w:rFonts w:hint="eastAsia"/>
                <w:color w:val="auto"/>
                <w:highlight w:val="none"/>
                <w:lang w:val="en-US" w:eastAsia="zh-CN"/>
              </w:rPr>
              <w:t>D—锅炉每小时的产汽量，kg/h；</w:t>
            </w:r>
          </w:p>
          <w:p w14:paraId="1EAFA9D3">
            <w:pPr>
              <w:keepNext w:val="0"/>
              <w:keepLines w:val="0"/>
              <w:pageBreakBefore w:val="0"/>
              <w:widowControl w:val="0"/>
              <w:kinsoku/>
              <w:wordWrap/>
              <w:overflowPunct/>
              <w:topLinePunct w:val="0"/>
              <w:autoSpaceDE/>
              <w:autoSpaceDN/>
              <w:bidi w:val="0"/>
              <w:adjustRightInd/>
              <w:snapToGrid/>
              <w:ind w:leftChars="300"/>
              <w:textAlignment w:val="auto"/>
              <w:rPr>
                <w:rFonts w:hint="eastAsia"/>
                <w:color w:val="auto"/>
                <w:highlight w:val="none"/>
                <w:lang w:val="en-US" w:eastAsia="zh-CN"/>
              </w:rPr>
            </w:pPr>
            <w:r>
              <w:rPr>
                <w:rFonts w:hint="default"/>
                <w:color w:val="auto"/>
                <w:highlight w:val="none"/>
                <w:lang w:val="en-US" w:eastAsia="zh-CN"/>
              </w:rPr>
              <w:t>Q</w:t>
            </w:r>
            <w:r>
              <w:rPr>
                <w:rFonts w:hint="eastAsia"/>
                <w:color w:val="auto"/>
                <w:highlight w:val="none"/>
                <w:vertAlign w:val="subscript"/>
                <w:lang w:val="en-US" w:eastAsia="zh-CN"/>
              </w:rPr>
              <w:t>L</w:t>
            </w:r>
            <w:r>
              <w:rPr>
                <w:rFonts w:hint="eastAsia"/>
                <w:color w:val="auto"/>
                <w:highlight w:val="none"/>
                <w:lang w:val="en-US" w:eastAsia="zh-CN"/>
              </w:rPr>
              <w:t>—</w:t>
            </w:r>
            <w:r>
              <w:rPr>
                <w:rFonts w:hint="default"/>
                <w:color w:val="auto"/>
                <w:highlight w:val="none"/>
                <w:lang w:val="en-US" w:eastAsia="zh-CN"/>
              </w:rPr>
              <w:t>燃料的低位发热值，单位是</w:t>
            </w:r>
            <w:r>
              <w:rPr>
                <w:rFonts w:hint="eastAsia"/>
                <w:color w:val="auto"/>
                <w:highlight w:val="none"/>
                <w:lang w:val="en-US" w:eastAsia="zh-CN"/>
              </w:rPr>
              <w:t>kJ/kg；</w:t>
            </w:r>
          </w:p>
          <w:p w14:paraId="408CFBC3">
            <w:pPr>
              <w:keepNext w:val="0"/>
              <w:keepLines w:val="0"/>
              <w:pageBreakBefore w:val="0"/>
              <w:widowControl w:val="0"/>
              <w:kinsoku/>
              <w:wordWrap/>
              <w:overflowPunct/>
              <w:topLinePunct w:val="0"/>
              <w:autoSpaceDE/>
              <w:autoSpaceDN/>
              <w:bidi w:val="0"/>
              <w:adjustRightInd/>
              <w:snapToGrid/>
              <w:ind w:leftChars="300"/>
              <w:textAlignment w:val="auto"/>
              <w:rPr>
                <w:rFonts w:hint="eastAsia"/>
                <w:color w:val="auto"/>
                <w:highlight w:val="none"/>
                <w:lang w:val="en-US" w:eastAsia="zh-CN"/>
              </w:rPr>
            </w:pPr>
            <m:oMath>
              <m:r>
                <m:rPr>
                  <m:sty m:val="p"/>
                </m:rPr>
                <w:rPr>
                  <w:rFonts w:hint="default" w:ascii="Cambria Math" w:hAnsi="Cambria Math" w:cs="Times New Roman"/>
                  <w:color w:val="auto"/>
                  <w:kern w:val="2"/>
                  <w:sz w:val="24"/>
                  <w:szCs w:val="24"/>
                  <w:highlight w:val="none"/>
                  <w:lang w:val="en-US" w:eastAsia="zh-CN" w:bidi="ar-SA"/>
                </w:rPr>
                <m:t>η</m:t>
              </m:r>
            </m:oMath>
            <w:r>
              <w:rPr>
                <w:rFonts w:hint="eastAsia" w:hAnsi="Cambria Math" w:cs="Times New Roman"/>
                <w:b w:val="0"/>
                <w:i w:val="0"/>
                <w:color w:val="auto"/>
                <w:kern w:val="2"/>
                <w:sz w:val="24"/>
                <w:szCs w:val="24"/>
                <w:highlight w:val="none"/>
                <w:lang w:val="en-US" w:eastAsia="zh-CN" w:bidi="ar-SA"/>
              </w:rPr>
              <w:t>—</w:t>
            </w:r>
            <w:r>
              <w:rPr>
                <w:rFonts w:hint="default"/>
                <w:color w:val="auto"/>
                <w:highlight w:val="none"/>
                <w:lang w:val="en-US" w:eastAsia="zh-CN"/>
              </w:rPr>
              <w:t>锅炉的热效率</w:t>
            </w:r>
            <w:r>
              <w:rPr>
                <w:rFonts w:hint="eastAsia"/>
                <w:color w:val="auto"/>
                <w:highlight w:val="none"/>
                <w:lang w:val="en-US" w:eastAsia="zh-CN"/>
              </w:rPr>
              <w:t>；</w:t>
            </w:r>
          </w:p>
          <w:p w14:paraId="3F0DF115">
            <w:pPr>
              <w:keepNext w:val="0"/>
              <w:keepLines w:val="0"/>
              <w:pageBreakBefore w:val="0"/>
              <w:widowControl w:val="0"/>
              <w:kinsoku/>
              <w:wordWrap/>
              <w:overflowPunct/>
              <w:topLinePunct w:val="0"/>
              <w:autoSpaceDE/>
              <w:autoSpaceDN/>
              <w:bidi w:val="0"/>
              <w:adjustRightInd/>
              <w:snapToGrid/>
              <w:ind w:leftChars="300"/>
              <w:textAlignment w:val="auto"/>
              <w:rPr>
                <w:rFonts w:hint="eastAsia"/>
                <w:color w:val="auto"/>
                <w:highlight w:val="none"/>
                <w:lang w:val="en-US" w:eastAsia="zh-CN"/>
              </w:rPr>
            </w:pPr>
            <w:r>
              <w:rPr>
                <w:rFonts w:hint="eastAsia"/>
                <w:color w:val="auto"/>
                <w:highlight w:val="none"/>
                <w:lang w:val="en-US" w:eastAsia="zh-CN"/>
              </w:rPr>
              <w:t>i—锅炉在某绝对工作压力下的饱和蒸汽热焓值，kJ/kg；</w:t>
            </w:r>
          </w:p>
          <w:p w14:paraId="4271C0F4">
            <w:pPr>
              <w:keepNext w:val="0"/>
              <w:keepLines w:val="0"/>
              <w:pageBreakBefore w:val="0"/>
              <w:widowControl w:val="0"/>
              <w:kinsoku/>
              <w:wordWrap/>
              <w:overflowPunct/>
              <w:topLinePunct w:val="0"/>
              <w:autoSpaceDE/>
              <w:autoSpaceDN/>
              <w:bidi w:val="0"/>
              <w:adjustRightInd/>
              <w:snapToGrid/>
              <w:ind w:leftChars="300"/>
              <w:textAlignment w:val="auto"/>
              <w:rPr>
                <w:rFonts w:hint="default"/>
                <w:color w:val="auto"/>
                <w:highlight w:val="none"/>
                <w:lang w:val="en-US" w:eastAsia="zh-CN"/>
              </w:rPr>
            </w:pPr>
            <w:r>
              <w:rPr>
                <w:rFonts w:hint="eastAsia"/>
                <w:color w:val="auto"/>
                <w:highlight w:val="none"/>
                <w:lang w:val="en-US" w:eastAsia="zh-CN"/>
              </w:rPr>
              <w:t>i</w:t>
            </w:r>
            <w:r>
              <w:rPr>
                <w:rFonts w:hint="eastAsia"/>
                <w:color w:val="auto"/>
                <w:highlight w:val="none"/>
                <w:vertAlign w:val="subscript"/>
                <w:lang w:val="en-US" w:eastAsia="zh-CN"/>
              </w:rPr>
              <w:t>0</w:t>
            </w:r>
            <w:r>
              <w:rPr>
                <w:rFonts w:hint="eastAsia"/>
                <w:color w:val="auto"/>
                <w:highlight w:val="none"/>
                <w:lang w:val="en-US" w:eastAsia="zh-CN"/>
              </w:rPr>
              <w:t>—</w:t>
            </w:r>
            <w:r>
              <w:rPr>
                <w:rFonts w:hint="default"/>
                <w:color w:val="auto"/>
                <w:highlight w:val="none"/>
                <w:lang w:val="en-US" w:eastAsia="zh-CN"/>
              </w:rPr>
              <w:t>锅炉给水热焓值，</w:t>
            </w:r>
            <w:r>
              <w:rPr>
                <w:rFonts w:hint="eastAsia"/>
                <w:color w:val="auto"/>
                <w:highlight w:val="none"/>
                <w:lang w:val="en-US" w:eastAsia="zh-CN"/>
              </w:rPr>
              <w:t>kJ/kg。</w:t>
            </w:r>
          </w:p>
          <w:p w14:paraId="67E428E4">
            <w:pPr>
              <w:keepNext w:val="0"/>
              <w:keepLines w:val="0"/>
              <w:pageBreakBefore w:val="0"/>
              <w:widowControl w:val="0"/>
              <w:kinsoku/>
              <w:wordWrap/>
              <w:overflowPunct/>
              <w:topLinePunct w:val="0"/>
              <w:autoSpaceDE/>
              <w:autoSpaceDN/>
              <w:bidi w:val="0"/>
              <w:adjustRightInd/>
              <w:snapToGrid/>
              <w:textAlignment w:val="auto"/>
              <w:rPr>
                <w:rFonts w:hint="default" w:eastAsia="宋体"/>
                <w:color w:val="auto"/>
                <w:highlight w:val="none"/>
                <w:lang w:val="en-US" w:eastAsia="zh-CN"/>
              </w:rPr>
            </w:pPr>
            <w:r>
              <w:rPr>
                <w:rFonts w:hint="eastAsia"/>
                <w:color w:val="auto"/>
                <w:highlight w:val="none"/>
                <w:lang w:val="en-US" w:eastAsia="zh-CN"/>
              </w:rPr>
              <w:t>代入上述数据可得燃料消耗量为2537.8716kg/h，则每年消耗18272.6758t/a。</w:t>
            </w:r>
          </w:p>
          <w:p w14:paraId="158097FF">
            <w:pPr>
              <w:pStyle w:val="41"/>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2、主要原辅材料化学成分</w:t>
            </w:r>
          </w:p>
          <w:p w14:paraId="628CB967">
            <w:pPr>
              <w:pStyle w:val="41"/>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（1）粉煤灰、炉渣</w:t>
            </w:r>
          </w:p>
          <w:p w14:paraId="16AF9426">
            <w:pPr>
              <w:bidi w:val="0"/>
              <w:rPr>
                <w:rFonts w:hint="eastAsia"/>
                <w:color w:val="auto"/>
                <w:highlight w:val="none"/>
                <w:lang w:val="en-US" w:eastAsia="zh-CN"/>
              </w:rPr>
            </w:pPr>
            <w:r>
              <w:rPr>
                <w:rFonts w:hint="eastAsia"/>
                <w:color w:val="auto"/>
                <w:highlight w:val="none"/>
                <w:lang w:val="en-US" w:eastAsia="zh-CN"/>
              </w:rPr>
              <w:t>粉煤灰、炉渣主要化学成分见</w:t>
            </w:r>
            <w:r>
              <w:rPr>
                <w:rFonts w:hint="eastAsia"/>
                <w:color w:val="auto"/>
                <w:highlight w:val="none"/>
                <w:lang w:val="en-US" w:eastAsia="zh-CN"/>
              </w:rPr>
              <w:fldChar w:fldCharType="begin"/>
            </w:r>
            <w:r>
              <w:rPr>
                <w:rFonts w:hint="eastAsia"/>
                <w:color w:val="auto"/>
                <w:highlight w:val="none"/>
                <w:lang w:val="en-US" w:eastAsia="zh-CN"/>
              </w:rPr>
              <w:instrText xml:space="preserve"> REF _Ref12829 \h </w:instrText>
            </w:r>
            <w:r>
              <w:rPr>
                <w:rFonts w:hint="eastAsia"/>
                <w:color w:val="auto"/>
                <w:highlight w:val="none"/>
                <w:lang w:val="en-US" w:eastAsia="zh-CN"/>
              </w:rPr>
              <w:fldChar w:fldCharType="separate"/>
            </w:r>
            <w:r>
              <w:rPr>
                <w:color w:val="auto"/>
                <w:highlight w:val="none"/>
              </w:rPr>
              <w:t>表2-8</w:t>
            </w:r>
            <w:r>
              <w:rPr>
                <w:rFonts w:hint="eastAsia"/>
                <w:color w:val="auto"/>
                <w:highlight w:val="none"/>
                <w:lang w:val="en-US" w:eastAsia="zh-CN"/>
              </w:rPr>
              <w:fldChar w:fldCharType="end"/>
            </w:r>
            <w:r>
              <w:rPr>
                <w:rFonts w:hint="eastAsia"/>
                <w:color w:val="auto"/>
                <w:highlight w:val="none"/>
                <w:lang w:val="en-US" w:eastAsia="zh-CN"/>
              </w:rPr>
              <w:t>。</w:t>
            </w:r>
          </w:p>
          <w:p w14:paraId="6A4A1A28">
            <w:pPr>
              <w:pStyle w:val="7"/>
              <w:rPr>
                <w:rFonts w:hint="default"/>
                <w:color w:val="auto"/>
                <w:highlight w:val="none"/>
                <w:lang w:val="en-US" w:eastAsia="zh-CN"/>
              </w:rPr>
            </w:pPr>
            <w:bookmarkStart w:id="18" w:name="_Ref12829"/>
            <w:r>
              <w:rPr>
                <w:color w:val="auto"/>
                <w:highlight w:val="none"/>
              </w:rPr>
              <w:t>表2-</w:t>
            </w:r>
            <w:r>
              <w:rPr>
                <w:color w:val="auto"/>
                <w:highlight w:val="none"/>
              </w:rPr>
              <w:fldChar w:fldCharType="begin"/>
            </w:r>
            <w:r>
              <w:rPr>
                <w:color w:val="auto"/>
                <w:highlight w:val="none"/>
              </w:rPr>
              <w:instrText xml:space="preserve"> SEQ 表2- \* ARABIC </w:instrText>
            </w:r>
            <w:r>
              <w:rPr>
                <w:color w:val="auto"/>
                <w:highlight w:val="none"/>
              </w:rPr>
              <w:fldChar w:fldCharType="separate"/>
            </w:r>
            <w:r>
              <w:rPr>
                <w:color w:val="auto"/>
                <w:highlight w:val="none"/>
              </w:rPr>
              <w:t>8</w:t>
            </w:r>
            <w:r>
              <w:rPr>
                <w:color w:val="auto"/>
                <w:highlight w:val="none"/>
              </w:rPr>
              <w:fldChar w:fldCharType="end"/>
            </w:r>
            <w:bookmarkEnd w:id="18"/>
            <w:r>
              <w:rPr>
                <w:rFonts w:hint="eastAsia"/>
                <w:color w:val="auto"/>
                <w:highlight w:val="none"/>
                <w:lang w:val="en-US" w:eastAsia="zh-CN"/>
              </w:rPr>
              <w:t xml:space="preserve">  粉煤灰、炉渣主要化学成分分析一览表</w:t>
            </w:r>
          </w:p>
          <w:tbl>
            <w:tblPr>
              <w:tblStyle w:val="25"/>
              <w:tblW w:w="839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09"/>
              <w:gridCol w:w="776"/>
              <w:gridCol w:w="776"/>
              <w:gridCol w:w="776"/>
              <w:gridCol w:w="776"/>
              <w:gridCol w:w="776"/>
              <w:gridCol w:w="776"/>
              <w:gridCol w:w="776"/>
              <w:gridCol w:w="780"/>
              <w:gridCol w:w="870"/>
            </w:tblGrid>
            <w:tr w14:paraId="7E0096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09" w:type="dxa"/>
                  <w:tcBorders>
                    <w:tl2br w:val="nil"/>
                    <w:tr2bl w:val="nil"/>
                  </w:tcBorders>
                  <w:vAlign w:val="center"/>
                </w:tcPr>
                <w:p w14:paraId="491BC49A">
                  <w:pPr>
                    <w:pStyle w:val="40"/>
                    <w:bidi w:val="0"/>
                    <w:rPr>
                      <w:rFonts w:hint="default"/>
                      <w:color w:val="auto"/>
                      <w:highlight w:val="none"/>
                      <w:lang w:val="en-US" w:eastAsia="zh-CN"/>
                    </w:rPr>
                  </w:pPr>
                  <w:r>
                    <w:rPr>
                      <w:rFonts w:hint="eastAsia"/>
                      <w:color w:val="auto"/>
                      <w:highlight w:val="none"/>
                      <w:lang w:val="en-US" w:eastAsia="zh-CN"/>
                    </w:rPr>
                    <w:t>名称</w:t>
                  </w:r>
                </w:p>
              </w:tc>
              <w:tc>
                <w:tcPr>
                  <w:tcW w:w="776" w:type="dxa"/>
                  <w:tcBorders>
                    <w:tl2br w:val="nil"/>
                    <w:tr2bl w:val="nil"/>
                  </w:tcBorders>
                  <w:vAlign w:val="center"/>
                </w:tcPr>
                <w:p w14:paraId="26500D3D">
                  <w:pPr>
                    <w:pStyle w:val="40"/>
                    <w:bidi w:val="0"/>
                    <w:rPr>
                      <w:rFonts w:hint="default"/>
                      <w:color w:val="auto"/>
                      <w:highlight w:val="none"/>
                      <w:lang w:val="en-US" w:eastAsia="zh-CN"/>
                    </w:rPr>
                  </w:pPr>
                  <w:r>
                    <w:rPr>
                      <w:rFonts w:hint="eastAsia"/>
                      <w:color w:val="auto"/>
                      <w:highlight w:val="none"/>
                      <w:lang w:val="en-US" w:eastAsia="zh-CN"/>
                    </w:rPr>
                    <w:t>SiO</w:t>
                  </w:r>
                  <w:r>
                    <w:rPr>
                      <w:rFonts w:hint="eastAsia"/>
                      <w:color w:val="auto"/>
                      <w:highlight w:val="none"/>
                      <w:vertAlign w:val="subscript"/>
                      <w:lang w:val="en-US" w:eastAsia="zh-CN"/>
                    </w:rPr>
                    <w:t>2</w:t>
                  </w:r>
                </w:p>
              </w:tc>
              <w:tc>
                <w:tcPr>
                  <w:tcW w:w="776" w:type="dxa"/>
                  <w:tcBorders>
                    <w:tl2br w:val="nil"/>
                    <w:tr2bl w:val="nil"/>
                  </w:tcBorders>
                  <w:vAlign w:val="center"/>
                </w:tcPr>
                <w:p w14:paraId="421C490A">
                  <w:pPr>
                    <w:pStyle w:val="40"/>
                    <w:bidi w:val="0"/>
                    <w:rPr>
                      <w:rFonts w:hint="default"/>
                      <w:color w:val="auto"/>
                      <w:highlight w:val="none"/>
                      <w:lang w:val="en-US" w:eastAsia="zh-CN"/>
                    </w:rPr>
                  </w:pPr>
                  <w:r>
                    <w:rPr>
                      <w:rFonts w:hint="default"/>
                      <w:color w:val="auto"/>
                      <w:highlight w:val="none"/>
                      <w:lang w:val="en-US" w:eastAsia="zh-CN"/>
                    </w:rPr>
                    <w:t>Al</w:t>
                  </w:r>
                  <w:r>
                    <w:rPr>
                      <w:rFonts w:hint="default"/>
                      <w:color w:val="auto"/>
                      <w:highlight w:val="none"/>
                      <w:vertAlign w:val="subscript"/>
                      <w:lang w:val="en-US" w:eastAsia="zh-CN"/>
                    </w:rPr>
                    <w:t>2</w:t>
                  </w:r>
                  <w:r>
                    <w:rPr>
                      <w:rFonts w:hint="default"/>
                      <w:color w:val="auto"/>
                      <w:highlight w:val="none"/>
                      <w:lang w:val="en-US" w:eastAsia="zh-CN"/>
                    </w:rPr>
                    <w:t>O</w:t>
                  </w:r>
                  <w:r>
                    <w:rPr>
                      <w:rFonts w:hint="default"/>
                      <w:color w:val="auto"/>
                      <w:highlight w:val="none"/>
                      <w:vertAlign w:val="subscript"/>
                      <w:lang w:val="en-US" w:eastAsia="zh-CN"/>
                    </w:rPr>
                    <w:t>3</w:t>
                  </w:r>
                </w:p>
              </w:tc>
              <w:tc>
                <w:tcPr>
                  <w:tcW w:w="776" w:type="dxa"/>
                  <w:tcBorders>
                    <w:tl2br w:val="nil"/>
                    <w:tr2bl w:val="nil"/>
                  </w:tcBorders>
                  <w:vAlign w:val="center"/>
                </w:tcPr>
                <w:p w14:paraId="36D341CC">
                  <w:pPr>
                    <w:pStyle w:val="40"/>
                    <w:bidi w:val="0"/>
                    <w:rPr>
                      <w:rFonts w:hint="default"/>
                      <w:color w:val="auto"/>
                      <w:highlight w:val="none"/>
                      <w:lang w:val="en-US" w:eastAsia="zh-CN"/>
                    </w:rPr>
                  </w:pPr>
                  <w:r>
                    <w:rPr>
                      <w:rFonts w:hint="eastAsia"/>
                      <w:color w:val="auto"/>
                      <w:highlight w:val="none"/>
                    </w:rPr>
                    <w:t>CaO</w:t>
                  </w:r>
                </w:p>
              </w:tc>
              <w:tc>
                <w:tcPr>
                  <w:tcW w:w="776" w:type="dxa"/>
                  <w:tcBorders>
                    <w:tl2br w:val="nil"/>
                    <w:tr2bl w:val="nil"/>
                  </w:tcBorders>
                  <w:vAlign w:val="center"/>
                </w:tcPr>
                <w:p w14:paraId="269D2E57">
                  <w:pPr>
                    <w:pStyle w:val="40"/>
                    <w:bidi w:val="0"/>
                    <w:rPr>
                      <w:rFonts w:hint="default"/>
                      <w:color w:val="auto"/>
                      <w:highlight w:val="none"/>
                      <w:lang w:val="en-US" w:eastAsia="zh-CN"/>
                    </w:rPr>
                  </w:pPr>
                  <w:r>
                    <w:rPr>
                      <w:rFonts w:hint="eastAsia"/>
                      <w:color w:val="auto"/>
                      <w:highlight w:val="none"/>
                    </w:rPr>
                    <w:t>MgO</w:t>
                  </w:r>
                </w:p>
              </w:tc>
              <w:tc>
                <w:tcPr>
                  <w:tcW w:w="776" w:type="dxa"/>
                  <w:tcBorders>
                    <w:tl2br w:val="nil"/>
                    <w:tr2bl w:val="nil"/>
                  </w:tcBorders>
                  <w:vAlign w:val="center"/>
                </w:tcPr>
                <w:p w14:paraId="07A31B85">
                  <w:pPr>
                    <w:pStyle w:val="40"/>
                    <w:bidi w:val="0"/>
                    <w:rPr>
                      <w:rFonts w:hint="default"/>
                      <w:color w:val="auto"/>
                      <w:highlight w:val="none"/>
                      <w:lang w:val="en-US" w:eastAsia="zh-CN"/>
                    </w:rPr>
                  </w:pPr>
                  <w:r>
                    <w:rPr>
                      <w:rFonts w:hint="eastAsia"/>
                      <w:color w:val="auto"/>
                      <w:highlight w:val="none"/>
                    </w:rPr>
                    <w:t>K</w:t>
                  </w:r>
                  <w:r>
                    <w:rPr>
                      <w:rFonts w:hint="eastAsia"/>
                      <w:color w:val="auto"/>
                      <w:highlight w:val="none"/>
                      <w:vertAlign w:val="subscript"/>
                    </w:rPr>
                    <w:t>2</w:t>
                  </w:r>
                  <w:r>
                    <w:rPr>
                      <w:rFonts w:hint="eastAsia"/>
                      <w:color w:val="auto"/>
                      <w:highlight w:val="none"/>
                    </w:rPr>
                    <w:t>O</w:t>
                  </w:r>
                </w:p>
              </w:tc>
              <w:tc>
                <w:tcPr>
                  <w:tcW w:w="776" w:type="dxa"/>
                  <w:tcBorders>
                    <w:tl2br w:val="nil"/>
                    <w:tr2bl w:val="nil"/>
                  </w:tcBorders>
                  <w:vAlign w:val="center"/>
                </w:tcPr>
                <w:p w14:paraId="061A2434">
                  <w:pPr>
                    <w:pStyle w:val="40"/>
                    <w:bidi w:val="0"/>
                    <w:rPr>
                      <w:rFonts w:hint="default"/>
                      <w:color w:val="auto"/>
                      <w:highlight w:val="none"/>
                      <w:lang w:val="en-US" w:eastAsia="zh-CN"/>
                    </w:rPr>
                  </w:pPr>
                  <w:r>
                    <w:rPr>
                      <w:rFonts w:hint="eastAsia"/>
                      <w:color w:val="auto"/>
                      <w:highlight w:val="none"/>
                    </w:rPr>
                    <w:t>Na</w:t>
                  </w:r>
                  <w:r>
                    <w:rPr>
                      <w:rFonts w:hint="eastAsia"/>
                      <w:color w:val="auto"/>
                      <w:highlight w:val="none"/>
                      <w:vertAlign w:val="subscript"/>
                    </w:rPr>
                    <w:t>2</w:t>
                  </w:r>
                  <w:r>
                    <w:rPr>
                      <w:rFonts w:hint="eastAsia"/>
                      <w:color w:val="auto"/>
                      <w:highlight w:val="none"/>
                    </w:rPr>
                    <w:t>O</w:t>
                  </w:r>
                </w:p>
              </w:tc>
              <w:tc>
                <w:tcPr>
                  <w:tcW w:w="776" w:type="dxa"/>
                  <w:tcBorders>
                    <w:tl2br w:val="nil"/>
                    <w:tr2bl w:val="nil"/>
                  </w:tcBorders>
                  <w:vAlign w:val="center"/>
                </w:tcPr>
                <w:p w14:paraId="3F3AF686">
                  <w:pPr>
                    <w:pStyle w:val="40"/>
                    <w:bidi w:val="0"/>
                    <w:rPr>
                      <w:rFonts w:hint="default"/>
                      <w:color w:val="auto"/>
                      <w:highlight w:val="none"/>
                      <w:lang w:val="en-US" w:eastAsia="zh-CN"/>
                    </w:rPr>
                  </w:pPr>
                  <w:r>
                    <w:rPr>
                      <w:rFonts w:hint="eastAsia"/>
                      <w:color w:val="auto"/>
                      <w:highlight w:val="none"/>
                    </w:rPr>
                    <w:t>Fe</w:t>
                  </w:r>
                  <w:r>
                    <w:rPr>
                      <w:rFonts w:hint="eastAsia"/>
                      <w:color w:val="auto"/>
                      <w:highlight w:val="none"/>
                      <w:vertAlign w:val="subscript"/>
                    </w:rPr>
                    <w:t>2</w:t>
                  </w:r>
                  <w:r>
                    <w:rPr>
                      <w:rFonts w:hint="eastAsia"/>
                      <w:color w:val="auto"/>
                      <w:highlight w:val="none"/>
                    </w:rPr>
                    <w:t>O</w:t>
                  </w:r>
                  <w:r>
                    <w:rPr>
                      <w:rFonts w:hint="eastAsia"/>
                      <w:color w:val="auto"/>
                      <w:highlight w:val="none"/>
                      <w:vertAlign w:val="subscript"/>
                    </w:rPr>
                    <w:t>3</w:t>
                  </w:r>
                </w:p>
              </w:tc>
              <w:tc>
                <w:tcPr>
                  <w:tcW w:w="780" w:type="dxa"/>
                  <w:tcBorders>
                    <w:tl2br w:val="nil"/>
                    <w:tr2bl w:val="nil"/>
                  </w:tcBorders>
                  <w:vAlign w:val="center"/>
                </w:tcPr>
                <w:p w14:paraId="7CEB3FFC">
                  <w:pPr>
                    <w:pStyle w:val="40"/>
                    <w:bidi w:val="0"/>
                    <w:rPr>
                      <w:rFonts w:hint="default"/>
                      <w:color w:val="auto"/>
                      <w:highlight w:val="none"/>
                      <w:lang w:val="en-US" w:eastAsia="zh-CN"/>
                    </w:rPr>
                  </w:pPr>
                  <w:r>
                    <w:rPr>
                      <w:rFonts w:hint="eastAsia"/>
                      <w:color w:val="auto"/>
                      <w:highlight w:val="none"/>
                      <w:lang w:eastAsia="zh-CN"/>
                    </w:rPr>
                    <w:t>SO</w:t>
                  </w:r>
                  <w:r>
                    <w:rPr>
                      <w:rFonts w:hint="eastAsia"/>
                      <w:color w:val="auto"/>
                      <w:highlight w:val="none"/>
                      <w:vertAlign w:val="subscript"/>
                      <w:lang w:eastAsia="zh-CN"/>
                    </w:rPr>
                    <w:t>3</w:t>
                  </w:r>
                </w:p>
              </w:tc>
              <w:tc>
                <w:tcPr>
                  <w:tcW w:w="870" w:type="dxa"/>
                  <w:tcBorders>
                    <w:tl2br w:val="nil"/>
                    <w:tr2bl w:val="nil"/>
                  </w:tcBorders>
                  <w:vAlign w:val="center"/>
                </w:tcPr>
                <w:p w14:paraId="629A3352">
                  <w:pPr>
                    <w:pStyle w:val="40"/>
                    <w:bidi w:val="0"/>
                    <w:rPr>
                      <w:rFonts w:hint="default"/>
                      <w:color w:val="auto"/>
                      <w:highlight w:val="none"/>
                      <w:lang w:val="en-US" w:eastAsia="zh-CN"/>
                    </w:rPr>
                  </w:pPr>
                  <w:r>
                    <w:rPr>
                      <w:rFonts w:hint="eastAsia"/>
                      <w:color w:val="auto"/>
                      <w:highlight w:val="none"/>
                    </w:rPr>
                    <w:t>烧失量</w:t>
                  </w:r>
                </w:p>
              </w:tc>
            </w:tr>
            <w:tr w14:paraId="162D32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09" w:type="dxa"/>
                  <w:tcBorders>
                    <w:tl2br w:val="nil"/>
                    <w:tr2bl w:val="nil"/>
                  </w:tcBorders>
                  <w:vAlign w:val="center"/>
                </w:tcPr>
                <w:p w14:paraId="6653691A">
                  <w:pPr>
                    <w:pStyle w:val="40"/>
                    <w:bidi w:val="0"/>
                    <w:rPr>
                      <w:rFonts w:hint="default"/>
                      <w:color w:val="auto"/>
                      <w:highlight w:val="none"/>
                      <w:lang w:val="en-US" w:eastAsia="zh-CN"/>
                    </w:rPr>
                  </w:pPr>
                  <w:r>
                    <w:rPr>
                      <w:rFonts w:hint="eastAsia"/>
                      <w:color w:val="auto"/>
                      <w:highlight w:val="none"/>
                      <w:lang w:val="en-US" w:eastAsia="zh-CN"/>
                    </w:rPr>
                    <w:t>粉煤灰（%）</w:t>
                  </w:r>
                </w:p>
              </w:tc>
              <w:tc>
                <w:tcPr>
                  <w:tcW w:w="776" w:type="dxa"/>
                  <w:tcBorders>
                    <w:tl2br w:val="nil"/>
                    <w:tr2bl w:val="nil"/>
                  </w:tcBorders>
                  <w:vAlign w:val="center"/>
                </w:tcPr>
                <w:p w14:paraId="24D75739">
                  <w:pPr>
                    <w:pStyle w:val="40"/>
                    <w:bidi w:val="0"/>
                    <w:rPr>
                      <w:rFonts w:hint="default"/>
                      <w:color w:val="auto"/>
                      <w:highlight w:val="none"/>
                      <w:lang w:val="en-US" w:eastAsia="zh-CN"/>
                    </w:rPr>
                  </w:pPr>
                  <w:r>
                    <w:rPr>
                      <w:rFonts w:hint="eastAsia"/>
                      <w:color w:val="auto"/>
                      <w:highlight w:val="none"/>
                      <w:lang w:val="en-US" w:eastAsia="zh-CN"/>
                    </w:rPr>
                    <w:t>53.75</w:t>
                  </w:r>
                </w:p>
              </w:tc>
              <w:tc>
                <w:tcPr>
                  <w:tcW w:w="776" w:type="dxa"/>
                  <w:tcBorders>
                    <w:tl2br w:val="nil"/>
                    <w:tr2bl w:val="nil"/>
                  </w:tcBorders>
                  <w:shd w:val="clear" w:color="auto" w:fill="auto"/>
                  <w:vAlign w:val="center"/>
                </w:tcPr>
                <w:p w14:paraId="61AA324F">
                  <w:pPr>
                    <w:pStyle w:val="40"/>
                    <w:bidi w:val="0"/>
                    <w:rPr>
                      <w:rFonts w:hint="default"/>
                      <w:color w:val="auto"/>
                      <w:highlight w:val="none"/>
                      <w:lang w:val="en-US" w:eastAsia="zh-CN"/>
                    </w:rPr>
                  </w:pPr>
                  <w:r>
                    <w:rPr>
                      <w:rFonts w:hint="eastAsia"/>
                      <w:color w:val="auto"/>
                      <w:highlight w:val="none"/>
                    </w:rPr>
                    <w:t>17.51</w:t>
                  </w:r>
                </w:p>
              </w:tc>
              <w:tc>
                <w:tcPr>
                  <w:tcW w:w="776" w:type="dxa"/>
                  <w:tcBorders>
                    <w:tl2br w:val="nil"/>
                    <w:tr2bl w:val="nil"/>
                  </w:tcBorders>
                  <w:shd w:val="clear" w:color="auto" w:fill="auto"/>
                  <w:vAlign w:val="center"/>
                </w:tcPr>
                <w:p w14:paraId="6A08C05F">
                  <w:pPr>
                    <w:pStyle w:val="40"/>
                    <w:bidi w:val="0"/>
                    <w:rPr>
                      <w:rFonts w:hint="default"/>
                      <w:color w:val="auto"/>
                      <w:highlight w:val="none"/>
                      <w:lang w:val="en-US" w:eastAsia="zh-CN"/>
                    </w:rPr>
                  </w:pPr>
                  <w:r>
                    <w:rPr>
                      <w:rFonts w:hint="eastAsia"/>
                      <w:color w:val="auto"/>
                      <w:highlight w:val="none"/>
                    </w:rPr>
                    <w:t>2.5</w:t>
                  </w:r>
                </w:p>
              </w:tc>
              <w:tc>
                <w:tcPr>
                  <w:tcW w:w="776" w:type="dxa"/>
                  <w:tcBorders>
                    <w:tl2br w:val="nil"/>
                    <w:tr2bl w:val="nil"/>
                  </w:tcBorders>
                  <w:shd w:val="clear" w:color="auto" w:fill="auto"/>
                  <w:vAlign w:val="center"/>
                </w:tcPr>
                <w:p w14:paraId="1A262CC9">
                  <w:pPr>
                    <w:pStyle w:val="40"/>
                    <w:bidi w:val="0"/>
                    <w:rPr>
                      <w:rFonts w:hint="default"/>
                      <w:color w:val="auto"/>
                      <w:highlight w:val="none"/>
                      <w:lang w:val="en-US" w:eastAsia="zh-CN"/>
                    </w:rPr>
                  </w:pPr>
                  <w:r>
                    <w:rPr>
                      <w:rFonts w:hint="eastAsia"/>
                      <w:color w:val="auto"/>
                      <w:highlight w:val="none"/>
                    </w:rPr>
                    <w:t>3.88</w:t>
                  </w:r>
                </w:p>
              </w:tc>
              <w:tc>
                <w:tcPr>
                  <w:tcW w:w="776" w:type="dxa"/>
                  <w:tcBorders>
                    <w:tl2br w:val="nil"/>
                    <w:tr2bl w:val="nil"/>
                  </w:tcBorders>
                  <w:shd w:val="clear" w:color="auto" w:fill="auto"/>
                  <w:vAlign w:val="center"/>
                </w:tcPr>
                <w:p w14:paraId="23F16801">
                  <w:pPr>
                    <w:pStyle w:val="40"/>
                    <w:bidi w:val="0"/>
                    <w:rPr>
                      <w:rFonts w:hint="default"/>
                      <w:color w:val="auto"/>
                      <w:highlight w:val="none"/>
                      <w:lang w:val="en-US" w:eastAsia="zh-CN"/>
                    </w:rPr>
                  </w:pPr>
                  <w:r>
                    <w:rPr>
                      <w:rFonts w:hint="eastAsia"/>
                      <w:color w:val="auto"/>
                      <w:highlight w:val="none"/>
                    </w:rPr>
                    <w:t>2.12</w:t>
                  </w:r>
                </w:p>
              </w:tc>
              <w:tc>
                <w:tcPr>
                  <w:tcW w:w="776" w:type="dxa"/>
                  <w:tcBorders>
                    <w:tl2br w:val="nil"/>
                    <w:tr2bl w:val="nil"/>
                  </w:tcBorders>
                  <w:shd w:val="clear" w:color="auto" w:fill="auto"/>
                  <w:vAlign w:val="center"/>
                </w:tcPr>
                <w:p w14:paraId="3DC8781A">
                  <w:pPr>
                    <w:pStyle w:val="40"/>
                    <w:bidi w:val="0"/>
                    <w:rPr>
                      <w:rFonts w:hint="default"/>
                      <w:color w:val="auto"/>
                      <w:highlight w:val="none"/>
                      <w:lang w:val="en-US" w:eastAsia="zh-CN"/>
                    </w:rPr>
                  </w:pPr>
                  <w:r>
                    <w:rPr>
                      <w:rFonts w:hint="eastAsia"/>
                      <w:color w:val="auto"/>
                      <w:highlight w:val="none"/>
                    </w:rPr>
                    <w:t>1.40</w:t>
                  </w:r>
                </w:p>
              </w:tc>
              <w:tc>
                <w:tcPr>
                  <w:tcW w:w="776" w:type="dxa"/>
                  <w:tcBorders>
                    <w:tl2br w:val="nil"/>
                    <w:tr2bl w:val="nil"/>
                  </w:tcBorders>
                  <w:shd w:val="clear" w:color="auto" w:fill="auto"/>
                  <w:vAlign w:val="center"/>
                </w:tcPr>
                <w:p w14:paraId="0B3BEBC2">
                  <w:pPr>
                    <w:pStyle w:val="40"/>
                    <w:bidi w:val="0"/>
                    <w:rPr>
                      <w:rFonts w:hint="default"/>
                      <w:color w:val="auto"/>
                      <w:highlight w:val="none"/>
                      <w:lang w:val="en-US" w:eastAsia="zh-CN"/>
                    </w:rPr>
                  </w:pPr>
                  <w:r>
                    <w:rPr>
                      <w:rFonts w:hint="eastAsia"/>
                      <w:color w:val="auto"/>
                      <w:highlight w:val="none"/>
                    </w:rPr>
                    <w:t>9.7</w:t>
                  </w:r>
                </w:p>
              </w:tc>
              <w:tc>
                <w:tcPr>
                  <w:tcW w:w="780" w:type="dxa"/>
                  <w:tcBorders>
                    <w:tl2br w:val="nil"/>
                    <w:tr2bl w:val="nil"/>
                  </w:tcBorders>
                  <w:shd w:val="clear" w:color="auto" w:fill="auto"/>
                  <w:vAlign w:val="center"/>
                </w:tcPr>
                <w:p w14:paraId="5F6594EE">
                  <w:pPr>
                    <w:pStyle w:val="40"/>
                    <w:bidi w:val="0"/>
                    <w:rPr>
                      <w:rFonts w:hint="default"/>
                      <w:color w:val="auto"/>
                      <w:highlight w:val="none"/>
                      <w:lang w:val="en-US" w:eastAsia="zh-CN"/>
                    </w:rPr>
                  </w:pPr>
                  <w:r>
                    <w:rPr>
                      <w:rFonts w:hint="eastAsia"/>
                      <w:color w:val="auto"/>
                      <w:highlight w:val="none"/>
                    </w:rPr>
                    <w:t>1.46</w:t>
                  </w:r>
                </w:p>
              </w:tc>
              <w:tc>
                <w:tcPr>
                  <w:tcW w:w="870" w:type="dxa"/>
                  <w:tcBorders>
                    <w:tl2br w:val="nil"/>
                    <w:tr2bl w:val="nil"/>
                  </w:tcBorders>
                  <w:shd w:val="clear" w:color="auto" w:fill="auto"/>
                  <w:vAlign w:val="center"/>
                </w:tcPr>
                <w:p w14:paraId="6831C9F8">
                  <w:pPr>
                    <w:pStyle w:val="40"/>
                    <w:bidi w:val="0"/>
                    <w:rPr>
                      <w:rFonts w:hint="default"/>
                      <w:color w:val="auto"/>
                      <w:highlight w:val="none"/>
                      <w:lang w:val="en-US" w:eastAsia="zh-CN"/>
                    </w:rPr>
                  </w:pPr>
                  <w:r>
                    <w:rPr>
                      <w:rFonts w:hint="eastAsia"/>
                      <w:color w:val="auto"/>
                      <w:highlight w:val="none"/>
                    </w:rPr>
                    <w:t>7.44</w:t>
                  </w:r>
                </w:p>
              </w:tc>
            </w:tr>
            <w:tr w14:paraId="7B45EB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09" w:type="dxa"/>
                  <w:tcBorders>
                    <w:tl2br w:val="nil"/>
                    <w:tr2bl w:val="nil"/>
                  </w:tcBorders>
                  <w:vAlign w:val="center"/>
                </w:tcPr>
                <w:p w14:paraId="22A09BEC">
                  <w:pPr>
                    <w:pStyle w:val="40"/>
                    <w:bidi w:val="0"/>
                    <w:rPr>
                      <w:rFonts w:hint="default"/>
                      <w:color w:val="auto"/>
                      <w:highlight w:val="none"/>
                      <w:lang w:val="en-US" w:eastAsia="zh-CN"/>
                    </w:rPr>
                  </w:pPr>
                  <w:r>
                    <w:rPr>
                      <w:rFonts w:hint="eastAsia"/>
                      <w:color w:val="auto"/>
                      <w:highlight w:val="none"/>
                      <w:lang w:val="en-US" w:eastAsia="zh-CN"/>
                    </w:rPr>
                    <w:t>炉渣（%）</w:t>
                  </w:r>
                </w:p>
              </w:tc>
              <w:tc>
                <w:tcPr>
                  <w:tcW w:w="776" w:type="dxa"/>
                  <w:tcBorders>
                    <w:tl2br w:val="nil"/>
                    <w:tr2bl w:val="nil"/>
                  </w:tcBorders>
                  <w:vAlign w:val="center"/>
                </w:tcPr>
                <w:p w14:paraId="0546CE75">
                  <w:pPr>
                    <w:pStyle w:val="40"/>
                    <w:bidi w:val="0"/>
                    <w:rPr>
                      <w:rFonts w:hint="default"/>
                      <w:color w:val="auto"/>
                      <w:highlight w:val="none"/>
                      <w:lang w:val="en-US" w:eastAsia="zh-CN"/>
                    </w:rPr>
                  </w:pPr>
                  <w:r>
                    <w:rPr>
                      <w:rFonts w:hint="eastAsia"/>
                      <w:color w:val="auto"/>
                      <w:highlight w:val="none"/>
                      <w:lang w:val="en-US" w:eastAsia="zh-CN"/>
                    </w:rPr>
                    <w:t>63.6</w:t>
                  </w:r>
                </w:p>
              </w:tc>
              <w:tc>
                <w:tcPr>
                  <w:tcW w:w="776" w:type="dxa"/>
                  <w:tcBorders>
                    <w:tl2br w:val="nil"/>
                    <w:tr2bl w:val="nil"/>
                  </w:tcBorders>
                  <w:shd w:val="clear" w:color="auto" w:fill="auto"/>
                  <w:vAlign w:val="center"/>
                </w:tcPr>
                <w:p w14:paraId="664A6DC6">
                  <w:pPr>
                    <w:pStyle w:val="40"/>
                    <w:bidi w:val="0"/>
                    <w:rPr>
                      <w:rFonts w:hint="default"/>
                      <w:color w:val="auto"/>
                      <w:highlight w:val="none"/>
                      <w:lang w:val="en-US" w:eastAsia="zh-CN"/>
                    </w:rPr>
                  </w:pPr>
                  <w:r>
                    <w:rPr>
                      <w:rFonts w:hint="eastAsia"/>
                      <w:color w:val="auto"/>
                      <w:highlight w:val="none"/>
                    </w:rPr>
                    <w:t>16.7</w:t>
                  </w:r>
                </w:p>
              </w:tc>
              <w:tc>
                <w:tcPr>
                  <w:tcW w:w="776" w:type="dxa"/>
                  <w:tcBorders>
                    <w:tl2br w:val="nil"/>
                    <w:tr2bl w:val="nil"/>
                  </w:tcBorders>
                  <w:shd w:val="clear" w:color="auto" w:fill="auto"/>
                  <w:vAlign w:val="center"/>
                </w:tcPr>
                <w:p w14:paraId="2017E0E0">
                  <w:pPr>
                    <w:pStyle w:val="40"/>
                    <w:bidi w:val="0"/>
                    <w:rPr>
                      <w:rFonts w:hint="default"/>
                      <w:color w:val="auto"/>
                      <w:highlight w:val="none"/>
                      <w:lang w:val="en-US" w:eastAsia="zh-CN"/>
                    </w:rPr>
                  </w:pPr>
                  <w:r>
                    <w:rPr>
                      <w:rFonts w:hint="eastAsia"/>
                      <w:color w:val="auto"/>
                      <w:highlight w:val="none"/>
                    </w:rPr>
                    <w:t>3.35</w:t>
                  </w:r>
                </w:p>
              </w:tc>
              <w:tc>
                <w:tcPr>
                  <w:tcW w:w="776" w:type="dxa"/>
                  <w:tcBorders>
                    <w:tl2br w:val="nil"/>
                    <w:tr2bl w:val="nil"/>
                  </w:tcBorders>
                  <w:shd w:val="clear" w:color="auto" w:fill="auto"/>
                  <w:vAlign w:val="center"/>
                </w:tcPr>
                <w:p w14:paraId="4AC52AF0">
                  <w:pPr>
                    <w:pStyle w:val="40"/>
                    <w:bidi w:val="0"/>
                    <w:rPr>
                      <w:rFonts w:hint="default"/>
                      <w:color w:val="auto"/>
                      <w:highlight w:val="none"/>
                      <w:lang w:val="en-US" w:eastAsia="zh-CN"/>
                    </w:rPr>
                  </w:pPr>
                  <w:r>
                    <w:rPr>
                      <w:rFonts w:hint="eastAsia"/>
                      <w:color w:val="auto"/>
                      <w:highlight w:val="none"/>
                    </w:rPr>
                    <w:t>3.35</w:t>
                  </w:r>
                </w:p>
              </w:tc>
              <w:tc>
                <w:tcPr>
                  <w:tcW w:w="776" w:type="dxa"/>
                  <w:tcBorders>
                    <w:tl2br w:val="nil"/>
                    <w:tr2bl w:val="nil"/>
                  </w:tcBorders>
                  <w:shd w:val="clear" w:color="auto" w:fill="auto"/>
                  <w:vAlign w:val="center"/>
                </w:tcPr>
                <w:p w14:paraId="6710FC5F">
                  <w:pPr>
                    <w:pStyle w:val="40"/>
                    <w:bidi w:val="0"/>
                    <w:rPr>
                      <w:rFonts w:hint="default"/>
                      <w:color w:val="auto"/>
                      <w:highlight w:val="none"/>
                      <w:lang w:val="en-US" w:eastAsia="zh-CN"/>
                    </w:rPr>
                  </w:pPr>
                  <w:r>
                    <w:rPr>
                      <w:rFonts w:hint="eastAsia"/>
                      <w:color w:val="auto"/>
                      <w:highlight w:val="none"/>
                    </w:rPr>
                    <w:t>2.38</w:t>
                  </w:r>
                </w:p>
              </w:tc>
              <w:tc>
                <w:tcPr>
                  <w:tcW w:w="776" w:type="dxa"/>
                  <w:tcBorders>
                    <w:tl2br w:val="nil"/>
                    <w:tr2bl w:val="nil"/>
                  </w:tcBorders>
                  <w:shd w:val="clear" w:color="auto" w:fill="auto"/>
                  <w:vAlign w:val="center"/>
                </w:tcPr>
                <w:p w14:paraId="747C46F2">
                  <w:pPr>
                    <w:pStyle w:val="40"/>
                    <w:bidi w:val="0"/>
                    <w:rPr>
                      <w:rFonts w:hint="default"/>
                      <w:color w:val="auto"/>
                      <w:highlight w:val="none"/>
                      <w:lang w:val="en-US" w:eastAsia="zh-CN"/>
                    </w:rPr>
                  </w:pPr>
                  <w:r>
                    <w:rPr>
                      <w:rFonts w:hint="eastAsia"/>
                      <w:color w:val="auto"/>
                      <w:highlight w:val="none"/>
                    </w:rPr>
                    <w:t>1.73</w:t>
                  </w:r>
                </w:p>
              </w:tc>
              <w:tc>
                <w:tcPr>
                  <w:tcW w:w="776" w:type="dxa"/>
                  <w:tcBorders>
                    <w:tl2br w:val="nil"/>
                    <w:tr2bl w:val="nil"/>
                  </w:tcBorders>
                  <w:shd w:val="clear" w:color="auto" w:fill="auto"/>
                  <w:vAlign w:val="center"/>
                </w:tcPr>
                <w:p w14:paraId="2C93AD61">
                  <w:pPr>
                    <w:pStyle w:val="40"/>
                    <w:bidi w:val="0"/>
                    <w:rPr>
                      <w:rFonts w:hint="default"/>
                      <w:color w:val="auto"/>
                      <w:highlight w:val="none"/>
                      <w:lang w:val="en-US" w:eastAsia="zh-CN"/>
                    </w:rPr>
                  </w:pPr>
                  <w:r>
                    <w:rPr>
                      <w:rFonts w:hint="eastAsia"/>
                      <w:color w:val="auto"/>
                      <w:highlight w:val="none"/>
                    </w:rPr>
                    <w:t>7.03</w:t>
                  </w:r>
                </w:p>
              </w:tc>
              <w:tc>
                <w:tcPr>
                  <w:tcW w:w="780" w:type="dxa"/>
                  <w:tcBorders>
                    <w:tl2br w:val="nil"/>
                    <w:tr2bl w:val="nil"/>
                  </w:tcBorders>
                  <w:shd w:val="clear" w:color="auto" w:fill="auto"/>
                  <w:vAlign w:val="center"/>
                </w:tcPr>
                <w:p w14:paraId="59511298">
                  <w:pPr>
                    <w:pStyle w:val="40"/>
                    <w:bidi w:val="0"/>
                    <w:rPr>
                      <w:rFonts w:hint="default"/>
                      <w:color w:val="auto"/>
                      <w:highlight w:val="none"/>
                      <w:lang w:val="en-US" w:eastAsia="zh-CN"/>
                    </w:rPr>
                  </w:pPr>
                  <w:r>
                    <w:rPr>
                      <w:rFonts w:hint="eastAsia"/>
                      <w:color w:val="auto"/>
                      <w:highlight w:val="none"/>
                    </w:rPr>
                    <w:t>0.72</w:t>
                  </w:r>
                </w:p>
              </w:tc>
              <w:tc>
                <w:tcPr>
                  <w:tcW w:w="870" w:type="dxa"/>
                  <w:tcBorders>
                    <w:tl2br w:val="nil"/>
                    <w:tr2bl w:val="nil"/>
                  </w:tcBorders>
                  <w:shd w:val="clear" w:color="auto" w:fill="auto"/>
                  <w:vAlign w:val="center"/>
                </w:tcPr>
                <w:p w14:paraId="61CF253E">
                  <w:pPr>
                    <w:pStyle w:val="40"/>
                    <w:bidi w:val="0"/>
                    <w:rPr>
                      <w:rFonts w:hint="default"/>
                      <w:color w:val="auto"/>
                      <w:highlight w:val="none"/>
                      <w:lang w:val="en-US" w:eastAsia="zh-CN"/>
                    </w:rPr>
                  </w:pPr>
                  <w:r>
                    <w:rPr>
                      <w:rFonts w:hint="eastAsia"/>
                      <w:color w:val="auto"/>
                      <w:highlight w:val="none"/>
                    </w:rPr>
                    <w:t>1.30</w:t>
                  </w:r>
                </w:p>
              </w:tc>
            </w:tr>
          </w:tbl>
          <w:p w14:paraId="66744B11">
            <w:pPr>
              <w:pStyle w:val="41"/>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color w:val="auto"/>
                <w:highlight w:val="none"/>
                <w:lang w:val="en-US" w:eastAsia="zh-CN"/>
              </w:rPr>
            </w:pPr>
            <w:r>
              <w:rPr>
                <w:rFonts w:hint="eastAsia"/>
                <w:color w:val="auto"/>
                <w:highlight w:val="none"/>
                <w:lang w:val="en-US" w:eastAsia="zh-CN"/>
              </w:rPr>
              <w:t>（2）脱硫石膏</w:t>
            </w:r>
          </w:p>
          <w:p w14:paraId="7E2B350D">
            <w:pPr>
              <w:bidi w:val="0"/>
              <w:rPr>
                <w:rFonts w:hint="default"/>
                <w:color w:val="auto"/>
                <w:highlight w:val="none"/>
                <w:lang w:val="en-US" w:eastAsia="zh-CN"/>
              </w:rPr>
            </w:pPr>
            <w:r>
              <w:rPr>
                <w:rFonts w:hint="eastAsia"/>
                <w:color w:val="auto"/>
                <w:highlight w:val="none"/>
                <w:lang w:val="en-US" w:eastAsia="zh-CN"/>
              </w:rPr>
              <w:t>脱硫石膏主要化学成分见</w:t>
            </w:r>
            <w:r>
              <w:rPr>
                <w:rFonts w:hint="eastAsia"/>
                <w:color w:val="auto"/>
                <w:highlight w:val="none"/>
                <w:lang w:val="en-US" w:eastAsia="zh-CN"/>
              </w:rPr>
              <w:fldChar w:fldCharType="begin"/>
            </w:r>
            <w:r>
              <w:rPr>
                <w:rFonts w:hint="eastAsia"/>
                <w:color w:val="auto"/>
                <w:highlight w:val="none"/>
                <w:lang w:val="en-US" w:eastAsia="zh-CN"/>
              </w:rPr>
              <w:instrText xml:space="preserve"> REF _Ref12803 \h </w:instrText>
            </w:r>
            <w:r>
              <w:rPr>
                <w:rFonts w:hint="eastAsia"/>
                <w:color w:val="auto"/>
                <w:highlight w:val="none"/>
                <w:lang w:val="en-US" w:eastAsia="zh-CN"/>
              </w:rPr>
              <w:fldChar w:fldCharType="separate"/>
            </w:r>
            <w:r>
              <w:rPr>
                <w:color w:val="auto"/>
                <w:highlight w:val="none"/>
              </w:rPr>
              <w:t>表2-9</w:t>
            </w:r>
            <w:r>
              <w:rPr>
                <w:rFonts w:hint="eastAsia"/>
                <w:color w:val="auto"/>
                <w:highlight w:val="none"/>
                <w:lang w:val="en-US" w:eastAsia="zh-CN"/>
              </w:rPr>
              <w:fldChar w:fldCharType="end"/>
            </w:r>
            <w:r>
              <w:rPr>
                <w:rFonts w:hint="eastAsia"/>
                <w:color w:val="auto"/>
                <w:highlight w:val="none"/>
                <w:lang w:val="en-US" w:eastAsia="zh-CN"/>
              </w:rPr>
              <w:t>。</w:t>
            </w:r>
          </w:p>
          <w:p w14:paraId="41B23CAB">
            <w:pPr>
              <w:pStyle w:val="7"/>
              <w:rPr>
                <w:rFonts w:hint="default"/>
                <w:color w:val="auto"/>
                <w:highlight w:val="none"/>
                <w:lang w:val="en-US" w:eastAsia="zh-CN"/>
              </w:rPr>
            </w:pPr>
            <w:bookmarkStart w:id="19" w:name="_Ref12803"/>
            <w:r>
              <w:rPr>
                <w:color w:val="auto"/>
                <w:highlight w:val="none"/>
              </w:rPr>
              <w:t>表2-</w:t>
            </w:r>
            <w:r>
              <w:rPr>
                <w:color w:val="auto"/>
                <w:highlight w:val="none"/>
              </w:rPr>
              <w:fldChar w:fldCharType="begin"/>
            </w:r>
            <w:r>
              <w:rPr>
                <w:color w:val="auto"/>
                <w:highlight w:val="none"/>
              </w:rPr>
              <w:instrText xml:space="preserve"> SEQ 表2- \* ARABIC </w:instrText>
            </w:r>
            <w:r>
              <w:rPr>
                <w:color w:val="auto"/>
                <w:highlight w:val="none"/>
              </w:rPr>
              <w:fldChar w:fldCharType="separate"/>
            </w:r>
            <w:r>
              <w:rPr>
                <w:color w:val="auto"/>
                <w:highlight w:val="none"/>
              </w:rPr>
              <w:t>9</w:t>
            </w:r>
            <w:r>
              <w:rPr>
                <w:color w:val="auto"/>
                <w:highlight w:val="none"/>
              </w:rPr>
              <w:fldChar w:fldCharType="end"/>
            </w:r>
            <w:bookmarkEnd w:id="19"/>
            <w:r>
              <w:rPr>
                <w:rFonts w:hint="eastAsia"/>
                <w:color w:val="auto"/>
                <w:highlight w:val="none"/>
                <w:lang w:val="en-US" w:eastAsia="zh-CN"/>
              </w:rPr>
              <w:t xml:space="preserve">  脱硫石膏主要化学成分分析一览表</w:t>
            </w:r>
          </w:p>
          <w:tbl>
            <w:tblPr>
              <w:tblStyle w:val="25"/>
              <w:tblW w:w="8391"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6"/>
              <w:gridCol w:w="900"/>
              <w:gridCol w:w="963"/>
              <w:gridCol w:w="1325"/>
              <w:gridCol w:w="1500"/>
              <w:gridCol w:w="762"/>
              <w:gridCol w:w="663"/>
              <w:gridCol w:w="862"/>
              <w:gridCol w:w="500"/>
            </w:tblGrid>
            <w:tr w14:paraId="02345F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16" w:type="dxa"/>
                  <w:tcBorders>
                    <w:tl2br w:val="nil"/>
                    <w:tr2bl w:val="nil"/>
                  </w:tcBorders>
                  <w:vAlign w:val="center"/>
                </w:tcPr>
                <w:p w14:paraId="03FC94AD">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项目</w:t>
                  </w:r>
                </w:p>
              </w:tc>
              <w:tc>
                <w:tcPr>
                  <w:tcW w:w="900" w:type="dxa"/>
                  <w:tcBorders>
                    <w:tl2br w:val="nil"/>
                    <w:tr2bl w:val="nil"/>
                  </w:tcBorders>
                  <w:vAlign w:val="center"/>
                </w:tcPr>
                <w:p w14:paraId="665C58EC">
                  <w:pPr>
                    <w:pStyle w:val="4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附着水</w:t>
                  </w:r>
                </w:p>
              </w:tc>
              <w:tc>
                <w:tcPr>
                  <w:tcW w:w="963" w:type="dxa"/>
                  <w:tcBorders>
                    <w:tl2br w:val="nil"/>
                    <w:tr2bl w:val="nil"/>
                  </w:tcBorders>
                  <w:vAlign w:val="center"/>
                </w:tcPr>
                <w:p w14:paraId="5CE01C12">
                  <w:pPr>
                    <w:pStyle w:val="4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结晶水</w:t>
                  </w:r>
                </w:p>
              </w:tc>
              <w:tc>
                <w:tcPr>
                  <w:tcW w:w="1325" w:type="dxa"/>
                  <w:tcBorders>
                    <w:tl2br w:val="nil"/>
                    <w:tr2bl w:val="nil"/>
                  </w:tcBorders>
                  <w:vAlign w:val="center"/>
                </w:tcPr>
                <w:p w14:paraId="25BB779B">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CaSO</w:t>
                  </w:r>
                  <w:r>
                    <w:rPr>
                      <w:rFonts w:hint="default" w:ascii="Times New Roman" w:hAnsi="Times New Roman" w:cs="Times New Roman"/>
                      <w:color w:val="auto"/>
                      <w:highlight w:val="none"/>
                      <w:vertAlign w:val="subscript"/>
                      <w:lang w:val="en-US" w:eastAsia="zh-CN"/>
                    </w:rPr>
                    <w:t>4</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vertAlign w:val="subscript"/>
                      <w:lang w:val="en-US" w:eastAsia="zh-CN"/>
                    </w:rPr>
                    <w:t>2</w:t>
                  </w:r>
                  <w:r>
                    <w:rPr>
                      <w:rFonts w:hint="default" w:ascii="Times New Roman" w:hAnsi="Times New Roman" w:cs="Times New Roman"/>
                      <w:color w:val="auto"/>
                      <w:highlight w:val="none"/>
                      <w:lang w:val="en-US" w:eastAsia="zh-CN"/>
                    </w:rPr>
                    <w:t>H</w:t>
                  </w:r>
                  <w:r>
                    <w:rPr>
                      <w:rFonts w:hint="default" w:ascii="Times New Roman" w:hAnsi="Times New Roman" w:cs="Times New Roman"/>
                      <w:color w:val="auto"/>
                      <w:highlight w:val="none"/>
                      <w:vertAlign w:val="subscript"/>
                      <w:lang w:val="en-US" w:eastAsia="zh-CN"/>
                    </w:rPr>
                    <w:t>2</w:t>
                  </w:r>
                  <w:r>
                    <w:rPr>
                      <w:rFonts w:hint="default" w:ascii="Times New Roman" w:hAnsi="Times New Roman" w:cs="Times New Roman"/>
                      <w:color w:val="auto"/>
                      <w:highlight w:val="none"/>
                      <w:lang w:val="en-US" w:eastAsia="zh-CN"/>
                    </w:rPr>
                    <w:t>O</w:t>
                  </w:r>
                </w:p>
              </w:tc>
              <w:tc>
                <w:tcPr>
                  <w:tcW w:w="1500" w:type="dxa"/>
                  <w:tcBorders>
                    <w:tl2br w:val="nil"/>
                    <w:tr2bl w:val="nil"/>
                  </w:tcBorders>
                  <w:vAlign w:val="center"/>
                </w:tcPr>
                <w:p w14:paraId="034CD87E">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CaSO</w:t>
                  </w:r>
                  <w:r>
                    <w:rPr>
                      <w:rFonts w:hint="default" w:ascii="Times New Roman" w:hAnsi="Times New Roman" w:cs="Times New Roman"/>
                      <w:color w:val="auto"/>
                      <w:highlight w:val="none"/>
                      <w:vertAlign w:val="subscript"/>
                      <w:lang w:val="en-US" w:eastAsia="zh-CN"/>
                    </w:rPr>
                    <w:t>3</w:t>
                  </w:r>
                  <w:r>
                    <w:rPr>
                      <w:rFonts w:hint="default" w:ascii="Times New Roman" w:hAnsi="Times New Roman" w:cs="Times New Roman"/>
                      <w:color w:val="auto"/>
                      <w:highlight w:val="none"/>
                      <w:lang w:val="en-US" w:eastAsia="zh-CN"/>
                    </w:rPr>
                    <w:t>·1/2H</w:t>
                  </w:r>
                  <w:r>
                    <w:rPr>
                      <w:rFonts w:hint="default" w:ascii="Times New Roman" w:hAnsi="Times New Roman" w:cs="Times New Roman"/>
                      <w:color w:val="auto"/>
                      <w:highlight w:val="none"/>
                      <w:vertAlign w:val="subscript"/>
                      <w:lang w:val="en-US" w:eastAsia="zh-CN"/>
                    </w:rPr>
                    <w:t>2</w:t>
                  </w:r>
                  <w:r>
                    <w:rPr>
                      <w:rFonts w:hint="default" w:ascii="Times New Roman" w:hAnsi="Times New Roman" w:cs="Times New Roman"/>
                      <w:color w:val="auto"/>
                      <w:highlight w:val="none"/>
                      <w:lang w:val="en-US" w:eastAsia="zh-CN"/>
                    </w:rPr>
                    <w:t>O</w:t>
                  </w:r>
                </w:p>
              </w:tc>
              <w:tc>
                <w:tcPr>
                  <w:tcW w:w="762" w:type="dxa"/>
                  <w:tcBorders>
                    <w:tl2br w:val="nil"/>
                    <w:tr2bl w:val="nil"/>
                  </w:tcBorders>
                  <w:vAlign w:val="center"/>
                </w:tcPr>
                <w:p w14:paraId="019064C6">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Na</w:t>
                  </w:r>
                  <w:r>
                    <w:rPr>
                      <w:rFonts w:hint="default" w:ascii="Times New Roman" w:hAnsi="Times New Roman" w:cs="Times New Roman"/>
                      <w:color w:val="auto"/>
                      <w:highlight w:val="none"/>
                      <w:vertAlign w:val="subscript"/>
                      <w:lang w:val="en-US" w:eastAsia="zh-CN"/>
                    </w:rPr>
                    <w:t>2</w:t>
                  </w:r>
                  <w:r>
                    <w:rPr>
                      <w:rFonts w:hint="default" w:ascii="Times New Roman" w:hAnsi="Times New Roman" w:cs="Times New Roman"/>
                      <w:color w:val="auto"/>
                      <w:highlight w:val="none"/>
                      <w:lang w:val="en-US" w:eastAsia="zh-CN"/>
                    </w:rPr>
                    <w:t>O</w:t>
                  </w:r>
                </w:p>
              </w:tc>
              <w:tc>
                <w:tcPr>
                  <w:tcW w:w="663" w:type="dxa"/>
                  <w:tcBorders>
                    <w:tl2br w:val="nil"/>
                    <w:tr2bl w:val="nil"/>
                  </w:tcBorders>
                  <w:vAlign w:val="center"/>
                </w:tcPr>
                <w:p w14:paraId="63303E9B">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MgO</w:t>
                  </w:r>
                </w:p>
              </w:tc>
              <w:tc>
                <w:tcPr>
                  <w:tcW w:w="862" w:type="dxa"/>
                  <w:tcBorders>
                    <w:tl2br w:val="nil"/>
                    <w:tr2bl w:val="nil"/>
                  </w:tcBorders>
                  <w:vAlign w:val="center"/>
                </w:tcPr>
                <w:p w14:paraId="3708F723">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氯离子</w:t>
                  </w:r>
                </w:p>
              </w:tc>
              <w:tc>
                <w:tcPr>
                  <w:tcW w:w="500" w:type="dxa"/>
                  <w:tcBorders>
                    <w:tl2br w:val="nil"/>
                    <w:tr2bl w:val="nil"/>
                  </w:tcBorders>
                  <w:vAlign w:val="center"/>
                </w:tcPr>
                <w:p w14:paraId="3AE369D2">
                  <w:pPr>
                    <w:pStyle w:val="40"/>
                    <w:bidi w:val="0"/>
                    <w:rPr>
                      <w:rFonts w:hint="default"/>
                      <w:color w:val="auto"/>
                      <w:highlight w:val="none"/>
                      <w:lang w:val="en-US" w:eastAsia="zh-CN"/>
                    </w:rPr>
                  </w:pPr>
                  <w:r>
                    <w:rPr>
                      <w:rFonts w:hint="eastAsia"/>
                      <w:color w:val="auto"/>
                      <w:highlight w:val="none"/>
                      <w:lang w:val="en-US" w:eastAsia="zh-CN"/>
                    </w:rPr>
                    <w:t>pH</w:t>
                  </w:r>
                </w:p>
              </w:tc>
            </w:tr>
            <w:tr w14:paraId="0B697C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16" w:type="dxa"/>
                  <w:tcBorders>
                    <w:tl2br w:val="nil"/>
                    <w:tr2bl w:val="nil"/>
                  </w:tcBorders>
                  <w:vAlign w:val="center"/>
                </w:tcPr>
                <w:p w14:paraId="7715DABC">
                  <w:pPr>
                    <w:pStyle w:val="4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单位</w:t>
                  </w:r>
                </w:p>
              </w:tc>
              <w:tc>
                <w:tcPr>
                  <w:tcW w:w="900" w:type="dxa"/>
                  <w:tcBorders>
                    <w:tl2br w:val="nil"/>
                    <w:tr2bl w:val="nil"/>
                  </w:tcBorders>
                  <w:vAlign w:val="center"/>
                </w:tcPr>
                <w:p w14:paraId="107EA925">
                  <w:pPr>
                    <w:pStyle w:val="4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963" w:type="dxa"/>
                  <w:tcBorders>
                    <w:tl2br w:val="nil"/>
                    <w:tr2bl w:val="nil"/>
                  </w:tcBorders>
                  <w:vAlign w:val="center"/>
                </w:tcPr>
                <w:p w14:paraId="60AAC166">
                  <w:pPr>
                    <w:pStyle w:val="4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325" w:type="dxa"/>
                  <w:tcBorders>
                    <w:tl2br w:val="nil"/>
                    <w:tr2bl w:val="nil"/>
                  </w:tcBorders>
                  <w:shd w:val="clear" w:color="auto" w:fill="auto"/>
                  <w:vAlign w:val="center"/>
                </w:tcPr>
                <w:p w14:paraId="7072088A">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color w:val="auto"/>
                      <w:highlight w:val="none"/>
                      <w:lang w:val="en-US" w:eastAsia="zh-CN"/>
                    </w:rPr>
                    <w:t>%</w:t>
                  </w:r>
                </w:p>
              </w:tc>
              <w:tc>
                <w:tcPr>
                  <w:tcW w:w="1500" w:type="dxa"/>
                  <w:tcBorders>
                    <w:tl2br w:val="nil"/>
                    <w:tr2bl w:val="nil"/>
                  </w:tcBorders>
                  <w:shd w:val="clear" w:color="auto" w:fill="auto"/>
                  <w:vAlign w:val="center"/>
                </w:tcPr>
                <w:p w14:paraId="194B8113">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color w:val="auto"/>
                      <w:highlight w:val="none"/>
                      <w:lang w:val="en-US" w:eastAsia="zh-CN"/>
                    </w:rPr>
                    <w:t>%</w:t>
                  </w:r>
                </w:p>
              </w:tc>
              <w:tc>
                <w:tcPr>
                  <w:tcW w:w="762" w:type="dxa"/>
                  <w:tcBorders>
                    <w:tl2br w:val="nil"/>
                    <w:tr2bl w:val="nil"/>
                  </w:tcBorders>
                  <w:shd w:val="clear" w:color="auto" w:fill="auto"/>
                  <w:vAlign w:val="center"/>
                </w:tcPr>
                <w:p w14:paraId="465E3DD9">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color w:val="auto"/>
                      <w:highlight w:val="none"/>
                      <w:lang w:val="en-US" w:eastAsia="zh-CN"/>
                    </w:rPr>
                    <w:t>%</w:t>
                  </w:r>
                </w:p>
              </w:tc>
              <w:tc>
                <w:tcPr>
                  <w:tcW w:w="663" w:type="dxa"/>
                  <w:tcBorders>
                    <w:tl2br w:val="nil"/>
                    <w:tr2bl w:val="nil"/>
                  </w:tcBorders>
                  <w:shd w:val="clear" w:color="auto" w:fill="auto"/>
                  <w:vAlign w:val="center"/>
                </w:tcPr>
                <w:p w14:paraId="35917546">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color w:val="auto"/>
                      <w:highlight w:val="none"/>
                      <w:lang w:val="en-US" w:eastAsia="zh-CN"/>
                    </w:rPr>
                    <w:t>%</w:t>
                  </w:r>
                </w:p>
              </w:tc>
              <w:tc>
                <w:tcPr>
                  <w:tcW w:w="862" w:type="dxa"/>
                  <w:tcBorders>
                    <w:tl2br w:val="nil"/>
                    <w:tr2bl w:val="nil"/>
                  </w:tcBorders>
                  <w:vAlign w:val="center"/>
                </w:tcPr>
                <w:p w14:paraId="019E6891">
                  <w:pPr>
                    <w:pStyle w:val="4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500" w:type="dxa"/>
                  <w:tcBorders>
                    <w:tl2br w:val="nil"/>
                    <w:tr2bl w:val="nil"/>
                  </w:tcBorders>
                  <w:vAlign w:val="center"/>
                </w:tcPr>
                <w:p w14:paraId="1E58BA6B">
                  <w:pPr>
                    <w:pStyle w:val="4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r>
            <w:tr w14:paraId="34B987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16" w:type="dxa"/>
                  <w:tcBorders>
                    <w:tl2br w:val="nil"/>
                    <w:tr2bl w:val="nil"/>
                  </w:tcBorders>
                  <w:vAlign w:val="center"/>
                </w:tcPr>
                <w:p w14:paraId="7E8E4B4E">
                  <w:pPr>
                    <w:pStyle w:val="4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检测值</w:t>
                  </w:r>
                </w:p>
              </w:tc>
              <w:tc>
                <w:tcPr>
                  <w:tcW w:w="900" w:type="dxa"/>
                  <w:tcBorders>
                    <w:tl2br w:val="nil"/>
                    <w:tr2bl w:val="nil"/>
                  </w:tcBorders>
                  <w:vAlign w:val="center"/>
                </w:tcPr>
                <w:p w14:paraId="6C73308F">
                  <w:pPr>
                    <w:pStyle w:val="4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21.11</w:t>
                  </w:r>
                </w:p>
              </w:tc>
              <w:tc>
                <w:tcPr>
                  <w:tcW w:w="963" w:type="dxa"/>
                  <w:tcBorders>
                    <w:tl2br w:val="nil"/>
                    <w:tr2bl w:val="nil"/>
                  </w:tcBorders>
                  <w:vAlign w:val="center"/>
                </w:tcPr>
                <w:p w14:paraId="78105F68">
                  <w:pPr>
                    <w:pStyle w:val="4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19.07</w:t>
                  </w:r>
                </w:p>
              </w:tc>
              <w:tc>
                <w:tcPr>
                  <w:tcW w:w="1325" w:type="dxa"/>
                  <w:tcBorders>
                    <w:tl2br w:val="nil"/>
                    <w:tr2bl w:val="nil"/>
                  </w:tcBorders>
                  <w:vAlign w:val="center"/>
                </w:tcPr>
                <w:p w14:paraId="6A2306EA">
                  <w:pPr>
                    <w:pStyle w:val="40"/>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91.11</w:t>
                  </w:r>
                </w:p>
              </w:tc>
              <w:tc>
                <w:tcPr>
                  <w:tcW w:w="1500" w:type="dxa"/>
                  <w:tcBorders>
                    <w:tl2br w:val="nil"/>
                    <w:tr2bl w:val="nil"/>
                  </w:tcBorders>
                  <w:vAlign w:val="center"/>
                </w:tcPr>
                <w:p w14:paraId="67E1F508">
                  <w:pPr>
                    <w:pStyle w:val="4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0.59</w:t>
                  </w:r>
                </w:p>
              </w:tc>
              <w:tc>
                <w:tcPr>
                  <w:tcW w:w="762" w:type="dxa"/>
                  <w:tcBorders>
                    <w:tl2br w:val="nil"/>
                    <w:tr2bl w:val="nil"/>
                  </w:tcBorders>
                  <w:vAlign w:val="center"/>
                </w:tcPr>
                <w:p w14:paraId="1E757EC6">
                  <w:pPr>
                    <w:pStyle w:val="4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0.12</w:t>
                  </w:r>
                </w:p>
              </w:tc>
              <w:tc>
                <w:tcPr>
                  <w:tcW w:w="663" w:type="dxa"/>
                  <w:tcBorders>
                    <w:tl2br w:val="nil"/>
                    <w:tr2bl w:val="nil"/>
                  </w:tcBorders>
                  <w:vAlign w:val="center"/>
                </w:tcPr>
                <w:p w14:paraId="77F47E28">
                  <w:pPr>
                    <w:pStyle w:val="4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1.14</w:t>
                  </w:r>
                </w:p>
              </w:tc>
              <w:tc>
                <w:tcPr>
                  <w:tcW w:w="862" w:type="dxa"/>
                  <w:tcBorders>
                    <w:tl2br w:val="nil"/>
                    <w:tr2bl w:val="nil"/>
                  </w:tcBorders>
                  <w:vAlign w:val="center"/>
                </w:tcPr>
                <w:p w14:paraId="4D68F401">
                  <w:pPr>
                    <w:pStyle w:val="4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0.06</w:t>
                  </w:r>
                </w:p>
              </w:tc>
              <w:tc>
                <w:tcPr>
                  <w:tcW w:w="500" w:type="dxa"/>
                  <w:tcBorders>
                    <w:tl2br w:val="nil"/>
                    <w:tr2bl w:val="nil"/>
                  </w:tcBorders>
                  <w:vAlign w:val="center"/>
                </w:tcPr>
                <w:p w14:paraId="71F36EE6">
                  <w:pPr>
                    <w:pStyle w:val="4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6</w:t>
                  </w:r>
                </w:p>
              </w:tc>
            </w:tr>
          </w:tbl>
          <w:p w14:paraId="23D88E33">
            <w:pPr>
              <w:pStyle w:val="41"/>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color w:val="auto"/>
                <w:highlight w:val="none"/>
                <w:lang w:val="en-US" w:eastAsia="zh-CN"/>
              </w:rPr>
            </w:pPr>
            <w:r>
              <w:rPr>
                <w:rFonts w:hint="eastAsia"/>
                <w:color w:val="auto"/>
                <w:highlight w:val="none"/>
                <w:lang w:val="en-US" w:eastAsia="zh-CN"/>
              </w:rPr>
              <w:t>（3）镁渣</w:t>
            </w:r>
          </w:p>
          <w:p w14:paraId="6EE9C06A">
            <w:pPr>
              <w:bidi w:val="0"/>
              <w:rPr>
                <w:rFonts w:hint="default"/>
                <w:color w:val="auto"/>
                <w:highlight w:val="none"/>
                <w:lang w:val="en-US" w:eastAsia="zh-CN"/>
              </w:rPr>
            </w:pPr>
            <w:r>
              <w:rPr>
                <w:rFonts w:hint="eastAsia"/>
                <w:color w:val="auto"/>
                <w:highlight w:val="none"/>
                <w:lang w:val="en-US" w:eastAsia="zh-CN"/>
              </w:rPr>
              <w:t>镁渣主要化学成分见</w:t>
            </w:r>
            <w:r>
              <w:rPr>
                <w:rFonts w:hint="eastAsia"/>
                <w:color w:val="auto"/>
                <w:highlight w:val="none"/>
                <w:lang w:val="en-US" w:eastAsia="zh-CN"/>
              </w:rPr>
              <w:fldChar w:fldCharType="begin"/>
            </w:r>
            <w:r>
              <w:rPr>
                <w:rFonts w:hint="eastAsia"/>
                <w:color w:val="auto"/>
                <w:highlight w:val="none"/>
                <w:lang w:val="en-US" w:eastAsia="zh-CN"/>
              </w:rPr>
              <w:instrText xml:space="preserve"> REF _Ref12924 \h </w:instrText>
            </w:r>
            <w:r>
              <w:rPr>
                <w:rFonts w:hint="eastAsia"/>
                <w:color w:val="auto"/>
                <w:highlight w:val="none"/>
                <w:lang w:val="en-US" w:eastAsia="zh-CN"/>
              </w:rPr>
              <w:fldChar w:fldCharType="separate"/>
            </w:r>
            <w:r>
              <w:rPr>
                <w:color w:val="auto"/>
                <w:highlight w:val="none"/>
              </w:rPr>
              <w:t>表2-10</w:t>
            </w:r>
            <w:r>
              <w:rPr>
                <w:rFonts w:hint="eastAsia"/>
                <w:color w:val="auto"/>
                <w:highlight w:val="none"/>
                <w:lang w:val="en-US" w:eastAsia="zh-CN"/>
              </w:rPr>
              <w:fldChar w:fldCharType="end"/>
            </w:r>
            <w:r>
              <w:rPr>
                <w:rFonts w:hint="eastAsia"/>
                <w:color w:val="auto"/>
                <w:highlight w:val="none"/>
                <w:lang w:val="en-US" w:eastAsia="zh-CN"/>
              </w:rPr>
              <w:t>。</w:t>
            </w:r>
          </w:p>
          <w:p w14:paraId="0F986768">
            <w:pPr>
              <w:pStyle w:val="7"/>
              <w:rPr>
                <w:rFonts w:hint="eastAsia"/>
                <w:color w:val="auto"/>
                <w:highlight w:val="none"/>
                <w:lang w:val="en-US" w:eastAsia="zh-CN"/>
              </w:rPr>
            </w:pPr>
            <w:bookmarkStart w:id="20" w:name="_Ref12924"/>
            <w:r>
              <w:rPr>
                <w:color w:val="auto"/>
                <w:highlight w:val="none"/>
              </w:rPr>
              <w:t>表2-</w:t>
            </w:r>
            <w:r>
              <w:rPr>
                <w:color w:val="auto"/>
                <w:highlight w:val="none"/>
              </w:rPr>
              <w:fldChar w:fldCharType="begin"/>
            </w:r>
            <w:r>
              <w:rPr>
                <w:color w:val="auto"/>
                <w:highlight w:val="none"/>
              </w:rPr>
              <w:instrText xml:space="preserve"> SEQ 表2- \* ARABIC </w:instrText>
            </w:r>
            <w:r>
              <w:rPr>
                <w:color w:val="auto"/>
                <w:highlight w:val="none"/>
              </w:rPr>
              <w:fldChar w:fldCharType="separate"/>
            </w:r>
            <w:r>
              <w:rPr>
                <w:color w:val="auto"/>
                <w:highlight w:val="none"/>
              </w:rPr>
              <w:t>10</w:t>
            </w:r>
            <w:r>
              <w:rPr>
                <w:color w:val="auto"/>
                <w:highlight w:val="none"/>
              </w:rPr>
              <w:fldChar w:fldCharType="end"/>
            </w:r>
            <w:bookmarkEnd w:id="20"/>
            <w:r>
              <w:rPr>
                <w:rFonts w:hint="eastAsia"/>
                <w:color w:val="auto"/>
                <w:highlight w:val="none"/>
                <w:lang w:val="en-US" w:eastAsia="zh-CN"/>
              </w:rPr>
              <w:t xml:space="preserve">  镁渣主要化学成分分析一览表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169"/>
              <w:gridCol w:w="901"/>
              <w:gridCol w:w="901"/>
              <w:gridCol w:w="901"/>
              <w:gridCol w:w="901"/>
              <w:gridCol w:w="900"/>
              <w:gridCol w:w="900"/>
              <w:gridCol w:w="895"/>
              <w:gridCol w:w="894"/>
            </w:tblGrid>
            <w:tr w14:paraId="5298D8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99" w:type="pct"/>
                  <w:tcBorders>
                    <w:tl2br w:val="nil"/>
                    <w:tr2bl w:val="nil"/>
                  </w:tcBorders>
                  <w:vAlign w:val="center"/>
                </w:tcPr>
                <w:p w14:paraId="1EA012D3">
                  <w:pPr>
                    <w:pStyle w:val="40"/>
                    <w:bidi w:val="0"/>
                    <w:rPr>
                      <w:rFonts w:hint="eastAsia"/>
                      <w:color w:val="auto"/>
                      <w:highlight w:val="none"/>
                    </w:rPr>
                  </w:pPr>
                  <w:r>
                    <w:rPr>
                      <w:rFonts w:hint="eastAsia"/>
                      <w:color w:val="auto"/>
                      <w:highlight w:val="none"/>
                    </w:rPr>
                    <w:t>名称</w:t>
                  </w:r>
                </w:p>
              </w:tc>
              <w:tc>
                <w:tcPr>
                  <w:tcW w:w="896" w:type="dxa"/>
                  <w:tcBorders>
                    <w:tl2br w:val="nil"/>
                    <w:tr2bl w:val="nil"/>
                  </w:tcBorders>
                  <w:vAlign w:val="center"/>
                </w:tcPr>
                <w:p w14:paraId="321FC59B">
                  <w:pPr>
                    <w:pStyle w:val="40"/>
                    <w:bidi w:val="0"/>
                    <w:rPr>
                      <w:rFonts w:hint="eastAsia"/>
                      <w:color w:val="auto"/>
                      <w:highlight w:val="none"/>
                    </w:rPr>
                  </w:pPr>
                  <w:r>
                    <w:rPr>
                      <w:rFonts w:hint="eastAsia"/>
                      <w:color w:val="auto"/>
                      <w:highlight w:val="none"/>
                    </w:rPr>
                    <w:t>LOSS</w:t>
                  </w:r>
                </w:p>
              </w:tc>
              <w:tc>
                <w:tcPr>
                  <w:tcW w:w="896" w:type="dxa"/>
                  <w:tcBorders>
                    <w:tl2br w:val="nil"/>
                    <w:tr2bl w:val="nil"/>
                  </w:tcBorders>
                  <w:vAlign w:val="center"/>
                </w:tcPr>
                <w:p w14:paraId="4250A19B">
                  <w:pPr>
                    <w:pStyle w:val="40"/>
                    <w:bidi w:val="0"/>
                    <w:rPr>
                      <w:rFonts w:hint="eastAsia"/>
                      <w:color w:val="auto"/>
                      <w:highlight w:val="none"/>
                    </w:rPr>
                  </w:pPr>
                  <w:r>
                    <w:rPr>
                      <w:rFonts w:hint="eastAsia"/>
                      <w:color w:val="auto"/>
                      <w:highlight w:val="none"/>
                    </w:rPr>
                    <w:t>SiO</w:t>
                  </w:r>
                  <w:r>
                    <w:rPr>
                      <w:rFonts w:hint="eastAsia"/>
                      <w:color w:val="auto"/>
                      <w:highlight w:val="none"/>
                      <w:vertAlign w:val="subscript"/>
                    </w:rPr>
                    <w:t>2</w:t>
                  </w:r>
                </w:p>
              </w:tc>
              <w:tc>
                <w:tcPr>
                  <w:tcW w:w="896" w:type="dxa"/>
                  <w:tcBorders>
                    <w:tl2br w:val="nil"/>
                    <w:tr2bl w:val="nil"/>
                  </w:tcBorders>
                  <w:vAlign w:val="center"/>
                </w:tcPr>
                <w:p w14:paraId="5C6E6DD4">
                  <w:pPr>
                    <w:pStyle w:val="40"/>
                    <w:bidi w:val="0"/>
                    <w:rPr>
                      <w:rFonts w:hint="eastAsia"/>
                      <w:color w:val="auto"/>
                      <w:highlight w:val="none"/>
                    </w:rPr>
                  </w:pPr>
                  <w:r>
                    <w:rPr>
                      <w:rFonts w:hint="eastAsia"/>
                      <w:color w:val="auto"/>
                      <w:highlight w:val="none"/>
                    </w:rPr>
                    <w:t>Al</w:t>
                  </w:r>
                  <w:r>
                    <w:rPr>
                      <w:rFonts w:hint="eastAsia"/>
                      <w:color w:val="auto"/>
                      <w:highlight w:val="none"/>
                      <w:vertAlign w:val="subscript"/>
                    </w:rPr>
                    <w:t>2</w:t>
                  </w:r>
                  <w:r>
                    <w:rPr>
                      <w:rFonts w:hint="eastAsia"/>
                      <w:color w:val="auto"/>
                      <w:highlight w:val="none"/>
                    </w:rPr>
                    <w:t>O</w:t>
                  </w:r>
                  <w:r>
                    <w:rPr>
                      <w:rFonts w:hint="eastAsia"/>
                      <w:color w:val="auto"/>
                      <w:highlight w:val="none"/>
                      <w:vertAlign w:val="subscript"/>
                    </w:rPr>
                    <w:t>3</w:t>
                  </w:r>
                </w:p>
              </w:tc>
              <w:tc>
                <w:tcPr>
                  <w:tcW w:w="896" w:type="dxa"/>
                  <w:tcBorders>
                    <w:tl2br w:val="nil"/>
                    <w:tr2bl w:val="nil"/>
                  </w:tcBorders>
                  <w:vAlign w:val="center"/>
                </w:tcPr>
                <w:p w14:paraId="0E4DDE90">
                  <w:pPr>
                    <w:pStyle w:val="40"/>
                    <w:bidi w:val="0"/>
                    <w:rPr>
                      <w:rFonts w:hint="eastAsia"/>
                      <w:color w:val="auto"/>
                      <w:highlight w:val="none"/>
                    </w:rPr>
                  </w:pPr>
                  <w:r>
                    <w:rPr>
                      <w:rFonts w:hint="eastAsia"/>
                      <w:color w:val="auto"/>
                      <w:highlight w:val="none"/>
                    </w:rPr>
                    <w:t>Fe</w:t>
                  </w:r>
                  <w:r>
                    <w:rPr>
                      <w:rFonts w:hint="eastAsia"/>
                      <w:color w:val="auto"/>
                      <w:highlight w:val="none"/>
                      <w:vertAlign w:val="subscript"/>
                    </w:rPr>
                    <w:t>2</w:t>
                  </w:r>
                  <w:r>
                    <w:rPr>
                      <w:rFonts w:hint="eastAsia"/>
                      <w:color w:val="auto"/>
                      <w:highlight w:val="none"/>
                    </w:rPr>
                    <w:t>O</w:t>
                  </w:r>
                  <w:r>
                    <w:rPr>
                      <w:rFonts w:hint="eastAsia"/>
                      <w:color w:val="auto"/>
                      <w:highlight w:val="none"/>
                      <w:vertAlign w:val="subscript"/>
                    </w:rPr>
                    <w:t>3</w:t>
                  </w:r>
                </w:p>
              </w:tc>
              <w:tc>
                <w:tcPr>
                  <w:tcW w:w="895" w:type="dxa"/>
                  <w:tcBorders>
                    <w:tl2br w:val="nil"/>
                    <w:tr2bl w:val="nil"/>
                  </w:tcBorders>
                  <w:vAlign w:val="center"/>
                </w:tcPr>
                <w:p w14:paraId="3FAC939E">
                  <w:pPr>
                    <w:pStyle w:val="40"/>
                    <w:bidi w:val="0"/>
                    <w:rPr>
                      <w:rFonts w:hint="eastAsia"/>
                      <w:color w:val="auto"/>
                      <w:highlight w:val="none"/>
                    </w:rPr>
                  </w:pPr>
                  <w:r>
                    <w:rPr>
                      <w:rFonts w:hint="eastAsia"/>
                      <w:color w:val="auto"/>
                      <w:highlight w:val="none"/>
                    </w:rPr>
                    <w:t>CaO</w:t>
                  </w:r>
                </w:p>
              </w:tc>
              <w:tc>
                <w:tcPr>
                  <w:tcW w:w="895" w:type="dxa"/>
                  <w:tcBorders>
                    <w:tl2br w:val="nil"/>
                    <w:tr2bl w:val="nil"/>
                  </w:tcBorders>
                  <w:vAlign w:val="center"/>
                </w:tcPr>
                <w:p w14:paraId="0D6D2702">
                  <w:pPr>
                    <w:pStyle w:val="40"/>
                    <w:bidi w:val="0"/>
                    <w:rPr>
                      <w:rFonts w:hint="eastAsia"/>
                      <w:color w:val="auto"/>
                      <w:highlight w:val="none"/>
                    </w:rPr>
                  </w:pPr>
                  <w:r>
                    <w:rPr>
                      <w:rFonts w:hint="eastAsia"/>
                      <w:color w:val="auto"/>
                      <w:highlight w:val="none"/>
                    </w:rPr>
                    <w:t>MgO</w:t>
                  </w:r>
                </w:p>
              </w:tc>
              <w:tc>
                <w:tcPr>
                  <w:tcW w:w="890" w:type="dxa"/>
                  <w:tcBorders>
                    <w:tl2br w:val="nil"/>
                    <w:tr2bl w:val="nil"/>
                  </w:tcBorders>
                  <w:vAlign w:val="center"/>
                </w:tcPr>
                <w:p w14:paraId="21BE73A9">
                  <w:pPr>
                    <w:pStyle w:val="40"/>
                    <w:bidi w:val="0"/>
                    <w:rPr>
                      <w:rFonts w:hint="eastAsia"/>
                      <w:color w:val="auto"/>
                      <w:highlight w:val="none"/>
                    </w:rPr>
                  </w:pPr>
                  <w:r>
                    <w:rPr>
                      <w:rFonts w:hint="eastAsia"/>
                      <w:color w:val="auto"/>
                      <w:highlight w:val="none"/>
                    </w:rPr>
                    <w:t>K</w:t>
                  </w:r>
                  <w:r>
                    <w:rPr>
                      <w:rFonts w:hint="eastAsia"/>
                      <w:color w:val="auto"/>
                      <w:highlight w:val="none"/>
                      <w:vertAlign w:val="subscript"/>
                    </w:rPr>
                    <w:t>2</w:t>
                  </w:r>
                  <w:r>
                    <w:rPr>
                      <w:rFonts w:hint="eastAsia"/>
                      <w:color w:val="auto"/>
                      <w:highlight w:val="none"/>
                    </w:rPr>
                    <w:t>O</w:t>
                  </w:r>
                </w:p>
              </w:tc>
              <w:tc>
                <w:tcPr>
                  <w:tcW w:w="889" w:type="dxa"/>
                  <w:tcBorders>
                    <w:tl2br w:val="nil"/>
                    <w:tr2bl w:val="nil"/>
                  </w:tcBorders>
                  <w:vAlign w:val="center"/>
                </w:tcPr>
                <w:p w14:paraId="1FACC523">
                  <w:pPr>
                    <w:pStyle w:val="40"/>
                    <w:bidi w:val="0"/>
                    <w:rPr>
                      <w:rFonts w:hint="eastAsia"/>
                      <w:color w:val="auto"/>
                      <w:highlight w:val="none"/>
                    </w:rPr>
                  </w:pPr>
                  <w:r>
                    <w:rPr>
                      <w:rFonts w:hint="eastAsia"/>
                      <w:color w:val="auto"/>
                      <w:highlight w:val="none"/>
                    </w:rPr>
                    <w:t>Na</w:t>
                  </w:r>
                  <w:r>
                    <w:rPr>
                      <w:rFonts w:hint="eastAsia"/>
                      <w:color w:val="auto"/>
                      <w:highlight w:val="none"/>
                      <w:vertAlign w:val="subscript"/>
                    </w:rPr>
                    <w:t>2</w:t>
                  </w:r>
                  <w:r>
                    <w:rPr>
                      <w:rFonts w:hint="eastAsia"/>
                      <w:color w:val="auto"/>
                      <w:highlight w:val="none"/>
                    </w:rPr>
                    <w:t>O</w:t>
                  </w:r>
                </w:p>
              </w:tc>
            </w:tr>
            <w:tr w14:paraId="4D9312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99" w:type="pct"/>
                  <w:tcBorders>
                    <w:tl2br w:val="nil"/>
                    <w:tr2bl w:val="nil"/>
                  </w:tcBorders>
                  <w:vAlign w:val="center"/>
                </w:tcPr>
                <w:p w14:paraId="064B9B2D">
                  <w:pPr>
                    <w:pStyle w:val="40"/>
                    <w:bidi w:val="0"/>
                    <w:rPr>
                      <w:rFonts w:hint="default" w:eastAsia="宋体"/>
                      <w:color w:val="auto"/>
                      <w:highlight w:val="none"/>
                      <w:lang w:val="en-US" w:eastAsia="zh-CN"/>
                    </w:rPr>
                  </w:pPr>
                  <w:r>
                    <w:rPr>
                      <w:rFonts w:hint="eastAsia"/>
                      <w:color w:val="auto"/>
                      <w:highlight w:val="none"/>
                    </w:rPr>
                    <w:t>镁渣</w:t>
                  </w:r>
                  <w:r>
                    <w:rPr>
                      <w:rFonts w:hint="eastAsia"/>
                      <w:color w:val="auto"/>
                      <w:highlight w:val="none"/>
                      <w:lang w:eastAsia="zh-CN"/>
                    </w:rPr>
                    <w:t>（</w:t>
                  </w:r>
                  <w:r>
                    <w:rPr>
                      <w:rFonts w:hint="eastAsia"/>
                      <w:color w:val="auto"/>
                      <w:highlight w:val="none"/>
                      <w:lang w:val="en-US" w:eastAsia="zh-CN"/>
                    </w:rPr>
                    <w:t>%）</w:t>
                  </w:r>
                </w:p>
              </w:tc>
              <w:tc>
                <w:tcPr>
                  <w:tcW w:w="896" w:type="dxa"/>
                  <w:tcBorders>
                    <w:tl2br w:val="nil"/>
                    <w:tr2bl w:val="nil"/>
                  </w:tcBorders>
                  <w:vAlign w:val="center"/>
                </w:tcPr>
                <w:p w14:paraId="5FD9A3FC">
                  <w:pPr>
                    <w:pStyle w:val="40"/>
                    <w:bidi w:val="0"/>
                    <w:rPr>
                      <w:rFonts w:hint="eastAsia"/>
                      <w:color w:val="auto"/>
                      <w:highlight w:val="none"/>
                    </w:rPr>
                  </w:pPr>
                  <w:r>
                    <w:rPr>
                      <w:rFonts w:hint="eastAsia"/>
                      <w:color w:val="auto"/>
                      <w:highlight w:val="none"/>
                    </w:rPr>
                    <w:t>0.80</w:t>
                  </w:r>
                </w:p>
              </w:tc>
              <w:tc>
                <w:tcPr>
                  <w:tcW w:w="896" w:type="dxa"/>
                  <w:tcBorders>
                    <w:tl2br w:val="nil"/>
                    <w:tr2bl w:val="nil"/>
                  </w:tcBorders>
                  <w:vAlign w:val="center"/>
                </w:tcPr>
                <w:p w14:paraId="75FFDD22">
                  <w:pPr>
                    <w:pStyle w:val="40"/>
                    <w:bidi w:val="0"/>
                    <w:rPr>
                      <w:rFonts w:hint="eastAsia"/>
                      <w:color w:val="auto"/>
                      <w:highlight w:val="none"/>
                    </w:rPr>
                  </w:pPr>
                  <w:r>
                    <w:rPr>
                      <w:rFonts w:hint="eastAsia"/>
                      <w:color w:val="auto"/>
                      <w:highlight w:val="none"/>
                    </w:rPr>
                    <w:t>31.49</w:t>
                  </w:r>
                </w:p>
              </w:tc>
              <w:tc>
                <w:tcPr>
                  <w:tcW w:w="896" w:type="dxa"/>
                  <w:tcBorders>
                    <w:tl2br w:val="nil"/>
                    <w:tr2bl w:val="nil"/>
                  </w:tcBorders>
                  <w:vAlign w:val="center"/>
                </w:tcPr>
                <w:p w14:paraId="7E165B60">
                  <w:pPr>
                    <w:pStyle w:val="40"/>
                    <w:bidi w:val="0"/>
                    <w:rPr>
                      <w:rFonts w:hint="eastAsia"/>
                      <w:color w:val="auto"/>
                      <w:highlight w:val="none"/>
                    </w:rPr>
                  </w:pPr>
                  <w:r>
                    <w:rPr>
                      <w:rFonts w:hint="eastAsia"/>
                      <w:color w:val="auto"/>
                      <w:highlight w:val="none"/>
                    </w:rPr>
                    <w:t>1.46</w:t>
                  </w:r>
                </w:p>
              </w:tc>
              <w:tc>
                <w:tcPr>
                  <w:tcW w:w="896" w:type="dxa"/>
                  <w:tcBorders>
                    <w:tl2br w:val="nil"/>
                    <w:tr2bl w:val="nil"/>
                  </w:tcBorders>
                  <w:vAlign w:val="center"/>
                </w:tcPr>
                <w:p w14:paraId="7B58DD57">
                  <w:pPr>
                    <w:pStyle w:val="40"/>
                    <w:bidi w:val="0"/>
                    <w:rPr>
                      <w:rFonts w:hint="eastAsia"/>
                      <w:color w:val="auto"/>
                      <w:highlight w:val="none"/>
                    </w:rPr>
                  </w:pPr>
                  <w:r>
                    <w:rPr>
                      <w:rFonts w:hint="eastAsia"/>
                      <w:color w:val="auto"/>
                      <w:highlight w:val="none"/>
                    </w:rPr>
                    <w:t>5.75</w:t>
                  </w:r>
                </w:p>
              </w:tc>
              <w:tc>
                <w:tcPr>
                  <w:tcW w:w="895" w:type="dxa"/>
                  <w:tcBorders>
                    <w:tl2br w:val="nil"/>
                    <w:tr2bl w:val="nil"/>
                  </w:tcBorders>
                  <w:vAlign w:val="center"/>
                </w:tcPr>
                <w:p w14:paraId="4A4BBD81">
                  <w:pPr>
                    <w:pStyle w:val="40"/>
                    <w:bidi w:val="0"/>
                    <w:rPr>
                      <w:rFonts w:hint="eastAsia"/>
                      <w:color w:val="auto"/>
                      <w:highlight w:val="none"/>
                    </w:rPr>
                  </w:pPr>
                  <w:r>
                    <w:rPr>
                      <w:rFonts w:hint="eastAsia"/>
                      <w:color w:val="auto"/>
                      <w:highlight w:val="none"/>
                    </w:rPr>
                    <w:t>54.90</w:t>
                  </w:r>
                </w:p>
              </w:tc>
              <w:tc>
                <w:tcPr>
                  <w:tcW w:w="895" w:type="dxa"/>
                  <w:tcBorders>
                    <w:tl2br w:val="nil"/>
                    <w:tr2bl w:val="nil"/>
                  </w:tcBorders>
                  <w:vAlign w:val="center"/>
                </w:tcPr>
                <w:p w14:paraId="52AC6195">
                  <w:pPr>
                    <w:pStyle w:val="40"/>
                    <w:bidi w:val="0"/>
                    <w:rPr>
                      <w:rFonts w:hint="eastAsia"/>
                      <w:color w:val="auto"/>
                      <w:highlight w:val="none"/>
                    </w:rPr>
                  </w:pPr>
                  <w:r>
                    <w:rPr>
                      <w:rFonts w:hint="eastAsia"/>
                      <w:color w:val="auto"/>
                      <w:highlight w:val="none"/>
                    </w:rPr>
                    <w:t>5.19</w:t>
                  </w:r>
                </w:p>
              </w:tc>
              <w:tc>
                <w:tcPr>
                  <w:tcW w:w="890" w:type="dxa"/>
                  <w:tcBorders>
                    <w:tl2br w:val="nil"/>
                    <w:tr2bl w:val="nil"/>
                  </w:tcBorders>
                  <w:vAlign w:val="center"/>
                </w:tcPr>
                <w:p w14:paraId="7ECEEDC9">
                  <w:pPr>
                    <w:pStyle w:val="40"/>
                    <w:bidi w:val="0"/>
                    <w:rPr>
                      <w:rFonts w:hint="eastAsia"/>
                      <w:color w:val="auto"/>
                      <w:highlight w:val="none"/>
                    </w:rPr>
                  </w:pPr>
                  <w:r>
                    <w:rPr>
                      <w:rFonts w:hint="eastAsia"/>
                      <w:color w:val="auto"/>
                      <w:highlight w:val="none"/>
                    </w:rPr>
                    <w:t>0.012</w:t>
                  </w:r>
                </w:p>
              </w:tc>
              <w:tc>
                <w:tcPr>
                  <w:tcW w:w="889" w:type="dxa"/>
                  <w:tcBorders>
                    <w:tl2br w:val="nil"/>
                    <w:tr2bl w:val="nil"/>
                  </w:tcBorders>
                  <w:vAlign w:val="center"/>
                </w:tcPr>
                <w:p w14:paraId="5BC14316">
                  <w:pPr>
                    <w:pStyle w:val="40"/>
                    <w:bidi w:val="0"/>
                    <w:rPr>
                      <w:rFonts w:hint="eastAsia"/>
                      <w:color w:val="auto"/>
                      <w:highlight w:val="none"/>
                    </w:rPr>
                  </w:pPr>
                  <w:r>
                    <w:rPr>
                      <w:rFonts w:hint="eastAsia"/>
                      <w:color w:val="auto"/>
                      <w:highlight w:val="none"/>
                    </w:rPr>
                    <w:t>0.152</w:t>
                  </w:r>
                </w:p>
              </w:tc>
            </w:tr>
          </w:tbl>
          <w:p w14:paraId="0D90D866">
            <w:pPr>
              <w:pStyle w:val="41"/>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color w:val="auto"/>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rPr>
              <w:t>活化剂</w:t>
            </w:r>
          </w:p>
          <w:p w14:paraId="24CF3F55">
            <w:pPr>
              <w:bidi w:val="0"/>
              <w:rPr>
                <w:rFonts w:hint="eastAsia"/>
                <w:color w:val="auto"/>
                <w:highlight w:val="none"/>
              </w:rPr>
            </w:pPr>
            <w:r>
              <w:rPr>
                <w:rFonts w:hint="eastAsia"/>
                <w:color w:val="auto"/>
                <w:highlight w:val="none"/>
              </w:rPr>
              <w:t>本项目蒸压硅酸盐功能骨料生产线的核心配料为活化剂，</w:t>
            </w:r>
            <w:r>
              <w:rPr>
                <w:rFonts w:hint="eastAsia"/>
                <w:color w:val="auto"/>
                <w:highlight w:val="none"/>
                <w:lang w:val="en-US" w:eastAsia="zh-CN"/>
              </w:rPr>
              <w:t>由浙江中劲环保科技有限公司提供，</w:t>
            </w:r>
            <w:r>
              <w:rPr>
                <w:rFonts w:hint="eastAsia"/>
                <w:color w:val="auto"/>
                <w:highlight w:val="none"/>
              </w:rPr>
              <w:t>是一种</w:t>
            </w:r>
            <w:r>
              <w:rPr>
                <w:rFonts w:hint="eastAsia"/>
                <w:color w:val="auto"/>
                <w:highlight w:val="none"/>
                <w:lang w:val="en-US" w:eastAsia="zh-CN"/>
              </w:rPr>
              <w:t>有机无机复合铝盐</w:t>
            </w:r>
            <w:r>
              <w:rPr>
                <w:rFonts w:hint="eastAsia"/>
                <w:color w:val="auto"/>
                <w:highlight w:val="none"/>
              </w:rPr>
              <w:t>，</w:t>
            </w:r>
            <w:r>
              <w:rPr>
                <w:rFonts w:hint="eastAsia"/>
                <w:color w:val="auto"/>
                <w:highlight w:val="none"/>
                <w:lang w:val="en-US" w:eastAsia="zh-CN"/>
              </w:rPr>
              <w:t>由钙、金属铝、铁、二氧化硅组成，</w:t>
            </w:r>
            <w:r>
              <w:rPr>
                <w:rFonts w:hint="eastAsia"/>
                <w:color w:val="auto"/>
                <w:highlight w:val="none"/>
              </w:rPr>
              <w:t>粉状，无挥发性、无腐蚀性</w:t>
            </w:r>
            <w:r>
              <w:rPr>
                <w:rFonts w:hint="eastAsia"/>
                <w:color w:val="auto"/>
                <w:highlight w:val="none"/>
                <w:lang w:eastAsia="zh-CN"/>
              </w:rPr>
              <w:t>，无毒无害，</w:t>
            </w:r>
            <w:r>
              <w:rPr>
                <w:rFonts w:hint="eastAsia"/>
                <w:color w:val="auto"/>
                <w:highlight w:val="none"/>
                <w:lang w:val="en-US" w:eastAsia="zh-CN"/>
              </w:rPr>
              <w:t>不含“致突变、致癌、致畸”成分，不属于危化品。</w:t>
            </w:r>
            <w:r>
              <w:rPr>
                <w:rFonts w:hint="eastAsia"/>
                <w:color w:val="auto"/>
                <w:highlight w:val="none"/>
                <w:lang w:eastAsia="zh-CN"/>
              </w:rPr>
              <w:t>其主要作用是</w:t>
            </w:r>
            <w:r>
              <w:rPr>
                <w:rFonts w:hint="eastAsia"/>
                <w:color w:val="auto"/>
                <w:highlight w:val="none"/>
                <w:lang w:val="en-US" w:eastAsia="zh-CN"/>
              </w:rPr>
              <w:t>破坏原料表面的氧化膜</w:t>
            </w:r>
            <w:r>
              <w:rPr>
                <w:rFonts w:hint="eastAsia"/>
                <w:color w:val="auto"/>
                <w:highlight w:val="none"/>
                <w:lang w:eastAsia="zh-CN"/>
              </w:rPr>
              <w:t>，提高活性，使</w:t>
            </w:r>
            <w:r>
              <w:rPr>
                <w:rFonts w:hint="eastAsia"/>
                <w:color w:val="auto"/>
                <w:highlight w:val="none"/>
                <w:lang w:val="en-US" w:eastAsia="zh-CN"/>
              </w:rPr>
              <w:t>蒸压硅酸盐功能</w:t>
            </w:r>
            <w:r>
              <w:rPr>
                <w:rFonts w:hint="eastAsia"/>
                <w:color w:val="auto"/>
                <w:highlight w:val="none"/>
                <w:lang w:eastAsia="zh-CN"/>
              </w:rPr>
              <w:t>骨料中的气孔大小均匀分布合理</w:t>
            </w:r>
            <w:r>
              <w:rPr>
                <w:rFonts w:hint="eastAsia"/>
                <w:color w:val="auto"/>
                <w:highlight w:val="none"/>
              </w:rPr>
              <w:t>。</w:t>
            </w:r>
          </w:p>
          <w:p w14:paraId="4B2DED76">
            <w:pPr>
              <w:pStyle w:val="41"/>
              <w:bidi w:val="0"/>
              <w:rPr>
                <w:rFonts w:hint="default"/>
                <w:color w:val="auto"/>
                <w:highlight w:val="none"/>
                <w:lang w:val="en-US" w:eastAsia="zh-CN"/>
              </w:rPr>
            </w:pPr>
            <w:r>
              <w:rPr>
                <w:rFonts w:hint="eastAsia"/>
                <w:color w:val="auto"/>
                <w:highlight w:val="none"/>
                <w:lang w:val="en-US" w:eastAsia="zh-CN"/>
              </w:rPr>
              <w:t>（5）添加剂</w:t>
            </w:r>
          </w:p>
          <w:p w14:paraId="5A40149B">
            <w:pPr>
              <w:bidi w:val="0"/>
              <w:rPr>
                <w:rFonts w:hint="default" w:eastAsia="宋体"/>
                <w:color w:val="auto"/>
                <w:highlight w:val="none"/>
                <w:lang w:val="en-US" w:eastAsia="zh-CN"/>
              </w:rPr>
            </w:pPr>
            <w:r>
              <w:rPr>
                <w:rFonts w:hint="eastAsia"/>
                <w:color w:val="auto"/>
                <w:highlight w:val="none"/>
                <w:lang w:val="en-US" w:eastAsia="zh-CN"/>
              </w:rPr>
              <w:t>本项目混凝土生产线的添加剂为</w:t>
            </w:r>
            <w:r>
              <w:rPr>
                <w:color w:val="auto"/>
                <w:highlight w:val="none"/>
              </w:rPr>
              <w:t>聚羧酸减水剂，聚羧酸减水剂是一种高性能</w:t>
            </w:r>
            <w:r>
              <w:rPr>
                <w:color w:val="auto"/>
                <w:highlight w:val="none"/>
              </w:rPr>
              <w:fldChar w:fldCharType="begin"/>
            </w:r>
            <w:r>
              <w:rPr>
                <w:color w:val="auto"/>
                <w:highlight w:val="none"/>
              </w:rPr>
              <w:instrText xml:space="preserve">HYPERLINK "http://baike.baidu.com/view/443357.htm" \t "F:王晓玲参考搅拌站报告_blank"</w:instrText>
            </w:r>
            <w:r>
              <w:rPr>
                <w:color w:val="auto"/>
                <w:highlight w:val="none"/>
              </w:rPr>
              <w:fldChar w:fldCharType="separate"/>
            </w:r>
            <w:r>
              <w:rPr>
                <w:color w:val="auto"/>
                <w:highlight w:val="none"/>
              </w:rPr>
              <w:t>减水剂</w:t>
            </w:r>
            <w:r>
              <w:rPr>
                <w:color w:val="auto"/>
                <w:highlight w:val="none"/>
              </w:rPr>
              <w:fldChar w:fldCharType="end"/>
            </w:r>
            <w:r>
              <w:rPr>
                <w:color w:val="auto"/>
                <w:highlight w:val="none"/>
              </w:rPr>
              <w:t>，是水泥混凝土运用中的一种水泥</w:t>
            </w:r>
            <w:r>
              <w:rPr>
                <w:color w:val="auto"/>
                <w:highlight w:val="none"/>
              </w:rPr>
              <w:fldChar w:fldCharType="begin"/>
            </w:r>
            <w:r>
              <w:rPr>
                <w:color w:val="auto"/>
                <w:highlight w:val="none"/>
              </w:rPr>
              <w:instrText xml:space="preserve"> HYPERLINK "http://baike.baidu.com/view/399198.htm" \t "F:王晓玲参考搅拌站报告_blank" </w:instrText>
            </w:r>
            <w:r>
              <w:rPr>
                <w:color w:val="auto"/>
                <w:highlight w:val="none"/>
              </w:rPr>
              <w:fldChar w:fldCharType="separate"/>
            </w:r>
            <w:r>
              <w:rPr>
                <w:color w:val="auto"/>
                <w:highlight w:val="none"/>
              </w:rPr>
              <w:t>分散剂</w:t>
            </w:r>
            <w:r>
              <w:rPr>
                <w:color w:val="auto"/>
                <w:highlight w:val="none"/>
              </w:rPr>
              <w:fldChar w:fldCharType="end"/>
            </w:r>
            <w:r>
              <w:rPr>
                <w:color w:val="auto"/>
                <w:highlight w:val="none"/>
              </w:rPr>
              <w:t>。适用于高速铁路、客运专线、工业与民用建筑、道路、桥梁、港口码头、机场等工程建设的预制和现浇混凝土、钢筋混凝土及预应力混凝土。该</w:t>
            </w:r>
            <w:r>
              <w:rPr>
                <w:rFonts w:hint="eastAsia"/>
                <w:color w:val="auto"/>
                <w:highlight w:val="none"/>
                <w:lang w:val="en-US" w:eastAsia="zh-CN"/>
              </w:rPr>
              <w:t>产</w:t>
            </w:r>
            <w:r>
              <w:rPr>
                <w:color w:val="auto"/>
                <w:highlight w:val="none"/>
              </w:rPr>
              <w:t>品绿色环保，不易燃，不易爆，可以安全使用火车和汽车运输。其具有以下优势：</w:t>
            </w:r>
            <w:r>
              <w:rPr>
                <w:rFonts w:hint="eastAsia"/>
                <w:color w:val="auto"/>
                <w:highlight w:val="none"/>
              </w:rPr>
              <w:t>①</w:t>
            </w:r>
            <w:r>
              <w:rPr>
                <w:color w:val="auto"/>
                <w:highlight w:val="none"/>
              </w:rPr>
              <w:t>与各种水泥的相容性好，混凝土的坍落度保持性能好，延长混凝土的施工时间。</w:t>
            </w:r>
            <w:r>
              <w:rPr>
                <w:rFonts w:hint="eastAsia"/>
                <w:color w:val="auto"/>
                <w:highlight w:val="none"/>
              </w:rPr>
              <w:t>②</w:t>
            </w:r>
            <w:r>
              <w:rPr>
                <w:color w:val="auto"/>
                <w:highlight w:val="none"/>
              </w:rPr>
              <w:t>掺量低，减水率高，收缩小。</w:t>
            </w:r>
            <w:r>
              <w:rPr>
                <w:rFonts w:hint="eastAsia"/>
                <w:color w:val="auto"/>
                <w:highlight w:val="none"/>
              </w:rPr>
              <w:t>③</w:t>
            </w:r>
            <w:r>
              <w:rPr>
                <w:color w:val="auto"/>
                <w:highlight w:val="none"/>
              </w:rPr>
              <w:t>大幅度提高混凝土的早期、后期强度。</w:t>
            </w:r>
            <w:r>
              <w:rPr>
                <w:rFonts w:hint="eastAsia"/>
                <w:color w:val="auto"/>
                <w:highlight w:val="none"/>
              </w:rPr>
              <w:t>④</w:t>
            </w:r>
            <w:r>
              <w:rPr>
                <w:color w:val="auto"/>
                <w:highlight w:val="none"/>
              </w:rPr>
              <w:t>本产品氯离子含量低、碱含量低，有利于混凝土的耐久性。</w:t>
            </w:r>
            <w:r>
              <w:rPr>
                <w:rFonts w:hint="eastAsia"/>
                <w:color w:val="auto"/>
                <w:highlight w:val="none"/>
              </w:rPr>
              <w:t>⑤</w:t>
            </w:r>
            <w:r>
              <w:rPr>
                <w:color w:val="auto"/>
                <w:highlight w:val="none"/>
              </w:rPr>
              <w:t>本产品生产过程无污染，不含甲醛，符合ISO14000环境保护管理国际标准，是一种绿色环保产品。</w:t>
            </w:r>
          </w:p>
          <w:p w14:paraId="34873B11">
            <w:pPr>
              <w:pStyle w:val="41"/>
              <w:keepNext w:val="0"/>
              <w:keepLines w:val="0"/>
              <w:pageBreakBefore w:val="0"/>
              <w:widowControl w:val="0"/>
              <w:kinsoku/>
              <w:wordWrap/>
              <w:overflowPunct/>
              <w:topLinePunct w:val="0"/>
              <w:autoSpaceDE/>
              <w:autoSpaceDN/>
              <w:bidi w:val="0"/>
              <w:adjustRightInd/>
              <w:snapToGrid/>
              <w:textAlignment w:val="auto"/>
              <w:rPr>
                <w:rFonts w:hint="default"/>
                <w:color w:val="auto"/>
                <w:highlight w:val="none"/>
                <w:lang w:val="en-US" w:eastAsia="zh-CN"/>
              </w:rPr>
            </w:pPr>
            <w:r>
              <w:rPr>
                <w:rFonts w:hint="eastAsia"/>
                <w:color w:val="auto"/>
                <w:highlight w:val="none"/>
                <w:lang w:val="en-US" w:eastAsia="zh-CN"/>
              </w:rPr>
              <w:t>3、物料平衡</w:t>
            </w:r>
          </w:p>
          <w:p w14:paraId="56330B92">
            <w:pPr>
              <w:bidi w:val="0"/>
              <w:rPr>
                <w:rFonts w:hint="eastAsia"/>
                <w:color w:val="auto"/>
                <w:highlight w:val="none"/>
              </w:rPr>
            </w:pPr>
            <w:bookmarkStart w:id="21" w:name="_Ref15835"/>
            <w:bookmarkStart w:id="22" w:name="_Ref15871"/>
            <w:r>
              <w:rPr>
                <w:rFonts w:hint="eastAsia"/>
                <w:color w:val="auto"/>
                <w:highlight w:val="none"/>
              </w:rPr>
              <w:t>拟建项目蒸压硅酸盐功能骨料和商品混凝土生产线物料平衡见</w:t>
            </w:r>
            <w:r>
              <w:rPr>
                <w:rFonts w:hint="eastAsia"/>
                <w:color w:val="auto"/>
                <w:highlight w:val="none"/>
                <w:lang w:eastAsia="zh-CN"/>
              </w:rPr>
              <w:fldChar w:fldCharType="begin"/>
            </w:r>
            <w:r>
              <w:rPr>
                <w:rFonts w:hint="eastAsia"/>
                <w:color w:val="auto"/>
                <w:highlight w:val="none"/>
                <w:lang w:eastAsia="zh-CN"/>
              </w:rPr>
              <w:instrText xml:space="preserve"> REF _Ref8290 \h </w:instrText>
            </w:r>
            <w:r>
              <w:rPr>
                <w:rFonts w:hint="eastAsia"/>
                <w:color w:val="auto"/>
                <w:highlight w:val="none"/>
                <w:lang w:eastAsia="zh-CN"/>
              </w:rPr>
              <w:fldChar w:fldCharType="separate"/>
            </w:r>
            <w:r>
              <w:rPr>
                <w:color w:val="auto"/>
                <w:highlight w:val="none"/>
              </w:rPr>
              <w:t>表2-11</w:t>
            </w:r>
            <w:r>
              <w:rPr>
                <w:rFonts w:hint="eastAsia"/>
                <w:color w:val="auto"/>
                <w:highlight w:val="none"/>
                <w:lang w:eastAsia="zh-CN"/>
              </w:rPr>
              <w:fldChar w:fldCharType="end"/>
            </w:r>
            <w:r>
              <w:rPr>
                <w:rFonts w:hint="eastAsia"/>
                <w:color w:val="auto"/>
                <w:highlight w:val="none"/>
                <w:lang w:eastAsia="zh-CN"/>
              </w:rPr>
              <w:t>、</w:t>
            </w:r>
            <w:r>
              <w:rPr>
                <w:rFonts w:hint="eastAsia"/>
                <w:color w:val="auto"/>
                <w:highlight w:val="none"/>
                <w:lang w:eastAsia="zh-CN"/>
              </w:rPr>
              <w:fldChar w:fldCharType="begin"/>
            </w:r>
            <w:r>
              <w:rPr>
                <w:rFonts w:hint="eastAsia"/>
                <w:color w:val="auto"/>
                <w:highlight w:val="none"/>
                <w:lang w:eastAsia="zh-CN"/>
              </w:rPr>
              <w:instrText xml:space="preserve"> REF _Ref7712 \h </w:instrText>
            </w:r>
            <w:r>
              <w:rPr>
                <w:rFonts w:hint="eastAsia"/>
                <w:color w:val="auto"/>
                <w:highlight w:val="none"/>
                <w:lang w:eastAsia="zh-CN"/>
              </w:rPr>
              <w:fldChar w:fldCharType="separate"/>
            </w:r>
            <w:r>
              <w:rPr>
                <w:color w:val="auto"/>
                <w:highlight w:val="none"/>
              </w:rPr>
              <w:t>表2-12</w:t>
            </w:r>
            <w:r>
              <w:rPr>
                <w:rFonts w:hint="eastAsia"/>
                <w:color w:val="auto"/>
                <w:highlight w:val="none"/>
                <w:lang w:eastAsia="zh-CN"/>
              </w:rPr>
              <w:fldChar w:fldCharType="end"/>
            </w:r>
            <w:r>
              <w:rPr>
                <w:rFonts w:hint="eastAsia"/>
                <w:color w:val="auto"/>
                <w:highlight w:val="none"/>
                <w:lang w:eastAsia="zh-CN"/>
              </w:rPr>
              <w:t>。</w:t>
            </w:r>
          </w:p>
          <w:p w14:paraId="3076713C">
            <w:pPr>
              <w:pStyle w:val="7"/>
              <w:rPr>
                <w:rFonts w:hint="default"/>
                <w:color w:val="auto"/>
                <w:highlight w:val="none"/>
              </w:rPr>
            </w:pPr>
            <w:bookmarkStart w:id="23" w:name="_Ref8290"/>
            <w:r>
              <w:rPr>
                <w:color w:val="auto"/>
                <w:highlight w:val="none"/>
              </w:rPr>
              <w:t>表2-</w:t>
            </w:r>
            <w:r>
              <w:rPr>
                <w:color w:val="auto"/>
                <w:highlight w:val="none"/>
              </w:rPr>
              <w:fldChar w:fldCharType="begin"/>
            </w:r>
            <w:r>
              <w:rPr>
                <w:color w:val="auto"/>
                <w:highlight w:val="none"/>
              </w:rPr>
              <w:instrText xml:space="preserve"> SEQ 表2- \* ARABIC </w:instrText>
            </w:r>
            <w:r>
              <w:rPr>
                <w:color w:val="auto"/>
                <w:highlight w:val="none"/>
              </w:rPr>
              <w:fldChar w:fldCharType="separate"/>
            </w:r>
            <w:r>
              <w:rPr>
                <w:color w:val="auto"/>
                <w:highlight w:val="none"/>
              </w:rPr>
              <w:t>11</w:t>
            </w:r>
            <w:r>
              <w:rPr>
                <w:color w:val="auto"/>
                <w:highlight w:val="none"/>
              </w:rPr>
              <w:fldChar w:fldCharType="end"/>
            </w:r>
            <w:bookmarkEnd w:id="21"/>
            <w:bookmarkEnd w:id="23"/>
            <w:r>
              <w:rPr>
                <w:rFonts w:hint="eastAsia"/>
                <w:color w:val="auto"/>
                <w:highlight w:val="none"/>
                <w:lang w:val="en-US" w:eastAsia="zh-CN"/>
              </w:rPr>
              <w:t xml:space="preserve"> </w:t>
            </w:r>
            <w:r>
              <w:rPr>
                <w:rFonts w:hint="default"/>
                <w:color w:val="auto"/>
                <w:highlight w:val="none"/>
                <w:lang w:val="en-US" w:eastAsia="zh-CN"/>
              </w:rPr>
              <w:t xml:space="preserve"> 蒸压硅酸盐功能骨料</w:t>
            </w:r>
            <w:r>
              <w:rPr>
                <w:rFonts w:hint="default"/>
                <w:color w:val="auto"/>
                <w:highlight w:val="none"/>
              </w:rPr>
              <w:t>生产线物料平衡一览表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66"/>
              <w:gridCol w:w="1996"/>
              <w:gridCol w:w="1602"/>
              <w:gridCol w:w="2015"/>
              <w:gridCol w:w="1879"/>
            </w:tblGrid>
            <w:tr w14:paraId="270A97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518" w:type="pct"/>
                  <w:vMerge w:val="restart"/>
                  <w:tcBorders>
                    <w:tl2br w:val="nil"/>
                    <w:tr2bl w:val="nil"/>
                  </w:tcBorders>
                  <w:tcMar>
                    <w:top w:w="15" w:type="dxa"/>
                    <w:left w:w="15" w:type="dxa"/>
                    <w:right w:w="15" w:type="dxa"/>
                  </w:tcMar>
                  <w:vAlign w:val="center"/>
                </w:tcPr>
                <w:p w14:paraId="15298BB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kern w:val="0"/>
                      <w:sz w:val="21"/>
                      <w:szCs w:val="21"/>
                      <w:highlight w:val="none"/>
                      <w:lang w:bidi="ar"/>
                    </w:rPr>
                    <w:t>序号</w:t>
                  </w:r>
                </w:p>
              </w:tc>
              <w:tc>
                <w:tcPr>
                  <w:tcW w:w="2152" w:type="pct"/>
                  <w:gridSpan w:val="2"/>
                  <w:tcBorders>
                    <w:tl2br w:val="nil"/>
                    <w:tr2bl w:val="nil"/>
                  </w:tcBorders>
                  <w:tcMar>
                    <w:top w:w="15" w:type="dxa"/>
                    <w:left w:w="15" w:type="dxa"/>
                    <w:right w:w="15" w:type="dxa"/>
                  </w:tcMar>
                  <w:vAlign w:val="center"/>
                </w:tcPr>
                <w:p w14:paraId="2829E52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kern w:val="0"/>
                      <w:sz w:val="21"/>
                      <w:szCs w:val="21"/>
                      <w:highlight w:val="none"/>
                      <w:lang w:bidi="ar"/>
                    </w:rPr>
                    <w:t>投入</w:t>
                  </w:r>
                </w:p>
              </w:tc>
              <w:tc>
                <w:tcPr>
                  <w:tcW w:w="2329" w:type="pct"/>
                  <w:gridSpan w:val="2"/>
                  <w:tcBorders>
                    <w:tl2br w:val="nil"/>
                    <w:tr2bl w:val="nil"/>
                  </w:tcBorders>
                  <w:tcMar>
                    <w:top w:w="15" w:type="dxa"/>
                    <w:left w:w="15" w:type="dxa"/>
                    <w:right w:w="15" w:type="dxa"/>
                  </w:tcMar>
                  <w:vAlign w:val="center"/>
                </w:tcPr>
                <w:p w14:paraId="04A5AF2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kern w:val="0"/>
                      <w:sz w:val="21"/>
                      <w:szCs w:val="21"/>
                      <w:highlight w:val="none"/>
                      <w:lang w:bidi="ar"/>
                    </w:rPr>
                    <w:t>产出</w:t>
                  </w:r>
                </w:p>
              </w:tc>
            </w:tr>
            <w:tr w14:paraId="08A4B4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518" w:type="pct"/>
                  <w:vMerge w:val="continue"/>
                  <w:tcBorders>
                    <w:tl2br w:val="nil"/>
                    <w:tr2bl w:val="nil"/>
                  </w:tcBorders>
                  <w:tcMar>
                    <w:top w:w="15" w:type="dxa"/>
                    <w:left w:w="15" w:type="dxa"/>
                    <w:right w:w="15" w:type="dxa"/>
                  </w:tcMar>
                  <w:vAlign w:val="center"/>
                </w:tcPr>
                <w:p w14:paraId="04FF236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b w:val="0"/>
                      <w:bCs w:val="0"/>
                      <w:color w:val="auto"/>
                      <w:sz w:val="21"/>
                      <w:szCs w:val="21"/>
                      <w:highlight w:val="none"/>
                    </w:rPr>
                  </w:pPr>
                </w:p>
              </w:tc>
              <w:tc>
                <w:tcPr>
                  <w:tcW w:w="1194" w:type="pct"/>
                  <w:tcBorders>
                    <w:tl2br w:val="nil"/>
                    <w:tr2bl w:val="nil"/>
                  </w:tcBorders>
                  <w:tcMar>
                    <w:top w:w="15" w:type="dxa"/>
                    <w:left w:w="15" w:type="dxa"/>
                    <w:right w:w="15" w:type="dxa"/>
                  </w:tcMar>
                  <w:vAlign w:val="center"/>
                </w:tcPr>
                <w:p w14:paraId="1B5DE2E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kern w:val="0"/>
                      <w:sz w:val="21"/>
                      <w:szCs w:val="21"/>
                      <w:highlight w:val="none"/>
                      <w:lang w:bidi="ar"/>
                    </w:rPr>
                    <w:t>原料</w:t>
                  </w:r>
                </w:p>
              </w:tc>
              <w:tc>
                <w:tcPr>
                  <w:tcW w:w="958" w:type="pct"/>
                  <w:tcBorders>
                    <w:tl2br w:val="nil"/>
                    <w:tr2bl w:val="nil"/>
                  </w:tcBorders>
                  <w:tcMar>
                    <w:top w:w="15" w:type="dxa"/>
                    <w:left w:w="15" w:type="dxa"/>
                    <w:right w:w="15" w:type="dxa"/>
                  </w:tcMar>
                  <w:vAlign w:val="center"/>
                </w:tcPr>
                <w:p w14:paraId="36EAAA7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kern w:val="0"/>
                      <w:sz w:val="21"/>
                      <w:szCs w:val="21"/>
                      <w:highlight w:val="none"/>
                      <w:lang w:bidi="ar"/>
                    </w:rPr>
                    <w:t>数量（t</w:t>
                  </w:r>
                  <w:r>
                    <w:rPr>
                      <w:rStyle w:val="44"/>
                      <w:rFonts w:hint="default" w:ascii="Times New Roman" w:hAnsi="Times New Roman" w:cs="Times New Roman"/>
                      <w:b w:val="0"/>
                      <w:bCs w:val="0"/>
                      <w:color w:val="auto"/>
                      <w:highlight w:val="none"/>
                      <w:lang w:bidi="ar"/>
                    </w:rPr>
                    <w:t>）</w:t>
                  </w:r>
                </w:p>
              </w:tc>
              <w:tc>
                <w:tcPr>
                  <w:tcW w:w="1205" w:type="pct"/>
                  <w:tcBorders>
                    <w:tl2br w:val="nil"/>
                    <w:tr2bl w:val="nil"/>
                  </w:tcBorders>
                  <w:tcMar>
                    <w:top w:w="15" w:type="dxa"/>
                    <w:left w:w="15" w:type="dxa"/>
                    <w:right w:w="15" w:type="dxa"/>
                  </w:tcMar>
                  <w:vAlign w:val="center"/>
                </w:tcPr>
                <w:p w14:paraId="2EDC11A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kern w:val="0"/>
                      <w:sz w:val="21"/>
                      <w:szCs w:val="21"/>
                      <w:highlight w:val="none"/>
                      <w:lang w:bidi="ar"/>
                    </w:rPr>
                    <w:t>产品</w:t>
                  </w:r>
                </w:p>
              </w:tc>
              <w:tc>
                <w:tcPr>
                  <w:tcW w:w="1124" w:type="pct"/>
                  <w:tcBorders>
                    <w:tl2br w:val="nil"/>
                    <w:tr2bl w:val="nil"/>
                  </w:tcBorders>
                  <w:tcMar>
                    <w:top w:w="15" w:type="dxa"/>
                    <w:left w:w="15" w:type="dxa"/>
                    <w:right w:w="15" w:type="dxa"/>
                  </w:tcMar>
                  <w:vAlign w:val="center"/>
                </w:tcPr>
                <w:p w14:paraId="7E91056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kern w:val="0"/>
                      <w:sz w:val="21"/>
                      <w:szCs w:val="21"/>
                      <w:highlight w:val="none"/>
                      <w:lang w:bidi="ar"/>
                    </w:rPr>
                    <w:t>数量（t</w:t>
                  </w:r>
                  <w:r>
                    <w:rPr>
                      <w:rStyle w:val="44"/>
                      <w:rFonts w:hint="default" w:ascii="Times New Roman" w:hAnsi="Times New Roman" w:cs="Times New Roman"/>
                      <w:b w:val="0"/>
                      <w:bCs w:val="0"/>
                      <w:color w:val="auto"/>
                      <w:highlight w:val="none"/>
                      <w:lang w:bidi="ar"/>
                    </w:rPr>
                    <w:t>）</w:t>
                  </w:r>
                </w:p>
              </w:tc>
            </w:tr>
            <w:tr w14:paraId="5547B2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518" w:type="pct"/>
                  <w:tcBorders>
                    <w:tl2br w:val="nil"/>
                    <w:tr2bl w:val="nil"/>
                  </w:tcBorders>
                  <w:tcMar>
                    <w:top w:w="15" w:type="dxa"/>
                    <w:left w:w="15" w:type="dxa"/>
                    <w:right w:w="15" w:type="dxa"/>
                  </w:tcMar>
                  <w:vAlign w:val="center"/>
                </w:tcPr>
                <w:p w14:paraId="2F50E19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kern w:val="0"/>
                      <w:sz w:val="21"/>
                      <w:szCs w:val="21"/>
                      <w:highlight w:val="none"/>
                      <w:lang w:bidi="ar"/>
                    </w:rPr>
                    <w:t>1</w:t>
                  </w:r>
                </w:p>
              </w:tc>
              <w:tc>
                <w:tcPr>
                  <w:tcW w:w="1194" w:type="pct"/>
                  <w:tcBorders>
                    <w:tl2br w:val="nil"/>
                    <w:tr2bl w:val="nil"/>
                  </w:tcBorders>
                  <w:shd w:val="clear" w:color="auto" w:fill="auto"/>
                  <w:tcMar>
                    <w:top w:w="15" w:type="dxa"/>
                    <w:left w:w="15" w:type="dxa"/>
                    <w:right w:w="15" w:type="dxa"/>
                  </w:tcMar>
                  <w:vAlign w:val="center"/>
                </w:tcPr>
                <w:p w14:paraId="4A06173D">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default"/>
                      <w:color w:val="auto"/>
                      <w:highlight w:val="none"/>
                      <w:lang w:val="en-US" w:eastAsia="zh-CN"/>
                    </w:rPr>
                    <w:t>粉煤灰</w:t>
                  </w:r>
                </w:p>
              </w:tc>
              <w:tc>
                <w:tcPr>
                  <w:tcW w:w="958" w:type="pct"/>
                  <w:tcBorders>
                    <w:tl2br w:val="nil"/>
                    <w:tr2bl w:val="nil"/>
                  </w:tcBorders>
                  <w:shd w:val="clear" w:color="auto" w:fill="auto"/>
                  <w:tcMar>
                    <w:top w:w="15" w:type="dxa"/>
                    <w:left w:w="15" w:type="dxa"/>
                    <w:right w:w="15" w:type="dxa"/>
                  </w:tcMar>
                  <w:vAlign w:val="center"/>
                </w:tcPr>
                <w:p w14:paraId="00519794">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5</w:t>
                  </w:r>
                  <w:r>
                    <w:rPr>
                      <w:rFonts w:hint="default"/>
                      <w:color w:val="auto"/>
                      <w:highlight w:val="none"/>
                      <w:lang w:val="en-US" w:eastAsia="zh-CN"/>
                    </w:rPr>
                    <w:t>00000</w:t>
                  </w:r>
                </w:p>
              </w:tc>
              <w:tc>
                <w:tcPr>
                  <w:tcW w:w="1205" w:type="pct"/>
                  <w:tcBorders>
                    <w:tl2br w:val="nil"/>
                    <w:tr2bl w:val="nil"/>
                  </w:tcBorders>
                  <w:tcMar>
                    <w:top w:w="15" w:type="dxa"/>
                    <w:left w:w="15" w:type="dxa"/>
                    <w:right w:w="15" w:type="dxa"/>
                  </w:tcMar>
                  <w:vAlign w:val="center"/>
                </w:tcPr>
                <w:p w14:paraId="4F7413A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b w:val="0"/>
                      <w:bCs w:val="0"/>
                      <w:color w:val="auto"/>
                      <w:sz w:val="21"/>
                      <w:szCs w:val="21"/>
                      <w:highlight w:val="none"/>
                      <w:lang w:eastAsia="zh-CN"/>
                    </w:rPr>
                  </w:pPr>
                  <w:r>
                    <w:rPr>
                      <w:rFonts w:hint="default" w:ascii="Times New Roman" w:hAnsi="Times New Roman" w:cs="Times New Roman"/>
                      <w:b w:val="0"/>
                      <w:bCs w:val="0"/>
                      <w:color w:val="auto"/>
                      <w:kern w:val="0"/>
                      <w:sz w:val="21"/>
                      <w:szCs w:val="21"/>
                      <w:highlight w:val="none"/>
                      <w:lang w:val="en-US" w:eastAsia="zh-CN" w:bidi="ar"/>
                    </w:rPr>
                    <w:t>蒸压硅酸盐功能骨料</w:t>
                  </w:r>
                </w:p>
              </w:tc>
              <w:tc>
                <w:tcPr>
                  <w:tcW w:w="1124" w:type="pct"/>
                  <w:tcBorders>
                    <w:tl2br w:val="nil"/>
                    <w:tr2bl w:val="nil"/>
                  </w:tcBorders>
                  <w:tcMar>
                    <w:top w:w="15" w:type="dxa"/>
                    <w:left w:w="15" w:type="dxa"/>
                    <w:right w:w="15" w:type="dxa"/>
                  </w:tcMar>
                  <w:vAlign w:val="center"/>
                </w:tcPr>
                <w:p w14:paraId="4AD4AB2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9999</w:t>
                  </w:r>
                  <w:r>
                    <w:rPr>
                      <w:rFonts w:hint="eastAsia" w:cs="Times New Roman"/>
                      <w:b w:val="0"/>
                      <w:bCs w:val="0"/>
                      <w:color w:val="auto"/>
                      <w:sz w:val="21"/>
                      <w:szCs w:val="21"/>
                      <w:highlight w:val="none"/>
                      <w:lang w:val="en-US" w:eastAsia="zh-CN"/>
                    </w:rPr>
                    <w:t>70.163</w:t>
                  </w:r>
                </w:p>
              </w:tc>
            </w:tr>
            <w:tr w14:paraId="701C54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518" w:type="pct"/>
                  <w:tcBorders>
                    <w:tl2br w:val="nil"/>
                    <w:tr2bl w:val="nil"/>
                  </w:tcBorders>
                  <w:tcMar>
                    <w:top w:w="15" w:type="dxa"/>
                    <w:left w:w="15" w:type="dxa"/>
                    <w:right w:w="15" w:type="dxa"/>
                  </w:tcMar>
                  <w:vAlign w:val="center"/>
                </w:tcPr>
                <w:p w14:paraId="61E3931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kern w:val="0"/>
                      <w:sz w:val="21"/>
                      <w:szCs w:val="21"/>
                      <w:highlight w:val="none"/>
                      <w:lang w:bidi="ar"/>
                    </w:rPr>
                    <w:t>2</w:t>
                  </w:r>
                </w:p>
              </w:tc>
              <w:tc>
                <w:tcPr>
                  <w:tcW w:w="1194" w:type="pct"/>
                  <w:tcBorders>
                    <w:tl2br w:val="nil"/>
                    <w:tr2bl w:val="nil"/>
                  </w:tcBorders>
                  <w:shd w:val="clear" w:color="auto" w:fill="auto"/>
                  <w:tcMar>
                    <w:top w:w="15" w:type="dxa"/>
                    <w:left w:w="15" w:type="dxa"/>
                    <w:right w:w="15" w:type="dxa"/>
                  </w:tcMar>
                  <w:vAlign w:val="center"/>
                </w:tcPr>
                <w:p w14:paraId="7EE0A831">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default"/>
                      <w:color w:val="auto"/>
                      <w:highlight w:val="none"/>
                      <w:lang w:val="en-US" w:eastAsia="zh-CN"/>
                    </w:rPr>
                    <w:t>炉渣</w:t>
                  </w:r>
                </w:p>
              </w:tc>
              <w:tc>
                <w:tcPr>
                  <w:tcW w:w="958" w:type="pct"/>
                  <w:tcBorders>
                    <w:tl2br w:val="nil"/>
                    <w:tr2bl w:val="nil"/>
                  </w:tcBorders>
                  <w:shd w:val="clear" w:color="auto" w:fill="auto"/>
                  <w:tcMar>
                    <w:top w:w="15" w:type="dxa"/>
                    <w:left w:w="15" w:type="dxa"/>
                    <w:right w:w="15" w:type="dxa"/>
                  </w:tcMar>
                  <w:vAlign w:val="center"/>
                </w:tcPr>
                <w:p w14:paraId="2C6ACC5D">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2</w:t>
                  </w:r>
                  <w:r>
                    <w:rPr>
                      <w:rFonts w:hint="default"/>
                      <w:color w:val="auto"/>
                      <w:highlight w:val="none"/>
                      <w:lang w:val="en-US" w:eastAsia="zh-CN"/>
                    </w:rPr>
                    <w:t>00000</w:t>
                  </w:r>
                </w:p>
              </w:tc>
              <w:tc>
                <w:tcPr>
                  <w:tcW w:w="1205" w:type="pct"/>
                  <w:tcBorders>
                    <w:tl2br w:val="nil"/>
                    <w:tr2bl w:val="nil"/>
                  </w:tcBorders>
                  <w:tcMar>
                    <w:top w:w="15" w:type="dxa"/>
                    <w:left w:w="15" w:type="dxa"/>
                    <w:right w:w="15" w:type="dxa"/>
                  </w:tcMar>
                  <w:vAlign w:val="center"/>
                </w:tcPr>
                <w:p w14:paraId="49E27E0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有</w:t>
                  </w:r>
                  <w:r>
                    <w:rPr>
                      <w:rFonts w:hint="eastAsia" w:ascii="Times New Roman" w:hAnsi="Times New Roman" w:cs="Times New Roman"/>
                      <w:b w:val="0"/>
                      <w:bCs w:val="0"/>
                      <w:color w:val="auto"/>
                      <w:sz w:val="21"/>
                      <w:szCs w:val="21"/>
                      <w:highlight w:val="none"/>
                      <w:lang w:val="en-US" w:eastAsia="zh-CN"/>
                    </w:rPr>
                    <w:t>组织排放粉尘</w:t>
                  </w:r>
                </w:p>
              </w:tc>
              <w:tc>
                <w:tcPr>
                  <w:tcW w:w="1124" w:type="pct"/>
                  <w:tcBorders>
                    <w:tl2br w:val="nil"/>
                    <w:tr2bl w:val="nil"/>
                  </w:tcBorders>
                  <w:tcMar>
                    <w:top w:w="15" w:type="dxa"/>
                    <w:left w:w="15" w:type="dxa"/>
                    <w:right w:w="15" w:type="dxa"/>
                  </w:tcMar>
                  <w:vAlign w:val="center"/>
                </w:tcPr>
                <w:p w14:paraId="58941ED2">
                  <w:pPr>
                    <w:pStyle w:val="40"/>
                    <w:bidi w:val="0"/>
                    <w:ind w:firstLine="0" w:firstLineChars="0"/>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16.612</w:t>
                  </w:r>
                </w:p>
              </w:tc>
            </w:tr>
            <w:tr w14:paraId="46B100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518" w:type="pct"/>
                  <w:tcBorders>
                    <w:tl2br w:val="nil"/>
                    <w:tr2bl w:val="nil"/>
                  </w:tcBorders>
                  <w:tcMar>
                    <w:top w:w="15" w:type="dxa"/>
                    <w:left w:w="15" w:type="dxa"/>
                    <w:right w:w="15" w:type="dxa"/>
                  </w:tcMar>
                  <w:vAlign w:val="center"/>
                </w:tcPr>
                <w:p w14:paraId="398DAA3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kern w:val="0"/>
                      <w:sz w:val="21"/>
                      <w:szCs w:val="21"/>
                      <w:highlight w:val="none"/>
                      <w:lang w:bidi="ar"/>
                    </w:rPr>
                    <w:t>3</w:t>
                  </w:r>
                </w:p>
              </w:tc>
              <w:tc>
                <w:tcPr>
                  <w:tcW w:w="1194" w:type="pct"/>
                  <w:tcBorders>
                    <w:tl2br w:val="nil"/>
                    <w:tr2bl w:val="nil"/>
                  </w:tcBorders>
                  <w:shd w:val="clear" w:color="auto" w:fill="auto"/>
                  <w:tcMar>
                    <w:top w:w="15" w:type="dxa"/>
                    <w:left w:w="15" w:type="dxa"/>
                    <w:right w:w="15" w:type="dxa"/>
                  </w:tcMar>
                  <w:vAlign w:val="center"/>
                </w:tcPr>
                <w:p w14:paraId="7EA8EB74">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default"/>
                      <w:color w:val="auto"/>
                      <w:highlight w:val="none"/>
                      <w:lang w:val="en-US" w:eastAsia="zh-CN"/>
                    </w:rPr>
                    <w:t>脱硫石膏</w:t>
                  </w:r>
                </w:p>
              </w:tc>
              <w:tc>
                <w:tcPr>
                  <w:tcW w:w="958" w:type="pct"/>
                  <w:tcBorders>
                    <w:tl2br w:val="nil"/>
                    <w:tr2bl w:val="nil"/>
                  </w:tcBorders>
                  <w:shd w:val="clear" w:color="auto" w:fill="auto"/>
                  <w:tcMar>
                    <w:top w:w="15" w:type="dxa"/>
                    <w:left w:w="15" w:type="dxa"/>
                    <w:right w:w="15" w:type="dxa"/>
                  </w:tcMar>
                  <w:vAlign w:val="center"/>
                </w:tcPr>
                <w:p w14:paraId="4B61B01D">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default"/>
                      <w:color w:val="auto"/>
                      <w:highlight w:val="none"/>
                      <w:lang w:val="en-US" w:eastAsia="zh-CN"/>
                    </w:rPr>
                    <w:t>25000</w:t>
                  </w:r>
                </w:p>
              </w:tc>
              <w:tc>
                <w:tcPr>
                  <w:tcW w:w="1205" w:type="pct"/>
                  <w:tcBorders>
                    <w:tl2br w:val="nil"/>
                    <w:tr2bl w:val="nil"/>
                  </w:tcBorders>
                  <w:tcMar>
                    <w:top w:w="15" w:type="dxa"/>
                    <w:left w:w="15" w:type="dxa"/>
                    <w:right w:w="15" w:type="dxa"/>
                  </w:tcMar>
                  <w:vAlign w:val="center"/>
                </w:tcPr>
                <w:p w14:paraId="0776F8B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无组织排放粉尘</w:t>
                  </w:r>
                </w:p>
              </w:tc>
              <w:tc>
                <w:tcPr>
                  <w:tcW w:w="1124" w:type="pct"/>
                  <w:tcBorders>
                    <w:tl2br w:val="nil"/>
                    <w:tr2bl w:val="nil"/>
                  </w:tcBorders>
                  <w:tcMar>
                    <w:top w:w="15" w:type="dxa"/>
                    <w:left w:w="15" w:type="dxa"/>
                    <w:right w:w="15" w:type="dxa"/>
                  </w:tcMar>
                  <w:vAlign w:val="center"/>
                </w:tcPr>
                <w:p w14:paraId="6B90137A">
                  <w:pPr>
                    <w:pStyle w:val="40"/>
                    <w:bidi w:val="0"/>
                    <w:ind w:firstLine="0" w:firstLineChars="0"/>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13.125</w:t>
                  </w:r>
                </w:p>
              </w:tc>
            </w:tr>
            <w:tr w14:paraId="0E5197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518" w:type="pct"/>
                  <w:tcBorders>
                    <w:tl2br w:val="nil"/>
                    <w:tr2bl w:val="nil"/>
                  </w:tcBorders>
                  <w:tcMar>
                    <w:top w:w="15" w:type="dxa"/>
                    <w:left w:w="15" w:type="dxa"/>
                    <w:right w:w="15" w:type="dxa"/>
                  </w:tcMar>
                  <w:vAlign w:val="center"/>
                </w:tcPr>
                <w:p w14:paraId="4C061AB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kern w:val="0"/>
                      <w:sz w:val="21"/>
                      <w:szCs w:val="21"/>
                      <w:highlight w:val="none"/>
                      <w:lang w:bidi="ar"/>
                    </w:rPr>
                    <w:t>4</w:t>
                  </w:r>
                </w:p>
              </w:tc>
              <w:tc>
                <w:tcPr>
                  <w:tcW w:w="1194" w:type="pct"/>
                  <w:tcBorders>
                    <w:tl2br w:val="nil"/>
                    <w:tr2bl w:val="nil"/>
                  </w:tcBorders>
                  <w:shd w:val="clear" w:color="auto" w:fill="auto"/>
                  <w:tcMar>
                    <w:top w:w="15" w:type="dxa"/>
                    <w:left w:w="15" w:type="dxa"/>
                    <w:right w:w="15" w:type="dxa"/>
                  </w:tcMar>
                  <w:vAlign w:val="center"/>
                </w:tcPr>
                <w:p w14:paraId="37652514">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default"/>
                      <w:color w:val="auto"/>
                      <w:highlight w:val="none"/>
                      <w:lang w:val="en-US" w:eastAsia="zh-CN"/>
                    </w:rPr>
                    <w:t>镁渣</w:t>
                  </w:r>
                </w:p>
              </w:tc>
              <w:tc>
                <w:tcPr>
                  <w:tcW w:w="958" w:type="pct"/>
                  <w:tcBorders>
                    <w:tl2br w:val="nil"/>
                    <w:tr2bl w:val="nil"/>
                  </w:tcBorders>
                  <w:shd w:val="clear" w:color="auto" w:fill="auto"/>
                  <w:tcMar>
                    <w:top w:w="15" w:type="dxa"/>
                    <w:left w:w="15" w:type="dxa"/>
                    <w:right w:w="15" w:type="dxa"/>
                  </w:tcMar>
                  <w:vAlign w:val="center"/>
                </w:tcPr>
                <w:p w14:paraId="46D62A60">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default"/>
                      <w:color w:val="auto"/>
                      <w:highlight w:val="none"/>
                      <w:lang w:val="en-US" w:eastAsia="zh-CN"/>
                    </w:rPr>
                    <w:t>220000</w:t>
                  </w:r>
                </w:p>
              </w:tc>
              <w:tc>
                <w:tcPr>
                  <w:tcW w:w="1205" w:type="pct"/>
                  <w:tcBorders>
                    <w:tl2br w:val="nil"/>
                    <w:tr2bl w:val="nil"/>
                  </w:tcBorders>
                  <w:tcMar>
                    <w:top w:w="15" w:type="dxa"/>
                    <w:left w:w="15" w:type="dxa"/>
                    <w:right w:w="15" w:type="dxa"/>
                  </w:tcMar>
                  <w:vAlign w:val="center"/>
                </w:tcPr>
                <w:p w14:paraId="6726282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w:t>
                  </w:r>
                </w:p>
              </w:tc>
              <w:tc>
                <w:tcPr>
                  <w:tcW w:w="1124" w:type="pct"/>
                  <w:tcBorders>
                    <w:tl2br w:val="nil"/>
                    <w:tr2bl w:val="nil"/>
                  </w:tcBorders>
                  <w:tcMar>
                    <w:top w:w="15" w:type="dxa"/>
                    <w:left w:w="15" w:type="dxa"/>
                    <w:right w:w="15" w:type="dxa"/>
                  </w:tcMar>
                  <w:vAlign w:val="center"/>
                </w:tcPr>
                <w:p w14:paraId="18794DB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w:t>
                  </w:r>
                </w:p>
              </w:tc>
            </w:tr>
            <w:tr w14:paraId="2737C8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518" w:type="pct"/>
                  <w:tcBorders>
                    <w:tl2br w:val="nil"/>
                    <w:tr2bl w:val="nil"/>
                  </w:tcBorders>
                  <w:tcMar>
                    <w:top w:w="15" w:type="dxa"/>
                    <w:left w:w="15" w:type="dxa"/>
                    <w:right w:w="15" w:type="dxa"/>
                  </w:tcMar>
                  <w:vAlign w:val="center"/>
                </w:tcPr>
                <w:p w14:paraId="4C8D21C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5</w:t>
                  </w:r>
                </w:p>
              </w:tc>
              <w:tc>
                <w:tcPr>
                  <w:tcW w:w="1194" w:type="pct"/>
                  <w:tcBorders>
                    <w:tl2br w:val="nil"/>
                    <w:tr2bl w:val="nil"/>
                  </w:tcBorders>
                  <w:shd w:val="clear" w:color="auto" w:fill="auto"/>
                  <w:tcMar>
                    <w:top w:w="15" w:type="dxa"/>
                    <w:left w:w="15" w:type="dxa"/>
                    <w:right w:w="15" w:type="dxa"/>
                  </w:tcMar>
                  <w:vAlign w:val="center"/>
                </w:tcPr>
                <w:p w14:paraId="032AA379">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default"/>
                      <w:color w:val="auto"/>
                      <w:highlight w:val="none"/>
                      <w:lang w:val="en-US" w:eastAsia="zh-CN"/>
                    </w:rPr>
                    <w:t>活化剂</w:t>
                  </w:r>
                </w:p>
              </w:tc>
              <w:tc>
                <w:tcPr>
                  <w:tcW w:w="958" w:type="pct"/>
                  <w:tcBorders>
                    <w:tl2br w:val="nil"/>
                    <w:tr2bl w:val="nil"/>
                  </w:tcBorders>
                  <w:shd w:val="clear" w:color="auto" w:fill="auto"/>
                  <w:tcMar>
                    <w:top w:w="15" w:type="dxa"/>
                    <w:left w:w="15" w:type="dxa"/>
                    <w:right w:w="15" w:type="dxa"/>
                  </w:tcMar>
                  <w:vAlign w:val="center"/>
                </w:tcPr>
                <w:p w14:paraId="2ACEC670">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default"/>
                      <w:color w:val="auto"/>
                      <w:highlight w:val="none"/>
                      <w:lang w:val="en-US" w:eastAsia="zh-CN"/>
                    </w:rPr>
                    <w:t>5000</w:t>
                  </w:r>
                </w:p>
              </w:tc>
              <w:tc>
                <w:tcPr>
                  <w:tcW w:w="1205" w:type="pct"/>
                  <w:tcBorders>
                    <w:tl2br w:val="nil"/>
                    <w:tr2bl w:val="nil"/>
                  </w:tcBorders>
                  <w:shd w:val="clear" w:color="auto" w:fill="auto"/>
                  <w:tcMar>
                    <w:top w:w="15" w:type="dxa"/>
                    <w:left w:w="15" w:type="dxa"/>
                    <w:right w:w="15" w:type="dxa"/>
                  </w:tcMar>
                  <w:vAlign w:val="center"/>
                </w:tcPr>
                <w:p w14:paraId="1B3FE92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w:t>
                  </w:r>
                </w:p>
              </w:tc>
              <w:tc>
                <w:tcPr>
                  <w:tcW w:w="1124" w:type="pct"/>
                  <w:tcBorders>
                    <w:tl2br w:val="nil"/>
                    <w:tr2bl w:val="nil"/>
                  </w:tcBorders>
                  <w:shd w:val="clear" w:color="auto" w:fill="auto"/>
                  <w:tcMar>
                    <w:top w:w="15" w:type="dxa"/>
                    <w:left w:w="15" w:type="dxa"/>
                    <w:right w:w="15" w:type="dxa"/>
                  </w:tcMar>
                  <w:vAlign w:val="center"/>
                </w:tcPr>
                <w:p w14:paraId="5884EB5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w:t>
                  </w:r>
                </w:p>
              </w:tc>
            </w:tr>
            <w:tr w14:paraId="212F85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518" w:type="pct"/>
                  <w:tcBorders>
                    <w:tl2br w:val="nil"/>
                    <w:tr2bl w:val="nil"/>
                  </w:tcBorders>
                  <w:tcMar>
                    <w:top w:w="15" w:type="dxa"/>
                    <w:left w:w="15" w:type="dxa"/>
                    <w:right w:w="15" w:type="dxa"/>
                  </w:tcMar>
                  <w:vAlign w:val="center"/>
                </w:tcPr>
                <w:p w14:paraId="0D34260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val="0"/>
                      <w:color w:val="auto"/>
                      <w:sz w:val="21"/>
                      <w:szCs w:val="21"/>
                      <w:highlight w:val="none"/>
                      <w:lang w:eastAsia="zh-CN"/>
                    </w:rPr>
                  </w:pPr>
                  <w:r>
                    <w:rPr>
                      <w:rFonts w:hint="eastAsia" w:cs="Times New Roman"/>
                      <w:b w:val="0"/>
                      <w:bCs w:val="0"/>
                      <w:color w:val="auto"/>
                      <w:kern w:val="0"/>
                      <w:sz w:val="21"/>
                      <w:szCs w:val="21"/>
                      <w:highlight w:val="none"/>
                      <w:lang w:val="en-US" w:eastAsia="zh-CN" w:bidi="ar"/>
                    </w:rPr>
                    <w:t>6</w:t>
                  </w:r>
                </w:p>
              </w:tc>
              <w:tc>
                <w:tcPr>
                  <w:tcW w:w="1194" w:type="pct"/>
                  <w:tcBorders>
                    <w:tl2br w:val="nil"/>
                    <w:tr2bl w:val="nil"/>
                  </w:tcBorders>
                  <w:tcMar>
                    <w:top w:w="15" w:type="dxa"/>
                    <w:left w:w="15" w:type="dxa"/>
                    <w:right w:w="15" w:type="dxa"/>
                  </w:tcMar>
                  <w:vAlign w:val="center"/>
                </w:tcPr>
                <w:p w14:paraId="6959CE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水</w:t>
                  </w:r>
                </w:p>
              </w:tc>
              <w:tc>
                <w:tcPr>
                  <w:tcW w:w="958" w:type="pct"/>
                  <w:tcBorders>
                    <w:tl2br w:val="nil"/>
                    <w:tr2bl w:val="nil"/>
                  </w:tcBorders>
                  <w:tcMar>
                    <w:top w:w="15" w:type="dxa"/>
                    <w:left w:w="15" w:type="dxa"/>
                    <w:right w:w="15" w:type="dxa"/>
                  </w:tcMar>
                  <w:vAlign w:val="center"/>
                </w:tcPr>
                <w:p w14:paraId="28A3AC3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50000</w:t>
                  </w:r>
                </w:p>
              </w:tc>
              <w:tc>
                <w:tcPr>
                  <w:tcW w:w="1205" w:type="pct"/>
                  <w:tcBorders>
                    <w:tl2br w:val="nil"/>
                    <w:tr2bl w:val="nil"/>
                  </w:tcBorders>
                  <w:tcMar>
                    <w:top w:w="15" w:type="dxa"/>
                    <w:left w:w="15" w:type="dxa"/>
                    <w:right w:w="15" w:type="dxa"/>
                  </w:tcMar>
                  <w:vAlign w:val="center"/>
                </w:tcPr>
                <w:p w14:paraId="234E7C8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w:t>
                  </w:r>
                </w:p>
              </w:tc>
              <w:tc>
                <w:tcPr>
                  <w:tcW w:w="1124" w:type="pct"/>
                  <w:tcBorders>
                    <w:tl2br w:val="nil"/>
                    <w:tr2bl w:val="nil"/>
                  </w:tcBorders>
                  <w:tcMar>
                    <w:top w:w="15" w:type="dxa"/>
                    <w:left w:w="15" w:type="dxa"/>
                    <w:right w:w="15" w:type="dxa"/>
                  </w:tcMar>
                  <w:vAlign w:val="center"/>
                </w:tcPr>
                <w:p w14:paraId="01456AE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w:t>
                  </w:r>
                </w:p>
              </w:tc>
            </w:tr>
            <w:tr w14:paraId="18B6B8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1712" w:type="pct"/>
                  <w:gridSpan w:val="2"/>
                  <w:tcBorders>
                    <w:tl2br w:val="nil"/>
                    <w:tr2bl w:val="nil"/>
                  </w:tcBorders>
                  <w:tcMar>
                    <w:top w:w="15" w:type="dxa"/>
                    <w:left w:w="15" w:type="dxa"/>
                    <w:right w:w="15" w:type="dxa"/>
                  </w:tcMar>
                  <w:vAlign w:val="center"/>
                </w:tcPr>
                <w:p w14:paraId="0E2DE5C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kern w:val="0"/>
                      <w:sz w:val="21"/>
                      <w:szCs w:val="21"/>
                      <w:highlight w:val="none"/>
                      <w:lang w:bidi="ar"/>
                    </w:rPr>
                    <w:t>合计</w:t>
                  </w:r>
                </w:p>
              </w:tc>
              <w:tc>
                <w:tcPr>
                  <w:tcW w:w="958" w:type="pct"/>
                  <w:tcBorders>
                    <w:tl2br w:val="nil"/>
                    <w:tr2bl w:val="nil"/>
                  </w:tcBorders>
                  <w:tcMar>
                    <w:top w:w="15" w:type="dxa"/>
                    <w:left w:w="15" w:type="dxa"/>
                    <w:right w:w="15" w:type="dxa"/>
                  </w:tcMar>
                  <w:vAlign w:val="center"/>
                </w:tcPr>
                <w:p w14:paraId="51D8C20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bidi="ar"/>
                    </w:rPr>
                    <w:t>1000000</w:t>
                  </w:r>
                </w:p>
              </w:tc>
              <w:tc>
                <w:tcPr>
                  <w:tcW w:w="1205" w:type="pct"/>
                  <w:tcBorders>
                    <w:tl2br w:val="nil"/>
                    <w:tr2bl w:val="nil"/>
                  </w:tcBorders>
                  <w:tcMar>
                    <w:top w:w="15" w:type="dxa"/>
                    <w:left w:w="15" w:type="dxa"/>
                    <w:right w:w="15" w:type="dxa"/>
                  </w:tcMar>
                  <w:vAlign w:val="center"/>
                </w:tcPr>
                <w:p w14:paraId="2A01F6D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w:t>
                  </w:r>
                </w:p>
              </w:tc>
              <w:tc>
                <w:tcPr>
                  <w:tcW w:w="1124" w:type="pct"/>
                  <w:tcBorders>
                    <w:tl2br w:val="nil"/>
                    <w:tr2bl w:val="nil"/>
                  </w:tcBorders>
                  <w:tcMar>
                    <w:top w:w="15" w:type="dxa"/>
                    <w:left w:w="15" w:type="dxa"/>
                    <w:right w:w="15" w:type="dxa"/>
                  </w:tcMar>
                  <w:vAlign w:val="center"/>
                </w:tcPr>
                <w:p w14:paraId="451F581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bidi="ar"/>
                    </w:rPr>
                    <w:t>1000000</w:t>
                  </w:r>
                </w:p>
              </w:tc>
            </w:tr>
          </w:tbl>
          <w:p w14:paraId="01AF5408">
            <w:pPr>
              <w:pStyle w:val="7"/>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color w:val="auto"/>
                <w:highlight w:val="none"/>
                <w:lang w:val="en-US" w:eastAsia="zh-CN"/>
              </w:rPr>
            </w:pPr>
            <w:bookmarkStart w:id="24" w:name="_Ref27727"/>
            <w:bookmarkStart w:id="25" w:name="_Ref7712"/>
            <w:r>
              <w:rPr>
                <w:color w:val="auto"/>
                <w:highlight w:val="none"/>
              </w:rPr>
              <w:t>表2-</w:t>
            </w:r>
            <w:r>
              <w:rPr>
                <w:color w:val="auto"/>
                <w:highlight w:val="none"/>
              </w:rPr>
              <w:fldChar w:fldCharType="begin"/>
            </w:r>
            <w:r>
              <w:rPr>
                <w:color w:val="auto"/>
                <w:highlight w:val="none"/>
              </w:rPr>
              <w:instrText xml:space="preserve"> SEQ 表2- \* ARABIC </w:instrText>
            </w:r>
            <w:r>
              <w:rPr>
                <w:color w:val="auto"/>
                <w:highlight w:val="none"/>
              </w:rPr>
              <w:fldChar w:fldCharType="separate"/>
            </w:r>
            <w:r>
              <w:rPr>
                <w:color w:val="auto"/>
                <w:highlight w:val="none"/>
              </w:rPr>
              <w:t>12</w:t>
            </w:r>
            <w:r>
              <w:rPr>
                <w:color w:val="auto"/>
                <w:highlight w:val="none"/>
              </w:rPr>
              <w:fldChar w:fldCharType="end"/>
            </w:r>
            <w:bookmarkEnd w:id="22"/>
            <w:bookmarkEnd w:id="24"/>
            <w:bookmarkEnd w:id="25"/>
            <w:r>
              <w:rPr>
                <w:rFonts w:hint="eastAsia"/>
                <w:color w:val="auto"/>
                <w:highlight w:val="none"/>
                <w:lang w:val="en-US" w:eastAsia="zh-CN"/>
              </w:rPr>
              <w:t xml:space="preserve"> </w:t>
            </w:r>
            <w:r>
              <w:rPr>
                <w:rFonts w:hint="default"/>
                <w:color w:val="auto"/>
                <w:highlight w:val="none"/>
                <w:lang w:val="en-US" w:eastAsia="zh-CN"/>
              </w:rPr>
              <w:t xml:space="preserve"> </w:t>
            </w:r>
            <w:r>
              <w:rPr>
                <w:rFonts w:hint="default"/>
                <w:color w:val="auto"/>
                <w:highlight w:val="none"/>
              </w:rPr>
              <w:t>商品混凝土生产线物料平衡一览表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59"/>
              <w:gridCol w:w="2003"/>
              <w:gridCol w:w="1598"/>
              <w:gridCol w:w="2009"/>
              <w:gridCol w:w="1889"/>
            </w:tblGrid>
            <w:tr w14:paraId="4B381D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513" w:type="pct"/>
                  <w:vMerge w:val="restart"/>
                  <w:tcBorders>
                    <w:tl2br w:val="nil"/>
                    <w:tr2bl w:val="nil"/>
                  </w:tcBorders>
                  <w:tcMar>
                    <w:top w:w="15" w:type="dxa"/>
                    <w:left w:w="15" w:type="dxa"/>
                    <w:right w:w="15" w:type="dxa"/>
                  </w:tcMar>
                  <w:vAlign w:val="center"/>
                </w:tcPr>
                <w:p w14:paraId="284395C8">
                  <w:pPr>
                    <w:pStyle w:val="40"/>
                    <w:bidi w:val="0"/>
                    <w:rPr>
                      <w:rFonts w:hint="default"/>
                      <w:color w:val="auto"/>
                      <w:highlight w:val="none"/>
                    </w:rPr>
                  </w:pPr>
                  <w:r>
                    <w:rPr>
                      <w:rFonts w:hint="default"/>
                      <w:color w:val="auto"/>
                      <w:highlight w:val="none"/>
                    </w:rPr>
                    <w:t>序号</w:t>
                  </w:r>
                </w:p>
              </w:tc>
              <w:tc>
                <w:tcPr>
                  <w:tcW w:w="2154" w:type="pct"/>
                  <w:gridSpan w:val="2"/>
                  <w:tcBorders>
                    <w:tl2br w:val="nil"/>
                    <w:tr2bl w:val="nil"/>
                  </w:tcBorders>
                  <w:tcMar>
                    <w:top w:w="15" w:type="dxa"/>
                    <w:left w:w="15" w:type="dxa"/>
                    <w:right w:w="15" w:type="dxa"/>
                  </w:tcMar>
                  <w:vAlign w:val="center"/>
                </w:tcPr>
                <w:p w14:paraId="1DC1DC82">
                  <w:pPr>
                    <w:pStyle w:val="40"/>
                    <w:bidi w:val="0"/>
                    <w:rPr>
                      <w:rFonts w:hint="default"/>
                      <w:color w:val="auto"/>
                      <w:highlight w:val="none"/>
                    </w:rPr>
                  </w:pPr>
                  <w:r>
                    <w:rPr>
                      <w:rFonts w:hint="default"/>
                      <w:color w:val="auto"/>
                      <w:highlight w:val="none"/>
                    </w:rPr>
                    <w:t>投入</w:t>
                  </w:r>
                </w:p>
              </w:tc>
              <w:tc>
                <w:tcPr>
                  <w:tcW w:w="2331" w:type="pct"/>
                  <w:gridSpan w:val="2"/>
                  <w:tcBorders>
                    <w:tl2br w:val="nil"/>
                    <w:tr2bl w:val="nil"/>
                  </w:tcBorders>
                  <w:tcMar>
                    <w:top w:w="15" w:type="dxa"/>
                    <w:left w:w="15" w:type="dxa"/>
                    <w:right w:w="15" w:type="dxa"/>
                  </w:tcMar>
                  <w:vAlign w:val="center"/>
                </w:tcPr>
                <w:p w14:paraId="11F41C3C">
                  <w:pPr>
                    <w:pStyle w:val="40"/>
                    <w:bidi w:val="0"/>
                    <w:rPr>
                      <w:rFonts w:hint="default"/>
                      <w:color w:val="auto"/>
                      <w:highlight w:val="none"/>
                    </w:rPr>
                  </w:pPr>
                  <w:r>
                    <w:rPr>
                      <w:rFonts w:hint="default"/>
                      <w:color w:val="auto"/>
                      <w:highlight w:val="none"/>
                    </w:rPr>
                    <w:t>产出</w:t>
                  </w:r>
                </w:p>
              </w:tc>
            </w:tr>
            <w:tr w14:paraId="23103F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513" w:type="pct"/>
                  <w:vMerge w:val="continue"/>
                  <w:tcBorders>
                    <w:tl2br w:val="nil"/>
                    <w:tr2bl w:val="nil"/>
                  </w:tcBorders>
                  <w:tcMar>
                    <w:top w:w="15" w:type="dxa"/>
                    <w:left w:w="15" w:type="dxa"/>
                    <w:right w:w="15" w:type="dxa"/>
                  </w:tcMar>
                  <w:vAlign w:val="center"/>
                </w:tcPr>
                <w:p w14:paraId="435007DC">
                  <w:pPr>
                    <w:pStyle w:val="40"/>
                    <w:bidi w:val="0"/>
                    <w:rPr>
                      <w:rFonts w:hint="default"/>
                      <w:color w:val="auto"/>
                      <w:highlight w:val="none"/>
                    </w:rPr>
                  </w:pPr>
                </w:p>
              </w:tc>
              <w:tc>
                <w:tcPr>
                  <w:tcW w:w="1198" w:type="pct"/>
                  <w:tcBorders>
                    <w:tl2br w:val="nil"/>
                    <w:tr2bl w:val="nil"/>
                  </w:tcBorders>
                  <w:tcMar>
                    <w:top w:w="15" w:type="dxa"/>
                    <w:left w:w="15" w:type="dxa"/>
                    <w:right w:w="15" w:type="dxa"/>
                  </w:tcMar>
                  <w:vAlign w:val="center"/>
                </w:tcPr>
                <w:p w14:paraId="1882CBF1">
                  <w:pPr>
                    <w:pStyle w:val="40"/>
                    <w:bidi w:val="0"/>
                    <w:rPr>
                      <w:rFonts w:hint="default"/>
                      <w:color w:val="auto"/>
                      <w:highlight w:val="none"/>
                    </w:rPr>
                  </w:pPr>
                  <w:r>
                    <w:rPr>
                      <w:rFonts w:hint="default"/>
                      <w:color w:val="auto"/>
                      <w:highlight w:val="none"/>
                    </w:rPr>
                    <w:t>原料</w:t>
                  </w:r>
                </w:p>
              </w:tc>
              <w:tc>
                <w:tcPr>
                  <w:tcW w:w="955" w:type="pct"/>
                  <w:tcBorders>
                    <w:tl2br w:val="nil"/>
                    <w:tr2bl w:val="nil"/>
                  </w:tcBorders>
                  <w:tcMar>
                    <w:top w:w="15" w:type="dxa"/>
                    <w:left w:w="15" w:type="dxa"/>
                    <w:right w:w="15" w:type="dxa"/>
                  </w:tcMar>
                  <w:vAlign w:val="center"/>
                </w:tcPr>
                <w:p w14:paraId="1A022F88">
                  <w:pPr>
                    <w:pStyle w:val="40"/>
                    <w:bidi w:val="0"/>
                    <w:rPr>
                      <w:rFonts w:hint="default"/>
                      <w:color w:val="auto"/>
                      <w:highlight w:val="none"/>
                    </w:rPr>
                  </w:pPr>
                  <w:r>
                    <w:rPr>
                      <w:rFonts w:hint="default"/>
                      <w:color w:val="auto"/>
                      <w:highlight w:val="none"/>
                    </w:rPr>
                    <w:t>数量（t）</w:t>
                  </w:r>
                </w:p>
              </w:tc>
              <w:tc>
                <w:tcPr>
                  <w:tcW w:w="1201" w:type="pct"/>
                  <w:tcBorders>
                    <w:tl2br w:val="nil"/>
                    <w:tr2bl w:val="nil"/>
                  </w:tcBorders>
                  <w:tcMar>
                    <w:top w:w="15" w:type="dxa"/>
                    <w:left w:w="15" w:type="dxa"/>
                    <w:right w:w="15" w:type="dxa"/>
                  </w:tcMar>
                  <w:vAlign w:val="center"/>
                </w:tcPr>
                <w:p w14:paraId="54095A41">
                  <w:pPr>
                    <w:pStyle w:val="40"/>
                    <w:bidi w:val="0"/>
                    <w:rPr>
                      <w:rFonts w:hint="default"/>
                      <w:color w:val="auto"/>
                      <w:highlight w:val="none"/>
                    </w:rPr>
                  </w:pPr>
                  <w:r>
                    <w:rPr>
                      <w:rFonts w:hint="default"/>
                      <w:color w:val="auto"/>
                      <w:highlight w:val="none"/>
                    </w:rPr>
                    <w:t>产品</w:t>
                  </w:r>
                </w:p>
              </w:tc>
              <w:tc>
                <w:tcPr>
                  <w:tcW w:w="1130" w:type="pct"/>
                  <w:tcBorders>
                    <w:tl2br w:val="nil"/>
                    <w:tr2bl w:val="nil"/>
                  </w:tcBorders>
                  <w:tcMar>
                    <w:top w:w="15" w:type="dxa"/>
                    <w:left w:w="15" w:type="dxa"/>
                    <w:right w:w="15" w:type="dxa"/>
                  </w:tcMar>
                  <w:vAlign w:val="center"/>
                </w:tcPr>
                <w:p w14:paraId="0A1D0638">
                  <w:pPr>
                    <w:pStyle w:val="40"/>
                    <w:bidi w:val="0"/>
                    <w:rPr>
                      <w:rFonts w:hint="default"/>
                      <w:color w:val="auto"/>
                      <w:highlight w:val="none"/>
                    </w:rPr>
                  </w:pPr>
                  <w:r>
                    <w:rPr>
                      <w:rFonts w:hint="default"/>
                      <w:color w:val="auto"/>
                      <w:highlight w:val="none"/>
                    </w:rPr>
                    <w:t>数量（t）</w:t>
                  </w:r>
                </w:p>
              </w:tc>
            </w:tr>
            <w:tr w14:paraId="7D50E7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513" w:type="pct"/>
                  <w:tcBorders>
                    <w:tl2br w:val="nil"/>
                    <w:tr2bl w:val="nil"/>
                  </w:tcBorders>
                  <w:shd w:val="clear" w:color="auto" w:fill="auto"/>
                  <w:tcMar>
                    <w:top w:w="15" w:type="dxa"/>
                    <w:left w:w="15" w:type="dxa"/>
                    <w:right w:w="15" w:type="dxa"/>
                  </w:tcMar>
                  <w:vAlign w:val="center"/>
                </w:tcPr>
                <w:p w14:paraId="6640452E">
                  <w:pPr>
                    <w:pStyle w:val="40"/>
                    <w:bidi w:val="0"/>
                    <w:rPr>
                      <w:rFonts w:hint="default"/>
                      <w:color w:val="auto"/>
                      <w:highlight w:val="none"/>
                      <w:lang w:val="en-US" w:eastAsia="zh-CN"/>
                    </w:rPr>
                  </w:pPr>
                  <w:r>
                    <w:rPr>
                      <w:rFonts w:hint="default"/>
                      <w:color w:val="auto"/>
                      <w:highlight w:val="none"/>
                    </w:rPr>
                    <w:t>1</w:t>
                  </w:r>
                </w:p>
              </w:tc>
              <w:tc>
                <w:tcPr>
                  <w:tcW w:w="1198" w:type="pct"/>
                  <w:tcBorders>
                    <w:tl2br w:val="nil"/>
                    <w:tr2bl w:val="nil"/>
                  </w:tcBorders>
                  <w:tcMar>
                    <w:top w:w="15" w:type="dxa"/>
                    <w:left w:w="15" w:type="dxa"/>
                    <w:right w:w="15" w:type="dxa"/>
                  </w:tcMar>
                  <w:vAlign w:val="center"/>
                </w:tcPr>
                <w:p w14:paraId="3588D4C8">
                  <w:pPr>
                    <w:pStyle w:val="40"/>
                    <w:bidi w:val="0"/>
                    <w:ind w:firstLine="0" w:firstLineChars="0"/>
                    <w:rPr>
                      <w:rFonts w:hint="default"/>
                      <w:color w:val="auto"/>
                      <w:highlight w:val="none"/>
                      <w:lang w:val="en-US" w:eastAsia="zh-CN"/>
                    </w:rPr>
                  </w:pPr>
                  <w:r>
                    <w:rPr>
                      <w:rFonts w:hint="eastAsia"/>
                      <w:color w:val="auto"/>
                      <w:highlight w:val="none"/>
                      <w:lang w:val="en-US" w:eastAsia="zh-CN"/>
                    </w:rPr>
                    <w:t>粉煤灰</w:t>
                  </w:r>
                </w:p>
              </w:tc>
              <w:tc>
                <w:tcPr>
                  <w:tcW w:w="955" w:type="pct"/>
                  <w:tcBorders>
                    <w:tl2br w:val="nil"/>
                    <w:tr2bl w:val="nil"/>
                  </w:tcBorders>
                  <w:shd w:val="clear" w:color="auto" w:fill="auto"/>
                  <w:tcMar>
                    <w:top w:w="15" w:type="dxa"/>
                    <w:left w:w="15" w:type="dxa"/>
                    <w:right w:w="15" w:type="dxa"/>
                  </w:tcMar>
                  <w:vAlign w:val="center"/>
                </w:tcPr>
                <w:p w14:paraId="17D26A02">
                  <w:pPr>
                    <w:pStyle w:val="40"/>
                    <w:bidi w:val="0"/>
                    <w:ind w:firstLine="0" w:firstLineChars="0"/>
                    <w:rPr>
                      <w:rFonts w:hint="default" w:eastAsia="宋体"/>
                      <w:color w:val="auto"/>
                      <w:highlight w:val="none"/>
                      <w:lang w:val="en-US" w:eastAsia="zh-CN"/>
                    </w:rPr>
                  </w:pPr>
                  <w:r>
                    <w:rPr>
                      <w:rFonts w:hint="eastAsia"/>
                      <w:color w:val="auto"/>
                      <w:highlight w:val="none"/>
                      <w:lang w:val="en-US" w:eastAsia="zh-CN"/>
                    </w:rPr>
                    <w:t>67700</w:t>
                  </w:r>
                </w:p>
              </w:tc>
              <w:tc>
                <w:tcPr>
                  <w:tcW w:w="1201" w:type="pct"/>
                  <w:tcBorders>
                    <w:tl2br w:val="nil"/>
                    <w:tr2bl w:val="nil"/>
                  </w:tcBorders>
                  <w:shd w:val="clear" w:color="auto" w:fill="auto"/>
                  <w:tcMar>
                    <w:top w:w="15" w:type="dxa"/>
                    <w:left w:w="15" w:type="dxa"/>
                    <w:right w:w="15" w:type="dxa"/>
                  </w:tcMar>
                  <w:vAlign w:val="center"/>
                </w:tcPr>
                <w:p w14:paraId="51F402A9">
                  <w:pPr>
                    <w:pStyle w:val="40"/>
                    <w:bidi w:val="0"/>
                    <w:rPr>
                      <w:rFonts w:hint="default"/>
                      <w:color w:val="auto"/>
                      <w:highlight w:val="none"/>
                      <w:lang w:val="en-US" w:eastAsia="zh-CN"/>
                    </w:rPr>
                  </w:pPr>
                  <w:r>
                    <w:rPr>
                      <w:rFonts w:hint="default"/>
                      <w:color w:val="auto"/>
                      <w:highlight w:val="none"/>
                    </w:rPr>
                    <w:t>商品混凝土</w:t>
                  </w:r>
                </w:p>
              </w:tc>
              <w:tc>
                <w:tcPr>
                  <w:tcW w:w="1130" w:type="pct"/>
                  <w:tcBorders>
                    <w:tl2br w:val="nil"/>
                    <w:tr2bl w:val="nil"/>
                  </w:tcBorders>
                  <w:tcMar>
                    <w:top w:w="15" w:type="dxa"/>
                    <w:left w:w="15" w:type="dxa"/>
                    <w:right w:w="15" w:type="dxa"/>
                  </w:tcMar>
                  <w:vAlign w:val="center"/>
                </w:tcPr>
                <w:p w14:paraId="56F1BCB9">
                  <w:pPr>
                    <w:pStyle w:val="40"/>
                    <w:bidi w:val="0"/>
                    <w:rPr>
                      <w:rFonts w:hint="default" w:eastAsia="宋体"/>
                      <w:color w:val="auto"/>
                      <w:highlight w:val="none"/>
                      <w:lang w:val="en-US" w:eastAsia="zh-CN"/>
                    </w:rPr>
                  </w:pPr>
                  <w:r>
                    <w:rPr>
                      <w:rFonts w:hint="eastAsia"/>
                      <w:color w:val="auto"/>
                      <w:highlight w:val="none"/>
                      <w:lang w:val="en-US" w:eastAsia="zh-CN"/>
                    </w:rPr>
                    <w:t>1199998.468</w:t>
                  </w:r>
                </w:p>
              </w:tc>
            </w:tr>
            <w:tr w14:paraId="556418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513" w:type="pct"/>
                  <w:tcBorders>
                    <w:tl2br w:val="nil"/>
                    <w:tr2bl w:val="nil"/>
                  </w:tcBorders>
                  <w:shd w:val="clear" w:color="auto" w:fill="auto"/>
                  <w:tcMar>
                    <w:top w:w="15" w:type="dxa"/>
                    <w:left w:w="15" w:type="dxa"/>
                    <w:right w:w="15" w:type="dxa"/>
                  </w:tcMar>
                  <w:vAlign w:val="center"/>
                </w:tcPr>
                <w:p w14:paraId="3780EC24">
                  <w:pPr>
                    <w:pStyle w:val="40"/>
                    <w:bidi w:val="0"/>
                    <w:rPr>
                      <w:rFonts w:hint="default"/>
                      <w:color w:val="auto"/>
                      <w:highlight w:val="none"/>
                      <w:lang w:val="en-US" w:eastAsia="zh-CN"/>
                    </w:rPr>
                  </w:pPr>
                  <w:r>
                    <w:rPr>
                      <w:rFonts w:hint="default"/>
                      <w:color w:val="auto"/>
                      <w:highlight w:val="none"/>
                    </w:rPr>
                    <w:t>2</w:t>
                  </w:r>
                </w:p>
              </w:tc>
              <w:tc>
                <w:tcPr>
                  <w:tcW w:w="1198" w:type="pct"/>
                  <w:tcBorders>
                    <w:tl2br w:val="nil"/>
                    <w:tr2bl w:val="nil"/>
                  </w:tcBorders>
                  <w:tcMar>
                    <w:top w:w="15" w:type="dxa"/>
                    <w:left w:w="15" w:type="dxa"/>
                    <w:right w:w="15" w:type="dxa"/>
                  </w:tcMar>
                  <w:vAlign w:val="center"/>
                </w:tcPr>
                <w:p w14:paraId="312AB675">
                  <w:pPr>
                    <w:pStyle w:val="40"/>
                    <w:bidi w:val="0"/>
                    <w:ind w:firstLine="0" w:firstLineChars="0"/>
                    <w:rPr>
                      <w:rFonts w:hint="default"/>
                      <w:color w:val="auto"/>
                      <w:highlight w:val="none"/>
                    </w:rPr>
                  </w:pPr>
                  <w:r>
                    <w:rPr>
                      <w:rFonts w:hint="eastAsia"/>
                      <w:color w:val="auto"/>
                      <w:highlight w:val="none"/>
                      <w:lang w:val="en-US" w:eastAsia="zh-CN"/>
                    </w:rPr>
                    <w:t>水泥</w:t>
                  </w:r>
                </w:p>
              </w:tc>
              <w:tc>
                <w:tcPr>
                  <w:tcW w:w="955" w:type="pct"/>
                  <w:tcBorders>
                    <w:tl2br w:val="nil"/>
                    <w:tr2bl w:val="nil"/>
                  </w:tcBorders>
                  <w:shd w:val="clear" w:color="auto" w:fill="auto"/>
                  <w:tcMar>
                    <w:top w:w="15" w:type="dxa"/>
                    <w:left w:w="15" w:type="dxa"/>
                    <w:right w:w="15" w:type="dxa"/>
                  </w:tcMar>
                  <w:vAlign w:val="center"/>
                </w:tcPr>
                <w:p w14:paraId="6C589753">
                  <w:pPr>
                    <w:pStyle w:val="40"/>
                    <w:bidi w:val="0"/>
                    <w:ind w:firstLine="0" w:firstLineChars="0"/>
                    <w:rPr>
                      <w:rFonts w:hint="default" w:eastAsia="宋体"/>
                      <w:color w:val="auto"/>
                      <w:highlight w:val="none"/>
                      <w:lang w:val="en-US" w:eastAsia="zh-CN"/>
                    </w:rPr>
                  </w:pPr>
                  <w:r>
                    <w:rPr>
                      <w:rFonts w:hint="eastAsia"/>
                      <w:color w:val="auto"/>
                      <w:highlight w:val="none"/>
                      <w:lang w:val="en-US" w:eastAsia="zh-CN"/>
                    </w:rPr>
                    <w:t>203000</w:t>
                  </w:r>
                </w:p>
              </w:tc>
              <w:tc>
                <w:tcPr>
                  <w:tcW w:w="1201" w:type="pct"/>
                  <w:tcBorders>
                    <w:tl2br w:val="nil"/>
                    <w:tr2bl w:val="nil"/>
                  </w:tcBorders>
                  <w:shd w:val="clear" w:color="auto" w:fill="auto"/>
                  <w:tcMar>
                    <w:top w:w="15" w:type="dxa"/>
                    <w:left w:w="15" w:type="dxa"/>
                    <w:right w:w="15" w:type="dxa"/>
                  </w:tcMar>
                  <w:vAlign w:val="center"/>
                </w:tcPr>
                <w:p w14:paraId="7573D90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cs="Times New Roman"/>
                      <w:b w:val="0"/>
                      <w:bCs w:val="0"/>
                      <w:color w:val="auto"/>
                      <w:sz w:val="21"/>
                      <w:szCs w:val="21"/>
                      <w:highlight w:val="none"/>
                      <w:lang w:val="en-US" w:eastAsia="zh-CN"/>
                    </w:rPr>
                    <w:t>无组织排放粉尘</w:t>
                  </w:r>
                </w:p>
              </w:tc>
              <w:tc>
                <w:tcPr>
                  <w:tcW w:w="1130" w:type="pct"/>
                  <w:tcBorders>
                    <w:tl2br w:val="nil"/>
                    <w:tr2bl w:val="nil"/>
                  </w:tcBorders>
                  <w:shd w:val="clear" w:color="auto" w:fill="auto"/>
                  <w:tcMar>
                    <w:top w:w="15" w:type="dxa"/>
                    <w:left w:w="15" w:type="dxa"/>
                    <w:right w:w="15" w:type="dxa"/>
                  </w:tcMar>
                  <w:vAlign w:val="center"/>
                </w:tcPr>
                <w:p w14:paraId="381A6540">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1.532</w:t>
                  </w:r>
                </w:p>
              </w:tc>
            </w:tr>
            <w:tr w14:paraId="7C55EF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513" w:type="pct"/>
                  <w:tcBorders>
                    <w:tl2br w:val="nil"/>
                    <w:tr2bl w:val="nil"/>
                  </w:tcBorders>
                  <w:shd w:val="clear" w:color="auto" w:fill="auto"/>
                  <w:tcMar>
                    <w:top w:w="15" w:type="dxa"/>
                    <w:left w:w="15" w:type="dxa"/>
                    <w:right w:w="15" w:type="dxa"/>
                  </w:tcMar>
                  <w:vAlign w:val="center"/>
                </w:tcPr>
                <w:p w14:paraId="06F3CEC3">
                  <w:pPr>
                    <w:pStyle w:val="40"/>
                    <w:bidi w:val="0"/>
                    <w:rPr>
                      <w:rFonts w:hint="default"/>
                      <w:color w:val="auto"/>
                      <w:highlight w:val="none"/>
                      <w:lang w:val="en-US" w:eastAsia="zh-CN"/>
                    </w:rPr>
                  </w:pPr>
                  <w:r>
                    <w:rPr>
                      <w:rFonts w:hint="default"/>
                      <w:color w:val="auto"/>
                      <w:highlight w:val="none"/>
                    </w:rPr>
                    <w:t>3</w:t>
                  </w:r>
                </w:p>
              </w:tc>
              <w:tc>
                <w:tcPr>
                  <w:tcW w:w="1198" w:type="pct"/>
                  <w:tcBorders>
                    <w:tl2br w:val="nil"/>
                    <w:tr2bl w:val="nil"/>
                  </w:tcBorders>
                  <w:tcMar>
                    <w:top w:w="15" w:type="dxa"/>
                    <w:left w:w="15" w:type="dxa"/>
                    <w:right w:w="15" w:type="dxa"/>
                  </w:tcMar>
                  <w:vAlign w:val="center"/>
                </w:tcPr>
                <w:p w14:paraId="437C9FE3">
                  <w:pPr>
                    <w:pStyle w:val="40"/>
                    <w:bidi w:val="0"/>
                    <w:ind w:firstLine="0" w:firstLineChars="0"/>
                    <w:rPr>
                      <w:rFonts w:hint="default"/>
                      <w:color w:val="auto"/>
                      <w:highlight w:val="none"/>
                    </w:rPr>
                  </w:pPr>
                  <w:r>
                    <w:rPr>
                      <w:rFonts w:hint="eastAsia"/>
                      <w:color w:val="auto"/>
                      <w:highlight w:val="none"/>
                      <w:lang w:val="en-US" w:eastAsia="zh-CN"/>
                    </w:rPr>
                    <w:t>砂子</w:t>
                  </w:r>
                </w:p>
              </w:tc>
              <w:tc>
                <w:tcPr>
                  <w:tcW w:w="955" w:type="pct"/>
                  <w:tcBorders>
                    <w:tl2br w:val="nil"/>
                    <w:tr2bl w:val="nil"/>
                  </w:tcBorders>
                  <w:shd w:val="clear" w:color="auto" w:fill="auto"/>
                  <w:tcMar>
                    <w:top w:w="15" w:type="dxa"/>
                    <w:left w:w="15" w:type="dxa"/>
                    <w:right w:w="15" w:type="dxa"/>
                  </w:tcMar>
                  <w:vAlign w:val="center"/>
                </w:tcPr>
                <w:p w14:paraId="755CBB37">
                  <w:pPr>
                    <w:pStyle w:val="40"/>
                    <w:bidi w:val="0"/>
                    <w:ind w:firstLine="0" w:firstLineChars="0"/>
                    <w:rPr>
                      <w:rFonts w:hint="default" w:eastAsia="宋体"/>
                      <w:color w:val="auto"/>
                      <w:highlight w:val="none"/>
                      <w:lang w:val="en-US" w:eastAsia="zh-CN"/>
                    </w:rPr>
                  </w:pPr>
                  <w:r>
                    <w:rPr>
                      <w:rFonts w:hint="eastAsia"/>
                      <w:color w:val="auto"/>
                      <w:highlight w:val="none"/>
                      <w:lang w:val="en-US" w:eastAsia="zh-CN"/>
                    </w:rPr>
                    <w:t>117400</w:t>
                  </w:r>
                </w:p>
              </w:tc>
              <w:tc>
                <w:tcPr>
                  <w:tcW w:w="1201" w:type="pct"/>
                  <w:tcBorders>
                    <w:tl2br w:val="nil"/>
                    <w:tr2bl w:val="nil"/>
                  </w:tcBorders>
                  <w:shd w:val="clear" w:color="auto" w:fill="auto"/>
                  <w:tcMar>
                    <w:top w:w="15" w:type="dxa"/>
                    <w:left w:w="15" w:type="dxa"/>
                    <w:right w:w="15" w:type="dxa"/>
                  </w:tcMar>
                  <w:vAlign w:val="center"/>
                </w:tcPr>
                <w:p w14:paraId="79FDF07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color w:val="auto"/>
                      <w:highlight w:val="none"/>
                      <w:lang w:val="en-US" w:eastAsia="zh-CN"/>
                    </w:rPr>
                  </w:pPr>
                  <w:r>
                    <w:rPr>
                      <w:rFonts w:hint="eastAsia"/>
                      <w:color w:val="auto"/>
                      <w:highlight w:val="none"/>
                      <w:lang w:val="en-US" w:eastAsia="zh-CN"/>
                    </w:rPr>
                    <w:t>/</w:t>
                  </w:r>
                </w:p>
              </w:tc>
              <w:tc>
                <w:tcPr>
                  <w:tcW w:w="1130" w:type="pct"/>
                  <w:tcBorders>
                    <w:tl2br w:val="nil"/>
                    <w:tr2bl w:val="nil"/>
                  </w:tcBorders>
                  <w:tcMar>
                    <w:top w:w="15" w:type="dxa"/>
                    <w:left w:w="15" w:type="dxa"/>
                    <w:right w:w="15" w:type="dxa"/>
                  </w:tcMar>
                  <w:vAlign w:val="center"/>
                </w:tcPr>
                <w:p w14:paraId="09F0179E">
                  <w:pPr>
                    <w:pStyle w:val="40"/>
                    <w:bidi w:val="0"/>
                    <w:rPr>
                      <w:rFonts w:hint="default" w:eastAsia="宋体"/>
                      <w:color w:val="auto"/>
                      <w:highlight w:val="none"/>
                      <w:lang w:val="en-US" w:eastAsia="zh-CN"/>
                    </w:rPr>
                  </w:pPr>
                  <w:r>
                    <w:rPr>
                      <w:rFonts w:hint="eastAsia"/>
                      <w:color w:val="auto"/>
                      <w:highlight w:val="none"/>
                      <w:lang w:val="en-US" w:eastAsia="zh-CN"/>
                    </w:rPr>
                    <w:t>/</w:t>
                  </w:r>
                </w:p>
              </w:tc>
            </w:tr>
            <w:tr w14:paraId="01514C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513" w:type="pct"/>
                  <w:tcBorders>
                    <w:tl2br w:val="nil"/>
                    <w:tr2bl w:val="nil"/>
                  </w:tcBorders>
                  <w:shd w:val="clear" w:color="auto" w:fill="auto"/>
                  <w:tcMar>
                    <w:top w:w="15" w:type="dxa"/>
                    <w:left w:w="15" w:type="dxa"/>
                    <w:right w:w="15" w:type="dxa"/>
                  </w:tcMar>
                  <w:vAlign w:val="center"/>
                </w:tcPr>
                <w:p w14:paraId="142A40AF">
                  <w:pPr>
                    <w:pStyle w:val="40"/>
                    <w:bidi w:val="0"/>
                    <w:rPr>
                      <w:rFonts w:hint="default"/>
                      <w:color w:val="auto"/>
                      <w:highlight w:val="none"/>
                      <w:lang w:val="en-US" w:eastAsia="zh-CN"/>
                    </w:rPr>
                  </w:pPr>
                  <w:r>
                    <w:rPr>
                      <w:rFonts w:hint="default"/>
                      <w:color w:val="auto"/>
                      <w:highlight w:val="none"/>
                    </w:rPr>
                    <w:t>4</w:t>
                  </w:r>
                </w:p>
              </w:tc>
              <w:tc>
                <w:tcPr>
                  <w:tcW w:w="1198" w:type="pct"/>
                  <w:tcBorders>
                    <w:tl2br w:val="nil"/>
                    <w:tr2bl w:val="nil"/>
                  </w:tcBorders>
                  <w:tcMar>
                    <w:top w:w="15" w:type="dxa"/>
                    <w:left w:w="15" w:type="dxa"/>
                    <w:right w:w="15" w:type="dxa"/>
                  </w:tcMar>
                  <w:vAlign w:val="center"/>
                </w:tcPr>
                <w:p w14:paraId="0AEE24AE">
                  <w:pPr>
                    <w:pStyle w:val="40"/>
                    <w:bidi w:val="0"/>
                    <w:ind w:firstLine="0" w:firstLineChars="0"/>
                    <w:rPr>
                      <w:rFonts w:hint="default"/>
                      <w:color w:val="auto"/>
                      <w:highlight w:val="none"/>
                    </w:rPr>
                  </w:pPr>
                  <w:r>
                    <w:rPr>
                      <w:rFonts w:hint="eastAsia"/>
                      <w:color w:val="auto"/>
                      <w:highlight w:val="none"/>
                      <w:lang w:val="en-US" w:eastAsia="zh-CN"/>
                    </w:rPr>
                    <w:t>石子</w:t>
                  </w:r>
                </w:p>
              </w:tc>
              <w:tc>
                <w:tcPr>
                  <w:tcW w:w="955" w:type="pct"/>
                  <w:tcBorders>
                    <w:tl2br w:val="nil"/>
                    <w:tr2bl w:val="nil"/>
                  </w:tcBorders>
                  <w:shd w:val="clear" w:color="auto" w:fill="auto"/>
                  <w:tcMar>
                    <w:top w:w="15" w:type="dxa"/>
                    <w:left w:w="15" w:type="dxa"/>
                    <w:right w:w="15" w:type="dxa"/>
                  </w:tcMar>
                  <w:vAlign w:val="center"/>
                </w:tcPr>
                <w:p w14:paraId="57558FB9">
                  <w:pPr>
                    <w:pStyle w:val="40"/>
                    <w:bidi w:val="0"/>
                    <w:ind w:firstLine="0" w:firstLineChars="0"/>
                    <w:rPr>
                      <w:rFonts w:hint="default" w:eastAsia="宋体"/>
                      <w:color w:val="auto"/>
                      <w:highlight w:val="none"/>
                      <w:lang w:val="en-US" w:eastAsia="zh-CN"/>
                    </w:rPr>
                  </w:pPr>
                  <w:r>
                    <w:rPr>
                      <w:rFonts w:hint="eastAsia"/>
                      <w:color w:val="auto"/>
                      <w:highlight w:val="none"/>
                      <w:lang w:val="en-US" w:eastAsia="zh-CN"/>
                    </w:rPr>
                    <w:t>55900</w:t>
                  </w:r>
                </w:p>
              </w:tc>
              <w:tc>
                <w:tcPr>
                  <w:tcW w:w="1201" w:type="pct"/>
                  <w:tcBorders>
                    <w:tl2br w:val="nil"/>
                    <w:tr2bl w:val="nil"/>
                  </w:tcBorders>
                  <w:tcMar>
                    <w:top w:w="15" w:type="dxa"/>
                    <w:left w:w="15" w:type="dxa"/>
                    <w:right w:w="15" w:type="dxa"/>
                  </w:tcMar>
                  <w:vAlign w:val="center"/>
                </w:tcPr>
                <w:p w14:paraId="206F7CB1">
                  <w:pPr>
                    <w:pStyle w:val="40"/>
                    <w:bidi w:val="0"/>
                    <w:rPr>
                      <w:rFonts w:hint="eastAsia" w:eastAsia="宋体"/>
                      <w:color w:val="auto"/>
                      <w:highlight w:val="none"/>
                      <w:lang w:val="en-US" w:eastAsia="zh-CN"/>
                    </w:rPr>
                  </w:pPr>
                  <w:r>
                    <w:rPr>
                      <w:rFonts w:hint="eastAsia"/>
                      <w:color w:val="auto"/>
                      <w:highlight w:val="none"/>
                      <w:lang w:val="en-US" w:eastAsia="zh-CN"/>
                    </w:rPr>
                    <w:t>/</w:t>
                  </w:r>
                </w:p>
              </w:tc>
              <w:tc>
                <w:tcPr>
                  <w:tcW w:w="1130" w:type="pct"/>
                  <w:tcBorders>
                    <w:tl2br w:val="nil"/>
                    <w:tr2bl w:val="nil"/>
                  </w:tcBorders>
                  <w:tcMar>
                    <w:top w:w="15" w:type="dxa"/>
                    <w:left w:w="15" w:type="dxa"/>
                    <w:right w:w="15" w:type="dxa"/>
                  </w:tcMar>
                  <w:vAlign w:val="center"/>
                </w:tcPr>
                <w:p w14:paraId="2F7D935C">
                  <w:pPr>
                    <w:pStyle w:val="40"/>
                    <w:bidi w:val="0"/>
                    <w:rPr>
                      <w:rFonts w:hint="eastAsia" w:eastAsia="宋体"/>
                      <w:color w:val="auto"/>
                      <w:highlight w:val="none"/>
                      <w:lang w:val="en-US" w:eastAsia="zh-CN"/>
                    </w:rPr>
                  </w:pPr>
                  <w:r>
                    <w:rPr>
                      <w:rFonts w:hint="eastAsia"/>
                      <w:color w:val="auto"/>
                      <w:highlight w:val="none"/>
                      <w:lang w:val="en-US" w:eastAsia="zh-CN"/>
                    </w:rPr>
                    <w:t>/</w:t>
                  </w:r>
                </w:p>
              </w:tc>
            </w:tr>
            <w:tr w14:paraId="5486D9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513" w:type="pct"/>
                  <w:tcBorders>
                    <w:tl2br w:val="nil"/>
                    <w:tr2bl w:val="nil"/>
                  </w:tcBorders>
                  <w:shd w:val="clear" w:color="auto" w:fill="auto"/>
                  <w:tcMar>
                    <w:top w:w="15" w:type="dxa"/>
                    <w:left w:w="15" w:type="dxa"/>
                    <w:right w:w="15" w:type="dxa"/>
                  </w:tcMar>
                  <w:vAlign w:val="center"/>
                </w:tcPr>
                <w:p w14:paraId="2ED73932">
                  <w:pPr>
                    <w:pStyle w:val="40"/>
                    <w:bidi w:val="0"/>
                    <w:rPr>
                      <w:rFonts w:hint="default"/>
                      <w:color w:val="auto"/>
                      <w:highlight w:val="none"/>
                      <w:lang w:val="en-US" w:eastAsia="zh-CN"/>
                    </w:rPr>
                  </w:pPr>
                  <w:r>
                    <w:rPr>
                      <w:rFonts w:hint="default"/>
                      <w:color w:val="auto"/>
                      <w:highlight w:val="none"/>
                    </w:rPr>
                    <w:t>5</w:t>
                  </w:r>
                </w:p>
              </w:tc>
              <w:tc>
                <w:tcPr>
                  <w:tcW w:w="1198" w:type="pct"/>
                  <w:tcBorders>
                    <w:tl2br w:val="nil"/>
                    <w:tr2bl w:val="nil"/>
                  </w:tcBorders>
                  <w:tcMar>
                    <w:top w:w="15" w:type="dxa"/>
                    <w:left w:w="15" w:type="dxa"/>
                    <w:right w:w="15" w:type="dxa"/>
                  </w:tcMar>
                  <w:vAlign w:val="center"/>
                </w:tcPr>
                <w:p w14:paraId="7D285DE7">
                  <w:pPr>
                    <w:pStyle w:val="40"/>
                    <w:bidi w:val="0"/>
                    <w:ind w:firstLine="0" w:firstLineChars="0"/>
                    <w:rPr>
                      <w:rFonts w:hint="default"/>
                      <w:color w:val="auto"/>
                      <w:highlight w:val="none"/>
                    </w:rPr>
                  </w:pPr>
                  <w:r>
                    <w:rPr>
                      <w:rFonts w:hint="eastAsia"/>
                      <w:color w:val="auto"/>
                      <w:highlight w:val="none"/>
                      <w:lang w:val="en-US" w:eastAsia="zh-CN"/>
                    </w:rPr>
                    <w:t>粗骨料</w:t>
                  </w:r>
                </w:p>
              </w:tc>
              <w:tc>
                <w:tcPr>
                  <w:tcW w:w="955" w:type="pct"/>
                  <w:tcBorders>
                    <w:tl2br w:val="nil"/>
                    <w:tr2bl w:val="nil"/>
                  </w:tcBorders>
                  <w:shd w:val="clear" w:color="auto" w:fill="auto"/>
                  <w:tcMar>
                    <w:top w:w="15" w:type="dxa"/>
                    <w:left w:w="15" w:type="dxa"/>
                    <w:right w:w="15" w:type="dxa"/>
                  </w:tcMar>
                  <w:vAlign w:val="center"/>
                </w:tcPr>
                <w:p w14:paraId="77DF92D5">
                  <w:pPr>
                    <w:pStyle w:val="40"/>
                    <w:bidi w:val="0"/>
                    <w:ind w:firstLine="0" w:firstLineChars="0"/>
                    <w:rPr>
                      <w:rFonts w:hint="default" w:eastAsia="宋体"/>
                      <w:color w:val="auto"/>
                      <w:highlight w:val="none"/>
                      <w:lang w:val="en-US" w:eastAsia="zh-CN"/>
                    </w:rPr>
                  </w:pPr>
                  <w:r>
                    <w:rPr>
                      <w:rFonts w:hint="eastAsia"/>
                      <w:color w:val="auto"/>
                      <w:highlight w:val="none"/>
                      <w:lang w:val="en-US" w:eastAsia="zh-CN"/>
                    </w:rPr>
                    <w:t>221500</w:t>
                  </w:r>
                </w:p>
              </w:tc>
              <w:tc>
                <w:tcPr>
                  <w:tcW w:w="1201" w:type="pct"/>
                  <w:tcBorders>
                    <w:tl2br w:val="nil"/>
                    <w:tr2bl w:val="nil"/>
                  </w:tcBorders>
                  <w:tcMar>
                    <w:top w:w="15" w:type="dxa"/>
                    <w:left w:w="15" w:type="dxa"/>
                    <w:right w:w="15" w:type="dxa"/>
                  </w:tcMar>
                  <w:vAlign w:val="center"/>
                </w:tcPr>
                <w:p w14:paraId="3E31BCEC">
                  <w:pPr>
                    <w:pStyle w:val="40"/>
                    <w:bidi w:val="0"/>
                    <w:rPr>
                      <w:rFonts w:hint="default"/>
                      <w:color w:val="auto"/>
                      <w:highlight w:val="none"/>
                      <w:lang w:val="en-US" w:eastAsia="zh-CN"/>
                    </w:rPr>
                  </w:pPr>
                  <w:r>
                    <w:rPr>
                      <w:rFonts w:hint="default"/>
                      <w:color w:val="auto"/>
                      <w:highlight w:val="none"/>
                      <w:lang w:val="en-US" w:eastAsia="zh-CN"/>
                    </w:rPr>
                    <w:t>/</w:t>
                  </w:r>
                </w:p>
              </w:tc>
              <w:tc>
                <w:tcPr>
                  <w:tcW w:w="1130" w:type="pct"/>
                  <w:tcBorders>
                    <w:tl2br w:val="nil"/>
                    <w:tr2bl w:val="nil"/>
                  </w:tcBorders>
                  <w:tcMar>
                    <w:top w:w="15" w:type="dxa"/>
                    <w:left w:w="15" w:type="dxa"/>
                    <w:right w:w="15" w:type="dxa"/>
                  </w:tcMar>
                  <w:vAlign w:val="center"/>
                </w:tcPr>
                <w:p w14:paraId="119D0940">
                  <w:pPr>
                    <w:pStyle w:val="40"/>
                    <w:bidi w:val="0"/>
                    <w:rPr>
                      <w:rFonts w:hint="default"/>
                      <w:color w:val="auto"/>
                      <w:highlight w:val="none"/>
                      <w:lang w:val="en-US" w:eastAsia="zh-CN"/>
                    </w:rPr>
                  </w:pPr>
                  <w:r>
                    <w:rPr>
                      <w:rFonts w:hint="default"/>
                      <w:color w:val="auto"/>
                      <w:highlight w:val="none"/>
                      <w:lang w:val="en-US" w:eastAsia="zh-CN"/>
                    </w:rPr>
                    <w:t>/</w:t>
                  </w:r>
                </w:p>
              </w:tc>
            </w:tr>
            <w:tr w14:paraId="31B4AF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513" w:type="pct"/>
                  <w:tcBorders>
                    <w:tl2br w:val="nil"/>
                    <w:tr2bl w:val="nil"/>
                  </w:tcBorders>
                  <w:shd w:val="clear" w:color="auto" w:fill="auto"/>
                  <w:tcMar>
                    <w:top w:w="15" w:type="dxa"/>
                    <w:left w:w="15" w:type="dxa"/>
                    <w:right w:w="15" w:type="dxa"/>
                  </w:tcMar>
                  <w:vAlign w:val="center"/>
                </w:tcPr>
                <w:p w14:paraId="37F97055">
                  <w:pPr>
                    <w:pStyle w:val="40"/>
                    <w:bidi w:val="0"/>
                    <w:rPr>
                      <w:rFonts w:hint="default"/>
                      <w:color w:val="auto"/>
                      <w:highlight w:val="none"/>
                      <w:lang w:val="en-US" w:eastAsia="zh-CN"/>
                    </w:rPr>
                  </w:pPr>
                  <w:r>
                    <w:rPr>
                      <w:rFonts w:hint="default"/>
                      <w:color w:val="auto"/>
                      <w:highlight w:val="none"/>
                    </w:rPr>
                    <w:t>6</w:t>
                  </w:r>
                </w:p>
              </w:tc>
              <w:tc>
                <w:tcPr>
                  <w:tcW w:w="1198" w:type="pct"/>
                  <w:tcBorders>
                    <w:tl2br w:val="nil"/>
                    <w:tr2bl w:val="nil"/>
                  </w:tcBorders>
                  <w:tcMar>
                    <w:top w:w="15" w:type="dxa"/>
                    <w:left w:w="15" w:type="dxa"/>
                    <w:right w:w="15" w:type="dxa"/>
                  </w:tcMar>
                  <w:vAlign w:val="center"/>
                </w:tcPr>
                <w:p w14:paraId="159ECAD2">
                  <w:pPr>
                    <w:pStyle w:val="40"/>
                    <w:bidi w:val="0"/>
                    <w:ind w:firstLine="0" w:firstLineChars="0"/>
                    <w:rPr>
                      <w:rFonts w:hint="default"/>
                      <w:color w:val="auto"/>
                      <w:highlight w:val="none"/>
                    </w:rPr>
                  </w:pPr>
                  <w:r>
                    <w:rPr>
                      <w:rFonts w:hint="eastAsia"/>
                      <w:color w:val="auto"/>
                      <w:highlight w:val="none"/>
                      <w:lang w:val="en-US" w:eastAsia="zh-CN"/>
                    </w:rPr>
                    <w:t>细骨料</w:t>
                  </w:r>
                </w:p>
              </w:tc>
              <w:tc>
                <w:tcPr>
                  <w:tcW w:w="955" w:type="pct"/>
                  <w:tcBorders>
                    <w:tl2br w:val="nil"/>
                    <w:tr2bl w:val="nil"/>
                  </w:tcBorders>
                  <w:shd w:val="clear" w:color="auto" w:fill="auto"/>
                  <w:tcMar>
                    <w:top w:w="15" w:type="dxa"/>
                    <w:left w:w="15" w:type="dxa"/>
                    <w:right w:w="15" w:type="dxa"/>
                  </w:tcMar>
                  <w:vAlign w:val="center"/>
                </w:tcPr>
                <w:p w14:paraId="1FF5F172">
                  <w:pPr>
                    <w:pStyle w:val="40"/>
                    <w:bidi w:val="0"/>
                    <w:ind w:firstLine="0" w:firstLineChars="0"/>
                    <w:rPr>
                      <w:rFonts w:hint="default" w:eastAsia="宋体"/>
                      <w:color w:val="auto"/>
                      <w:highlight w:val="none"/>
                      <w:lang w:val="en-US" w:eastAsia="zh-CN"/>
                    </w:rPr>
                  </w:pPr>
                  <w:r>
                    <w:rPr>
                      <w:rFonts w:hint="eastAsia"/>
                      <w:color w:val="auto"/>
                      <w:highlight w:val="none"/>
                      <w:lang w:val="en-US" w:eastAsia="zh-CN"/>
                    </w:rPr>
                    <w:t>201000</w:t>
                  </w:r>
                </w:p>
              </w:tc>
              <w:tc>
                <w:tcPr>
                  <w:tcW w:w="1201" w:type="pct"/>
                  <w:tcBorders>
                    <w:tl2br w:val="nil"/>
                    <w:tr2bl w:val="nil"/>
                  </w:tcBorders>
                  <w:tcMar>
                    <w:top w:w="15" w:type="dxa"/>
                    <w:left w:w="15" w:type="dxa"/>
                    <w:right w:w="15" w:type="dxa"/>
                  </w:tcMar>
                  <w:vAlign w:val="center"/>
                </w:tcPr>
                <w:p w14:paraId="0031AC30">
                  <w:pPr>
                    <w:pStyle w:val="40"/>
                    <w:bidi w:val="0"/>
                    <w:rPr>
                      <w:rFonts w:hint="default"/>
                      <w:color w:val="auto"/>
                      <w:highlight w:val="none"/>
                      <w:lang w:val="en-US" w:eastAsia="zh-CN"/>
                    </w:rPr>
                  </w:pPr>
                  <w:r>
                    <w:rPr>
                      <w:rFonts w:hint="default"/>
                      <w:color w:val="auto"/>
                      <w:highlight w:val="none"/>
                      <w:lang w:val="en-US" w:eastAsia="zh-CN"/>
                    </w:rPr>
                    <w:t>/</w:t>
                  </w:r>
                </w:p>
              </w:tc>
              <w:tc>
                <w:tcPr>
                  <w:tcW w:w="1130" w:type="pct"/>
                  <w:tcBorders>
                    <w:tl2br w:val="nil"/>
                    <w:tr2bl w:val="nil"/>
                  </w:tcBorders>
                  <w:tcMar>
                    <w:top w:w="15" w:type="dxa"/>
                    <w:left w:w="15" w:type="dxa"/>
                    <w:right w:w="15" w:type="dxa"/>
                  </w:tcMar>
                  <w:vAlign w:val="center"/>
                </w:tcPr>
                <w:p w14:paraId="3ACBEFB7">
                  <w:pPr>
                    <w:pStyle w:val="40"/>
                    <w:bidi w:val="0"/>
                    <w:rPr>
                      <w:rFonts w:hint="default"/>
                      <w:color w:val="auto"/>
                      <w:highlight w:val="none"/>
                      <w:lang w:val="en-US" w:eastAsia="zh-CN"/>
                    </w:rPr>
                  </w:pPr>
                  <w:r>
                    <w:rPr>
                      <w:rFonts w:hint="default"/>
                      <w:color w:val="auto"/>
                      <w:highlight w:val="none"/>
                      <w:lang w:val="en-US" w:eastAsia="zh-CN"/>
                    </w:rPr>
                    <w:t>/</w:t>
                  </w:r>
                </w:p>
              </w:tc>
            </w:tr>
            <w:tr w14:paraId="243287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513" w:type="pct"/>
                  <w:tcBorders>
                    <w:tl2br w:val="nil"/>
                    <w:tr2bl w:val="nil"/>
                  </w:tcBorders>
                  <w:tcMar>
                    <w:top w:w="15" w:type="dxa"/>
                    <w:left w:w="15" w:type="dxa"/>
                    <w:right w:w="15" w:type="dxa"/>
                  </w:tcMar>
                  <w:vAlign w:val="center"/>
                </w:tcPr>
                <w:p w14:paraId="09DD485F">
                  <w:pPr>
                    <w:pStyle w:val="40"/>
                    <w:bidi w:val="0"/>
                    <w:rPr>
                      <w:rFonts w:hint="default"/>
                      <w:color w:val="auto"/>
                      <w:highlight w:val="none"/>
                      <w:lang w:val="en-US" w:eastAsia="zh-CN"/>
                    </w:rPr>
                  </w:pPr>
                  <w:r>
                    <w:rPr>
                      <w:rFonts w:hint="eastAsia"/>
                      <w:color w:val="auto"/>
                      <w:highlight w:val="none"/>
                      <w:lang w:val="en-US" w:eastAsia="zh-CN"/>
                    </w:rPr>
                    <w:t>7</w:t>
                  </w:r>
                </w:p>
              </w:tc>
              <w:tc>
                <w:tcPr>
                  <w:tcW w:w="1198" w:type="pct"/>
                  <w:tcBorders>
                    <w:tl2br w:val="nil"/>
                    <w:tr2bl w:val="nil"/>
                  </w:tcBorders>
                  <w:tcMar>
                    <w:top w:w="15" w:type="dxa"/>
                    <w:left w:w="15" w:type="dxa"/>
                    <w:right w:w="15" w:type="dxa"/>
                  </w:tcMar>
                  <w:vAlign w:val="center"/>
                </w:tcPr>
                <w:p w14:paraId="570E8D1B">
                  <w:pPr>
                    <w:pStyle w:val="40"/>
                    <w:bidi w:val="0"/>
                    <w:ind w:firstLine="0" w:firstLineChars="0"/>
                    <w:rPr>
                      <w:rFonts w:hint="default"/>
                      <w:color w:val="auto"/>
                      <w:highlight w:val="none"/>
                    </w:rPr>
                  </w:pPr>
                  <w:r>
                    <w:rPr>
                      <w:rFonts w:hint="eastAsia"/>
                      <w:color w:val="auto"/>
                      <w:highlight w:val="none"/>
                      <w:lang w:val="en-US" w:eastAsia="zh-CN"/>
                    </w:rPr>
                    <w:t>添加剂</w:t>
                  </w:r>
                </w:p>
              </w:tc>
              <w:tc>
                <w:tcPr>
                  <w:tcW w:w="955" w:type="pct"/>
                  <w:tcBorders>
                    <w:tl2br w:val="nil"/>
                    <w:tr2bl w:val="nil"/>
                  </w:tcBorders>
                  <w:shd w:val="clear" w:color="auto" w:fill="auto"/>
                  <w:tcMar>
                    <w:top w:w="15" w:type="dxa"/>
                    <w:left w:w="15" w:type="dxa"/>
                    <w:right w:w="15" w:type="dxa"/>
                  </w:tcMar>
                  <w:vAlign w:val="center"/>
                </w:tcPr>
                <w:p w14:paraId="5AAF392D">
                  <w:pPr>
                    <w:pStyle w:val="40"/>
                    <w:bidi w:val="0"/>
                    <w:ind w:firstLine="0" w:firstLineChars="0"/>
                    <w:rPr>
                      <w:rFonts w:hint="eastAsia"/>
                      <w:color w:val="auto"/>
                      <w:highlight w:val="none"/>
                      <w:lang w:val="en-US" w:eastAsia="zh-CN"/>
                    </w:rPr>
                  </w:pPr>
                  <w:r>
                    <w:rPr>
                      <w:rFonts w:hint="eastAsia"/>
                      <w:color w:val="auto"/>
                      <w:highlight w:val="none"/>
                      <w:lang w:val="en-US" w:eastAsia="zh-CN"/>
                    </w:rPr>
                    <w:t>4000</w:t>
                  </w:r>
                </w:p>
              </w:tc>
              <w:tc>
                <w:tcPr>
                  <w:tcW w:w="1201" w:type="pct"/>
                  <w:tcBorders>
                    <w:tl2br w:val="nil"/>
                    <w:tr2bl w:val="nil"/>
                  </w:tcBorders>
                  <w:shd w:val="clear" w:color="auto" w:fill="auto"/>
                  <w:tcMar>
                    <w:top w:w="15" w:type="dxa"/>
                    <w:left w:w="15" w:type="dxa"/>
                    <w:right w:w="15" w:type="dxa"/>
                  </w:tcMar>
                  <w:vAlign w:val="center"/>
                </w:tcPr>
                <w:p w14:paraId="3FADEF5D">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default"/>
                      <w:color w:val="auto"/>
                      <w:highlight w:val="none"/>
                      <w:lang w:val="en-US" w:eastAsia="zh-CN"/>
                    </w:rPr>
                    <w:t>/</w:t>
                  </w:r>
                </w:p>
              </w:tc>
              <w:tc>
                <w:tcPr>
                  <w:tcW w:w="1130" w:type="pct"/>
                  <w:tcBorders>
                    <w:tl2br w:val="nil"/>
                    <w:tr2bl w:val="nil"/>
                  </w:tcBorders>
                  <w:shd w:val="clear" w:color="auto" w:fill="auto"/>
                  <w:tcMar>
                    <w:top w:w="15" w:type="dxa"/>
                    <w:left w:w="15" w:type="dxa"/>
                    <w:right w:w="15" w:type="dxa"/>
                  </w:tcMar>
                  <w:vAlign w:val="center"/>
                </w:tcPr>
                <w:p w14:paraId="418F02A7">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default"/>
                      <w:color w:val="auto"/>
                      <w:highlight w:val="none"/>
                      <w:lang w:val="en-US" w:eastAsia="zh-CN"/>
                    </w:rPr>
                    <w:t>/</w:t>
                  </w:r>
                </w:p>
              </w:tc>
            </w:tr>
            <w:tr w14:paraId="4F7352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513" w:type="pct"/>
                  <w:tcBorders>
                    <w:tl2br w:val="nil"/>
                    <w:tr2bl w:val="nil"/>
                  </w:tcBorders>
                  <w:tcMar>
                    <w:top w:w="15" w:type="dxa"/>
                    <w:left w:w="15" w:type="dxa"/>
                    <w:right w:w="15" w:type="dxa"/>
                  </w:tcMar>
                  <w:vAlign w:val="center"/>
                </w:tcPr>
                <w:p w14:paraId="7448E6EE">
                  <w:pPr>
                    <w:pStyle w:val="40"/>
                    <w:bidi w:val="0"/>
                    <w:rPr>
                      <w:rFonts w:hint="eastAsia" w:eastAsia="宋体"/>
                      <w:color w:val="auto"/>
                      <w:highlight w:val="none"/>
                      <w:lang w:val="en-US" w:eastAsia="zh-CN"/>
                    </w:rPr>
                  </w:pPr>
                  <w:r>
                    <w:rPr>
                      <w:rFonts w:hint="eastAsia"/>
                      <w:color w:val="auto"/>
                      <w:highlight w:val="none"/>
                      <w:lang w:val="en-US" w:eastAsia="zh-CN"/>
                    </w:rPr>
                    <w:t>8</w:t>
                  </w:r>
                </w:p>
              </w:tc>
              <w:tc>
                <w:tcPr>
                  <w:tcW w:w="1198" w:type="pct"/>
                  <w:tcBorders>
                    <w:tl2br w:val="nil"/>
                    <w:tr2bl w:val="nil"/>
                  </w:tcBorders>
                  <w:tcMar>
                    <w:top w:w="15" w:type="dxa"/>
                    <w:left w:w="15" w:type="dxa"/>
                    <w:right w:w="15" w:type="dxa"/>
                  </w:tcMar>
                  <w:vAlign w:val="center"/>
                </w:tcPr>
                <w:p w14:paraId="21083165">
                  <w:pPr>
                    <w:pStyle w:val="40"/>
                    <w:bidi w:val="0"/>
                    <w:rPr>
                      <w:rFonts w:hint="default"/>
                      <w:color w:val="auto"/>
                      <w:highlight w:val="none"/>
                    </w:rPr>
                  </w:pPr>
                  <w:r>
                    <w:rPr>
                      <w:rFonts w:hint="default"/>
                      <w:color w:val="auto"/>
                      <w:highlight w:val="none"/>
                    </w:rPr>
                    <w:t>水</w:t>
                  </w:r>
                </w:p>
              </w:tc>
              <w:tc>
                <w:tcPr>
                  <w:tcW w:w="955" w:type="pct"/>
                  <w:tcBorders>
                    <w:tl2br w:val="nil"/>
                    <w:tr2bl w:val="nil"/>
                  </w:tcBorders>
                  <w:shd w:val="clear" w:color="auto" w:fill="auto"/>
                  <w:tcMar>
                    <w:top w:w="15" w:type="dxa"/>
                    <w:left w:w="15" w:type="dxa"/>
                    <w:right w:w="15" w:type="dxa"/>
                  </w:tcMar>
                  <w:vAlign w:val="center"/>
                </w:tcPr>
                <w:p w14:paraId="670A9C01">
                  <w:pPr>
                    <w:pStyle w:val="40"/>
                    <w:bidi w:val="0"/>
                    <w:rPr>
                      <w:rFonts w:hint="default" w:eastAsia="宋体"/>
                      <w:color w:val="auto"/>
                      <w:highlight w:val="none"/>
                      <w:lang w:val="en-US" w:eastAsia="zh-CN"/>
                    </w:rPr>
                  </w:pPr>
                  <w:r>
                    <w:rPr>
                      <w:rFonts w:hint="eastAsia"/>
                      <w:color w:val="auto"/>
                      <w:highlight w:val="none"/>
                      <w:lang w:val="en-US" w:eastAsia="zh-CN"/>
                    </w:rPr>
                    <w:t>75000</w:t>
                  </w:r>
                </w:p>
              </w:tc>
              <w:tc>
                <w:tcPr>
                  <w:tcW w:w="1201" w:type="pct"/>
                  <w:tcBorders>
                    <w:tl2br w:val="nil"/>
                    <w:tr2bl w:val="nil"/>
                  </w:tcBorders>
                  <w:tcMar>
                    <w:top w:w="15" w:type="dxa"/>
                    <w:left w:w="15" w:type="dxa"/>
                    <w:right w:w="15" w:type="dxa"/>
                  </w:tcMar>
                  <w:vAlign w:val="center"/>
                </w:tcPr>
                <w:p w14:paraId="2177340B">
                  <w:pPr>
                    <w:pStyle w:val="40"/>
                    <w:bidi w:val="0"/>
                    <w:rPr>
                      <w:rFonts w:hint="default"/>
                      <w:color w:val="auto"/>
                      <w:highlight w:val="none"/>
                      <w:lang w:val="en-US" w:eastAsia="zh-CN"/>
                    </w:rPr>
                  </w:pPr>
                  <w:r>
                    <w:rPr>
                      <w:rFonts w:hint="default"/>
                      <w:color w:val="auto"/>
                      <w:highlight w:val="none"/>
                      <w:lang w:val="en-US" w:eastAsia="zh-CN"/>
                    </w:rPr>
                    <w:t>/</w:t>
                  </w:r>
                </w:p>
              </w:tc>
              <w:tc>
                <w:tcPr>
                  <w:tcW w:w="1130" w:type="pct"/>
                  <w:tcBorders>
                    <w:tl2br w:val="nil"/>
                    <w:tr2bl w:val="nil"/>
                  </w:tcBorders>
                  <w:tcMar>
                    <w:top w:w="15" w:type="dxa"/>
                    <w:left w:w="15" w:type="dxa"/>
                    <w:right w:w="15" w:type="dxa"/>
                  </w:tcMar>
                  <w:vAlign w:val="center"/>
                </w:tcPr>
                <w:p w14:paraId="60D15C8B">
                  <w:pPr>
                    <w:pStyle w:val="40"/>
                    <w:bidi w:val="0"/>
                    <w:rPr>
                      <w:rFonts w:hint="default"/>
                      <w:color w:val="auto"/>
                      <w:highlight w:val="none"/>
                      <w:lang w:val="en-US" w:eastAsia="zh-CN"/>
                    </w:rPr>
                  </w:pPr>
                  <w:r>
                    <w:rPr>
                      <w:rFonts w:hint="default"/>
                      <w:color w:val="auto"/>
                      <w:highlight w:val="none"/>
                      <w:lang w:val="en-US" w:eastAsia="zh-CN"/>
                    </w:rPr>
                    <w:t>/</w:t>
                  </w:r>
                </w:p>
              </w:tc>
            </w:tr>
            <w:tr w14:paraId="719011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1712" w:type="pct"/>
                  <w:gridSpan w:val="2"/>
                  <w:tcBorders>
                    <w:tl2br w:val="nil"/>
                    <w:tr2bl w:val="nil"/>
                  </w:tcBorders>
                  <w:tcMar>
                    <w:top w:w="15" w:type="dxa"/>
                    <w:left w:w="15" w:type="dxa"/>
                    <w:right w:w="15" w:type="dxa"/>
                  </w:tcMar>
                  <w:vAlign w:val="center"/>
                </w:tcPr>
                <w:p w14:paraId="5E406F98">
                  <w:pPr>
                    <w:pStyle w:val="40"/>
                    <w:bidi w:val="0"/>
                    <w:rPr>
                      <w:rFonts w:hint="default"/>
                      <w:color w:val="auto"/>
                      <w:highlight w:val="none"/>
                    </w:rPr>
                  </w:pPr>
                  <w:r>
                    <w:rPr>
                      <w:rFonts w:hint="default"/>
                      <w:color w:val="auto"/>
                      <w:highlight w:val="none"/>
                    </w:rPr>
                    <w:t>合计</w:t>
                  </w:r>
                </w:p>
              </w:tc>
              <w:tc>
                <w:tcPr>
                  <w:tcW w:w="955" w:type="pct"/>
                  <w:tcBorders>
                    <w:tl2br w:val="nil"/>
                    <w:tr2bl w:val="nil"/>
                  </w:tcBorders>
                  <w:tcMar>
                    <w:top w:w="15" w:type="dxa"/>
                    <w:left w:w="15" w:type="dxa"/>
                    <w:right w:w="15" w:type="dxa"/>
                  </w:tcMar>
                  <w:vAlign w:val="center"/>
                </w:tcPr>
                <w:p w14:paraId="0435B536">
                  <w:pPr>
                    <w:pStyle w:val="40"/>
                    <w:bidi w:val="0"/>
                    <w:rPr>
                      <w:rFonts w:hint="default"/>
                      <w:color w:val="auto"/>
                      <w:highlight w:val="none"/>
                      <w:lang w:val="en-US" w:eastAsia="zh-CN"/>
                    </w:rPr>
                  </w:pPr>
                  <w:r>
                    <w:rPr>
                      <w:rFonts w:hint="default"/>
                      <w:color w:val="auto"/>
                      <w:highlight w:val="none"/>
                      <w:lang w:val="en-US" w:eastAsia="zh-CN"/>
                    </w:rPr>
                    <w:t>1200000</w:t>
                  </w:r>
                </w:p>
              </w:tc>
              <w:tc>
                <w:tcPr>
                  <w:tcW w:w="1201" w:type="pct"/>
                  <w:tcBorders>
                    <w:tl2br w:val="nil"/>
                    <w:tr2bl w:val="nil"/>
                  </w:tcBorders>
                  <w:tcMar>
                    <w:top w:w="15" w:type="dxa"/>
                    <w:left w:w="15" w:type="dxa"/>
                    <w:right w:w="15" w:type="dxa"/>
                  </w:tcMar>
                  <w:vAlign w:val="center"/>
                </w:tcPr>
                <w:p w14:paraId="141D8602">
                  <w:pPr>
                    <w:pStyle w:val="40"/>
                    <w:bidi w:val="0"/>
                    <w:rPr>
                      <w:rFonts w:hint="default"/>
                      <w:color w:val="auto"/>
                      <w:highlight w:val="none"/>
                      <w:lang w:val="en-US" w:eastAsia="zh-CN"/>
                    </w:rPr>
                  </w:pPr>
                  <w:r>
                    <w:rPr>
                      <w:rFonts w:hint="default"/>
                      <w:color w:val="auto"/>
                      <w:highlight w:val="none"/>
                      <w:lang w:val="en-US" w:eastAsia="zh-CN"/>
                    </w:rPr>
                    <w:t>/</w:t>
                  </w:r>
                </w:p>
              </w:tc>
              <w:tc>
                <w:tcPr>
                  <w:tcW w:w="1130" w:type="pct"/>
                  <w:tcBorders>
                    <w:tl2br w:val="nil"/>
                    <w:tr2bl w:val="nil"/>
                  </w:tcBorders>
                  <w:tcMar>
                    <w:top w:w="15" w:type="dxa"/>
                    <w:left w:w="15" w:type="dxa"/>
                    <w:right w:w="15" w:type="dxa"/>
                  </w:tcMar>
                  <w:vAlign w:val="center"/>
                </w:tcPr>
                <w:p w14:paraId="1EDDD22D">
                  <w:pPr>
                    <w:pStyle w:val="40"/>
                    <w:bidi w:val="0"/>
                    <w:rPr>
                      <w:rFonts w:hint="default"/>
                      <w:color w:val="auto"/>
                      <w:highlight w:val="none"/>
                      <w:lang w:val="en-US" w:eastAsia="zh-CN"/>
                    </w:rPr>
                  </w:pPr>
                  <w:r>
                    <w:rPr>
                      <w:rFonts w:hint="default"/>
                      <w:color w:val="auto"/>
                      <w:highlight w:val="none"/>
                      <w:lang w:val="en-US" w:eastAsia="zh-CN"/>
                    </w:rPr>
                    <w:t>1200000</w:t>
                  </w:r>
                </w:p>
              </w:tc>
            </w:tr>
            <w:tr w14:paraId="62BEA0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5000" w:type="pct"/>
                  <w:gridSpan w:val="5"/>
                  <w:tcBorders>
                    <w:tl2br w:val="nil"/>
                    <w:tr2bl w:val="nil"/>
                  </w:tcBorders>
                  <w:tcMar>
                    <w:top w:w="15" w:type="dxa"/>
                    <w:left w:w="15" w:type="dxa"/>
                    <w:right w:w="15" w:type="dxa"/>
                  </w:tcMar>
                  <w:vAlign w:val="center"/>
                </w:tcPr>
                <w:p w14:paraId="5A1F794B">
                  <w:pPr>
                    <w:pStyle w:val="40"/>
                    <w:bidi w:val="0"/>
                    <w:rPr>
                      <w:rFonts w:hint="default"/>
                      <w:color w:val="auto"/>
                      <w:highlight w:val="none"/>
                    </w:rPr>
                  </w:pPr>
                  <w:r>
                    <w:rPr>
                      <w:rFonts w:hint="default"/>
                      <w:color w:val="auto"/>
                      <w:highlight w:val="none"/>
                    </w:rPr>
                    <w:t>注：本项目商品混凝土生产规模为</w:t>
                  </w:r>
                  <w:r>
                    <w:rPr>
                      <w:rFonts w:hint="default"/>
                      <w:color w:val="auto"/>
                      <w:highlight w:val="none"/>
                      <w:lang w:val="en-US" w:eastAsia="zh-CN"/>
                    </w:rPr>
                    <w:t>50</w:t>
                  </w:r>
                  <w:r>
                    <w:rPr>
                      <w:rFonts w:hint="default"/>
                      <w:color w:val="auto"/>
                      <w:highlight w:val="none"/>
                    </w:rPr>
                    <w:t>万m</w:t>
                  </w:r>
                  <w:r>
                    <w:rPr>
                      <w:rFonts w:hint="default"/>
                      <w:color w:val="auto"/>
                      <w:highlight w:val="none"/>
                      <w:vertAlign w:val="superscript"/>
                    </w:rPr>
                    <w:t>3</w:t>
                  </w:r>
                  <w:r>
                    <w:rPr>
                      <w:rFonts w:hint="default"/>
                      <w:color w:val="auto"/>
                      <w:highlight w:val="none"/>
                    </w:rPr>
                    <w:t>/</w:t>
                  </w:r>
                  <w:r>
                    <w:rPr>
                      <w:rFonts w:hint="eastAsia"/>
                      <w:color w:val="auto"/>
                      <w:highlight w:val="none"/>
                      <w:lang w:val="en-US" w:eastAsia="zh-CN"/>
                    </w:rPr>
                    <w:t>a</w:t>
                  </w:r>
                  <w:r>
                    <w:rPr>
                      <w:rFonts w:hint="default"/>
                      <w:color w:val="auto"/>
                      <w:highlight w:val="none"/>
                    </w:rPr>
                    <w:t>，混凝土根据其型号不同，密度不同，本次以2.4t/m</w:t>
                  </w:r>
                  <w:r>
                    <w:rPr>
                      <w:rFonts w:hint="default"/>
                      <w:color w:val="auto"/>
                      <w:highlight w:val="none"/>
                      <w:vertAlign w:val="superscript"/>
                    </w:rPr>
                    <w:t>3</w:t>
                  </w:r>
                  <w:r>
                    <w:rPr>
                      <w:rFonts w:hint="default"/>
                      <w:color w:val="auto"/>
                      <w:highlight w:val="none"/>
                    </w:rPr>
                    <w:t>计算，则项目生产混凝土规模为</w:t>
                  </w:r>
                  <w:r>
                    <w:rPr>
                      <w:rFonts w:hint="default"/>
                      <w:color w:val="auto"/>
                      <w:highlight w:val="none"/>
                      <w:lang w:val="en-US" w:eastAsia="zh-CN"/>
                    </w:rPr>
                    <w:t>120</w:t>
                  </w:r>
                  <w:r>
                    <w:rPr>
                      <w:rFonts w:hint="default"/>
                      <w:color w:val="auto"/>
                      <w:highlight w:val="none"/>
                    </w:rPr>
                    <w:t>万t/a。</w:t>
                  </w:r>
                </w:p>
              </w:tc>
            </w:tr>
          </w:tbl>
          <w:p w14:paraId="2A520E2C">
            <w:pPr>
              <w:pStyle w:val="41"/>
              <w:keepNext w:val="0"/>
              <w:keepLines w:val="0"/>
              <w:pageBreakBefore w:val="0"/>
              <w:widowControl w:val="0"/>
              <w:kinsoku/>
              <w:wordWrap/>
              <w:overflowPunct/>
              <w:topLinePunct w:val="0"/>
              <w:autoSpaceDE/>
              <w:autoSpaceDN/>
              <w:bidi w:val="0"/>
              <w:adjustRightInd/>
              <w:snapToGrid/>
              <w:textAlignment w:val="auto"/>
              <w:rPr>
                <w:rFonts w:hint="default"/>
                <w:color w:val="auto"/>
                <w:highlight w:val="none"/>
                <w:lang w:val="en-US" w:eastAsia="zh-CN"/>
              </w:rPr>
            </w:pPr>
            <w:r>
              <w:rPr>
                <w:rFonts w:hint="eastAsia"/>
                <w:color w:val="auto"/>
                <w:highlight w:val="none"/>
                <w:lang w:val="en-US" w:eastAsia="zh-CN"/>
              </w:rPr>
              <w:t>五、劳动定员与工作制度</w:t>
            </w:r>
          </w:p>
          <w:p w14:paraId="2AB6B8B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SA"/>
              </w:rPr>
            </w:pPr>
            <w:r>
              <w:rPr>
                <w:rFonts w:hint="eastAsia" w:ascii="Times New Roman" w:hAnsi="Times New Roman" w:cs="Times New Roman"/>
                <w:b w:val="0"/>
                <w:bCs w:val="0"/>
                <w:color w:val="auto"/>
                <w:kern w:val="0"/>
                <w:sz w:val="24"/>
                <w:szCs w:val="24"/>
                <w:highlight w:val="none"/>
                <w:lang w:val="en-US" w:eastAsia="zh-CN" w:bidi="ar-SA"/>
              </w:rPr>
              <w:t>本项目劳动定员4</w:t>
            </w:r>
            <w:r>
              <w:rPr>
                <w:rFonts w:hint="eastAsia" w:cs="Times New Roman"/>
                <w:b w:val="0"/>
                <w:bCs w:val="0"/>
                <w:color w:val="auto"/>
                <w:kern w:val="0"/>
                <w:sz w:val="24"/>
                <w:szCs w:val="24"/>
                <w:highlight w:val="none"/>
                <w:lang w:val="en-US" w:eastAsia="zh-CN" w:bidi="ar-SA"/>
              </w:rPr>
              <w:t>0</w:t>
            </w:r>
            <w:r>
              <w:rPr>
                <w:rFonts w:hint="eastAsia" w:ascii="Times New Roman" w:hAnsi="Times New Roman" w:cs="Times New Roman"/>
                <w:b w:val="0"/>
                <w:bCs w:val="0"/>
                <w:color w:val="auto"/>
                <w:kern w:val="0"/>
                <w:sz w:val="24"/>
                <w:szCs w:val="24"/>
                <w:highlight w:val="none"/>
                <w:lang w:val="en-US" w:eastAsia="zh-CN" w:bidi="ar-SA"/>
              </w:rPr>
              <w:t>人，其中</w:t>
            </w:r>
            <w:r>
              <w:rPr>
                <w:rFonts w:hint="default" w:ascii="Times New Roman" w:hAnsi="Times New Roman" w:eastAsia="宋体" w:cs="Times New Roman"/>
                <w:b w:val="0"/>
                <w:bCs w:val="0"/>
                <w:color w:val="auto"/>
                <w:kern w:val="0"/>
                <w:sz w:val="24"/>
                <w:szCs w:val="24"/>
                <w:highlight w:val="none"/>
                <w:lang w:val="en-US" w:eastAsia="zh-CN" w:bidi="ar-SA"/>
              </w:rPr>
              <w:t>蒸压硅酸盐功能骨料生产线</w:t>
            </w:r>
            <w:r>
              <w:rPr>
                <w:rFonts w:hint="eastAsia" w:ascii="Times New Roman" w:hAnsi="Times New Roman" w:cs="Times New Roman"/>
                <w:b w:val="0"/>
                <w:bCs w:val="0"/>
                <w:color w:val="auto"/>
                <w:kern w:val="0"/>
                <w:sz w:val="24"/>
                <w:szCs w:val="24"/>
                <w:highlight w:val="none"/>
                <w:lang w:val="en-US" w:eastAsia="zh-CN" w:bidi="ar-SA"/>
              </w:rPr>
              <w:t>劳动定员20人，</w:t>
            </w:r>
            <w:r>
              <w:rPr>
                <w:rFonts w:hint="default" w:ascii="Times New Roman" w:hAnsi="Times New Roman" w:eastAsia="宋体" w:cs="Times New Roman"/>
                <w:b w:val="0"/>
                <w:bCs w:val="0"/>
                <w:color w:val="auto"/>
                <w:kern w:val="0"/>
                <w:sz w:val="24"/>
                <w:szCs w:val="24"/>
                <w:highlight w:val="none"/>
                <w:lang w:val="en-US" w:eastAsia="zh-CN" w:bidi="ar-SA"/>
              </w:rPr>
              <w:t>工作制度为</w:t>
            </w:r>
            <w:r>
              <w:rPr>
                <w:rFonts w:hint="eastAsia" w:ascii="Times New Roman" w:hAnsi="Times New Roman" w:cs="Times New Roman"/>
                <w:b w:val="0"/>
                <w:bCs w:val="0"/>
                <w:color w:val="auto"/>
                <w:kern w:val="0"/>
                <w:sz w:val="24"/>
                <w:szCs w:val="24"/>
                <w:highlight w:val="none"/>
                <w:lang w:val="en-US" w:eastAsia="zh-CN" w:bidi="ar-SA"/>
              </w:rPr>
              <w:t>三班制，每班工作8小时</w:t>
            </w:r>
            <w:r>
              <w:rPr>
                <w:rFonts w:hint="default" w:ascii="Times New Roman" w:hAnsi="Times New Roman" w:eastAsia="宋体" w:cs="Times New Roman"/>
                <w:b w:val="0"/>
                <w:bCs w:val="0"/>
                <w:color w:val="auto"/>
                <w:kern w:val="0"/>
                <w:sz w:val="24"/>
                <w:szCs w:val="24"/>
                <w:highlight w:val="none"/>
                <w:lang w:val="en-US" w:eastAsia="zh-CN" w:bidi="ar-SA"/>
              </w:rPr>
              <w:t>，年工作300天</w:t>
            </w:r>
            <w:r>
              <w:rPr>
                <w:rFonts w:hint="eastAsia" w:ascii="Times New Roman" w:hAnsi="Times New Roman" w:cs="Times New Roman"/>
                <w:b w:val="0"/>
                <w:bCs w:val="0"/>
                <w:color w:val="auto"/>
                <w:kern w:val="0"/>
                <w:sz w:val="24"/>
                <w:szCs w:val="24"/>
                <w:highlight w:val="none"/>
                <w:lang w:val="en-US" w:eastAsia="zh-CN" w:bidi="ar-SA"/>
              </w:rPr>
              <w:t>；</w:t>
            </w:r>
            <w:r>
              <w:rPr>
                <w:rFonts w:hint="default" w:ascii="Times New Roman" w:hAnsi="Times New Roman" w:eastAsia="宋体" w:cs="Times New Roman"/>
                <w:b w:val="0"/>
                <w:bCs w:val="0"/>
                <w:color w:val="auto"/>
                <w:kern w:val="0"/>
                <w:sz w:val="24"/>
                <w:szCs w:val="24"/>
                <w:highlight w:val="none"/>
                <w:lang w:val="en-US" w:eastAsia="zh-CN" w:bidi="ar-SA"/>
              </w:rPr>
              <w:t>绿色智能化预拌混凝土生产线</w:t>
            </w:r>
            <w:r>
              <w:rPr>
                <w:rFonts w:hint="eastAsia" w:ascii="Times New Roman" w:hAnsi="Times New Roman" w:cs="Times New Roman"/>
                <w:b w:val="0"/>
                <w:bCs w:val="0"/>
                <w:color w:val="auto"/>
                <w:kern w:val="0"/>
                <w:sz w:val="24"/>
                <w:szCs w:val="24"/>
                <w:highlight w:val="none"/>
                <w:lang w:val="en-US" w:eastAsia="zh-CN" w:bidi="ar-SA"/>
              </w:rPr>
              <w:t>劳动定员15人，</w:t>
            </w:r>
            <w:r>
              <w:rPr>
                <w:rFonts w:hint="default" w:ascii="Times New Roman" w:hAnsi="Times New Roman" w:eastAsia="宋体" w:cs="Times New Roman"/>
                <w:b w:val="0"/>
                <w:bCs w:val="0"/>
                <w:color w:val="auto"/>
                <w:kern w:val="0"/>
                <w:sz w:val="24"/>
                <w:szCs w:val="24"/>
                <w:highlight w:val="none"/>
                <w:lang w:val="en-US" w:eastAsia="zh-CN" w:bidi="ar-SA"/>
              </w:rPr>
              <w:t>工作制度为</w:t>
            </w:r>
            <w:r>
              <w:rPr>
                <w:rFonts w:hint="eastAsia" w:ascii="Times New Roman" w:hAnsi="Times New Roman" w:cs="Times New Roman"/>
                <w:b w:val="0"/>
                <w:bCs w:val="0"/>
                <w:color w:val="auto"/>
                <w:kern w:val="0"/>
                <w:sz w:val="24"/>
                <w:szCs w:val="24"/>
                <w:highlight w:val="none"/>
                <w:lang w:val="en-US" w:eastAsia="zh-CN" w:bidi="ar-SA"/>
              </w:rPr>
              <w:t>一班制，每班工作10小时</w:t>
            </w:r>
            <w:r>
              <w:rPr>
                <w:rFonts w:hint="default" w:ascii="Times New Roman" w:hAnsi="Times New Roman" w:eastAsia="宋体" w:cs="Times New Roman"/>
                <w:b w:val="0"/>
                <w:bCs w:val="0"/>
                <w:color w:val="auto"/>
                <w:kern w:val="0"/>
                <w:sz w:val="24"/>
                <w:szCs w:val="24"/>
                <w:highlight w:val="none"/>
                <w:lang w:val="en-US" w:eastAsia="zh-CN" w:bidi="ar-SA"/>
              </w:rPr>
              <w:t>，年工作</w:t>
            </w:r>
            <w:r>
              <w:rPr>
                <w:rFonts w:hint="eastAsia" w:ascii="Times New Roman" w:hAnsi="Times New Roman" w:eastAsia="宋体" w:cs="Times New Roman"/>
                <w:b w:val="0"/>
                <w:bCs w:val="0"/>
                <w:color w:val="auto"/>
                <w:kern w:val="0"/>
                <w:sz w:val="24"/>
                <w:szCs w:val="24"/>
                <w:highlight w:val="none"/>
                <w:lang w:val="en-US" w:eastAsia="zh-CN" w:bidi="ar-SA"/>
              </w:rPr>
              <w:t>220</w:t>
            </w:r>
            <w:r>
              <w:rPr>
                <w:rFonts w:hint="default" w:ascii="Times New Roman" w:hAnsi="Times New Roman" w:eastAsia="宋体" w:cs="Times New Roman"/>
                <w:b w:val="0"/>
                <w:bCs w:val="0"/>
                <w:color w:val="auto"/>
                <w:kern w:val="0"/>
                <w:sz w:val="24"/>
                <w:szCs w:val="24"/>
                <w:highlight w:val="none"/>
                <w:lang w:val="en-US" w:eastAsia="zh-CN" w:bidi="ar-SA"/>
              </w:rPr>
              <w:t>天</w:t>
            </w:r>
            <w:r>
              <w:rPr>
                <w:rFonts w:hint="eastAsia" w:ascii="Times New Roman" w:hAnsi="Times New Roman" w:cs="Times New Roman"/>
                <w:b w:val="0"/>
                <w:bCs w:val="0"/>
                <w:color w:val="auto"/>
                <w:kern w:val="0"/>
                <w:sz w:val="24"/>
                <w:szCs w:val="24"/>
                <w:highlight w:val="none"/>
                <w:lang w:val="en-US" w:eastAsia="zh-CN" w:bidi="ar-SA"/>
              </w:rPr>
              <w:t>；管理及其他人员5人。</w:t>
            </w:r>
          </w:p>
          <w:p w14:paraId="47750C27">
            <w:pPr>
              <w:pStyle w:val="41"/>
              <w:bidi w:val="0"/>
              <w:rPr>
                <w:rFonts w:hint="eastAsia"/>
                <w:color w:val="auto"/>
                <w:highlight w:val="none"/>
                <w:lang w:val="en-US" w:eastAsia="zh-CN"/>
              </w:rPr>
            </w:pPr>
            <w:r>
              <w:rPr>
                <w:rFonts w:hint="eastAsia"/>
                <w:color w:val="auto"/>
                <w:highlight w:val="none"/>
                <w:lang w:val="en-US" w:eastAsia="zh-CN"/>
              </w:rPr>
              <w:t>六、项目公用工程</w:t>
            </w:r>
          </w:p>
          <w:p w14:paraId="3AB6D557">
            <w:pPr>
              <w:pStyle w:val="41"/>
              <w:bidi w:val="0"/>
              <w:rPr>
                <w:rFonts w:hint="eastAsia"/>
                <w:color w:val="auto"/>
                <w:highlight w:val="none"/>
                <w:lang w:val="en-US" w:eastAsia="zh-CN"/>
              </w:rPr>
            </w:pPr>
            <w:r>
              <w:rPr>
                <w:rFonts w:hint="eastAsia"/>
                <w:color w:val="auto"/>
                <w:highlight w:val="none"/>
                <w:lang w:val="en-US" w:eastAsia="zh-CN"/>
              </w:rPr>
              <w:t>1、给排水</w:t>
            </w:r>
          </w:p>
          <w:p w14:paraId="6BE6A899">
            <w:pPr>
              <w:bidi w:val="0"/>
              <w:rPr>
                <w:rFonts w:hint="eastAsia"/>
                <w:color w:val="auto"/>
                <w:highlight w:val="none"/>
                <w:lang w:val="en-US" w:eastAsia="zh-CN"/>
              </w:rPr>
            </w:pPr>
            <w:r>
              <w:rPr>
                <w:rFonts w:hint="eastAsia" w:cs="Times New Roman"/>
                <w:b w:val="0"/>
                <w:bCs w:val="0"/>
                <w:color w:val="auto"/>
                <w:kern w:val="0"/>
                <w:sz w:val="24"/>
                <w:szCs w:val="24"/>
                <w:highlight w:val="none"/>
                <w:lang w:val="en-US" w:eastAsia="zh-CN" w:bidi="ar-SA"/>
              </w:rPr>
              <w:t>本项目工程给水水源引用清水川工业园区的管路，</w:t>
            </w:r>
            <w:r>
              <w:rPr>
                <w:rFonts w:hint="eastAsia"/>
                <w:color w:val="auto"/>
                <w:highlight w:val="none"/>
              </w:rPr>
              <w:t>项目</w:t>
            </w:r>
            <w:r>
              <w:rPr>
                <w:rFonts w:hint="eastAsia"/>
                <w:color w:val="auto"/>
                <w:highlight w:val="none"/>
                <w:lang w:val="en-US" w:eastAsia="zh-CN"/>
              </w:rPr>
              <w:t>给排水</w:t>
            </w:r>
            <w:r>
              <w:rPr>
                <w:rFonts w:hint="eastAsia"/>
                <w:color w:val="auto"/>
                <w:highlight w:val="none"/>
              </w:rPr>
              <w:t>情况见</w:t>
            </w:r>
            <w:r>
              <w:rPr>
                <w:rFonts w:hint="eastAsia"/>
                <w:color w:val="auto"/>
                <w:highlight w:val="none"/>
                <w:lang w:eastAsia="zh-CN"/>
              </w:rPr>
              <w:fldChar w:fldCharType="begin"/>
            </w:r>
            <w:r>
              <w:rPr>
                <w:rFonts w:hint="eastAsia"/>
                <w:color w:val="auto"/>
                <w:highlight w:val="none"/>
                <w:lang w:eastAsia="zh-CN"/>
              </w:rPr>
              <w:instrText xml:space="preserve"> REF _Ref32259 \h </w:instrText>
            </w:r>
            <w:r>
              <w:rPr>
                <w:rFonts w:hint="eastAsia"/>
                <w:color w:val="auto"/>
                <w:highlight w:val="none"/>
                <w:lang w:eastAsia="zh-CN"/>
              </w:rPr>
              <w:fldChar w:fldCharType="separate"/>
            </w:r>
            <w:r>
              <w:rPr>
                <w:color w:val="auto"/>
                <w:highlight w:val="none"/>
              </w:rPr>
              <w:t>表2-13</w:t>
            </w:r>
            <w:r>
              <w:rPr>
                <w:rFonts w:hint="eastAsia"/>
                <w:color w:val="auto"/>
                <w:highlight w:val="none"/>
                <w:lang w:eastAsia="zh-CN"/>
              </w:rPr>
              <w:fldChar w:fldCharType="end"/>
            </w:r>
            <w:r>
              <w:rPr>
                <w:rFonts w:hint="eastAsia"/>
                <w:color w:val="auto"/>
                <w:highlight w:val="none"/>
              </w:rPr>
              <w:t>，</w:t>
            </w:r>
            <w:r>
              <w:rPr>
                <w:color w:val="auto"/>
                <w:highlight w:val="none"/>
              </w:rPr>
              <w:t>项目水平衡</w:t>
            </w:r>
            <w:r>
              <w:rPr>
                <w:rFonts w:hint="eastAsia"/>
                <w:color w:val="auto"/>
                <w:highlight w:val="none"/>
                <w:lang w:val="en-US" w:eastAsia="zh-CN"/>
              </w:rPr>
              <w:t>图见</w:t>
            </w:r>
            <w:r>
              <w:rPr>
                <w:rFonts w:hint="eastAsia"/>
                <w:color w:val="auto"/>
                <w:highlight w:val="none"/>
                <w:lang w:val="en-US" w:eastAsia="zh-CN"/>
              </w:rPr>
              <w:fldChar w:fldCharType="begin"/>
            </w:r>
            <w:r>
              <w:rPr>
                <w:rFonts w:hint="eastAsia"/>
                <w:color w:val="auto"/>
                <w:highlight w:val="none"/>
                <w:lang w:val="en-US" w:eastAsia="zh-CN"/>
              </w:rPr>
              <w:instrText xml:space="preserve"> REF _Ref31525 \h </w:instrText>
            </w:r>
            <w:r>
              <w:rPr>
                <w:rFonts w:hint="eastAsia"/>
                <w:color w:val="auto"/>
                <w:highlight w:val="none"/>
                <w:lang w:val="en-US" w:eastAsia="zh-CN"/>
              </w:rPr>
              <w:fldChar w:fldCharType="separate"/>
            </w:r>
            <w:r>
              <w:rPr>
                <w:color w:val="auto"/>
                <w:highlight w:val="none"/>
              </w:rPr>
              <w:t>图2-1</w:t>
            </w:r>
            <w:r>
              <w:rPr>
                <w:rFonts w:hint="eastAsia"/>
                <w:color w:val="auto"/>
                <w:highlight w:val="none"/>
                <w:lang w:val="en-US" w:eastAsia="zh-CN"/>
              </w:rPr>
              <w:fldChar w:fldCharType="end"/>
            </w:r>
            <w:r>
              <w:rPr>
                <w:rFonts w:hint="eastAsia"/>
                <w:color w:val="auto"/>
                <w:highlight w:val="none"/>
                <w:lang w:val="en-US" w:eastAsia="zh-CN"/>
              </w:rPr>
              <w:t>。</w:t>
            </w:r>
          </w:p>
          <w:p w14:paraId="465EF3CC">
            <w:pPr>
              <w:pStyle w:val="7"/>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lang w:val="en-US" w:eastAsia="zh-CN"/>
              </w:rPr>
            </w:pPr>
            <w:bookmarkStart w:id="26" w:name="_Ref32259"/>
            <w:r>
              <w:rPr>
                <w:color w:val="auto"/>
                <w:highlight w:val="none"/>
              </w:rPr>
              <w:t>表2-</w:t>
            </w:r>
            <w:r>
              <w:rPr>
                <w:color w:val="auto"/>
                <w:highlight w:val="none"/>
              </w:rPr>
              <w:fldChar w:fldCharType="begin"/>
            </w:r>
            <w:r>
              <w:rPr>
                <w:color w:val="auto"/>
                <w:highlight w:val="none"/>
              </w:rPr>
              <w:instrText xml:space="preserve"> SEQ 表2- \* ARABIC </w:instrText>
            </w:r>
            <w:r>
              <w:rPr>
                <w:color w:val="auto"/>
                <w:highlight w:val="none"/>
              </w:rPr>
              <w:fldChar w:fldCharType="separate"/>
            </w:r>
            <w:r>
              <w:rPr>
                <w:color w:val="auto"/>
                <w:highlight w:val="none"/>
              </w:rPr>
              <w:t>13</w:t>
            </w:r>
            <w:r>
              <w:rPr>
                <w:color w:val="auto"/>
                <w:highlight w:val="none"/>
              </w:rPr>
              <w:fldChar w:fldCharType="end"/>
            </w:r>
            <w:bookmarkEnd w:id="26"/>
            <w:r>
              <w:rPr>
                <w:rFonts w:hint="eastAsia"/>
                <w:color w:val="auto"/>
                <w:highlight w:val="none"/>
                <w:lang w:val="en-US" w:eastAsia="zh-CN"/>
              </w:rPr>
              <w:t xml:space="preserve">  </w:t>
            </w:r>
            <w:r>
              <w:rPr>
                <w:color w:val="auto"/>
                <w:highlight w:val="none"/>
                <w:lang w:val="en-US" w:eastAsia="zh-CN"/>
              </w:rPr>
              <w:t>项目给排水情况表</w:t>
            </w:r>
          </w:p>
          <w:tbl>
            <w:tblPr>
              <w:tblStyle w:val="24"/>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56"/>
              <w:gridCol w:w="1018"/>
              <w:gridCol w:w="1257"/>
              <w:gridCol w:w="1075"/>
              <w:gridCol w:w="1062"/>
              <w:gridCol w:w="963"/>
              <w:gridCol w:w="900"/>
              <w:gridCol w:w="1722"/>
            </w:tblGrid>
            <w:tr w14:paraId="46946E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 w:type="pct"/>
                  <w:gridSpan w:val="2"/>
                  <w:tcBorders>
                    <w:tl2br w:val="nil"/>
                    <w:tr2bl w:val="nil"/>
                  </w:tcBorders>
                  <w:noWrap w:val="0"/>
                  <w:vAlign w:val="center"/>
                </w:tcPr>
                <w:p w14:paraId="1F51DAA5">
                  <w:pPr>
                    <w:pStyle w:val="40"/>
                    <w:bidi w:val="0"/>
                    <w:rPr>
                      <w:color w:val="auto"/>
                      <w:highlight w:val="none"/>
                    </w:rPr>
                  </w:pPr>
                  <w:r>
                    <w:rPr>
                      <w:color w:val="auto"/>
                      <w:highlight w:val="none"/>
                    </w:rPr>
                    <w:t>用水项目</w:t>
                  </w:r>
                </w:p>
              </w:tc>
              <w:tc>
                <w:tcPr>
                  <w:tcW w:w="752" w:type="pct"/>
                  <w:tcBorders>
                    <w:tl2br w:val="nil"/>
                    <w:tr2bl w:val="nil"/>
                  </w:tcBorders>
                  <w:noWrap w:val="0"/>
                  <w:vAlign w:val="center"/>
                </w:tcPr>
                <w:p w14:paraId="4949EF5A">
                  <w:pPr>
                    <w:pStyle w:val="40"/>
                    <w:bidi w:val="0"/>
                    <w:rPr>
                      <w:color w:val="auto"/>
                      <w:highlight w:val="none"/>
                    </w:rPr>
                  </w:pPr>
                  <w:r>
                    <w:rPr>
                      <w:color w:val="auto"/>
                      <w:highlight w:val="none"/>
                    </w:rPr>
                    <w:t>用水定额</w:t>
                  </w:r>
                </w:p>
              </w:tc>
              <w:tc>
                <w:tcPr>
                  <w:tcW w:w="643" w:type="pct"/>
                  <w:tcBorders>
                    <w:tl2br w:val="nil"/>
                    <w:tr2bl w:val="nil"/>
                  </w:tcBorders>
                  <w:noWrap w:val="0"/>
                  <w:vAlign w:val="center"/>
                </w:tcPr>
                <w:p w14:paraId="7DFFE412">
                  <w:pPr>
                    <w:pStyle w:val="40"/>
                    <w:bidi w:val="0"/>
                    <w:rPr>
                      <w:rFonts w:hint="eastAsia" w:eastAsia="宋体"/>
                      <w:color w:val="auto"/>
                      <w:highlight w:val="none"/>
                      <w:lang w:eastAsia="zh-CN"/>
                    </w:rPr>
                  </w:pPr>
                  <w:r>
                    <w:rPr>
                      <w:color w:val="auto"/>
                      <w:highlight w:val="none"/>
                    </w:rPr>
                    <w:t>新鲜水用量</w:t>
                  </w:r>
                  <w:r>
                    <w:rPr>
                      <w:rFonts w:hint="eastAsia"/>
                      <w:color w:val="auto"/>
                      <w:highlight w:val="none"/>
                      <w:lang w:eastAsia="zh-CN"/>
                    </w:rPr>
                    <w:t>（</w:t>
                  </w:r>
                  <w:r>
                    <w:rPr>
                      <w:color w:val="auto"/>
                      <w:highlight w:val="none"/>
                    </w:rPr>
                    <w:t>m</w:t>
                  </w:r>
                  <w:r>
                    <w:rPr>
                      <w:color w:val="auto"/>
                      <w:highlight w:val="none"/>
                      <w:vertAlign w:val="superscript"/>
                    </w:rPr>
                    <w:t>3</w:t>
                  </w:r>
                  <w:r>
                    <w:rPr>
                      <w:color w:val="auto"/>
                      <w:highlight w:val="none"/>
                    </w:rPr>
                    <w:t>/</w:t>
                  </w:r>
                  <w:r>
                    <w:rPr>
                      <w:rFonts w:hint="eastAsia"/>
                      <w:color w:val="auto"/>
                      <w:highlight w:val="none"/>
                      <w:lang w:val="en-US" w:eastAsia="zh-CN"/>
                    </w:rPr>
                    <w:t>d</w:t>
                  </w:r>
                  <w:r>
                    <w:rPr>
                      <w:rFonts w:hint="eastAsia"/>
                      <w:color w:val="auto"/>
                      <w:highlight w:val="none"/>
                      <w:lang w:eastAsia="zh-CN"/>
                    </w:rPr>
                    <w:t>）</w:t>
                  </w:r>
                </w:p>
              </w:tc>
              <w:tc>
                <w:tcPr>
                  <w:tcW w:w="635" w:type="pct"/>
                  <w:tcBorders>
                    <w:tl2br w:val="nil"/>
                    <w:tr2bl w:val="nil"/>
                  </w:tcBorders>
                  <w:noWrap w:val="0"/>
                  <w:vAlign w:val="center"/>
                </w:tcPr>
                <w:p w14:paraId="1FE1BC72">
                  <w:pPr>
                    <w:pStyle w:val="40"/>
                    <w:bidi w:val="0"/>
                    <w:rPr>
                      <w:rFonts w:hint="eastAsia" w:eastAsia="宋体"/>
                      <w:color w:val="auto"/>
                      <w:highlight w:val="none"/>
                      <w:lang w:eastAsia="zh-CN"/>
                    </w:rPr>
                  </w:pPr>
                  <w:r>
                    <w:rPr>
                      <w:color w:val="auto"/>
                      <w:highlight w:val="none"/>
                    </w:rPr>
                    <w:t>回用水用量</w:t>
                  </w:r>
                  <w:r>
                    <w:rPr>
                      <w:rFonts w:hint="eastAsia"/>
                      <w:color w:val="auto"/>
                      <w:highlight w:val="none"/>
                      <w:lang w:eastAsia="zh-CN"/>
                    </w:rPr>
                    <w:t>（</w:t>
                  </w:r>
                  <w:r>
                    <w:rPr>
                      <w:color w:val="auto"/>
                      <w:highlight w:val="none"/>
                    </w:rPr>
                    <w:t>m</w:t>
                  </w:r>
                  <w:r>
                    <w:rPr>
                      <w:color w:val="auto"/>
                      <w:highlight w:val="none"/>
                      <w:vertAlign w:val="superscript"/>
                    </w:rPr>
                    <w:t>3</w:t>
                  </w:r>
                  <w:r>
                    <w:rPr>
                      <w:color w:val="auto"/>
                      <w:highlight w:val="none"/>
                    </w:rPr>
                    <w:t>/</w:t>
                  </w:r>
                  <w:r>
                    <w:rPr>
                      <w:rFonts w:hint="eastAsia"/>
                      <w:color w:val="auto"/>
                      <w:highlight w:val="none"/>
                      <w:lang w:val="en-US" w:eastAsia="zh-CN"/>
                    </w:rPr>
                    <w:t>d</w:t>
                  </w:r>
                  <w:r>
                    <w:rPr>
                      <w:rFonts w:hint="eastAsia"/>
                      <w:color w:val="auto"/>
                      <w:highlight w:val="none"/>
                      <w:lang w:eastAsia="zh-CN"/>
                    </w:rPr>
                    <w:t>）</w:t>
                  </w:r>
                </w:p>
              </w:tc>
              <w:tc>
                <w:tcPr>
                  <w:tcW w:w="576" w:type="pct"/>
                  <w:tcBorders>
                    <w:tl2br w:val="nil"/>
                    <w:tr2bl w:val="nil"/>
                  </w:tcBorders>
                  <w:noWrap w:val="0"/>
                  <w:vAlign w:val="center"/>
                </w:tcPr>
                <w:p w14:paraId="5A0BD287">
                  <w:pPr>
                    <w:pStyle w:val="40"/>
                    <w:bidi w:val="0"/>
                    <w:rPr>
                      <w:color w:val="auto"/>
                      <w:highlight w:val="none"/>
                    </w:rPr>
                  </w:pPr>
                  <w:r>
                    <w:rPr>
                      <w:color w:val="auto"/>
                      <w:highlight w:val="none"/>
                    </w:rPr>
                    <w:t>损耗量</w:t>
                  </w:r>
                  <w:r>
                    <w:rPr>
                      <w:rFonts w:hint="eastAsia"/>
                      <w:color w:val="auto"/>
                      <w:highlight w:val="none"/>
                      <w:lang w:eastAsia="zh-CN"/>
                    </w:rPr>
                    <w:t>（</w:t>
                  </w:r>
                  <w:r>
                    <w:rPr>
                      <w:color w:val="auto"/>
                      <w:highlight w:val="none"/>
                    </w:rPr>
                    <w:t>m</w:t>
                  </w:r>
                  <w:r>
                    <w:rPr>
                      <w:color w:val="auto"/>
                      <w:highlight w:val="none"/>
                      <w:vertAlign w:val="superscript"/>
                    </w:rPr>
                    <w:t>3</w:t>
                  </w:r>
                  <w:r>
                    <w:rPr>
                      <w:color w:val="auto"/>
                      <w:highlight w:val="none"/>
                    </w:rPr>
                    <w:t>/</w:t>
                  </w:r>
                  <w:r>
                    <w:rPr>
                      <w:rFonts w:hint="eastAsia"/>
                      <w:color w:val="auto"/>
                      <w:highlight w:val="none"/>
                      <w:lang w:val="en-US" w:eastAsia="zh-CN"/>
                    </w:rPr>
                    <w:t>d</w:t>
                  </w:r>
                  <w:r>
                    <w:rPr>
                      <w:rFonts w:hint="eastAsia"/>
                      <w:color w:val="auto"/>
                      <w:highlight w:val="none"/>
                      <w:lang w:eastAsia="zh-CN"/>
                    </w:rPr>
                    <w:t>）</w:t>
                  </w:r>
                </w:p>
              </w:tc>
              <w:tc>
                <w:tcPr>
                  <w:tcW w:w="538" w:type="pct"/>
                  <w:tcBorders>
                    <w:tl2br w:val="nil"/>
                    <w:tr2bl w:val="nil"/>
                  </w:tcBorders>
                  <w:noWrap w:val="0"/>
                  <w:vAlign w:val="center"/>
                </w:tcPr>
                <w:p w14:paraId="58837726">
                  <w:pPr>
                    <w:pStyle w:val="40"/>
                    <w:bidi w:val="0"/>
                    <w:rPr>
                      <w:color w:val="auto"/>
                      <w:highlight w:val="none"/>
                    </w:rPr>
                  </w:pPr>
                  <w:r>
                    <w:rPr>
                      <w:color w:val="auto"/>
                      <w:highlight w:val="none"/>
                    </w:rPr>
                    <w:t>废水量</w:t>
                  </w:r>
                  <w:r>
                    <w:rPr>
                      <w:rFonts w:hint="eastAsia"/>
                      <w:color w:val="auto"/>
                      <w:spacing w:val="-6"/>
                      <w:sz w:val="21"/>
                      <w:highlight w:val="none"/>
                      <w:lang w:eastAsia="zh-CN"/>
                    </w:rPr>
                    <w:t>（</w:t>
                  </w:r>
                  <w:r>
                    <w:rPr>
                      <w:color w:val="auto"/>
                      <w:spacing w:val="-6"/>
                      <w:sz w:val="21"/>
                      <w:highlight w:val="none"/>
                    </w:rPr>
                    <w:t>m</w:t>
                  </w:r>
                  <w:r>
                    <w:rPr>
                      <w:color w:val="auto"/>
                      <w:spacing w:val="-6"/>
                      <w:sz w:val="21"/>
                      <w:highlight w:val="none"/>
                      <w:vertAlign w:val="superscript"/>
                    </w:rPr>
                    <w:t>3</w:t>
                  </w:r>
                  <w:r>
                    <w:rPr>
                      <w:color w:val="auto"/>
                      <w:spacing w:val="-6"/>
                      <w:sz w:val="21"/>
                      <w:highlight w:val="none"/>
                    </w:rPr>
                    <w:t>/</w:t>
                  </w:r>
                  <w:r>
                    <w:rPr>
                      <w:rFonts w:hint="eastAsia"/>
                      <w:color w:val="auto"/>
                      <w:spacing w:val="-6"/>
                      <w:sz w:val="21"/>
                      <w:highlight w:val="none"/>
                      <w:lang w:val="en-US" w:eastAsia="zh-CN"/>
                    </w:rPr>
                    <w:t>d</w:t>
                  </w:r>
                  <w:r>
                    <w:rPr>
                      <w:rFonts w:hint="eastAsia"/>
                      <w:color w:val="auto"/>
                      <w:spacing w:val="-6"/>
                      <w:sz w:val="21"/>
                      <w:highlight w:val="none"/>
                      <w:lang w:eastAsia="zh-CN"/>
                    </w:rPr>
                    <w:t>）</w:t>
                  </w:r>
                </w:p>
              </w:tc>
              <w:tc>
                <w:tcPr>
                  <w:tcW w:w="1030" w:type="pct"/>
                  <w:tcBorders>
                    <w:tl2br w:val="nil"/>
                    <w:tr2bl w:val="nil"/>
                  </w:tcBorders>
                  <w:noWrap w:val="0"/>
                  <w:vAlign w:val="center"/>
                </w:tcPr>
                <w:p w14:paraId="1175ECF3">
                  <w:pPr>
                    <w:pStyle w:val="40"/>
                    <w:bidi w:val="0"/>
                    <w:rPr>
                      <w:color w:val="auto"/>
                      <w:spacing w:val="-6"/>
                      <w:sz w:val="21"/>
                      <w:highlight w:val="none"/>
                    </w:rPr>
                  </w:pPr>
                  <w:r>
                    <w:rPr>
                      <w:color w:val="auto"/>
                      <w:spacing w:val="-6"/>
                      <w:sz w:val="21"/>
                      <w:highlight w:val="none"/>
                    </w:rPr>
                    <w:t>备注</w:t>
                  </w:r>
                </w:p>
              </w:tc>
            </w:tr>
            <w:tr w14:paraId="6F8E75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 w:type="pct"/>
                  <w:gridSpan w:val="2"/>
                  <w:tcBorders>
                    <w:tl2br w:val="nil"/>
                    <w:tr2bl w:val="nil"/>
                  </w:tcBorders>
                  <w:noWrap w:val="0"/>
                  <w:vAlign w:val="center"/>
                </w:tcPr>
                <w:p w14:paraId="45F6C1D2">
                  <w:pPr>
                    <w:pStyle w:val="40"/>
                    <w:bidi w:val="0"/>
                    <w:rPr>
                      <w:color w:val="auto"/>
                      <w:highlight w:val="none"/>
                    </w:rPr>
                  </w:pPr>
                  <w:r>
                    <w:rPr>
                      <w:color w:val="auto"/>
                      <w:highlight w:val="none"/>
                    </w:rPr>
                    <w:t>生活用水</w:t>
                  </w:r>
                </w:p>
              </w:tc>
              <w:tc>
                <w:tcPr>
                  <w:tcW w:w="752" w:type="pct"/>
                  <w:tcBorders>
                    <w:tl2br w:val="nil"/>
                    <w:tr2bl w:val="nil"/>
                  </w:tcBorders>
                  <w:noWrap w:val="0"/>
                  <w:vAlign w:val="center"/>
                </w:tcPr>
                <w:p w14:paraId="082163A6">
                  <w:pPr>
                    <w:pStyle w:val="40"/>
                    <w:bidi w:val="0"/>
                    <w:rPr>
                      <w:rFonts w:hint="eastAsia" w:eastAsia="宋体"/>
                      <w:color w:val="auto"/>
                      <w:highlight w:val="none"/>
                      <w:lang w:val="en-US" w:eastAsia="zh-CN"/>
                    </w:rPr>
                  </w:pPr>
                  <w:r>
                    <w:rPr>
                      <w:color w:val="auto"/>
                      <w:highlight w:val="none"/>
                    </w:rPr>
                    <w:t>65L/</w:t>
                  </w:r>
                  <w:r>
                    <w:rPr>
                      <w:rFonts w:hint="eastAsia"/>
                      <w:color w:val="auto"/>
                      <w:highlight w:val="none"/>
                      <w:lang w:val="en-US" w:eastAsia="zh-CN"/>
                    </w:rPr>
                    <w:t>（</w:t>
                  </w:r>
                  <w:r>
                    <w:rPr>
                      <w:color w:val="auto"/>
                      <w:highlight w:val="none"/>
                    </w:rPr>
                    <w:t>人</w:t>
                  </w:r>
                  <w:r>
                    <w:rPr>
                      <w:rFonts w:hint="default" w:ascii="Times New Roman" w:hAnsi="Times New Roman" w:cs="Times New Roman"/>
                      <w:color w:val="auto"/>
                      <w:highlight w:val="none"/>
                      <w:lang w:val="en-US" w:eastAsia="zh-CN"/>
                    </w:rPr>
                    <w:t>·</w:t>
                  </w:r>
                  <w:r>
                    <w:rPr>
                      <w:color w:val="auto"/>
                      <w:highlight w:val="none"/>
                    </w:rPr>
                    <w:t>d</w:t>
                  </w:r>
                  <w:r>
                    <w:rPr>
                      <w:rFonts w:hint="eastAsia"/>
                      <w:color w:val="auto"/>
                      <w:highlight w:val="none"/>
                      <w:lang w:eastAsia="zh-CN"/>
                    </w:rPr>
                    <w:t>）</w:t>
                  </w:r>
                </w:p>
              </w:tc>
              <w:tc>
                <w:tcPr>
                  <w:tcW w:w="643" w:type="pct"/>
                  <w:tcBorders>
                    <w:tl2br w:val="nil"/>
                    <w:tr2bl w:val="nil"/>
                  </w:tcBorders>
                  <w:noWrap w:val="0"/>
                  <w:vAlign w:val="center"/>
                </w:tcPr>
                <w:p w14:paraId="2D51A2CE">
                  <w:pPr>
                    <w:pStyle w:val="40"/>
                    <w:bidi w:val="0"/>
                    <w:rPr>
                      <w:rFonts w:hint="default" w:eastAsia="宋体"/>
                      <w:color w:val="auto"/>
                      <w:highlight w:val="none"/>
                      <w:lang w:val="en-US" w:eastAsia="zh-CN"/>
                    </w:rPr>
                  </w:pPr>
                  <w:r>
                    <w:rPr>
                      <w:rFonts w:hint="eastAsia"/>
                      <w:color w:val="auto"/>
                      <w:highlight w:val="none"/>
                      <w:lang w:val="en-US" w:eastAsia="zh-CN"/>
                    </w:rPr>
                    <w:t>2.6</w:t>
                  </w:r>
                </w:p>
              </w:tc>
              <w:tc>
                <w:tcPr>
                  <w:tcW w:w="635" w:type="pct"/>
                  <w:tcBorders>
                    <w:tl2br w:val="nil"/>
                    <w:tr2bl w:val="nil"/>
                  </w:tcBorders>
                  <w:noWrap w:val="0"/>
                  <w:vAlign w:val="center"/>
                </w:tcPr>
                <w:p w14:paraId="1AD604BF">
                  <w:pPr>
                    <w:pStyle w:val="40"/>
                    <w:bidi w:val="0"/>
                    <w:rPr>
                      <w:rFonts w:hint="default" w:eastAsia="宋体"/>
                      <w:color w:val="auto"/>
                      <w:highlight w:val="none"/>
                      <w:lang w:val="en-US" w:eastAsia="zh-CN"/>
                    </w:rPr>
                  </w:pPr>
                  <w:r>
                    <w:rPr>
                      <w:rFonts w:hint="eastAsia"/>
                      <w:color w:val="auto"/>
                      <w:highlight w:val="none"/>
                      <w:lang w:val="en-US" w:eastAsia="zh-CN"/>
                    </w:rPr>
                    <w:t>/</w:t>
                  </w:r>
                </w:p>
              </w:tc>
              <w:tc>
                <w:tcPr>
                  <w:tcW w:w="576" w:type="pct"/>
                  <w:tcBorders>
                    <w:tl2br w:val="nil"/>
                    <w:tr2bl w:val="nil"/>
                  </w:tcBorders>
                  <w:noWrap w:val="0"/>
                  <w:vAlign w:val="center"/>
                </w:tcPr>
                <w:p w14:paraId="7A026682">
                  <w:pPr>
                    <w:pStyle w:val="40"/>
                    <w:bidi w:val="0"/>
                    <w:rPr>
                      <w:rFonts w:hint="default" w:eastAsia="宋体"/>
                      <w:color w:val="auto"/>
                      <w:highlight w:val="none"/>
                      <w:lang w:val="en-US" w:eastAsia="zh-CN"/>
                    </w:rPr>
                  </w:pPr>
                  <w:r>
                    <w:rPr>
                      <w:rFonts w:hint="eastAsia"/>
                      <w:color w:val="auto"/>
                      <w:highlight w:val="none"/>
                      <w:lang w:val="en-US" w:eastAsia="zh-CN"/>
                    </w:rPr>
                    <w:t>0.52</w:t>
                  </w:r>
                </w:p>
              </w:tc>
              <w:tc>
                <w:tcPr>
                  <w:tcW w:w="538" w:type="pct"/>
                  <w:tcBorders>
                    <w:tl2br w:val="nil"/>
                    <w:tr2bl w:val="nil"/>
                  </w:tcBorders>
                  <w:noWrap w:val="0"/>
                  <w:vAlign w:val="center"/>
                </w:tcPr>
                <w:p w14:paraId="2646280D">
                  <w:pPr>
                    <w:pStyle w:val="40"/>
                    <w:bidi w:val="0"/>
                    <w:rPr>
                      <w:rFonts w:hint="default" w:eastAsia="宋体"/>
                      <w:color w:val="auto"/>
                      <w:highlight w:val="none"/>
                      <w:lang w:val="en-US" w:eastAsia="zh-CN"/>
                    </w:rPr>
                  </w:pPr>
                  <w:r>
                    <w:rPr>
                      <w:rFonts w:hint="eastAsia"/>
                      <w:color w:val="auto"/>
                      <w:highlight w:val="none"/>
                      <w:lang w:val="en-US" w:eastAsia="zh-CN"/>
                    </w:rPr>
                    <w:t>2.08</w:t>
                  </w:r>
                </w:p>
              </w:tc>
              <w:tc>
                <w:tcPr>
                  <w:tcW w:w="1030" w:type="pct"/>
                  <w:tcBorders>
                    <w:tl2br w:val="nil"/>
                    <w:tr2bl w:val="nil"/>
                  </w:tcBorders>
                  <w:noWrap w:val="0"/>
                  <w:vAlign w:val="center"/>
                </w:tcPr>
                <w:p w14:paraId="33074D97">
                  <w:pPr>
                    <w:pStyle w:val="40"/>
                    <w:bidi w:val="0"/>
                    <w:rPr>
                      <w:color w:val="auto"/>
                      <w:spacing w:val="-6"/>
                      <w:sz w:val="21"/>
                      <w:highlight w:val="none"/>
                    </w:rPr>
                  </w:pPr>
                  <w:r>
                    <w:rPr>
                      <w:rFonts w:hint="eastAsia"/>
                      <w:color w:val="auto"/>
                      <w:spacing w:val="-6"/>
                      <w:sz w:val="21"/>
                      <w:highlight w:val="none"/>
                    </w:rPr>
                    <w:t>经沉淀池（</w:t>
                  </w:r>
                  <w:r>
                    <w:rPr>
                      <w:rFonts w:hint="eastAsia"/>
                      <w:color w:val="auto"/>
                      <w:spacing w:val="-6"/>
                      <w:sz w:val="21"/>
                      <w:highlight w:val="none"/>
                      <w:lang w:val="en-US" w:eastAsia="zh-CN"/>
                    </w:rPr>
                    <w:t>2</w:t>
                  </w:r>
                  <w:r>
                    <w:rPr>
                      <w:rFonts w:hint="eastAsia"/>
                      <w:color w:val="auto"/>
                      <w:spacing w:val="-6"/>
                      <w:sz w:val="21"/>
                      <w:highlight w:val="none"/>
                    </w:rPr>
                    <w:t>m</w:t>
                  </w:r>
                  <w:r>
                    <w:rPr>
                      <w:rFonts w:hint="eastAsia"/>
                      <w:color w:val="auto"/>
                      <w:spacing w:val="-6"/>
                      <w:sz w:val="21"/>
                      <w:highlight w:val="none"/>
                      <w:vertAlign w:val="superscript"/>
                    </w:rPr>
                    <w:t>3</w:t>
                  </w:r>
                  <w:r>
                    <w:rPr>
                      <w:rFonts w:hint="eastAsia"/>
                      <w:color w:val="auto"/>
                      <w:spacing w:val="-6"/>
                      <w:sz w:val="21"/>
                      <w:highlight w:val="none"/>
                    </w:rPr>
                    <w:t>）处理后用于厂区洒水抑尘</w:t>
                  </w:r>
                </w:p>
              </w:tc>
            </w:tr>
            <w:tr w14:paraId="30D806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 w:type="pct"/>
                  <w:vMerge w:val="restart"/>
                  <w:tcBorders>
                    <w:tl2br w:val="nil"/>
                    <w:tr2bl w:val="nil"/>
                  </w:tcBorders>
                  <w:noWrap w:val="0"/>
                  <w:vAlign w:val="center"/>
                </w:tcPr>
                <w:p w14:paraId="6F33A621">
                  <w:pPr>
                    <w:pStyle w:val="40"/>
                    <w:bidi w:val="0"/>
                    <w:rPr>
                      <w:rFonts w:hint="default" w:eastAsia="宋体"/>
                      <w:color w:val="auto"/>
                      <w:highlight w:val="none"/>
                      <w:lang w:val="en-US" w:eastAsia="zh-CN"/>
                    </w:rPr>
                  </w:pPr>
                  <w:r>
                    <w:rPr>
                      <w:rFonts w:hint="eastAsia"/>
                      <w:color w:val="auto"/>
                      <w:highlight w:val="none"/>
                      <w:lang w:val="en-US" w:eastAsia="zh-CN"/>
                    </w:rPr>
                    <w:t>骨料生产线</w:t>
                  </w:r>
                </w:p>
              </w:tc>
              <w:tc>
                <w:tcPr>
                  <w:tcW w:w="609" w:type="pct"/>
                  <w:tcBorders>
                    <w:tl2br w:val="nil"/>
                    <w:tr2bl w:val="nil"/>
                  </w:tcBorders>
                  <w:noWrap w:val="0"/>
                  <w:vAlign w:val="center"/>
                </w:tcPr>
                <w:p w14:paraId="0021FB66">
                  <w:pPr>
                    <w:pStyle w:val="40"/>
                    <w:bidi w:val="0"/>
                    <w:rPr>
                      <w:rFonts w:hint="default" w:eastAsia="宋体"/>
                      <w:color w:val="auto"/>
                      <w:highlight w:val="none"/>
                      <w:lang w:val="en-US" w:eastAsia="zh-CN"/>
                    </w:rPr>
                  </w:pPr>
                  <w:r>
                    <w:rPr>
                      <w:rFonts w:hint="default" w:eastAsia="宋体"/>
                      <w:color w:val="auto"/>
                      <w:spacing w:val="-6"/>
                      <w:sz w:val="21"/>
                      <w:highlight w:val="none"/>
                      <w:lang w:val="en-US" w:eastAsia="zh-CN"/>
                    </w:rPr>
                    <w:t>搅拌及成核用水</w:t>
                  </w:r>
                </w:p>
              </w:tc>
              <w:tc>
                <w:tcPr>
                  <w:tcW w:w="752" w:type="pct"/>
                  <w:tcBorders>
                    <w:tl2br w:val="nil"/>
                    <w:tr2bl w:val="nil"/>
                  </w:tcBorders>
                  <w:noWrap w:val="0"/>
                  <w:vAlign w:val="center"/>
                </w:tcPr>
                <w:p w14:paraId="37E101CB">
                  <w:pPr>
                    <w:pStyle w:val="40"/>
                    <w:bidi w:val="0"/>
                    <w:rPr>
                      <w:rFonts w:hint="default" w:eastAsia="宋体"/>
                      <w:color w:val="auto"/>
                      <w:highlight w:val="none"/>
                      <w:lang w:val="en-US" w:eastAsia="zh-CN"/>
                    </w:rPr>
                  </w:pPr>
                  <w:r>
                    <w:rPr>
                      <w:rFonts w:hint="eastAsia"/>
                      <w:color w:val="auto"/>
                      <w:highlight w:val="none"/>
                      <w:lang w:val="en-US" w:eastAsia="zh-CN"/>
                    </w:rPr>
                    <w:t>5%</w:t>
                  </w:r>
                </w:p>
              </w:tc>
              <w:tc>
                <w:tcPr>
                  <w:tcW w:w="643" w:type="pct"/>
                  <w:tcBorders>
                    <w:tl2br w:val="nil"/>
                    <w:tr2bl w:val="nil"/>
                  </w:tcBorders>
                  <w:noWrap w:val="0"/>
                  <w:vAlign w:val="center"/>
                </w:tcPr>
                <w:p w14:paraId="4892D05D">
                  <w:pPr>
                    <w:pStyle w:val="40"/>
                    <w:bidi w:val="0"/>
                    <w:rPr>
                      <w:rFonts w:hint="default" w:eastAsia="宋体"/>
                      <w:color w:val="auto"/>
                      <w:highlight w:val="none"/>
                      <w:lang w:val="en-US" w:eastAsia="zh-CN"/>
                    </w:rPr>
                  </w:pPr>
                  <w:r>
                    <w:rPr>
                      <w:rFonts w:hint="eastAsia"/>
                      <w:color w:val="auto"/>
                      <w:highlight w:val="none"/>
                      <w:lang w:val="en-US" w:eastAsia="zh-CN"/>
                    </w:rPr>
                    <w:t>166.67</w:t>
                  </w:r>
                </w:p>
              </w:tc>
              <w:tc>
                <w:tcPr>
                  <w:tcW w:w="635" w:type="pct"/>
                  <w:tcBorders>
                    <w:tl2br w:val="nil"/>
                    <w:tr2bl w:val="nil"/>
                  </w:tcBorders>
                  <w:noWrap w:val="0"/>
                  <w:vAlign w:val="center"/>
                </w:tcPr>
                <w:p w14:paraId="6EC1C4A8">
                  <w:pPr>
                    <w:pStyle w:val="40"/>
                    <w:bidi w:val="0"/>
                    <w:rPr>
                      <w:rFonts w:hint="default" w:eastAsia="宋体"/>
                      <w:color w:val="auto"/>
                      <w:highlight w:val="none"/>
                      <w:lang w:val="en-US" w:eastAsia="zh-CN"/>
                    </w:rPr>
                  </w:pPr>
                  <w:r>
                    <w:rPr>
                      <w:rFonts w:hint="eastAsia"/>
                      <w:color w:val="auto"/>
                      <w:highlight w:val="none"/>
                      <w:lang w:val="en-US" w:eastAsia="zh-CN"/>
                    </w:rPr>
                    <w:t>/</w:t>
                  </w:r>
                </w:p>
              </w:tc>
              <w:tc>
                <w:tcPr>
                  <w:tcW w:w="576" w:type="pct"/>
                  <w:tcBorders>
                    <w:tl2br w:val="nil"/>
                    <w:tr2bl w:val="nil"/>
                  </w:tcBorders>
                  <w:noWrap w:val="0"/>
                  <w:vAlign w:val="center"/>
                </w:tcPr>
                <w:p w14:paraId="7B8CFF81">
                  <w:pPr>
                    <w:pStyle w:val="40"/>
                    <w:bidi w:val="0"/>
                    <w:rPr>
                      <w:rFonts w:hint="default" w:eastAsia="宋体"/>
                      <w:color w:val="auto"/>
                      <w:highlight w:val="none"/>
                      <w:lang w:val="en-US" w:eastAsia="zh-CN"/>
                    </w:rPr>
                  </w:pPr>
                  <w:r>
                    <w:rPr>
                      <w:rFonts w:hint="eastAsia"/>
                      <w:color w:val="auto"/>
                      <w:highlight w:val="none"/>
                      <w:lang w:val="en-US" w:eastAsia="zh-CN"/>
                    </w:rPr>
                    <w:t>166.67</w:t>
                  </w:r>
                </w:p>
              </w:tc>
              <w:tc>
                <w:tcPr>
                  <w:tcW w:w="538" w:type="pct"/>
                  <w:tcBorders>
                    <w:tl2br w:val="nil"/>
                    <w:tr2bl w:val="nil"/>
                  </w:tcBorders>
                  <w:noWrap w:val="0"/>
                  <w:vAlign w:val="center"/>
                </w:tcPr>
                <w:p w14:paraId="0384990B">
                  <w:pPr>
                    <w:pStyle w:val="40"/>
                    <w:bidi w:val="0"/>
                    <w:rPr>
                      <w:rFonts w:hint="default" w:eastAsia="宋体"/>
                      <w:color w:val="auto"/>
                      <w:highlight w:val="none"/>
                      <w:lang w:val="en-US" w:eastAsia="zh-CN"/>
                    </w:rPr>
                  </w:pPr>
                  <w:r>
                    <w:rPr>
                      <w:rFonts w:hint="eastAsia"/>
                      <w:color w:val="auto"/>
                      <w:highlight w:val="none"/>
                      <w:lang w:val="en-US" w:eastAsia="zh-CN"/>
                    </w:rPr>
                    <w:t>/</w:t>
                  </w:r>
                </w:p>
              </w:tc>
              <w:tc>
                <w:tcPr>
                  <w:tcW w:w="1030" w:type="pct"/>
                  <w:tcBorders>
                    <w:tl2br w:val="nil"/>
                    <w:tr2bl w:val="nil"/>
                  </w:tcBorders>
                  <w:noWrap w:val="0"/>
                  <w:vAlign w:val="center"/>
                </w:tcPr>
                <w:p w14:paraId="650433BA">
                  <w:pPr>
                    <w:pStyle w:val="40"/>
                    <w:bidi w:val="0"/>
                    <w:rPr>
                      <w:rFonts w:hint="eastAsia" w:eastAsia="宋体"/>
                      <w:color w:val="auto"/>
                      <w:spacing w:val="-6"/>
                      <w:sz w:val="21"/>
                      <w:highlight w:val="none"/>
                      <w:lang w:val="en-US" w:eastAsia="zh-CN"/>
                    </w:rPr>
                  </w:pPr>
                  <w:r>
                    <w:rPr>
                      <w:rFonts w:hint="eastAsia"/>
                      <w:color w:val="auto"/>
                      <w:spacing w:val="-6"/>
                      <w:sz w:val="21"/>
                      <w:highlight w:val="none"/>
                      <w:lang w:val="en-US" w:eastAsia="zh-CN"/>
                    </w:rPr>
                    <w:t>产品带走</w:t>
                  </w:r>
                </w:p>
              </w:tc>
            </w:tr>
            <w:tr w14:paraId="3C17DB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 w:type="pct"/>
                  <w:vMerge w:val="continue"/>
                  <w:tcBorders>
                    <w:tl2br w:val="nil"/>
                    <w:tr2bl w:val="nil"/>
                  </w:tcBorders>
                  <w:noWrap w:val="0"/>
                  <w:vAlign w:val="center"/>
                </w:tcPr>
                <w:p w14:paraId="4097C5A5">
                  <w:pPr>
                    <w:pStyle w:val="40"/>
                    <w:bidi w:val="0"/>
                    <w:rPr>
                      <w:color w:val="auto"/>
                      <w:highlight w:val="none"/>
                    </w:rPr>
                  </w:pPr>
                </w:p>
              </w:tc>
              <w:tc>
                <w:tcPr>
                  <w:tcW w:w="609" w:type="pct"/>
                  <w:tcBorders>
                    <w:tl2br w:val="nil"/>
                    <w:tr2bl w:val="nil"/>
                  </w:tcBorders>
                  <w:noWrap w:val="0"/>
                  <w:vAlign w:val="center"/>
                </w:tcPr>
                <w:p w14:paraId="15ADDE18">
                  <w:pPr>
                    <w:pStyle w:val="40"/>
                    <w:bidi w:val="0"/>
                    <w:rPr>
                      <w:color w:val="auto"/>
                      <w:spacing w:val="-6"/>
                      <w:sz w:val="21"/>
                      <w:highlight w:val="none"/>
                    </w:rPr>
                  </w:pPr>
                  <w:r>
                    <w:rPr>
                      <w:rFonts w:hint="eastAsia"/>
                      <w:color w:val="auto"/>
                      <w:spacing w:val="-6"/>
                      <w:sz w:val="21"/>
                      <w:highlight w:val="none"/>
                    </w:rPr>
                    <w:t>车辆冲洗用水</w:t>
                  </w:r>
                </w:p>
              </w:tc>
              <w:tc>
                <w:tcPr>
                  <w:tcW w:w="752" w:type="pct"/>
                  <w:tcBorders>
                    <w:tl2br w:val="nil"/>
                    <w:tr2bl w:val="nil"/>
                  </w:tcBorders>
                  <w:noWrap w:val="0"/>
                  <w:vAlign w:val="center"/>
                </w:tcPr>
                <w:p w14:paraId="52900777">
                  <w:pPr>
                    <w:pStyle w:val="40"/>
                    <w:bidi w:val="0"/>
                    <w:rPr>
                      <w:rFonts w:hint="default" w:eastAsia="宋体"/>
                      <w:color w:val="auto"/>
                      <w:highlight w:val="none"/>
                      <w:lang w:val="en-US" w:eastAsia="zh-CN"/>
                    </w:rPr>
                  </w:pPr>
                  <w:r>
                    <w:rPr>
                      <w:rFonts w:hint="default" w:ascii="Times New Roman" w:hAnsi="Times New Roman" w:cs="Times New Roman"/>
                      <w:color w:val="auto"/>
                      <w:spacing w:val="-17"/>
                      <w:sz w:val="21"/>
                      <w:highlight w:val="none"/>
                    </w:rPr>
                    <w:t>0.1m</w:t>
                  </w:r>
                  <w:r>
                    <w:rPr>
                      <w:rFonts w:hint="default" w:ascii="Times New Roman" w:hAnsi="Times New Roman" w:cs="Times New Roman"/>
                      <w:color w:val="auto"/>
                      <w:spacing w:val="-17"/>
                      <w:sz w:val="21"/>
                      <w:highlight w:val="none"/>
                      <w:vertAlign w:val="superscript"/>
                    </w:rPr>
                    <w:t>3</w:t>
                  </w:r>
                  <w:r>
                    <w:rPr>
                      <w:rFonts w:hint="default" w:ascii="Times New Roman" w:hAnsi="Times New Roman" w:cs="Times New Roman"/>
                      <w:color w:val="auto"/>
                      <w:spacing w:val="-17"/>
                      <w:sz w:val="21"/>
                      <w:highlight w:val="none"/>
                      <w:lang w:val="en-US" w:eastAsia="zh-CN"/>
                    </w:rPr>
                    <w:t>/</w:t>
                  </w:r>
                  <w:r>
                    <w:rPr>
                      <w:rFonts w:hint="eastAsia" w:cs="Times New Roman"/>
                      <w:color w:val="auto"/>
                      <w:spacing w:val="-17"/>
                      <w:sz w:val="21"/>
                      <w:highlight w:val="none"/>
                      <w:lang w:val="en-US" w:eastAsia="zh-CN"/>
                    </w:rPr>
                    <w:t>（</w:t>
                  </w:r>
                  <w:r>
                    <w:rPr>
                      <w:rFonts w:hint="default" w:ascii="Times New Roman" w:hAnsi="Times New Roman" w:cs="Times New Roman"/>
                      <w:color w:val="auto"/>
                      <w:spacing w:val="-17"/>
                      <w:sz w:val="21"/>
                      <w:highlight w:val="none"/>
                      <w:lang w:val="en-US" w:eastAsia="zh-CN"/>
                    </w:rPr>
                    <w:t>辆·次</w:t>
                  </w:r>
                  <w:r>
                    <w:rPr>
                      <w:rFonts w:hint="eastAsia" w:ascii="Times New Roman" w:hAnsi="Times New Roman" w:cs="Times New Roman"/>
                      <w:color w:val="auto"/>
                      <w:spacing w:val="-17"/>
                      <w:sz w:val="21"/>
                      <w:highlight w:val="none"/>
                      <w:lang w:val="en-US" w:eastAsia="zh-CN"/>
                    </w:rPr>
                    <w:t>）</w:t>
                  </w:r>
                </w:p>
              </w:tc>
              <w:tc>
                <w:tcPr>
                  <w:tcW w:w="643" w:type="pct"/>
                  <w:tcBorders>
                    <w:tl2br w:val="nil"/>
                    <w:tr2bl w:val="nil"/>
                  </w:tcBorders>
                  <w:noWrap w:val="0"/>
                  <w:vAlign w:val="center"/>
                </w:tcPr>
                <w:p w14:paraId="601D4295">
                  <w:pPr>
                    <w:pStyle w:val="40"/>
                    <w:bidi w:val="0"/>
                    <w:rPr>
                      <w:rFonts w:hint="default" w:eastAsia="宋体"/>
                      <w:color w:val="auto"/>
                      <w:highlight w:val="none"/>
                      <w:lang w:val="en-US" w:eastAsia="zh-CN"/>
                    </w:rPr>
                  </w:pPr>
                  <w:r>
                    <w:rPr>
                      <w:rFonts w:hint="eastAsia"/>
                      <w:color w:val="auto"/>
                      <w:highlight w:val="none"/>
                      <w:lang w:val="en-US" w:eastAsia="zh-CN"/>
                    </w:rPr>
                    <w:t>2.16</w:t>
                  </w:r>
                </w:p>
              </w:tc>
              <w:tc>
                <w:tcPr>
                  <w:tcW w:w="635" w:type="pct"/>
                  <w:tcBorders>
                    <w:tl2br w:val="nil"/>
                    <w:tr2bl w:val="nil"/>
                  </w:tcBorders>
                  <w:noWrap w:val="0"/>
                  <w:vAlign w:val="center"/>
                </w:tcPr>
                <w:p w14:paraId="4F5E7ABD">
                  <w:pPr>
                    <w:pStyle w:val="40"/>
                    <w:bidi w:val="0"/>
                    <w:rPr>
                      <w:rFonts w:hint="default" w:eastAsia="宋体"/>
                      <w:color w:val="auto"/>
                      <w:highlight w:val="none"/>
                      <w:lang w:val="en-US" w:eastAsia="zh-CN"/>
                    </w:rPr>
                  </w:pPr>
                  <w:r>
                    <w:rPr>
                      <w:rFonts w:hint="eastAsia"/>
                      <w:color w:val="auto"/>
                      <w:highlight w:val="none"/>
                      <w:lang w:val="en-US" w:eastAsia="zh-CN"/>
                    </w:rPr>
                    <w:t>19.45</w:t>
                  </w:r>
                </w:p>
              </w:tc>
              <w:tc>
                <w:tcPr>
                  <w:tcW w:w="576" w:type="pct"/>
                  <w:tcBorders>
                    <w:tl2br w:val="nil"/>
                    <w:tr2bl w:val="nil"/>
                  </w:tcBorders>
                  <w:noWrap w:val="0"/>
                  <w:vAlign w:val="center"/>
                </w:tcPr>
                <w:p w14:paraId="37BE5139">
                  <w:pPr>
                    <w:pStyle w:val="40"/>
                    <w:bidi w:val="0"/>
                    <w:rPr>
                      <w:rFonts w:hint="default" w:eastAsia="宋体"/>
                      <w:color w:val="auto"/>
                      <w:highlight w:val="none"/>
                      <w:lang w:val="en-US" w:eastAsia="zh-CN"/>
                    </w:rPr>
                  </w:pPr>
                  <w:r>
                    <w:rPr>
                      <w:rFonts w:hint="eastAsia"/>
                      <w:color w:val="auto"/>
                      <w:highlight w:val="none"/>
                      <w:lang w:val="en-US" w:eastAsia="zh-CN"/>
                    </w:rPr>
                    <w:t>2.16</w:t>
                  </w:r>
                </w:p>
              </w:tc>
              <w:tc>
                <w:tcPr>
                  <w:tcW w:w="538" w:type="pct"/>
                  <w:tcBorders>
                    <w:tl2br w:val="nil"/>
                    <w:tr2bl w:val="nil"/>
                  </w:tcBorders>
                  <w:noWrap w:val="0"/>
                  <w:vAlign w:val="center"/>
                </w:tcPr>
                <w:p w14:paraId="0AE5A361">
                  <w:pPr>
                    <w:pStyle w:val="40"/>
                    <w:bidi w:val="0"/>
                    <w:rPr>
                      <w:rFonts w:hint="default" w:eastAsia="宋体"/>
                      <w:color w:val="auto"/>
                      <w:highlight w:val="none"/>
                      <w:lang w:val="en-US" w:eastAsia="zh-CN"/>
                    </w:rPr>
                  </w:pPr>
                  <w:r>
                    <w:rPr>
                      <w:rFonts w:hint="eastAsia"/>
                      <w:color w:val="auto"/>
                      <w:highlight w:val="none"/>
                      <w:lang w:val="en-US" w:eastAsia="zh-CN"/>
                    </w:rPr>
                    <w:t>19.45</w:t>
                  </w:r>
                </w:p>
              </w:tc>
              <w:tc>
                <w:tcPr>
                  <w:tcW w:w="1030" w:type="pct"/>
                  <w:tcBorders>
                    <w:tl2br w:val="nil"/>
                    <w:tr2bl w:val="nil"/>
                  </w:tcBorders>
                  <w:noWrap w:val="0"/>
                  <w:vAlign w:val="center"/>
                </w:tcPr>
                <w:p w14:paraId="70896BBA">
                  <w:pPr>
                    <w:pStyle w:val="40"/>
                    <w:bidi w:val="0"/>
                    <w:rPr>
                      <w:color w:val="auto"/>
                      <w:spacing w:val="-6"/>
                      <w:sz w:val="21"/>
                      <w:highlight w:val="none"/>
                    </w:rPr>
                  </w:pPr>
                  <w:r>
                    <w:rPr>
                      <w:color w:val="auto"/>
                      <w:spacing w:val="-6"/>
                      <w:sz w:val="21"/>
                      <w:highlight w:val="none"/>
                      <w:lang w:val="zh-TW"/>
                    </w:rPr>
                    <w:t>冲洗废水进入沉淀池循环使用</w:t>
                  </w:r>
                </w:p>
              </w:tc>
            </w:tr>
            <w:tr w14:paraId="7ABCC0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 w:type="pct"/>
                  <w:vMerge w:val="restart"/>
                  <w:tcBorders>
                    <w:tl2br w:val="nil"/>
                    <w:tr2bl w:val="nil"/>
                  </w:tcBorders>
                  <w:noWrap w:val="0"/>
                  <w:vAlign w:val="center"/>
                </w:tcPr>
                <w:p w14:paraId="6245579F">
                  <w:pPr>
                    <w:pStyle w:val="40"/>
                    <w:bidi w:val="0"/>
                    <w:rPr>
                      <w:rFonts w:hint="default" w:eastAsia="宋体"/>
                      <w:color w:val="auto"/>
                      <w:highlight w:val="none"/>
                      <w:lang w:val="en-US" w:eastAsia="zh-CN"/>
                    </w:rPr>
                  </w:pPr>
                  <w:r>
                    <w:rPr>
                      <w:rFonts w:hint="eastAsia"/>
                      <w:color w:val="auto"/>
                      <w:highlight w:val="none"/>
                      <w:lang w:val="en-US" w:eastAsia="zh-CN"/>
                    </w:rPr>
                    <w:t>混凝土生产线</w:t>
                  </w:r>
                </w:p>
              </w:tc>
              <w:tc>
                <w:tcPr>
                  <w:tcW w:w="609" w:type="pct"/>
                  <w:tcBorders>
                    <w:tl2br w:val="nil"/>
                    <w:tr2bl w:val="nil"/>
                  </w:tcBorders>
                  <w:shd w:val="clear" w:color="auto" w:fill="auto"/>
                  <w:noWrap w:val="0"/>
                  <w:vAlign w:val="center"/>
                </w:tcPr>
                <w:p w14:paraId="0493636B">
                  <w:pPr>
                    <w:pStyle w:val="40"/>
                    <w:bidi w:val="0"/>
                    <w:ind w:firstLine="0" w:firstLineChars="0"/>
                    <w:rPr>
                      <w:rFonts w:ascii="Times New Roman" w:hAnsi="Times New Roman" w:eastAsia="宋体" w:cs="Times New Roman"/>
                      <w:b w:val="0"/>
                      <w:bCs w:val="0"/>
                      <w:color w:val="auto"/>
                      <w:kern w:val="2"/>
                      <w:sz w:val="21"/>
                      <w:szCs w:val="21"/>
                      <w:highlight w:val="none"/>
                      <w:lang w:val="en-US" w:eastAsia="zh-CN" w:bidi="ar-SA"/>
                    </w:rPr>
                  </w:pPr>
                  <w:r>
                    <w:rPr>
                      <w:color w:val="auto"/>
                      <w:spacing w:val="-11"/>
                      <w:sz w:val="21"/>
                      <w:highlight w:val="none"/>
                    </w:rPr>
                    <w:t>搅拌用水</w:t>
                  </w:r>
                </w:p>
              </w:tc>
              <w:tc>
                <w:tcPr>
                  <w:tcW w:w="752" w:type="pct"/>
                  <w:tcBorders>
                    <w:tl2br w:val="nil"/>
                    <w:tr2bl w:val="nil"/>
                  </w:tcBorders>
                  <w:noWrap w:val="0"/>
                  <w:vAlign w:val="center"/>
                </w:tcPr>
                <w:p w14:paraId="704CC0D7">
                  <w:pPr>
                    <w:pStyle w:val="40"/>
                    <w:bidi w:val="0"/>
                    <w:rPr>
                      <w:color w:val="auto"/>
                      <w:highlight w:val="none"/>
                    </w:rPr>
                  </w:pPr>
                  <w:r>
                    <w:rPr>
                      <w:color w:val="auto"/>
                      <w:highlight w:val="none"/>
                    </w:rPr>
                    <w:t>0.15m</w:t>
                  </w:r>
                  <w:r>
                    <w:rPr>
                      <w:color w:val="auto"/>
                      <w:highlight w:val="none"/>
                      <w:vertAlign w:val="superscript"/>
                    </w:rPr>
                    <w:t>3</w:t>
                  </w:r>
                  <w:r>
                    <w:rPr>
                      <w:color w:val="auto"/>
                      <w:highlight w:val="none"/>
                    </w:rPr>
                    <w:t>/m</w:t>
                  </w:r>
                  <w:r>
                    <w:rPr>
                      <w:color w:val="auto"/>
                      <w:highlight w:val="none"/>
                      <w:vertAlign w:val="superscript"/>
                    </w:rPr>
                    <w:t>3</w:t>
                  </w:r>
                  <w:r>
                    <w:rPr>
                      <w:rFonts w:hint="eastAsia"/>
                      <w:color w:val="auto"/>
                      <w:highlight w:val="none"/>
                      <w:vertAlign w:val="baseline"/>
                      <w:lang w:val="en-US" w:eastAsia="zh-CN"/>
                    </w:rPr>
                    <w:t>-产</w:t>
                  </w:r>
                  <w:r>
                    <w:rPr>
                      <w:color w:val="auto"/>
                      <w:highlight w:val="none"/>
                    </w:rPr>
                    <w:t>品</w:t>
                  </w:r>
                </w:p>
              </w:tc>
              <w:tc>
                <w:tcPr>
                  <w:tcW w:w="643" w:type="pct"/>
                  <w:tcBorders>
                    <w:tl2br w:val="nil"/>
                    <w:tr2bl w:val="nil"/>
                  </w:tcBorders>
                  <w:noWrap w:val="0"/>
                  <w:vAlign w:val="center"/>
                </w:tcPr>
                <w:p w14:paraId="2826F0EE">
                  <w:pPr>
                    <w:pStyle w:val="40"/>
                    <w:bidi w:val="0"/>
                    <w:rPr>
                      <w:rFonts w:hint="default" w:eastAsia="宋体"/>
                      <w:color w:val="auto"/>
                      <w:highlight w:val="none"/>
                      <w:lang w:val="en-US" w:eastAsia="zh-CN"/>
                    </w:rPr>
                  </w:pPr>
                  <w:r>
                    <w:rPr>
                      <w:rFonts w:hint="eastAsia"/>
                      <w:color w:val="auto"/>
                      <w:highlight w:val="none"/>
                      <w:lang w:val="en-US" w:eastAsia="zh-CN"/>
                    </w:rPr>
                    <w:t>222.8</w:t>
                  </w:r>
                </w:p>
              </w:tc>
              <w:tc>
                <w:tcPr>
                  <w:tcW w:w="635" w:type="pct"/>
                  <w:tcBorders>
                    <w:tl2br w:val="nil"/>
                    <w:tr2bl w:val="nil"/>
                  </w:tcBorders>
                  <w:noWrap w:val="0"/>
                  <w:vAlign w:val="center"/>
                </w:tcPr>
                <w:p w14:paraId="4BD2EF55">
                  <w:pPr>
                    <w:pStyle w:val="40"/>
                    <w:bidi w:val="0"/>
                    <w:rPr>
                      <w:rFonts w:hint="default" w:eastAsia="宋体"/>
                      <w:color w:val="auto"/>
                      <w:highlight w:val="none"/>
                      <w:lang w:val="en-US" w:eastAsia="zh-CN"/>
                    </w:rPr>
                  </w:pPr>
                  <w:r>
                    <w:rPr>
                      <w:rFonts w:hint="eastAsia"/>
                      <w:color w:val="auto"/>
                      <w:highlight w:val="none"/>
                      <w:lang w:val="en-US" w:eastAsia="zh-CN"/>
                    </w:rPr>
                    <w:t>118.11</w:t>
                  </w:r>
                </w:p>
              </w:tc>
              <w:tc>
                <w:tcPr>
                  <w:tcW w:w="576" w:type="pct"/>
                  <w:tcBorders>
                    <w:tl2br w:val="nil"/>
                    <w:tr2bl w:val="nil"/>
                  </w:tcBorders>
                  <w:noWrap w:val="0"/>
                  <w:vAlign w:val="center"/>
                </w:tcPr>
                <w:p w14:paraId="1095C065">
                  <w:pPr>
                    <w:pStyle w:val="40"/>
                    <w:bidi w:val="0"/>
                    <w:rPr>
                      <w:rFonts w:hint="default" w:eastAsia="宋体"/>
                      <w:color w:val="auto"/>
                      <w:highlight w:val="none"/>
                      <w:lang w:val="en-US" w:eastAsia="zh-CN"/>
                    </w:rPr>
                  </w:pPr>
                  <w:r>
                    <w:rPr>
                      <w:rFonts w:hint="eastAsia"/>
                      <w:color w:val="auto"/>
                      <w:highlight w:val="none"/>
                      <w:lang w:val="en-US" w:eastAsia="zh-CN"/>
                    </w:rPr>
                    <w:t>340.91</w:t>
                  </w:r>
                </w:p>
              </w:tc>
              <w:tc>
                <w:tcPr>
                  <w:tcW w:w="538" w:type="pct"/>
                  <w:tcBorders>
                    <w:tl2br w:val="nil"/>
                    <w:tr2bl w:val="nil"/>
                  </w:tcBorders>
                  <w:noWrap w:val="0"/>
                  <w:vAlign w:val="center"/>
                </w:tcPr>
                <w:p w14:paraId="1707B790">
                  <w:pPr>
                    <w:pStyle w:val="40"/>
                    <w:bidi w:val="0"/>
                    <w:rPr>
                      <w:rFonts w:hint="eastAsia" w:eastAsia="宋体"/>
                      <w:color w:val="auto"/>
                      <w:highlight w:val="none"/>
                      <w:lang w:val="en-US" w:eastAsia="zh-CN"/>
                    </w:rPr>
                  </w:pPr>
                  <w:r>
                    <w:rPr>
                      <w:rFonts w:hint="eastAsia"/>
                      <w:color w:val="auto"/>
                      <w:highlight w:val="none"/>
                      <w:lang w:val="en-US" w:eastAsia="zh-CN"/>
                    </w:rPr>
                    <w:t>/</w:t>
                  </w:r>
                </w:p>
              </w:tc>
              <w:tc>
                <w:tcPr>
                  <w:tcW w:w="1030" w:type="pct"/>
                  <w:tcBorders>
                    <w:tl2br w:val="nil"/>
                    <w:tr2bl w:val="nil"/>
                  </w:tcBorders>
                  <w:noWrap w:val="0"/>
                  <w:vAlign w:val="center"/>
                </w:tcPr>
                <w:p w14:paraId="2232198D">
                  <w:pPr>
                    <w:pStyle w:val="40"/>
                    <w:bidi w:val="0"/>
                    <w:rPr>
                      <w:color w:val="auto"/>
                      <w:spacing w:val="-6"/>
                      <w:sz w:val="21"/>
                      <w:highlight w:val="none"/>
                    </w:rPr>
                  </w:pPr>
                  <w:r>
                    <w:rPr>
                      <w:rFonts w:hint="eastAsia"/>
                      <w:color w:val="auto"/>
                      <w:spacing w:val="-6"/>
                      <w:sz w:val="21"/>
                      <w:highlight w:val="none"/>
                      <w:lang w:val="en-US" w:eastAsia="zh-CN"/>
                    </w:rPr>
                    <w:t>产品</w:t>
                  </w:r>
                  <w:r>
                    <w:rPr>
                      <w:color w:val="auto"/>
                      <w:spacing w:val="-6"/>
                      <w:sz w:val="21"/>
                      <w:highlight w:val="none"/>
                    </w:rPr>
                    <w:t>带走</w:t>
                  </w:r>
                </w:p>
              </w:tc>
            </w:tr>
            <w:tr w14:paraId="4380B8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 w:type="pct"/>
                  <w:vMerge w:val="continue"/>
                  <w:tcBorders>
                    <w:tl2br w:val="nil"/>
                    <w:tr2bl w:val="nil"/>
                  </w:tcBorders>
                  <w:noWrap w:val="0"/>
                  <w:vAlign w:val="center"/>
                </w:tcPr>
                <w:p w14:paraId="22117B69">
                  <w:pPr>
                    <w:pStyle w:val="40"/>
                    <w:bidi w:val="0"/>
                    <w:rPr>
                      <w:color w:val="auto"/>
                      <w:highlight w:val="none"/>
                    </w:rPr>
                  </w:pPr>
                </w:p>
              </w:tc>
              <w:tc>
                <w:tcPr>
                  <w:tcW w:w="609" w:type="pct"/>
                  <w:tcBorders>
                    <w:tl2br w:val="nil"/>
                    <w:tr2bl w:val="nil"/>
                  </w:tcBorders>
                  <w:shd w:val="clear" w:color="auto" w:fill="auto"/>
                  <w:noWrap w:val="0"/>
                  <w:vAlign w:val="center"/>
                </w:tcPr>
                <w:p w14:paraId="1688C3CA">
                  <w:pPr>
                    <w:pStyle w:val="40"/>
                    <w:bidi w:val="0"/>
                    <w:ind w:firstLine="0" w:firstLineChars="0"/>
                    <w:rPr>
                      <w:rFonts w:hint="eastAsia" w:ascii="Times New Roman" w:hAnsi="Times New Roman" w:eastAsia="宋体" w:cs="Times New Roman"/>
                      <w:b w:val="0"/>
                      <w:bCs w:val="0"/>
                      <w:color w:val="auto"/>
                      <w:spacing w:val="-6"/>
                      <w:kern w:val="2"/>
                      <w:sz w:val="21"/>
                      <w:szCs w:val="21"/>
                      <w:highlight w:val="none"/>
                      <w:lang w:val="en-US" w:eastAsia="zh-CN" w:bidi="ar-SA"/>
                    </w:rPr>
                  </w:pPr>
                  <w:r>
                    <w:rPr>
                      <w:color w:val="auto"/>
                      <w:spacing w:val="-6"/>
                      <w:sz w:val="21"/>
                      <w:highlight w:val="none"/>
                      <w:lang w:val="zh-TW"/>
                    </w:rPr>
                    <w:t>设备</w:t>
                  </w:r>
                  <w:r>
                    <w:rPr>
                      <w:rFonts w:hint="eastAsia"/>
                      <w:color w:val="auto"/>
                      <w:spacing w:val="-6"/>
                      <w:sz w:val="21"/>
                      <w:highlight w:val="none"/>
                      <w:lang w:val="en-US" w:eastAsia="zh-CN"/>
                    </w:rPr>
                    <w:t>清洗</w:t>
                  </w:r>
                  <w:r>
                    <w:rPr>
                      <w:color w:val="auto"/>
                      <w:spacing w:val="-6"/>
                      <w:sz w:val="21"/>
                      <w:highlight w:val="none"/>
                      <w:lang w:val="zh-TW"/>
                    </w:rPr>
                    <w:t>用水</w:t>
                  </w:r>
                </w:p>
              </w:tc>
              <w:tc>
                <w:tcPr>
                  <w:tcW w:w="752" w:type="pct"/>
                  <w:tcBorders>
                    <w:tl2br w:val="nil"/>
                    <w:tr2bl w:val="nil"/>
                  </w:tcBorders>
                  <w:noWrap w:val="0"/>
                  <w:vAlign w:val="center"/>
                </w:tcPr>
                <w:p w14:paraId="6084D7B0">
                  <w:pPr>
                    <w:pStyle w:val="40"/>
                    <w:bidi w:val="0"/>
                    <w:rPr>
                      <w:rFonts w:hint="eastAsia" w:eastAsia="宋体"/>
                      <w:color w:val="auto"/>
                      <w:highlight w:val="none"/>
                      <w:lang w:eastAsia="zh-CN"/>
                    </w:rPr>
                  </w:pPr>
                  <w:r>
                    <w:rPr>
                      <w:rFonts w:hint="eastAsia"/>
                      <w:color w:val="auto"/>
                      <w:highlight w:val="none"/>
                      <w:lang w:val="en-US" w:eastAsia="zh-CN"/>
                    </w:rPr>
                    <w:t>78.0</w:t>
                  </w:r>
                  <w:r>
                    <w:rPr>
                      <w:color w:val="auto"/>
                      <w:highlight w:val="none"/>
                    </w:rPr>
                    <w:t>m</w:t>
                  </w:r>
                  <w:r>
                    <w:rPr>
                      <w:color w:val="auto"/>
                      <w:highlight w:val="none"/>
                      <w:vertAlign w:val="superscript"/>
                    </w:rPr>
                    <w:t>3</w:t>
                  </w:r>
                  <w:r>
                    <w:rPr>
                      <w:color w:val="auto"/>
                      <w:highlight w:val="none"/>
                    </w:rPr>
                    <w:t>/</w:t>
                  </w:r>
                  <w:r>
                    <w:rPr>
                      <w:rFonts w:hint="eastAsia"/>
                      <w:color w:val="auto"/>
                      <w:highlight w:val="none"/>
                      <w:lang w:val="en-US" w:eastAsia="zh-CN"/>
                    </w:rPr>
                    <w:t>d</w:t>
                  </w:r>
                </w:p>
              </w:tc>
              <w:tc>
                <w:tcPr>
                  <w:tcW w:w="643" w:type="pct"/>
                  <w:tcBorders>
                    <w:tl2br w:val="nil"/>
                    <w:tr2bl w:val="nil"/>
                  </w:tcBorders>
                  <w:noWrap w:val="0"/>
                  <w:vAlign w:val="center"/>
                </w:tcPr>
                <w:p w14:paraId="765D3667">
                  <w:pPr>
                    <w:pStyle w:val="40"/>
                    <w:bidi w:val="0"/>
                    <w:rPr>
                      <w:rFonts w:hint="default" w:eastAsia="宋体"/>
                      <w:color w:val="auto"/>
                      <w:highlight w:val="none"/>
                      <w:lang w:val="en-US" w:eastAsia="zh-CN"/>
                    </w:rPr>
                  </w:pPr>
                  <w:r>
                    <w:rPr>
                      <w:rFonts w:hint="eastAsia"/>
                      <w:color w:val="auto"/>
                      <w:highlight w:val="none"/>
                      <w:lang w:val="en-US" w:eastAsia="zh-CN"/>
                    </w:rPr>
                    <w:t>78.0</w:t>
                  </w:r>
                </w:p>
              </w:tc>
              <w:tc>
                <w:tcPr>
                  <w:tcW w:w="635" w:type="pct"/>
                  <w:tcBorders>
                    <w:tl2br w:val="nil"/>
                    <w:tr2bl w:val="nil"/>
                  </w:tcBorders>
                  <w:noWrap w:val="0"/>
                  <w:vAlign w:val="center"/>
                </w:tcPr>
                <w:p w14:paraId="0641C47C">
                  <w:pPr>
                    <w:pStyle w:val="40"/>
                    <w:bidi w:val="0"/>
                    <w:rPr>
                      <w:rFonts w:hint="default" w:eastAsia="宋体"/>
                      <w:color w:val="auto"/>
                      <w:highlight w:val="none"/>
                      <w:lang w:val="en-US" w:eastAsia="zh-CN"/>
                    </w:rPr>
                  </w:pPr>
                  <w:r>
                    <w:rPr>
                      <w:rFonts w:hint="eastAsia"/>
                      <w:color w:val="auto"/>
                      <w:highlight w:val="none"/>
                      <w:lang w:val="en-US" w:eastAsia="zh-CN"/>
                    </w:rPr>
                    <w:t>/</w:t>
                  </w:r>
                </w:p>
              </w:tc>
              <w:tc>
                <w:tcPr>
                  <w:tcW w:w="576" w:type="pct"/>
                  <w:tcBorders>
                    <w:tl2br w:val="nil"/>
                    <w:tr2bl w:val="nil"/>
                  </w:tcBorders>
                  <w:noWrap w:val="0"/>
                  <w:vAlign w:val="center"/>
                </w:tcPr>
                <w:p w14:paraId="0FB32FB8">
                  <w:pPr>
                    <w:pStyle w:val="40"/>
                    <w:bidi w:val="0"/>
                    <w:rPr>
                      <w:rFonts w:hint="default" w:eastAsia="宋体"/>
                      <w:color w:val="auto"/>
                      <w:highlight w:val="none"/>
                      <w:lang w:val="en-US" w:eastAsia="zh-CN"/>
                    </w:rPr>
                  </w:pPr>
                  <w:r>
                    <w:rPr>
                      <w:rFonts w:hint="eastAsia"/>
                      <w:color w:val="auto"/>
                      <w:highlight w:val="none"/>
                      <w:lang w:val="en-US" w:eastAsia="zh-CN"/>
                    </w:rPr>
                    <w:t>7.8</w:t>
                  </w:r>
                </w:p>
              </w:tc>
              <w:tc>
                <w:tcPr>
                  <w:tcW w:w="538" w:type="pct"/>
                  <w:tcBorders>
                    <w:tl2br w:val="nil"/>
                    <w:tr2bl w:val="nil"/>
                  </w:tcBorders>
                  <w:noWrap w:val="0"/>
                  <w:vAlign w:val="center"/>
                </w:tcPr>
                <w:p w14:paraId="618DD21E">
                  <w:pPr>
                    <w:pStyle w:val="40"/>
                    <w:bidi w:val="0"/>
                    <w:rPr>
                      <w:rFonts w:hint="default" w:eastAsia="宋体"/>
                      <w:color w:val="auto"/>
                      <w:highlight w:val="none"/>
                      <w:lang w:val="en-US" w:eastAsia="zh-CN"/>
                    </w:rPr>
                  </w:pPr>
                  <w:r>
                    <w:rPr>
                      <w:rFonts w:hint="eastAsia"/>
                      <w:color w:val="auto"/>
                      <w:highlight w:val="none"/>
                      <w:lang w:val="en-US" w:eastAsia="zh-CN"/>
                    </w:rPr>
                    <w:t>70.2</w:t>
                  </w:r>
                </w:p>
              </w:tc>
              <w:tc>
                <w:tcPr>
                  <w:tcW w:w="1030" w:type="pct"/>
                  <w:tcBorders>
                    <w:tl2br w:val="nil"/>
                    <w:tr2bl w:val="nil"/>
                  </w:tcBorders>
                  <w:noWrap w:val="0"/>
                  <w:vAlign w:val="center"/>
                </w:tcPr>
                <w:p w14:paraId="23F10E30">
                  <w:pPr>
                    <w:pStyle w:val="40"/>
                    <w:bidi w:val="0"/>
                    <w:rPr>
                      <w:color w:val="auto"/>
                      <w:spacing w:val="-6"/>
                      <w:sz w:val="21"/>
                      <w:highlight w:val="none"/>
                    </w:rPr>
                  </w:pPr>
                  <w:r>
                    <w:rPr>
                      <w:color w:val="auto"/>
                      <w:spacing w:val="-6"/>
                      <w:sz w:val="21"/>
                      <w:highlight w:val="none"/>
                    </w:rPr>
                    <w:t>经砂石分离</w:t>
                  </w:r>
                  <w:r>
                    <w:rPr>
                      <w:rFonts w:hint="eastAsia"/>
                      <w:color w:val="auto"/>
                      <w:spacing w:val="-6"/>
                      <w:sz w:val="21"/>
                      <w:highlight w:val="none"/>
                    </w:rPr>
                    <w:t>机</w:t>
                  </w:r>
                  <w:r>
                    <w:rPr>
                      <w:color w:val="auto"/>
                      <w:spacing w:val="-6"/>
                      <w:sz w:val="21"/>
                      <w:highlight w:val="none"/>
                    </w:rPr>
                    <w:t>、</w:t>
                  </w:r>
                  <w:r>
                    <w:rPr>
                      <w:rFonts w:hint="eastAsia"/>
                      <w:color w:val="auto"/>
                      <w:spacing w:val="-6"/>
                      <w:sz w:val="21"/>
                      <w:highlight w:val="none"/>
                      <w:lang w:val="en-US" w:eastAsia="zh-CN"/>
                    </w:rPr>
                    <w:t>三级</w:t>
                  </w:r>
                  <w:r>
                    <w:rPr>
                      <w:color w:val="auto"/>
                      <w:spacing w:val="-6"/>
                      <w:sz w:val="21"/>
                      <w:highlight w:val="none"/>
                    </w:rPr>
                    <w:t>沉淀池处理后回用于搅拌工序</w:t>
                  </w:r>
                </w:p>
              </w:tc>
            </w:tr>
            <w:tr w14:paraId="76C4A5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 w:type="pct"/>
                  <w:vMerge w:val="continue"/>
                  <w:tcBorders>
                    <w:tl2br w:val="nil"/>
                    <w:tr2bl w:val="nil"/>
                  </w:tcBorders>
                  <w:noWrap w:val="0"/>
                  <w:vAlign w:val="center"/>
                </w:tcPr>
                <w:p w14:paraId="77F18925">
                  <w:pPr>
                    <w:pStyle w:val="40"/>
                    <w:bidi w:val="0"/>
                    <w:rPr>
                      <w:color w:val="auto"/>
                      <w:highlight w:val="none"/>
                    </w:rPr>
                  </w:pPr>
                </w:p>
              </w:tc>
              <w:tc>
                <w:tcPr>
                  <w:tcW w:w="609" w:type="pct"/>
                  <w:tcBorders>
                    <w:tl2br w:val="nil"/>
                    <w:tr2bl w:val="nil"/>
                  </w:tcBorders>
                  <w:shd w:val="clear" w:color="auto" w:fill="auto"/>
                  <w:noWrap w:val="0"/>
                  <w:vAlign w:val="center"/>
                </w:tcPr>
                <w:p w14:paraId="4DD5EA37">
                  <w:pPr>
                    <w:pStyle w:val="40"/>
                    <w:bidi w:val="0"/>
                    <w:ind w:firstLine="0" w:firstLineChars="0"/>
                    <w:rPr>
                      <w:rFonts w:ascii="Times New Roman" w:hAnsi="Times New Roman" w:eastAsia="宋体" w:cs="Times New Roman"/>
                      <w:b w:val="0"/>
                      <w:bCs w:val="0"/>
                      <w:color w:val="auto"/>
                      <w:spacing w:val="-6"/>
                      <w:kern w:val="2"/>
                      <w:sz w:val="21"/>
                      <w:szCs w:val="21"/>
                      <w:highlight w:val="none"/>
                      <w:lang w:val="en-US" w:eastAsia="zh-CN" w:bidi="ar-SA"/>
                    </w:rPr>
                  </w:pPr>
                  <w:r>
                    <w:rPr>
                      <w:color w:val="auto"/>
                      <w:spacing w:val="-6"/>
                      <w:sz w:val="21"/>
                      <w:highlight w:val="none"/>
                      <w:lang w:val="zh-TW"/>
                    </w:rPr>
                    <w:t>车辆冲洗用水</w:t>
                  </w:r>
                </w:p>
              </w:tc>
              <w:tc>
                <w:tcPr>
                  <w:tcW w:w="752" w:type="pct"/>
                  <w:tcBorders>
                    <w:tl2br w:val="nil"/>
                    <w:tr2bl w:val="nil"/>
                  </w:tcBorders>
                  <w:noWrap w:val="0"/>
                  <w:vAlign w:val="center"/>
                </w:tcPr>
                <w:p w14:paraId="3ED98818">
                  <w:pPr>
                    <w:pStyle w:val="40"/>
                    <w:bidi w:val="0"/>
                    <w:rPr>
                      <w:color w:val="auto"/>
                      <w:spacing w:val="-17"/>
                      <w:sz w:val="21"/>
                      <w:highlight w:val="none"/>
                    </w:rPr>
                  </w:pPr>
                  <w:r>
                    <w:rPr>
                      <w:rFonts w:hint="default" w:ascii="Times New Roman" w:hAnsi="Times New Roman" w:cs="Times New Roman"/>
                      <w:color w:val="auto"/>
                      <w:spacing w:val="-17"/>
                      <w:sz w:val="21"/>
                      <w:highlight w:val="none"/>
                    </w:rPr>
                    <w:t>0.1m</w:t>
                  </w:r>
                  <w:r>
                    <w:rPr>
                      <w:rFonts w:hint="default" w:ascii="Times New Roman" w:hAnsi="Times New Roman" w:cs="Times New Roman"/>
                      <w:color w:val="auto"/>
                      <w:spacing w:val="-17"/>
                      <w:sz w:val="21"/>
                      <w:highlight w:val="none"/>
                      <w:vertAlign w:val="superscript"/>
                    </w:rPr>
                    <w:t>3</w:t>
                  </w:r>
                  <w:r>
                    <w:rPr>
                      <w:rFonts w:hint="default" w:ascii="Times New Roman" w:hAnsi="Times New Roman" w:cs="Times New Roman"/>
                      <w:color w:val="auto"/>
                      <w:spacing w:val="-17"/>
                      <w:sz w:val="21"/>
                      <w:highlight w:val="none"/>
                      <w:lang w:val="en-US" w:eastAsia="zh-CN"/>
                    </w:rPr>
                    <w:t>/</w:t>
                  </w:r>
                  <w:r>
                    <w:rPr>
                      <w:rFonts w:hint="eastAsia" w:cs="Times New Roman"/>
                      <w:color w:val="auto"/>
                      <w:spacing w:val="-17"/>
                      <w:sz w:val="21"/>
                      <w:highlight w:val="none"/>
                      <w:lang w:val="en-US" w:eastAsia="zh-CN"/>
                    </w:rPr>
                    <w:t>（</w:t>
                  </w:r>
                  <w:r>
                    <w:rPr>
                      <w:rFonts w:hint="default" w:ascii="Times New Roman" w:hAnsi="Times New Roman" w:cs="Times New Roman"/>
                      <w:color w:val="auto"/>
                      <w:spacing w:val="-17"/>
                      <w:sz w:val="21"/>
                      <w:highlight w:val="none"/>
                      <w:lang w:val="en-US" w:eastAsia="zh-CN"/>
                    </w:rPr>
                    <w:t>辆·次</w:t>
                  </w:r>
                  <w:r>
                    <w:rPr>
                      <w:rFonts w:hint="eastAsia" w:ascii="Times New Roman" w:hAnsi="Times New Roman" w:cs="Times New Roman"/>
                      <w:color w:val="auto"/>
                      <w:spacing w:val="-17"/>
                      <w:sz w:val="21"/>
                      <w:highlight w:val="none"/>
                      <w:lang w:val="en-US" w:eastAsia="zh-CN"/>
                    </w:rPr>
                    <w:t>）</w:t>
                  </w:r>
                </w:p>
              </w:tc>
              <w:tc>
                <w:tcPr>
                  <w:tcW w:w="643" w:type="pct"/>
                  <w:tcBorders>
                    <w:tl2br w:val="nil"/>
                    <w:tr2bl w:val="nil"/>
                  </w:tcBorders>
                  <w:noWrap w:val="0"/>
                  <w:vAlign w:val="center"/>
                </w:tcPr>
                <w:p w14:paraId="0E0337DE">
                  <w:pPr>
                    <w:pStyle w:val="40"/>
                    <w:bidi w:val="0"/>
                    <w:rPr>
                      <w:rFonts w:hint="default"/>
                      <w:color w:val="auto"/>
                      <w:highlight w:val="none"/>
                      <w:lang w:val="en-US" w:eastAsia="zh-CN"/>
                    </w:rPr>
                  </w:pPr>
                  <w:r>
                    <w:rPr>
                      <w:rFonts w:hint="eastAsia"/>
                      <w:color w:val="auto"/>
                      <w:highlight w:val="none"/>
                      <w:lang w:val="en-US" w:eastAsia="zh-CN"/>
                    </w:rPr>
                    <w:t>3.36</w:t>
                  </w:r>
                </w:p>
              </w:tc>
              <w:tc>
                <w:tcPr>
                  <w:tcW w:w="635" w:type="pct"/>
                  <w:tcBorders>
                    <w:tl2br w:val="nil"/>
                    <w:tr2bl w:val="nil"/>
                  </w:tcBorders>
                  <w:noWrap w:val="0"/>
                  <w:vAlign w:val="center"/>
                </w:tcPr>
                <w:p w14:paraId="5081B59E">
                  <w:pPr>
                    <w:pStyle w:val="40"/>
                    <w:bidi w:val="0"/>
                    <w:rPr>
                      <w:rFonts w:hint="default" w:eastAsia="宋体"/>
                      <w:color w:val="auto"/>
                      <w:highlight w:val="none"/>
                      <w:lang w:val="en-US" w:eastAsia="zh-CN"/>
                    </w:rPr>
                  </w:pPr>
                  <w:r>
                    <w:rPr>
                      <w:rFonts w:hint="eastAsia"/>
                      <w:color w:val="auto"/>
                      <w:highlight w:val="none"/>
                      <w:lang w:val="en-US" w:eastAsia="zh-CN"/>
                    </w:rPr>
                    <w:t>30.26</w:t>
                  </w:r>
                </w:p>
              </w:tc>
              <w:tc>
                <w:tcPr>
                  <w:tcW w:w="576" w:type="pct"/>
                  <w:tcBorders>
                    <w:tl2br w:val="nil"/>
                    <w:tr2bl w:val="nil"/>
                  </w:tcBorders>
                  <w:noWrap w:val="0"/>
                  <w:vAlign w:val="center"/>
                </w:tcPr>
                <w:p w14:paraId="3D9B8582">
                  <w:pPr>
                    <w:pStyle w:val="40"/>
                    <w:bidi w:val="0"/>
                    <w:rPr>
                      <w:rFonts w:hint="default" w:eastAsia="宋体"/>
                      <w:color w:val="auto"/>
                      <w:highlight w:val="none"/>
                      <w:lang w:val="en-US" w:eastAsia="zh-CN"/>
                    </w:rPr>
                  </w:pPr>
                  <w:r>
                    <w:rPr>
                      <w:rFonts w:hint="eastAsia"/>
                      <w:color w:val="auto"/>
                      <w:highlight w:val="none"/>
                      <w:lang w:val="en-US" w:eastAsia="zh-CN"/>
                    </w:rPr>
                    <w:t>3.36</w:t>
                  </w:r>
                </w:p>
              </w:tc>
              <w:tc>
                <w:tcPr>
                  <w:tcW w:w="538" w:type="pct"/>
                  <w:tcBorders>
                    <w:tl2br w:val="nil"/>
                    <w:tr2bl w:val="nil"/>
                  </w:tcBorders>
                  <w:noWrap w:val="0"/>
                  <w:vAlign w:val="center"/>
                </w:tcPr>
                <w:p w14:paraId="67C3A5EC">
                  <w:pPr>
                    <w:pStyle w:val="40"/>
                    <w:bidi w:val="0"/>
                    <w:rPr>
                      <w:rFonts w:hint="default"/>
                      <w:color w:val="auto"/>
                      <w:highlight w:val="none"/>
                      <w:lang w:val="en-US" w:eastAsia="zh-CN"/>
                    </w:rPr>
                  </w:pPr>
                  <w:r>
                    <w:rPr>
                      <w:rFonts w:hint="eastAsia"/>
                      <w:color w:val="auto"/>
                      <w:highlight w:val="none"/>
                      <w:lang w:val="en-US" w:eastAsia="zh-CN"/>
                    </w:rPr>
                    <w:t>30.26</w:t>
                  </w:r>
                </w:p>
              </w:tc>
              <w:tc>
                <w:tcPr>
                  <w:tcW w:w="1030" w:type="pct"/>
                  <w:tcBorders>
                    <w:tl2br w:val="nil"/>
                    <w:tr2bl w:val="nil"/>
                  </w:tcBorders>
                  <w:noWrap w:val="0"/>
                  <w:vAlign w:val="center"/>
                </w:tcPr>
                <w:p w14:paraId="64D28D38">
                  <w:pPr>
                    <w:pStyle w:val="40"/>
                    <w:bidi w:val="0"/>
                    <w:rPr>
                      <w:color w:val="auto"/>
                      <w:spacing w:val="-6"/>
                      <w:sz w:val="21"/>
                      <w:highlight w:val="none"/>
                    </w:rPr>
                  </w:pPr>
                  <w:r>
                    <w:rPr>
                      <w:color w:val="auto"/>
                      <w:spacing w:val="-6"/>
                      <w:sz w:val="21"/>
                      <w:highlight w:val="none"/>
                      <w:lang w:val="zh-TW"/>
                    </w:rPr>
                    <w:t>冲洗废水进入沉淀池循环使用</w:t>
                  </w:r>
                </w:p>
              </w:tc>
            </w:tr>
            <w:tr w14:paraId="46D8D5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 w:type="pct"/>
                  <w:vMerge w:val="restart"/>
                  <w:tcBorders>
                    <w:tl2br w:val="nil"/>
                    <w:tr2bl w:val="nil"/>
                  </w:tcBorders>
                  <w:noWrap w:val="0"/>
                  <w:vAlign w:val="center"/>
                </w:tcPr>
                <w:p w14:paraId="154123C9">
                  <w:pPr>
                    <w:pStyle w:val="40"/>
                    <w:bidi w:val="0"/>
                    <w:rPr>
                      <w:rFonts w:hint="eastAsia" w:eastAsia="宋体"/>
                      <w:color w:val="auto"/>
                      <w:highlight w:val="none"/>
                      <w:lang w:val="en-US" w:eastAsia="zh-CN"/>
                    </w:rPr>
                  </w:pPr>
                  <w:r>
                    <w:rPr>
                      <w:rFonts w:hint="eastAsia"/>
                      <w:color w:val="auto"/>
                      <w:highlight w:val="none"/>
                      <w:lang w:val="en-US" w:eastAsia="zh-CN"/>
                    </w:rPr>
                    <w:t>锅炉</w:t>
                  </w:r>
                </w:p>
              </w:tc>
              <w:tc>
                <w:tcPr>
                  <w:tcW w:w="609" w:type="pct"/>
                  <w:tcBorders>
                    <w:tl2br w:val="nil"/>
                    <w:tr2bl w:val="nil"/>
                  </w:tcBorders>
                  <w:shd w:val="clear" w:color="auto" w:fill="auto"/>
                  <w:noWrap w:val="0"/>
                  <w:vAlign w:val="center"/>
                </w:tcPr>
                <w:p w14:paraId="19142258">
                  <w:pPr>
                    <w:pStyle w:val="40"/>
                    <w:bidi w:val="0"/>
                    <w:ind w:firstLine="0" w:firstLineChars="0"/>
                    <w:rPr>
                      <w:rFonts w:hint="default" w:eastAsia="宋体"/>
                      <w:color w:val="auto"/>
                      <w:spacing w:val="-6"/>
                      <w:sz w:val="21"/>
                      <w:highlight w:val="none"/>
                      <w:lang w:val="en-US" w:eastAsia="zh-CN"/>
                    </w:rPr>
                  </w:pPr>
                  <w:r>
                    <w:rPr>
                      <w:rFonts w:hint="eastAsia"/>
                      <w:color w:val="auto"/>
                      <w:spacing w:val="-6"/>
                      <w:sz w:val="21"/>
                      <w:highlight w:val="none"/>
                      <w:lang w:val="en-US" w:eastAsia="zh-CN"/>
                    </w:rPr>
                    <w:t>锅炉及蒸养系统</w:t>
                  </w:r>
                </w:p>
              </w:tc>
              <w:tc>
                <w:tcPr>
                  <w:tcW w:w="752" w:type="pct"/>
                  <w:tcBorders>
                    <w:tl2br w:val="nil"/>
                    <w:tr2bl w:val="nil"/>
                  </w:tcBorders>
                  <w:noWrap w:val="0"/>
                  <w:vAlign w:val="center"/>
                </w:tcPr>
                <w:p w14:paraId="6A0EBC5B">
                  <w:pPr>
                    <w:pStyle w:val="40"/>
                    <w:bidi w:val="0"/>
                    <w:rPr>
                      <w:rFonts w:hint="eastAsia" w:ascii="Times New Roman" w:hAnsi="Times New Roman" w:eastAsia="宋体" w:cs="Times New Roman"/>
                      <w:color w:val="auto"/>
                      <w:spacing w:val="-17"/>
                      <w:sz w:val="21"/>
                      <w:highlight w:val="none"/>
                      <w:lang w:val="en-US" w:eastAsia="zh-CN"/>
                    </w:rPr>
                  </w:pPr>
                  <w:r>
                    <w:rPr>
                      <w:rFonts w:hint="eastAsia" w:cs="Times New Roman"/>
                      <w:color w:val="auto"/>
                      <w:spacing w:val="-17"/>
                      <w:sz w:val="21"/>
                      <w:highlight w:val="none"/>
                      <w:lang w:val="en-US" w:eastAsia="zh-CN"/>
                    </w:rPr>
                    <w:t>/</w:t>
                  </w:r>
                </w:p>
              </w:tc>
              <w:tc>
                <w:tcPr>
                  <w:tcW w:w="643" w:type="pct"/>
                  <w:tcBorders>
                    <w:tl2br w:val="nil"/>
                    <w:tr2bl w:val="nil"/>
                  </w:tcBorders>
                  <w:noWrap w:val="0"/>
                  <w:vAlign w:val="center"/>
                </w:tcPr>
                <w:p w14:paraId="7A5203B3">
                  <w:pPr>
                    <w:pStyle w:val="40"/>
                    <w:bidi w:val="0"/>
                    <w:rPr>
                      <w:rFonts w:hint="default"/>
                      <w:color w:val="auto"/>
                      <w:highlight w:val="none"/>
                      <w:lang w:val="en-US" w:eastAsia="zh-CN"/>
                    </w:rPr>
                  </w:pPr>
                  <w:r>
                    <w:rPr>
                      <w:rFonts w:hint="eastAsia"/>
                      <w:color w:val="auto"/>
                      <w:highlight w:val="none"/>
                      <w:lang w:val="en-US" w:eastAsia="zh-CN"/>
                    </w:rPr>
                    <w:t>54.0</w:t>
                  </w:r>
                </w:p>
              </w:tc>
              <w:tc>
                <w:tcPr>
                  <w:tcW w:w="635" w:type="pct"/>
                  <w:tcBorders>
                    <w:tl2br w:val="nil"/>
                    <w:tr2bl w:val="nil"/>
                  </w:tcBorders>
                  <w:noWrap w:val="0"/>
                  <w:vAlign w:val="center"/>
                </w:tcPr>
                <w:p w14:paraId="0F6DC586">
                  <w:pPr>
                    <w:pStyle w:val="40"/>
                    <w:bidi w:val="0"/>
                    <w:rPr>
                      <w:rFonts w:hint="default"/>
                      <w:color w:val="auto"/>
                      <w:highlight w:val="none"/>
                      <w:lang w:val="en-US" w:eastAsia="zh-CN"/>
                    </w:rPr>
                  </w:pPr>
                  <w:r>
                    <w:rPr>
                      <w:rFonts w:hint="eastAsia"/>
                      <w:color w:val="auto"/>
                      <w:highlight w:val="none"/>
                      <w:lang w:val="en-US" w:eastAsia="zh-CN"/>
                    </w:rPr>
                    <w:t>/</w:t>
                  </w:r>
                </w:p>
              </w:tc>
              <w:tc>
                <w:tcPr>
                  <w:tcW w:w="576" w:type="pct"/>
                  <w:tcBorders>
                    <w:tl2br w:val="nil"/>
                    <w:tr2bl w:val="nil"/>
                  </w:tcBorders>
                  <w:noWrap w:val="0"/>
                  <w:vAlign w:val="center"/>
                </w:tcPr>
                <w:p w14:paraId="269351F4">
                  <w:pPr>
                    <w:pStyle w:val="40"/>
                    <w:bidi w:val="0"/>
                    <w:rPr>
                      <w:rFonts w:hint="default"/>
                      <w:color w:val="auto"/>
                      <w:highlight w:val="none"/>
                      <w:lang w:val="en-US" w:eastAsia="zh-CN"/>
                    </w:rPr>
                  </w:pPr>
                  <w:r>
                    <w:rPr>
                      <w:rFonts w:hint="eastAsia"/>
                      <w:color w:val="auto"/>
                      <w:highlight w:val="none"/>
                      <w:lang w:val="en-US" w:eastAsia="zh-CN"/>
                    </w:rPr>
                    <w:t>10.8</w:t>
                  </w:r>
                </w:p>
              </w:tc>
              <w:tc>
                <w:tcPr>
                  <w:tcW w:w="538" w:type="pct"/>
                  <w:tcBorders>
                    <w:tl2br w:val="nil"/>
                    <w:tr2bl w:val="nil"/>
                  </w:tcBorders>
                  <w:noWrap w:val="0"/>
                  <w:vAlign w:val="center"/>
                </w:tcPr>
                <w:p w14:paraId="0397FE69">
                  <w:pPr>
                    <w:pStyle w:val="40"/>
                    <w:bidi w:val="0"/>
                    <w:rPr>
                      <w:rFonts w:hint="default"/>
                      <w:color w:val="auto"/>
                      <w:highlight w:val="none"/>
                      <w:lang w:val="en-US" w:eastAsia="zh-CN"/>
                    </w:rPr>
                  </w:pPr>
                  <w:r>
                    <w:rPr>
                      <w:rFonts w:hint="eastAsia"/>
                      <w:color w:val="auto"/>
                      <w:highlight w:val="none"/>
                      <w:lang w:val="en-US" w:eastAsia="zh-CN"/>
                    </w:rPr>
                    <w:t>43.2</w:t>
                  </w:r>
                </w:p>
              </w:tc>
              <w:tc>
                <w:tcPr>
                  <w:tcW w:w="1030" w:type="pct"/>
                  <w:tcBorders>
                    <w:tl2br w:val="nil"/>
                    <w:tr2bl w:val="nil"/>
                  </w:tcBorders>
                  <w:noWrap w:val="0"/>
                  <w:vAlign w:val="center"/>
                </w:tcPr>
                <w:p w14:paraId="38AF660C">
                  <w:pPr>
                    <w:pStyle w:val="40"/>
                    <w:bidi w:val="0"/>
                    <w:rPr>
                      <w:rFonts w:hint="default"/>
                      <w:color w:val="auto"/>
                      <w:spacing w:val="-6"/>
                      <w:sz w:val="21"/>
                      <w:highlight w:val="none"/>
                      <w:lang w:val="en-US"/>
                    </w:rPr>
                  </w:pPr>
                  <w:r>
                    <w:rPr>
                      <w:rFonts w:hint="eastAsia"/>
                      <w:color w:val="auto"/>
                      <w:spacing w:val="-11"/>
                      <w:sz w:val="21"/>
                      <w:highlight w:val="none"/>
                      <w:lang w:val="en-US" w:eastAsia="zh-CN"/>
                    </w:rPr>
                    <w:t>蒸汽凝结水为10%锅炉蒸发量（36</w:t>
                  </w:r>
                  <w:r>
                    <w:rPr>
                      <w:color w:val="auto"/>
                      <w:spacing w:val="-11"/>
                      <w:sz w:val="21"/>
                      <w:highlight w:val="none"/>
                    </w:rPr>
                    <w:t>m</w:t>
                  </w:r>
                  <w:r>
                    <w:rPr>
                      <w:color w:val="auto"/>
                      <w:spacing w:val="-11"/>
                      <w:sz w:val="21"/>
                      <w:highlight w:val="none"/>
                      <w:vertAlign w:val="superscript"/>
                    </w:rPr>
                    <w:t>3</w:t>
                  </w:r>
                  <w:r>
                    <w:rPr>
                      <w:color w:val="auto"/>
                      <w:spacing w:val="-11"/>
                      <w:sz w:val="21"/>
                      <w:highlight w:val="none"/>
                    </w:rPr>
                    <w:t>/</w:t>
                  </w:r>
                  <w:r>
                    <w:rPr>
                      <w:rFonts w:hint="eastAsia"/>
                      <w:color w:val="auto"/>
                      <w:spacing w:val="-11"/>
                      <w:sz w:val="21"/>
                      <w:highlight w:val="none"/>
                      <w:lang w:val="en-US" w:eastAsia="zh-CN"/>
                    </w:rPr>
                    <w:t>d），锅炉定排水7.2</w:t>
                  </w:r>
                  <w:r>
                    <w:rPr>
                      <w:color w:val="auto"/>
                      <w:spacing w:val="-11"/>
                      <w:sz w:val="21"/>
                      <w:highlight w:val="none"/>
                    </w:rPr>
                    <w:t>m</w:t>
                  </w:r>
                  <w:r>
                    <w:rPr>
                      <w:color w:val="auto"/>
                      <w:spacing w:val="-11"/>
                      <w:sz w:val="21"/>
                      <w:highlight w:val="none"/>
                      <w:vertAlign w:val="superscript"/>
                    </w:rPr>
                    <w:t>3</w:t>
                  </w:r>
                  <w:r>
                    <w:rPr>
                      <w:color w:val="auto"/>
                      <w:spacing w:val="-11"/>
                      <w:sz w:val="21"/>
                      <w:highlight w:val="none"/>
                    </w:rPr>
                    <w:t>/</w:t>
                  </w:r>
                  <w:r>
                    <w:rPr>
                      <w:rFonts w:hint="eastAsia"/>
                      <w:color w:val="auto"/>
                      <w:spacing w:val="-11"/>
                      <w:sz w:val="21"/>
                      <w:highlight w:val="none"/>
                      <w:lang w:val="en-US" w:eastAsia="zh-CN"/>
                    </w:rPr>
                    <w:t>d</w:t>
                  </w:r>
                </w:p>
              </w:tc>
            </w:tr>
            <w:tr w14:paraId="5DF132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 w:type="pct"/>
                  <w:vMerge w:val="continue"/>
                  <w:tcBorders>
                    <w:tl2br w:val="nil"/>
                    <w:tr2bl w:val="nil"/>
                  </w:tcBorders>
                  <w:noWrap w:val="0"/>
                  <w:vAlign w:val="center"/>
                </w:tcPr>
                <w:p w14:paraId="3D7432D3">
                  <w:pPr>
                    <w:pStyle w:val="40"/>
                    <w:bidi w:val="0"/>
                    <w:rPr>
                      <w:color w:val="auto"/>
                      <w:highlight w:val="none"/>
                    </w:rPr>
                  </w:pPr>
                </w:p>
              </w:tc>
              <w:tc>
                <w:tcPr>
                  <w:tcW w:w="609" w:type="pct"/>
                  <w:tcBorders>
                    <w:tl2br w:val="nil"/>
                    <w:tr2bl w:val="nil"/>
                  </w:tcBorders>
                  <w:shd w:val="clear" w:color="auto" w:fill="auto"/>
                  <w:noWrap w:val="0"/>
                  <w:vAlign w:val="center"/>
                </w:tcPr>
                <w:p w14:paraId="581D0BEF">
                  <w:pPr>
                    <w:pStyle w:val="40"/>
                    <w:bidi w:val="0"/>
                    <w:ind w:firstLine="0" w:firstLineChars="0"/>
                    <w:rPr>
                      <w:rFonts w:hint="eastAsia"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sz w:val="21"/>
                      <w:highlight w:val="none"/>
                      <w:lang w:val="en-US" w:eastAsia="zh-CN"/>
                    </w:rPr>
                    <w:t>离子交换树脂再生废水</w:t>
                  </w:r>
                </w:p>
              </w:tc>
              <w:tc>
                <w:tcPr>
                  <w:tcW w:w="752" w:type="pct"/>
                  <w:tcBorders>
                    <w:tl2br w:val="nil"/>
                    <w:tr2bl w:val="nil"/>
                  </w:tcBorders>
                  <w:shd w:val="clear" w:color="auto" w:fill="auto"/>
                  <w:noWrap w:val="0"/>
                  <w:vAlign w:val="center"/>
                </w:tcPr>
                <w:p w14:paraId="1DD2AA91">
                  <w:pPr>
                    <w:pStyle w:val="40"/>
                    <w:bidi w:val="0"/>
                    <w:ind w:firstLine="0" w:firstLineChars="0"/>
                    <w:rPr>
                      <w:rFonts w:hint="eastAsia" w:ascii="Times New Roman" w:hAnsi="Times New Roman" w:eastAsia="宋体" w:cs="Times New Roman"/>
                      <w:b w:val="0"/>
                      <w:bCs w:val="0"/>
                      <w:color w:val="auto"/>
                      <w:spacing w:val="-17"/>
                      <w:kern w:val="2"/>
                      <w:sz w:val="21"/>
                      <w:szCs w:val="21"/>
                      <w:highlight w:val="none"/>
                      <w:lang w:val="en-US" w:eastAsia="zh-CN" w:bidi="ar-SA"/>
                    </w:rPr>
                  </w:pPr>
                  <w:r>
                    <w:rPr>
                      <w:rFonts w:hint="eastAsia" w:eastAsia="宋体"/>
                      <w:color w:val="auto"/>
                      <w:highlight w:val="none"/>
                      <w:lang w:val="en-US" w:eastAsia="zh-CN"/>
                    </w:rPr>
                    <w:t>4.71m</w:t>
                  </w:r>
                  <w:r>
                    <w:rPr>
                      <w:rFonts w:hint="eastAsia" w:eastAsia="宋体"/>
                      <w:color w:val="auto"/>
                      <w:highlight w:val="none"/>
                      <w:vertAlign w:val="superscript"/>
                      <w:lang w:val="en-US" w:eastAsia="zh-CN"/>
                    </w:rPr>
                    <w:t>3</w:t>
                  </w:r>
                  <w:r>
                    <w:rPr>
                      <w:rFonts w:hint="eastAsia" w:eastAsia="宋体"/>
                      <w:color w:val="auto"/>
                      <w:highlight w:val="none"/>
                      <w:lang w:val="en-US" w:eastAsia="zh-CN"/>
                    </w:rPr>
                    <w:t>/次</w:t>
                  </w:r>
                </w:p>
              </w:tc>
              <w:tc>
                <w:tcPr>
                  <w:tcW w:w="643" w:type="pct"/>
                  <w:tcBorders>
                    <w:tl2br w:val="nil"/>
                    <w:tr2bl w:val="nil"/>
                  </w:tcBorders>
                  <w:shd w:val="clear" w:color="auto" w:fill="auto"/>
                  <w:noWrap w:val="0"/>
                  <w:vAlign w:val="center"/>
                </w:tcPr>
                <w:p w14:paraId="483C165C">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4.71</w:t>
                  </w:r>
                </w:p>
              </w:tc>
              <w:tc>
                <w:tcPr>
                  <w:tcW w:w="635" w:type="pct"/>
                  <w:tcBorders>
                    <w:tl2br w:val="nil"/>
                    <w:tr2bl w:val="nil"/>
                  </w:tcBorders>
                  <w:shd w:val="clear" w:color="auto" w:fill="auto"/>
                  <w:noWrap w:val="0"/>
                  <w:vAlign w:val="center"/>
                </w:tcPr>
                <w:p w14:paraId="069042B6">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w:t>
                  </w:r>
                </w:p>
              </w:tc>
              <w:tc>
                <w:tcPr>
                  <w:tcW w:w="576" w:type="pct"/>
                  <w:tcBorders>
                    <w:tl2br w:val="nil"/>
                    <w:tr2bl w:val="nil"/>
                  </w:tcBorders>
                  <w:shd w:val="clear" w:color="auto" w:fill="auto"/>
                  <w:noWrap w:val="0"/>
                  <w:vAlign w:val="center"/>
                </w:tcPr>
                <w:p w14:paraId="327EB59C">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w:t>
                  </w:r>
                </w:p>
              </w:tc>
              <w:tc>
                <w:tcPr>
                  <w:tcW w:w="538" w:type="pct"/>
                  <w:tcBorders>
                    <w:tl2br w:val="nil"/>
                    <w:tr2bl w:val="nil"/>
                  </w:tcBorders>
                  <w:shd w:val="clear" w:color="auto" w:fill="auto"/>
                  <w:noWrap w:val="0"/>
                  <w:vAlign w:val="center"/>
                </w:tcPr>
                <w:p w14:paraId="79BD0F51">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4.71</w:t>
                  </w:r>
                </w:p>
              </w:tc>
              <w:tc>
                <w:tcPr>
                  <w:tcW w:w="1030" w:type="pct"/>
                  <w:tcBorders>
                    <w:tl2br w:val="nil"/>
                    <w:tr2bl w:val="nil"/>
                  </w:tcBorders>
                  <w:shd w:val="clear" w:color="auto" w:fill="auto"/>
                  <w:noWrap w:val="0"/>
                  <w:vAlign w:val="center"/>
                </w:tcPr>
                <w:p w14:paraId="778838CC">
                  <w:pPr>
                    <w:pStyle w:val="40"/>
                    <w:bidi w:val="0"/>
                    <w:ind w:firstLine="0" w:firstLineChars="0"/>
                    <w:rPr>
                      <w:rFonts w:hint="eastAsia"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sz w:val="21"/>
                      <w:highlight w:val="none"/>
                      <w:lang w:val="en-US" w:eastAsia="zh-CN"/>
                    </w:rPr>
                    <w:t>50次/年</w:t>
                  </w:r>
                </w:p>
              </w:tc>
            </w:tr>
            <w:tr w14:paraId="16D0A0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 w:type="pct"/>
                  <w:gridSpan w:val="2"/>
                  <w:tcBorders>
                    <w:tl2br w:val="nil"/>
                    <w:tr2bl w:val="nil"/>
                  </w:tcBorders>
                  <w:noWrap w:val="0"/>
                  <w:vAlign w:val="center"/>
                </w:tcPr>
                <w:p w14:paraId="41220775">
                  <w:pPr>
                    <w:pStyle w:val="40"/>
                    <w:bidi w:val="0"/>
                    <w:rPr>
                      <w:color w:val="auto"/>
                      <w:highlight w:val="none"/>
                      <w:lang w:val="zh-TW"/>
                    </w:rPr>
                  </w:pPr>
                  <w:r>
                    <w:rPr>
                      <w:color w:val="auto"/>
                      <w:spacing w:val="-11"/>
                      <w:sz w:val="21"/>
                      <w:highlight w:val="none"/>
                      <w:lang w:val="zh-TW"/>
                    </w:rPr>
                    <w:t>厂区抑尘用水</w:t>
                  </w:r>
                </w:p>
              </w:tc>
              <w:tc>
                <w:tcPr>
                  <w:tcW w:w="752" w:type="pct"/>
                  <w:tcBorders>
                    <w:tl2br w:val="nil"/>
                    <w:tr2bl w:val="nil"/>
                  </w:tcBorders>
                  <w:noWrap w:val="0"/>
                  <w:vAlign w:val="center"/>
                </w:tcPr>
                <w:p w14:paraId="6B6AB6C9">
                  <w:pPr>
                    <w:pStyle w:val="40"/>
                    <w:bidi w:val="0"/>
                    <w:rPr>
                      <w:color w:val="auto"/>
                      <w:highlight w:val="none"/>
                    </w:rPr>
                  </w:pPr>
                  <w:r>
                    <w:rPr>
                      <w:rFonts w:hint="eastAsia"/>
                      <w:color w:val="auto"/>
                      <w:highlight w:val="none"/>
                      <w:lang w:val="en-US" w:eastAsia="zh-CN"/>
                    </w:rPr>
                    <w:t>40.0</w:t>
                  </w:r>
                  <w:r>
                    <w:rPr>
                      <w:color w:val="auto"/>
                      <w:highlight w:val="none"/>
                      <w:lang w:val="zh-TW"/>
                    </w:rPr>
                    <w:t>m</w:t>
                  </w:r>
                  <w:r>
                    <w:rPr>
                      <w:color w:val="auto"/>
                      <w:highlight w:val="none"/>
                      <w:vertAlign w:val="superscript"/>
                      <w:lang w:val="zh-TW"/>
                    </w:rPr>
                    <w:t>3</w:t>
                  </w:r>
                  <w:r>
                    <w:rPr>
                      <w:color w:val="auto"/>
                      <w:highlight w:val="none"/>
                      <w:lang w:val="zh-TW"/>
                    </w:rPr>
                    <w:t>/d</w:t>
                  </w:r>
                </w:p>
              </w:tc>
              <w:tc>
                <w:tcPr>
                  <w:tcW w:w="643" w:type="pct"/>
                  <w:tcBorders>
                    <w:tl2br w:val="nil"/>
                    <w:tr2bl w:val="nil"/>
                  </w:tcBorders>
                  <w:noWrap w:val="0"/>
                  <w:vAlign w:val="center"/>
                </w:tcPr>
                <w:p w14:paraId="3C29E94B">
                  <w:pPr>
                    <w:pStyle w:val="40"/>
                    <w:bidi w:val="0"/>
                    <w:rPr>
                      <w:rFonts w:hint="default" w:eastAsia="宋体"/>
                      <w:color w:val="auto"/>
                      <w:highlight w:val="none"/>
                      <w:lang w:val="en-US" w:eastAsia="zh-CN"/>
                    </w:rPr>
                  </w:pPr>
                  <w:r>
                    <w:rPr>
                      <w:rFonts w:hint="eastAsia"/>
                      <w:color w:val="auto"/>
                      <w:highlight w:val="none"/>
                      <w:lang w:val="en-US" w:eastAsia="zh-CN"/>
                    </w:rPr>
                    <w:t>37.92</w:t>
                  </w:r>
                </w:p>
              </w:tc>
              <w:tc>
                <w:tcPr>
                  <w:tcW w:w="635" w:type="pct"/>
                  <w:tcBorders>
                    <w:tl2br w:val="nil"/>
                    <w:tr2bl w:val="nil"/>
                  </w:tcBorders>
                  <w:noWrap w:val="0"/>
                  <w:vAlign w:val="center"/>
                </w:tcPr>
                <w:p w14:paraId="5BDBA932">
                  <w:pPr>
                    <w:pStyle w:val="40"/>
                    <w:bidi w:val="0"/>
                    <w:rPr>
                      <w:rFonts w:hint="default" w:eastAsia="宋体"/>
                      <w:color w:val="auto"/>
                      <w:highlight w:val="none"/>
                      <w:lang w:val="en-US" w:eastAsia="zh-CN"/>
                    </w:rPr>
                  </w:pPr>
                  <w:r>
                    <w:rPr>
                      <w:rFonts w:hint="eastAsia"/>
                      <w:color w:val="auto"/>
                      <w:highlight w:val="none"/>
                      <w:lang w:val="en-US" w:eastAsia="zh-CN"/>
                    </w:rPr>
                    <w:t>2.08</w:t>
                  </w:r>
                </w:p>
              </w:tc>
              <w:tc>
                <w:tcPr>
                  <w:tcW w:w="576" w:type="pct"/>
                  <w:tcBorders>
                    <w:tl2br w:val="nil"/>
                    <w:tr2bl w:val="nil"/>
                  </w:tcBorders>
                  <w:noWrap w:val="0"/>
                  <w:vAlign w:val="center"/>
                </w:tcPr>
                <w:p w14:paraId="0063D9D3">
                  <w:pPr>
                    <w:pStyle w:val="40"/>
                    <w:bidi w:val="0"/>
                    <w:rPr>
                      <w:rFonts w:hint="default" w:eastAsia="宋体"/>
                      <w:color w:val="auto"/>
                      <w:highlight w:val="none"/>
                      <w:lang w:val="en-US" w:eastAsia="zh-CN"/>
                    </w:rPr>
                  </w:pPr>
                  <w:r>
                    <w:rPr>
                      <w:rFonts w:hint="eastAsia"/>
                      <w:color w:val="auto"/>
                      <w:highlight w:val="none"/>
                      <w:lang w:val="en-US" w:eastAsia="zh-CN"/>
                    </w:rPr>
                    <w:t>40.0</w:t>
                  </w:r>
                </w:p>
              </w:tc>
              <w:tc>
                <w:tcPr>
                  <w:tcW w:w="538" w:type="pct"/>
                  <w:tcBorders>
                    <w:tl2br w:val="nil"/>
                    <w:tr2bl w:val="nil"/>
                  </w:tcBorders>
                  <w:noWrap w:val="0"/>
                  <w:vAlign w:val="center"/>
                </w:tcPr>
                <w:p w14:paraId="44B7482D">
                  <w:pPr>
                    <w:pStyle w:val="40"/>
                    <w:bidi w:val="0"/>
                    <w:rPr>
                      <w:rFonts w:hint="eastAsia" w:eastAsia="宋体"/>
                      <w:color w:val="auto"/>
                      <w:highlight w:val="none"/>
                      <w:lang w:val="en-US" w:eastAsia="zh-CN"/>
                    </w:rPr>
                  </w:pPr>
                  <w:r>
                    <w:rPr>
                      <w:rFonts w:hint="eastAsia"/>
                      <w:color w:val="auto"/>
                      <w:highlight w:val="none"/>
                      <w:lang w:val="en-US" w:eastAsia="zh-CN"/>
                    </w:rPr>
                    <w:t>/</w:t>
                  </w:r>
                </w:p>
              </w:tc>
              <w:tc>
                <w:tcPr>
                  <w:tcW w:w="1030" w:type="pct"/>
                  <w:tcBorders>
                    <w:tl2br w:val="nil"/>
                    <w:tr2bl w:val="nil"/>
                  </w:tcBorders>
                  <w:noWrap w:val="0"/>
                  <w:vAlign w:val="center"/>
                </w:tcPr>
                <w:p w14:paraId="0FD8CD78">
                  <w:pPr>
                    <w:pStyle w:val="40"/>
                    <w:bidi w:val="0"/>
                    <w:rPr>
                      <w:rFonts w:hint="eastAsia" w:eastAsia="宋体"/>
                      <w:color w:val="auto"/>
                      <w:spacing w:val="-6"/>
                      <w:sz w:val="21"/>
                      <w:highlight w:val="none"/>
                      <w:lang w:eastAsia="zh-CN"/>
                    </w:rPr>
                  </w:pPr>
                  <w:r>
                    <w:rPr>
                      <w:rFonts w:hint="eastAsia"/>
                      <w:color w:val="auto"/>
                      <w:spacing w:val="-6"/>
                      <w:sz w:val="21"/>
                      <w:highlight w:val="none"/>
                      <w:lang w:val="en-US" w:eastAsia="zh-CN"/>
                    </w:rPr>
                    <w:t>/</w:t>
                  </w:r>
                </w:p>
              </w:tc>
            </w:tr>
            <w:tr w14:paraId="554A20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 w:type="pct"/>
                  <w:gridSpan w:val="2"/>
                  <w:tcBorders>
                    <w:tl2br w:val="nil"/>
                    <w:tr2bl w:val="nil"/>
                  </w:tcBorders>
                  <w:noWrap w:val="0"/>
                  <w:vAlign w:val="center"/>
                </w:tcPr>
                <w:p w14:paraId="606A2719">
                  <w:pPr>
                    <w:pStyle w:val="40"/>
                    <w:bidi w:val="0"/>
                    <w:rPr>
                      <w:color w:val="auto"/>
                      <w:highlight w:val="none"/>
                    </w:rPr>
                  </w:pPr>
                  <w:r>
                    <w:rPr>
                      <w:color w:val="auto"/>
                      <w:highlight w:val="none"/>
                    </w:rPr>
                    <w:t>绿化用水</w:t>
                  </w:r>
                </w:p>
              </w:tc>
              <w:tc>
                <w:tcPr>
                  <w:tcW w:w="752" w:type="pct"/>
                  <w:tcBorders>
                    <w:tl2br w:val="nil"/>
                    <w:tr2bl w:val="nil"/>
                  </w:tcBorders>
                  <w:noWrap w:val="0"/>
                  <w:vAlign w:val="center"/>
                </w:tcPr>
                <w:p w14:paraId="4C3ABA35">
                  <w:pPr>
                    <w:pStyle w:val="40"/>
                    <w:bidi w:val="0"/>
                    <w:rPr>
                      <w:color w:val="auto"/>
                      <w:highlight w:val="none"/>
                    </w:rPr>
                  </w:pPr>
                  <w:r>
                    <w:rPr>
                      <w:color w:val="auto"/>
                      <w:highlight w:val="none"/>
                    </w:rPr>
                    <w:t>2.0L/m</w:t>
                  </w:r>
                  <w:r>
                    <w:rPr>
                      <w:color w:val="auto"/>
                      <w:highlight w:val="none"/>
                      <w:vertAlign w:val="superscript"/>
                    </w:rPr>
                    <w:t>2</w:t>
                  </w:r>
                </w:p>
              </w:tc>
              <w:tc>
                <w:tcPr>
                  <w:tcW w:w="643" w:type="pct"/>
                  <w:tcBorders>
                    <w:tl2br w:val="nil"/>
                    <w:tr2bl w:val="nil"/>
                  </w:tcBorders>
                  <w:noWrap w:val="0"/>
                  <w:vAlign w:val="center"/>
                </w:tcPr>
                <w:p w14:paraId="400612BC">
                  <w:pPr>
                    <w:pStyle w:val="40"/>
                    <w:bidi w:val="0"/>
                    <w:rPr>
                      <w:rFonts w:hint="default" w:eastAsia="宋体"/>
                      <w:color w:val="auto"/>
                      <w:highlight w:val="none"/>
                      <w:lang w:val="en-US" w:eastAsia="zh-CN"/>
                    </w:rPr>
                  </w:pPr>
                  <w:r>
                    <w:rPr>
                      <w:rFonts w:hint="eastAsia"/>
                      <w:color w:val="auto"/>
                      <w:highlight w:val="none"/>
                      <w:lang w:val="en-US" w:eastAsia="zh-CN"/>
                    </w:rPr>
                    <w:t>26.0</w:t>
                  </w:r>
                </w:p>
              </w:tc>
              <w:tc>
                <w:tcPr>
                  <w:tcW w:w="635" w:type="pct"/>
                  <w:tcBorders>
                    <w:tl2br w:val="nil"/>
                    <w:tr2bl w:val="nil"/>
                  </w:tcBorders>
                  <w:noWrap w:val="0"/>
                  <w:vAlign w:val="center"/>
                </w:tcPr>
                <w:p w14:paraId="5F13C935">
                  <w:pPr>
                    <w:pStyle w:val="40"/>
                    <w:bidi w:val="0"/>
                    <w:rPr>
                      <w:rFonts w:hint="eastAsia" w:eastAsia="宋体"/>
                      <w:color w:val="auto"/>
                      <w:highlight w:val="none"/>
                      <w:lang w:val="en-US" w:eastAsia="zh-CN"/>
                    </w:rPr>
                  </w:pPr>
                  <w:r>
                    <w:rPr>
                      <w:rFonts w:hint="eastAsia"/>
                      <w:color w:val="auto"/>
                      <w:highlight w:val="none"/>
                      <w:lang w:val="en-US" w:eastAsia="zh-CN"/>
                    </w:rPr>
                    <w:t>/</w:t>
                  </w:r>
                </w:p>
              </w:tc>
              <w:tc>
                <w:tcPr>
                  <w:tcW w:w="576" w:type="pct"/>
                  <w:tcBorders>
                    <w:tl2br w:val="nil"/>
                    <w:tr2bl w:val="nil"/>
                  </w:tcBorders>
                  <w:noWrap w:val="0"/>
                  <w:vAlign w:val="center"/>
                </w:tcPr>
                <w:p w14:paraId="3B6FDF81">
                  <w:pPr>
                    <w:pStyle w:val="40"/>
                    <w:bidi w:val="0"/>
                    <w:rPr>
                      <w:rFonts w:hint="default" w:eastAsia="宋体"/>
                      <w:color w:val="auto"/>
                      <w:highlight w:val="none"/>
                      <w:lang w:val="en-US" w:eastAsia="zh-CN"/>
                    </w:rPr>
                  </w:pPr>
                  <w:r>
                    <w:rPr>
                      <w:rFonts w:hint="eastAsia"/>
                      <w:color w:val="auto"/>
                      <w:highlight w:val="none"/>
                      <w:lang w:val="en-US" w:eastAsia="zh-CN"/>
                    </w:rPr>
                    <w:t>26.0</w:t>
                  </w:r>
                </w:p>
              </w:tc>
              <w:tc>
                <w:tcPr>
                  <w:tcW w:w="538" w:type="pct"/>
                  <w:tcBorders>
                    <w:tl2br w:val="nil"/>
                    <w:tr2bl w:val="nil"/>
                  </w:tcBorders>
                  <w:noWrap w:val="0"/>
                  <w:vAlign w:val="center"/>
                </w:tcPr>
                <w:p w14:paraId="7D86AF66">
                  <w:pPr>
                    <w:pStyle w:val="40"/>
                    <w:bidi w:val="0"/>
                    <w:rPr>
                      <w:rFonts w:hint="eastAsia" w:eastAsia="宋体"/>
                      <w:color w:val="auto"/>
                      <w:highlight w:val="none"/>
                      <w:lang w:val="en-US" w:eastAsia="zh-CN"/>
                    </w:rPr>
                  </w:pPr>
                  <w:r>
                    <w:rPr>
                      <w:rFonts w:hint="eastAsia"/>
                      <w:color w:val="auto"/>
                      <w:highlight w:val="none"/>
                      <w:lang w:val="en-US" w:eastAsia="zh-CN"/>
                    </w:rPr>
                    <w:t>/</w:t>
                  </w:r>
                </w:p>
              </w:tc>
              <w:tc>
                <w:tcPr>
                  <w:tcW w:w="1030" w:type="pct"/>
                  <w:tcBorders>
                    <w:tl2br w:val="nil"/>
                    <w:tr2bl w:val="nil"/>
                  </w:tcBorders>
                  <w:noWrap w:val="0"/>
                  <w:vAlign w:val="center"/>
                </w:tcPr>
                <w:p w14:paraId="7D3615B4">
                  <w:pPr>
                    <w:pStyle w:val="40"/>
                    <w:bidi w:val="0"/>
                    <w:rPr>
                      <w:color w:val="auto"/>
                      <w:spacing w:val="-6"/>
                      <w:sz w:val="21"/>
                      <w:highlight w:val="none"/>
                    </w:rPr>
                  </w:pPr>
                  <w:r>
                    <w:rPr>
                      <w:color w:val="auto"/>
                      <w:spacing w:val="-6"/>
                      <w:sz w:val="21"/>
                      <w:highlight w:val="none"/>
                    </w:rPr>
                    <w:t>/</w:t>
                  </w:r>
                </w:p>
              </w:tc>
            </w:tr>
            <w:tr w14:paraId="394241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4" w:type="pct"/>
                  <w:gridSpan w:val="3"/>
                  <w:tcBorders>
                    <w:tl2br w:val="nil"/>
                    <w:tr2bl w:val="nil"/>
                  </w:tcBorders>
                  <w:noWrap w:val="0"/>
                  <w:vAlign w:val="center"/>
                </w:tcPr>
                <w:p w14:paraId="7DBEA452">
                  <w:pPr>
                    <w:pStyle w:val="40"/>
                    <w:bidi w:val="0"/>
                    <w:rPr>
                      <w:rFonts w:hint="default" w:eastAsia="宋体"/>
                      <w:color w:val="auto"/>
                      <w:highlight w:val="none"/>
                      <w:lang w:val="en-US" w:eastAsia="zh-CN"/>
                    </w:rPr>
                  </w:pPr>
                  <w:r>
                    <w:rPr>
                      <w:rFonts w:hint="eastAsia"/>
                      <w:color w:val="auto"/>
                      <w:highlight w:val="none"/>
                      <w:lang w:val="en-US" w:eastAsia="zh-CN"/>
                    </w:rPr>
                    <w:t>日最大用水量</w:t>
                  </w:r>
                </w:p>
              </w:tc>
              <w:tc>
                <w:tcPr>
                  <w:tcW w:w="643" w:type="pct"/>
                  <w:tcBorders>
                    <w:tl2br w:val="nil"/>
                    <w:tr2bl w:val="nil"/>
                  </w:tcBorders>
                  <w:noWrap w:val="0"/>
                  <w:vAlign w:val="center"/>
                </w:tcPr>
                <w:p w14:paraId="0E2E57C3">
                  <w:pPr>
                    <w:pStyle w:val="40"/>
                    <w:bidi w:val="0"/>
                    <w:rPr>
                      <w:rFonts w:hint="default" w:eastAsia="宋体"/>
                      <w:color w:val="auto"/>
                      <w:highlight w:val="none"/>
                      <w:lang w:val="en-US" w:eastAsia="zh-CN"/>
                    </w:rPr>
                  </w:pPr>
                  <w:r>
                    <w:rPr>
                      <w:rFonts w:hint="eastAsia"/>
                      <w:color w:val="auto"/>
                      <w:highlight w:val="none"/>
                      <w:lang w:val="en-US" w:eastAsia="zh-CN"/>
                    </w:rPr>
                    <w:t>598.22</w:t>
                  </w:r>
                </w:p>
              </w:tc>
              <w:tc>
                <w:tcPr>
                  <w:tcW w:w="635" w:type="pct"/>
                  <w:tcBorders>
                    <w:tl2br w:val="nil"/>
                    <w:tr2bl w:val="nil"/>
                  </w:tcBorders>
                  <w:noWrap w:val="0"/>
                  <w:vAlign w:val="center"/>
                </w:tcPr>
                <w:p w14:paraId="2B6C7055">
                  <w:pPr>
                    <w:pStyle w:val="40"/>
                    <w:bidi w:val="0"/>
                    <w:rPr>
                      <w:rFonts w:hint="default" w:eastAsia="宋体"/>
                      <w:color w:val="auto"/>
                      <w:highlight w:val="none"/>
                      <w:lang w:val="en-US" w:eastAsia="zh-CN"/>
                    </w:rPr>
                  </w:pPr>
                  <w:r>
                    <w:rPr>
                      <w:rFonts w:hint="eastAsia"/>
                      <w:color w:val="auto"/>
                      <w:highlight w:val="none"/>
                      <w:lang w:val="en-US" w:eastAsia="zh-CN"/>
                    </w:rPr>
                    <w:t>169.9</w:t>
                  </w:r>
                </w:p>
              </w:tc>
              <w:tc>
                <w:tcPr>
                  <w:tcW w:w="576" w:type="pct"/>
                  <w:tcBorders>
                    <w:tl2br w:val="nil"/>
                    <w:tr2bl w:val="nil"/>
                  </w:tcBorders>
                  <w:noWrap w:val="0"/>
                  <w:vAlign w:val="center"/>
                </w:tcPr>
                <w:p w14:paraId="6D502D23">
                  <w:pPr>
                    <w:pStyle w:val="40"/>
                    <w:bidi w:val="0"/>
                    <w:rPr>
                      <w:rFonts w:hint="default" w:eastAsia="宋体"/>
                      <w:color w:val="auto"/>
                      <w:highlight w:val="none"/>
                      <w:lang w:val="en-US" w:eastAsia="zh-CN"/>
                    </w:rPr>
                  </w:pPr>
                  <w:r>
                    <w:rPr>
                      <w:rFonts w:hint="eastAsia"/>
                      <w:color w:val="auto"/>
                      <w:highlight w:val="none"/>
                      <w:lang w:val="en-US" w:eastAsia="zh-CN"/>
                    </w:rPr>
                    <w:t>598.22</w:t>
                  </w:r>
                </w:p>
              </w:tc>
              <w:tc>
                <w:tcPr>
                  <w:tcW w:w="538" w:type="pct"/>
                  <w:tcBorders>
                    <w:tl2br w:val="nil"/>
                    <w:tr2bl w:val="nil"/>
                  </w:tcBorders>
                  <w:noWrap w:val="0"/>
                  <w:vAlign w:val="center"/>
                </w:tcPr>
                <w:p w14:paraId="22BA77E2">
                  <w:pPr>
                    <w:pStyle w:val="40"/>
                    <w:bidi w:val="0"/>
                    <w:rPr>
                      <w:rFonts w:hint="default" w:eastAsia="宋体"/>
                      <w:color w:val="auto"/>
                      <w:highlight w:val="none"/>
                      <w:lang w:val="en-US" w:eastAsia="zh-CN"/>
                    </w:rPr>
                  </w:pPr>
                  <w:r>
                    <w:rPr>
                      <w:rFonts w:hint="eastAsia"/>
                      <w:color w:val="auto"/>
                      <w:highlight w:val="none"/>
                      <w:lang w:val="en-US" w:eastAsia="zh-CN"/>
                    </w:rPr>
                    <w:t>169.9</w:t>
                  </w:r>
                </w:p>
              </w:tc>
              <w:tc>
                <w:tcPr>
                  <w:tcW w:w="1030" w:type="pct"/>
                  <w:tcBorders>
                    <w:tl2br w:val="nil"/>
                    <w:tr2bl w:val="nil"/>
                  </w:tcBorders>
                  <w:noWrap w:val="0"/>
                  <w:vAlign w:val="center"/>
                </w:tcPr>
                <w:p w14:paraId="0AED39A2">
                  <w:pPr>
                    <w:pStyle w:val="40"/>
                    <w:bidi w:val="0"/>
                    <w:rPr>
                      <w:color w:val="auto"/>
                      <w:spacing w:val="-6"/>
                      <w:sz w:val="21"/>
                      <w:highlight w:val="none"/>
                    </w:rPr>
                  </w:pPr>
                  <w:r>
                    <w:rPr>
                      <w:rFonts w:hint="eastAsia"/>
                      <w:color w:val="auto"/>
                      <w:spacing w:val="-6"/>
                      <w:sz w:val="21"/>
                      <w:highlight w:val="none"/>
                    </w:rPr>
                    <w:t>/</w:t>
                  </w:r>
                </w:p>
              </w:tc>
            </w:tr>
            <w:tr w14:paraId="136E7E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4" w:type="pct"/>
                  <w:gridSpan w:val="3"/>
                  <w:tcBorders>
                    <w:tl2br w:val="nil"/>
                    <w:tr2bl w:val="nil"/>
                  </w:tcBorders>
                  <w:noWrap w:val="0"/>
                  <w:vAlign w:val="center"/>
                </w:tcPr>
                <w:p w14:paraId="48F8293C">
                  <w:pPr>
                    <w:pStyle w:val="40"/>
                    <w:bidi w:val="0"/>
                    <w:rPr>
                      <w:rFonts w:hint="eastAsia" w:eastAsia="宋体"/>
                      <w:color w:val="auto"/>
                      <w:highlight w:val="none"/>
                      <w:lang w:val="en-US" w:eastAsia="zh-CN"/>
                    </w:rPr>
                  </w:pPr>
                  <w:r>
                    <w:rPr>
                      <w:rFonts w:hint="eastAsia"/>
                      <w:color w:val="auto"/>
                      <w:highlight w:val="none"/>
                      <w:lang w:val="en-US" w:eastAsia="zh-CN"/>
                    </w:rPr>
                    <w:t>年用水量</w:t>
                  </w:r>
                </w:p>
              </w:tc>
              <w:tc>
                <w:tcPr>
                  <w:tcW w:w="643" w:type="pct"/>
                  <w:tcBorders>
                    <w:tl2br w:val="nil"/>
                    <w:tr2bl w:val="nil"/>
                  </w:tcBorders>
                  <w:noWrap w:val="0"/>
                  <w:vAlign w:val="center"/>
                </w:tcPr>
                <w:p w14:paraId="14028CB8">
                  <w:pPr>
                    <w:pStyle w:val="40"/>
                    <w:bidi w:val="0"/>
                    <w:rPr>
                      <w:rFonts w:hint="default"/>
                      <w:color w:val="auto"/>
                      <w:highlight w:val="none"/>
                      <w:lang w:val="en-US" w:eastAsia="zh-CN"/>
                    </w:rPr>
                  </w:pPr>
                  <w:r>
                    <w:rPr>
                      <w:rFonts w:hint="eastAsia"/>
                      <w:color w:val="auto"/>
                      <w:highlight w:val="none"/>
                      <w:lang w:val="en-US" w:eastAsia="zh-CN"/>
                    </w:rPr>
                    <w:t>151355.7</w:t>
                  </w:r>
                </w:p>
              </w:tc>
              <w:tc>
                <w:tcPr>
                  <w:tcW w:w="635" w:type="pct"/>
                  <w:tcBorders>
                    <w:tl2br w:val="nil"/>
                    <w:tr2bl w:val="nil"/>
                  </w:tcBorders>
                  <w:noWrap w:val="0"/>
                  <w:vAlign w:val="center"/>
                </w:tcPr>
                <w:p w14:paraId="6EC926F9">
                  <w:pPr>
                    <w:pStyle w:val="40"/>
                    <w:bidi w:val="0"/>
                    <w:rPr>
                      <w:rFonts w:hint="default"/>
                      <w:color w:val="auto"/>
                      <w:highlight w:val="none"/>
                      <w:lang w:val="en-US" w:eastAsia="zh-CN"/>
                    </w:rPr>
                  </w:pPr>
                  <w:r>
                    <w:rPr>
                      <w:rFonts w:hint="eastAsia"/>
                      <w:color w:val="auto"/>
                      <w:highlight w:val="none"/>
                      <w:lang w:val="en-US" w:eastAsia="zh-CN"/>
                    </w:rPr>
                    <w:t>39100.4</w:t>
                  </w:r>
                </w:p>
              </w:tc>
              <w:tc>
                <w:tcPr>
                  <w:tcW w:w="576" w:type="pct"/>
                  <w:tcBorders>
                    <w:tl2br w:val="nil"/>
                    <w:tr2bl w:val="nil"/>
                  </w:tcBorders>
                  <w:noWrap w:val="0"/>
                  <w:vAlign w:val="center"/>
                </w:tcPr>
                <w:p w14:paraId="3D7FFE5F">
                  <w:pPr>
                    <w:pStyle w:val="40"/>
                    <w:bidi w:val="0"/>
                    <w:rPr>
                      <w:rFonts w:hint="default"/>
                      <w:color w:val="auto"/>
                      <w:highlight w:val="none"/>
                      <w:lang w:val="en-US" w:eastAsia="zh-CN"/>
                    </w:rPr>
                  </w:pPr>
                  <w:r>
                    <w:rPr>
                      <w:rFonts w:hint="eastAsia"/>
                      <w:color w:val="auto"/>
                      <w:spacing w:val="-6"/>
                      <w:sz w:val="21"/>
                      <w:highlight w:val="none"/>
                      <w:lang w:val="en-US" w:eastAsia="zh-CN"/>
                    </w:rPr>
                    <w:t>148700.4</w:t>
                  </w:r>
                </w:p>
              </w:tc>
              <w:tc>
                <w:tcPr>
                  <w:tcW w:w="538" w:type="pct"/>
                  <w:tcBorders>
                    <w:tl2br w:val="nil"/>
                    <w:tr2bl w:val="nil"/>
                  </w:tcBorders>
                  <w:noWrap w:val="0"/>
                  <w:vAlign w:val="center"/>
                </w:tcPr>
                <w:p w14:paraId="17CA0BC5">
                  <w:pPr>
                    <w:pStyle w:val="40"/>
                    <w:bidi w:val="0"/>
                    <w:rPr>
                      <w:rFonts w:hint="default"/>
                      <w:color w:val="auto"/>
                      <w:highlight w:val="none"/>
                      <w:lang w:val="en-US" w:eastAsia="zh-CN"/>
                    </w:rPr>
                  </w:pPr>
                  <w:r>
                    <w:rPr>
                      <w:rFonts w:hint="eastAsia"/>
                      <w:color w:val="auto"/>
                      <w:highlight w:val="none"/>
                      <w:lang w:val="en-US" w:eastAsia="zh-CN"/>
                    </w:rPr>
                    <w:t>41755.7</w:t>
                  </w:r>
                </w:p>
              </w:tc>
              <w:tc>
                <w:tcPr>
                  <w:tcW w:w="1030" w:type="pct"/>
                  <w:tcBorders>
                    <w:tl2br w:val="nil"/>
                    <w:tr2bl w:val="nil"/>
                  </w:tcBorders>
                  <w:noWrap w:val="0"/>
                  <w:vAlign w:val="center"/>
                </w:tcPr>
                <w:p w14:paraId="52D02AD3">
                  <w:pPr>
                    <w:pStyle w:val="40"/>
                    <w:bidi w:val="0"/>
                    <w:rPr>
                      <w:rFonts w:hint="eastAsia" w:eastAsia="宋体"/>
                      <w:color w:val="auto"/>
                      <w:spacing w:val="-6"/>
                      <w:sz w:val="21"/>
                      <w:highlight w:val="none"/>
                      <w:lang w:val="en-US" w:eastAsia="zh-CN"/>
                    </w:rPr>
                  </w:pPr>
                  <w:r>
                    <w:rPr>
                      <w:rFonts w:hint="eastAsia"/>
                      <w:color w:val="auto"/>
                      <w:spacing w:val="-6"/>
                      <w:sz w:val="21"/>
                      <w:highlight w:val="none"/>
                      <w:lang w:val="en-US" w:eastAsia="zh-CN"/>
                    </w:rPr>
                    <w:t>/</w:t>
                  </w:r>
                </w:p>
              </w:tc>
            </w:tr>
            <w:tr w14:paraId="7BE19E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8"/>
                  <w:tcBorders>
                    <w:tl2br w:val="nil"/>
                    <w:tr2bl w:val="nil"/>
                  </w:tcBorders>
                  <w:noWrap w:val="0"/>
                  <w:vAlign w:val="center"/>
                </w:tcPr>
                <w:p w14:paraId="1AA1CD81">
                  <w:pPr>
                    <w:pStyle w:val="40"/>
                    <w:bidi w:val="0"/>
                    <w:rPr>
                      <w:rFonts w:hint="default" w:eastAsia="宋体"/>
                      <w:color w:val="auto"/>
                      <w:spacing w:val="-6"/>
                      <w:sz w:val="21"/>
                      <w:highlight w:val="none"/>
                      <w:lang w:val="en-US" w:eastAsia="zh-CN"/>
                    </w:rPr>
                  </w:pPr>
                  <w:r>
                    <w:rPr>
                      <w:rFonts w:hint="eastAsia"/>
                      <w:color w:val="auto"/>
                      <w:spacing w:val="-6"/>
                      <w:sz w:val="21"/>
                      <w:highlight w:val="none"/>
                      <w:lang w:val="en-US" w:eastAsia="zh-CN"/>
                    </w:rPr>
                    <w:t>备注：计算年用水量时，蒸压硅酸盐功能骨料生产线、锅炉及蒸养系统、厂区抑尘用水按300d/a计算，离子交换树脂再生废水按照50次/a计算，绿化用水按200d/a计算，混凝土生产线用水按220d/a计算</w:t>
                  </w:r>
                </w:p>
              </w:tc>
            </w:tr>
          </w:tbl>
          <w:p w14:paraId="708D6F03">
            <w:pPr>
              <w:pStyle w:val="42"/>
              <w:bidi w:val="0"/>
              <w:rPr>
                <w:rFonts w:hint="eastAsia"/>
                <w:color w:val="auto"/>
                <w:highlight w:val="none"/>
                <w:lang w:val="en-US" w:eastAsia="zh-CN"/>
              </w:rPr>
            </w:pPr>
            <w:r>
              <w:rPr>
                <w:rFonts w:hint="eastAsia"/>
                <w:color w:val="auto"/>
                <w:highlight w:val="none"/>
                <w:lang w:val="en-US" w:eastAsia="zh-CN"/>
              </w:rPr>
              <w:drawing>
                <wp:inline distT="0" distB="0" distL="114300" distR="114300">
                  <wp:extent cx="5363845" cy="4811395"/>
                  <wp:effectExtent l="0" t="0" r="8255" b="8255"/>
                  <wp:docPr id="9" name="图片 9" descr="6e9e81e8c64ce3a2e319930d229c7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e9e81e8c64ce3a2e319930d229c7af"/>
                          <pic:cNvPicPr>
                            <a:picLocks noChangeAspect="1"/>
                          </pic:cNvPicPr>
                        </pic:nvPicPr>
                        <pic:blipFill>
                          <a:blip r:embed="rId11"/>
                          <a:srcRect l="10822" t="2800" r="9533" b="1973"/>
                          <a:stretch>
                            <a:fillRect/>
                          </a:stretch>
                        </pic:blipFill>
                        <pic:spPr>
                          <a:xfrm>
                            <a:off x="0" y="0"/>
                            <a:ext cx="5363845" cy="4811395"/>
                          </a:xfrm>
                          <a:prstGeom prst="rect">
                            <a:avLst/>
                          </a:prstGeom>
                        </pic:spPr>
                      </pic:pic>
                    </a:graphicData>
                  </a:graphic>
                </wp:inline>
              </w:drawing>
            </w:r>
          </w:p>
          <w:p w14:paraId="63AE07A2">
            <w:pPr>
              <w:pStyle w:val="51"/>
              <w:bidi w:val="0"/>
              <w:rPr>
                <w:rFonts w:hint="eastAsia"/>
                <w:color w:val="auto"/>
                <w:highlight w:val="none"/>
                <w:lang w:val="en-US" w:eastAsia="zh-CN"/>
              </w:rPr>
            </w:pPr>
            <w:bookmarkStart w:id="27" w:name="_Ref31525"/>
            <w:bookmarkStart w:id="28" w:name="_Ref31482"/>
            <w:r>
              <w:rPr>
                <w:color w:val="auto"/>
                <w:highlight w:val="none"/>
              </w:rPr>
              <w:t>图2-</w:t>
            </w:r>
            <w:r>
              <w:rPr>
                <w:color w:val="auto"/>
                <w:highlight w:val="none"/>
              </w:rPr>
              <w:fldChar w:fldCharType="begin"/>
            </w:r>
            <w:r>
              <w:rPr>
                <w:color w:val="auto"/>
                <w:highlight w:val="none"/>
              </w:rPr>
              <w:instrText xml:space="preserve"> SEQ 图2- \* ARABIC </w:instrText>
            </w:r>
            <w:r>
              <w:rPr>
                <w:color w:val="auto"/>
                <w:highlight w:val="none"/>
              </w:rPr>
              <w:fldChar w:fldCharType="separate"/>
            </w:r>
            <w:r>
              <w:rPr>
                <w:color w:val="auto"/>
                <w:highlight w:val="none"/>
              </w:rPr>
              <w:t>1</w:t>
            </w:r>
            <w:r>
              <w:rPr>
                <w:color w:val="auto"/>
                <w:highlight w:val="none"/>
              </w:rPr>
              <w:fldChar w:fldCharType="end"/>
            </w:r>
            <w:bookmarkEnd w:id="27"/>
            <w:r>
              <w:rPr>
                <w:rFonts w:hint="eastAsia"/>
                <w:color w:val="auto"/>
                <w:highlight w:val="none"/>
                <w:lang w:val="en-US" w:eastAsia="zh-CN"/>
              </w:rPr>
              <w:t xml:space="preserve">  项目水平衡图</w:t>
            </w:r>
            <w:bookmarkEnd w:id="28"/>
            <w:r>
              <w:rPr>
                <w:rFonts w:hint="eastAsia"/>
                <w:color w:val="auto"/>
                <w:highlight w:val="none"/>
                <w:lang w:val="en-US" w:eastAsia="zh-CN"/>
              </w:rPr>
              <w:t xml:space="preserve">  单位：m</w:t>
            </w:r>
            <w:r>
              <w:rPr>
                <w:rFonts w:hint="eastAsia"/>
                <w:color w:val="auto"/>
                <w:highlight w:val="none"/>
                <w:vertAlign w:val="superscript"/>
                <w:lang w:val="en-US" w:eastAsia="zh-CN"/>
              </w:rPr>
              <w:t>3</w:t>
            </w:r>
            <w:r>
              <w:rPr>
                <w:rFonts w:hint="eastAsia"/>
                <w:color w:val="auto"/>
                <w:highlight w:val="none"/>
                <w:lang w:val="en-US" w:eastAsia="zh-CN"/>
              </w:rPr>
              <w:t>/d</w:t>
            </w:r>
          </w:p>
          <w:p w14:paraId="72F62D7B">
            <w:pPr>
              <w:pStyle w:val="41"/>
              <w:keepNext w:val="0"/>
              <w:keepLines w:val="0"/>
              <w:pageBreakBefore w:val="0"/>
              <w:widowControl w:val="0"/>
              <w:kinsoku/>
              <w:wordWrap/>
              <w:overflowPunct/>
              <w:topLinePunct w:val="0"/>
              <w:autoSpaceDE/>
              <w:autoSpaceDN/>
              <w:bidi w:val="0"/>
              <w:adjustRightInd/>
              <w:snapToGrid/>
              <w:textAlignment w:val="auto"/>
              <w:rPr>
                <w:rFonts w:hint="default"/>
                <w:color w:val="auto"/>
                <w:highlight w:val="none"/>
                <w:lang w:val="en-US" w:eastAsia="zh-CN"/>
              </w:rPr>
            </w:pPr>
            <w:r>
              <w:rPr>
                <w:rFonts w:hint="eastAsia"/>
                <w:color w:val="auto"/>
                <w:highlight w:val="none"/>
                <w:lang w:val="en-US" w:eastAsia="zh-CN"/>
              </w:rPr>
              <w:t>（1）生活用水</w:t>
            </w:r>
          </w:p>
          <w:p w14:paraId="3A5AAC61">
            <w:pPr>
              <w:spacing w:line="360" w:lineRule="auto"/>
              <w:ind w:firstLine="480" w:firstLineChars="200"/>
              <w:rPr>
                <w:rFonts w:hint="eastAsia" w:eastAsia="宋体"/>
                <w:color w:val="auto"/>
                <w:sz w:val="24"/>
                <w:highlight w:val="none"/>
                <w:lang w:eastAsia="zh-CN"/>
              </w:rPr>
            </w:pPr>
            <w:r>
              <w:rPr>
                <w:color w:val="auto"/>
                <w:kern w:val="0"/>
                <w:sz w:val="24"/>
                <w:highlight w:val="none"/>
                <w:lang w:bidi="ar"/>
              </w:rPr>
              <w:t>本项目劳动定员</w:t>
            </w:r>
            <w:r>
              <w:rPr>
                <w:rFonts w:hint="eastAsia"/>
                <w:color w:val="auto"/>
                <w:kern w:val="0"/>
                <w:sz w:val="24"/>
                <w:highlight w:val="none"/>
                <w:lang w:val="en-US" w:eastAsia="zh-CN" w:bidi="ar"/>
              </w:rPr>
              <w:t>40</w:t>
            </w:r>
            <w:r>
              <w:rPr>
                <w:color w:val="auto"/>
                <w:kern w:val="0"/>
                <w:sz w:val="24"/>
                <w:highlight w:val="none"/>
                <w:lang w:bidi="ar"/>
              </w:rPr>
              <w:t>人，</w:t>
            </w:r>
            <w:r>
              <w:rPr>
                <w:rFonts w:hint="eastAsia"/>
                <w:color w:val="auto"/>
                <w:kern w:val="0"/>
                <w:sz w:val="24"/>
                <w:highlight w:val="none"/>
                <w:lang w:bidi="ar"/>
              </w:rPr>
              <w:t>参照</w:t>
            </w:r>
            <w:r>
              <w:rPr>
                <w:color w:val="auto"/>
                <w:sz w:val="24"/>
                <w:highlight w:val="none"/>
              </w:rPr>
              <w:t>陕西省《行业用水定额》（DB61/T</w:t>
            </w:r>
            <w:r>
              <w:rPr>
                <w:rFonts w:hint="eastAsia"/>
                <w:color w:val="auto"/>
                <w:sz w:val="24"/>
                <w:highlight w:val="none"/>
                <w:lang w:val="en-US" w:eastAsia="zh-CN"/>
              </w:rPr>
              <w:t xml:space="preserve"> </w:t>
            </w:r>
            <w:r>
              <w:rPr>
                <w:color w:val="auto"/>
                <w:sz w:val="24"/>
                <w:highlight w:val="none"/>
              </w:rPr>
              <w:t>943</w:t>
            </w:r>
            <w:r>
              <w:rPr>
                <w:bCs/>
                <w:color w:val="auto"/>
                <w:sz w:val="24"/>
                <w:highlight w:val="none"/>
              </w:rPr>
              <w:t>-</w:t>
            </w:r>
            <w:r>
              <w:rPr>
                <w:color w:val="auto"/>
                <w:sz w:val="24"/>
                <w:highlight w:val="none"/>
              </w:rPr>
              <w:t>2020）</w:t>
            </w:r>
            <w:r>
              <w:rPr>
                <w:rFonts w:hint="eastAsia"/>
                <w:color w:val="auto"/>
                <w:sz w:val="24"/>
                <w:highlight w:val="none"/>
              </w:rPr>
              <w:t>，</w:t>
            </w:r>
            <w:r>
              <w:rPr>
                <w:color w:val="auto"/>
                <w:sz w:val="24"/>
                <w:highlight w:val="none"/>
              </w:rPr>
              <w:t>生活用水定额</w:t>
            </w:r>
            <w:r>
              <w:rPr>
                <w:rFonts w:hint="eastAsia"/>
                <w:color w:val="auto"/>
                <w:sz w:val="24"/>
                <w:highlight w:val="none"/>
                <w:lang w:val="en-US" w:eastAsia="zh-CN"/>
              </w:rPr>
              <w:t>为</w:t>
            </w:r>
            <w:r>
              <w:rPr>
                <w:rFonts w:hint="default" w:ascii="Times New Roman" w:hAnsi="Times New Roman" w:cs="Times New Roman"/>
                <w:color w:val="auto"/>
                <w:highlight w:val="none"/>
              </w:rPr>
              <w:t>65L/（人·d）</w:t>
            </w:r>
            <w:r>
              <w:rPr>
                <w:color w:val="auto"/>
                <w:sz w:val="24"/>
                <w:highlight w:val="none"/>
              </w:rPr>
              <w:t>，则生活用水量</w:t>
            </w:r>
            <w:r>
              <w:rPr>
                <w:rFonts w:hint="eastAsia"/>
                <w:color w:val="auto"/>
                <w:sz w:val="24"/>
                <w:highlight w:val="none"/>
                <w:lang w:val="en-US" w:eastAsia="zh-CN"/>
              </w:rPr>
              <w:t>2.6</w:t>
            </w:r>
            <w:r>
              <w:rPr>
                <w:color w:val="auto"/>
                <w:sz w:val="24"/>
                <w:highlight w:val="none"/>
              </w:rPr>
              <w:t>m</w:t>
            </w:r>
            <w:r>
              <w:rPr>
                <w:color w:val="auto"/>
                <w:sz w:val="24"/>
                <w:highlight w:val="none"/>
                <w:vertAlign w:val="superscript"/>
              </w:rPr>
              <w:t>3</w:t>
            </w:r>
            <w:r>
              <w:rPr>
                <w:color w:val="auto"/>
                <w:sz w:val="24"/>
                <w:highlight w:val="none"/>
              </w:rPr>
              <w:t>/d</w:t>
            </w:r>
            <w:r>
              <w:rPr>
                <w:rFonts w:hint="eastAsia"/>
                <w:color w:val="auto"/>
                <w:sz w:val="24"/>
                <w:highlight w:val="none"/>
              </w:rPr>
              <w:t>（</w:t>
            </w:r>
            <w:r>
              <w:rPr>
                <w:rFonts w:hint="eastAsia"/>
                <w:color w:val="auto"/>
                <w:sz w:val="24"/>
                <w:highlight w:val="none"/>
                <w:lang w:val="en-US" w:eastAsia="zh-CN"/>
              </w:rPr>
              <w:t>780.0</w:t>
            </w:r>
            <w:r>
              <w:rPr>
                <w:color w:val="auto"/>
                <w:sz w:val="24"/>
                <w:highlight w:val="none"/>
              </w:rPr>
              <w:t>m</w:t>
            </w:r>
            <w:r>
              <w:rPr>
                <w:color w:val="auto"/>
                <w:sz w:val="24"/>
                <w:highlight w:val="none"/>
                <w:vertAlign w:val="superscript"/>
              </w:rPr>
              <w:t>3</w:t>
            </w:r>
            <w:r>
              <w:rPr>
                <w:color w:val="auto"/>
                <w:sz w:val="24"/>
                <w:highlight w:val="none"/>
              </w:rPr>
              <w:t>/a</w:t>
            </w:r>
            <w:r>
              <w:rPr>
                <w:rFonts w:hint="eastAsia"/>
                <w:color w:val="auto"/>
                <w:sz w:val="24"/>
                <w:highlight w:val="none"/>
              </w:rPr>
              <w:t>），排污系数取0.8，则</w:t>
            </w:r>
            <w:r>
              <w:rPr>
                <w:rFonts w:hint="eastAsia"/>
                <w:color w:val="auto"/>
                <w:sz w:val="24"/>
                <w:highlight w:val="none"/>
                <w:lang w:val="en-US" w:eastAsia="zh-CN"/>
              </w:rPr>
              <w:t>生活污水</w:t>
            </w:r>
            <w:r>
              <w:rPr>
                <w:rFonts w:hint="eastAsia"/>
                <w:color w:val="auto"/>
                <w:sz w:val="24"/>
                <w:highlight w:val="none"/>
              </w:rPr>
              <w:t>产生量为</w:t>
            </w:r>
            <w:r>
              <w:rPr>
                <w:rFonts w:hint="eastAsia"/>
                <w:color w:val="auto"/>
                <w:sz w:val="24"/>
                <w:highlight w:val="none"/>
                <w:lang w:val="en-US" w:eastAsia="zh-CN"/>
              </w:rPr>
              <w:t>2.08</w:t>
            </w:r>
            <w:r>
              <w:rPr>
                <w:color w:val="auto"/>
                <w:sz w:val="24"/>
                <w:highlight w:val="none"/>
              </w:rPr>
              <w:t>m</w:t>
            </w:r>
            <w:r>
              <w:rPr>
                <w:color w:val="auto"/>
                <w:sz w:val="24"/>
                <w:highlight w:val="none"/>
                <w:vertAlign w:val="superscript"/>
              </w:rPr>
              <w:t>3</w:t>
            </w:r>
            <w:r>
              <w:rPr>
                <w:color w:val="auto"/>
                <w:sz w:val="24"/>
                <w:highlight w:val="none"/>
              </w:rPr>
              <w:t>/d</w:t>
            </w:r>
            <w:r>
              <w:rPr>
                <w:rFonts w:hint="eastAsia"/>
                <w:color w:val="auto"/>
                <w:sz w:val="24"/>
                <w:highlight w:val="none"/>
              </w:rPr>
              <w:t>（</w:t>
            </w:r>
            <w:r>
              <w:rPr>
                <w:rFonts w:hint="eastAsia"/>
                <w:color w:val="auto"/>
                <w:sz w:val="24"/>
                <w:highlight w:val="none"/>
                <w:lang w:val="en-US" w:eastAsia="zh-CN"/>
              </w:rPr>
              <w:t>624.0</w:t>
            </w:r>
            <w:r>
              <w:rPr>
                <w:color w:val="auto"/>
                <w:sz w:val="24"/>
                <w:highlight w:val="none"/>
              </w:rPr>
              <w:t>m</w:t>
            </w:r>
            <w:r>
              <w:rPr>
                <w:color w:val="auto"/>
                <w:sz w:val="24"/>
                <w:highlight w:val="none"/>
                <w:vertAlign w:val="superscript"/>
              </w:rPr>
              <w:t>3</w:t>
            </w:r>
            <w:r>
              <w:rPr>
                <w:color w:val="auto"/>
                <w:sz w:val="24"/>
                <w:highlight w:val="none"/>
              </w:rPr>
              <w:t>/a</w:t>
            </w:r>
            <w:r>
              <w:rPr>
                <w:rFonts w:hint="eastAsia"/>
                <w:color w:val="auto"/>
                <w:sz w:val="24"/>
                <w:highlight w:val="none"/>
              </w:rPr>
              <w:t>）</w:t>
            </w:r>
            <w:r>
              <w:rPr>
                <w:rFonts w:hint="eastAsia"/>
                <w:color w:val="auto"/>
                <w:kern w:val="0"/>
                <w:sz w:val="24"/>
                <w:highlight w:val="none"/>
                <w:lang w:bidi="ar"/>
              </w:rPr>
              <w:t>。</w:t>
            </w:r>
            <w:r>
              <w:rPr>
                <w:color w:val="auto"/>
                <w:highlight w:val="none"/>
              </w:rPr>
              <w:t>生活污水</w:t>
            </w:r>
            <w:r>
              <w:rPr>
                <w:rFonts w:hint="eastAsia"/>
                <w:color w:val="auto"/>
                <w:highlight w:val="none"/>
              </w:rPr>
              <w:t>经沉淀池（</w:t>
            </w:r>
            <w:r>
              <w:rPr>
                <w:rFonts w:hint="eastAsia"/>
                <w:color w:val="auto"/>
                <w:highlight w:val="none"/>
                <w:lang w:val="en-US" w:eastAsia="zh-CN"/>
              </w:rPr>
              <w:t>2</w:t>
            </w:r>
            <w:r>
              <w:rPr>
                <w:rFonts w:hint="eastAsia"/>
                <w:color w:val="auto"/>
                <w:highlight w:val="none"/>
              </w:rPr>
              <w:t>m</w:t>
            </w:r>
            <w:r>
              <w:rPr>
                <w:rFonts w:hint="eastAsia"/>
                <w:color w:val="auto"/>
                <w:highlight w:val="none"/>
                <w:vertAlign w:val="superscript"/>
              </w:rPr>
              <w:t>3</w:t>
            </w:r>
            <w:r>
              <w:rPr>
                <w:rFonts w:hint="eastAsia"/>
                <w:color w:val="auto"/>
                <w:highlight w:val="none"/>
              </w:rPr>
              <w:t>）处理后用于厂区洒水抑尘，不外排</w:t>
            </w:r>
            <w:r>
              <w:rPr>
                <w:rFonts w:hint="eastAsia"/>
                <w:color w:val="auto"/>
                <w:highlight w:val="none"/>
                <w:lang w:eastAsia="zh-CN"/>
              </w:rPr>
              <w:t>。</w:t>
            </w:r>
          </w:p>
          <w:p w14:paraId="300BA7CB">
            <w:pPr>
              <w:pStyle w:val="41"/>
              <w:bidi w:val="0"/>
              <w:rPr>
                <w:rFonts w:hint="eastAsia"/>
                <w:color w:val="auto"/>
                <w:highlight w:val="none"/>
                <w:lang w:val="en-US" w:eastAsia="zh-CN"/>
              </w:rPr>
            </w:pPr>
            <w:r>
              <w:rPr>
                <w:rFonts w:hint="eastAsia"/>
                <w:color w:val="auto"/>
                <w:highlight w:val="none"/>
                <w:lang w:val="en-US" w:eastAsia="zh-CN"/>
              </w:rPr>
              <w:t>（2）生产用水</w:t>
            </w:r>
          </w:p>
          <w:p w14:paraId="5C791ABD">
            <w:pPr>
              <w:pStyle w:val="41"/>
              <w:bidi w:val="0"/>
              <w:rPr>
                <w:rFonts w:hint="default"/>
                <w:color w:val="auto"/>
                <w:highlight w:val="none"/>
                <w:lang w:val="en-US" w:eastAsia="zh-CN"/>
              </w:rPr>
            </w:pPr>
            <w:r>
              <w:rPr>
                <w:rFonts w:hint="eastAsia"/>
                <w:color w:val="auto"/>
                <w:highlight w:val="none"/>
                <w:lang w:val="en-US" w:eastAsia="zh-CN"/>
              </w:rPr>
              <w:t>1）蒸压硅酸盐功能骨料生产车间</w:t>
            </w:r>
          </w:p>
          <w:p w14:paraId="5BE5A57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SA"/>
              </w:rPr>
            </w:pPr>
            <w:r>
              <w:rPr>
                <w:rFonts w:hint="eastAsia"/>
                <w:color w:val="auto"/>
                <w:highlight w:val="none"/>
                <w:lang w:val="en-US" w:eastAsia="zh-CN"/>
              </w:rPr>
              <w:t>①搅拌及成核用水</w:t>
            </w:r>
          </w:p>
          <w:p w14:paraId="0DFC19E8">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cs="Times New Roman"/>
                <w:b w:val="0"/>
                <w:bCs w:val="0"/>
                <w:color w:val="auto"/>
                <w:kern w:val="0"/>
                <w:sz w:val="24"/>
                <w:szCs w:val="24"/>
                <w:highlight w:val="none"/>
                <w:vertAlign w:val="baseline"/>
                <w:lang w:val="en-US" w:eastAsia="zh-CN" w:bidi="ar-SA"/>
              </w:rPr>
            </w:pPr>
            <w:r>
              <w:rPr>
                <w:rFonts w:hint="eastAsia" w:ascii="Times New Roman" w:hAnsi="Times New Roman" w:eastAsia="宋体" w:cs="Times New Roman"/>
                <w:b w:val="0"/>
                <w:bCs w:val="0"/>
                <w:color w:val="auto"/>
                <w:kern w:val="0"/>
                <w:sz w:val="24"/>
                <w:szCs w:val="24"/>
                <w:highlight w:val="none"/>
                <w:lang w:val="en-US" w:eastAsia="zh-CN" w:bidi="ar-SA"/>
              </w:rPr>
              <w:t>根据</w:t>
            </w:r>
            <w:r>
              <w:rPr>
                <w:rFonts w:hint="default" w:ascii="Times New Roman" w:hAnsi="Times New Roman" w:cs="Times New Roman"/>
                <w:color w:val="auto"/>
                <w:highlight w:val="none"/>
              </w:rPr>
              <w:t>蒸压硅酸盐功能骨料原料配比</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用水占比为5%，</w:t>
            </w:r>
            <w:r>
              <w:rPr>
                <w:rFonts w:hint="eastAsia" w:cs="Times New Roman"/>
                <w:color w:val="auto"/>
                <w:highlight w:val="none"/>
                <w:lang w:val="en-US" w:eastAsia="zh-CN"/>
              </w:rPr>
              <w:t>本项目</w:t>
            </w:r>
            <w:r>
              <w:rPr>
                <w:rFonts w:hint="default" w:ascii="Times New Roman" w:hAnsi="Times New Roman" w:eastAsia="宋体" w:cs="Times New Roman"/>
                <w:b w:val="0"/>
                <w:bCs w:val="0"/>
                <w:color w:val="auto"/>
                <w:kern w:val="0"/>
                <w:sz w:val="24"/>
                <w:szCs w:val="24"/>
                <w:highlight w:val="none"/>
                <w:lang w:val="en-US" w:eastAsia="zh-CN" w:bidi="ar-SA"/>
              </w:rPr>
              <w:t>年产100万</w:t>
            </w:r>
            <w:r>
              <w:rPr>
                <w:rFonts w:hint="eastAsia" w:ascii="Times New Roman" w:hAnsi="Times New Roman" w:eastAsia="宋体" w:cs="Times New Roman"/>
                <w:b w:val="0"/>
                <w:bCs w:val="0"/>
                <w:color w:val="auto"/>
                <w:kern w:val="0"/>
                <w:sz w:val="24"/>
                <w:szCs w:val="24"/>
                <w:highlight w:val="none"/>
                <w:lang w:val="en-US" w:eastAsia="zh-CN" w:bidi="ar-SA"/>
              </w:rPr>
              <w:t>吨</w:t>
            </w:r>
            <w:r>
              <w:rPr>
                <w:rFonts w:hint="default" w:ascii="Times New Roman" w:hAnsi="Times New Roman" w:eastAsia="宋体" w:cs="Times New Roman"/>
                <w:b w:val="0"/>
                <w:bCs w:val="0"/>
                <w:color w:val="auto"/>
                <w:kern w:val="0"/>
                <w:sz w:val="24"/>
                <w:szCs w:val="24"/>
                <w:highlight w:val="none"/>
                <w:lang w:val="en-US" w:eastAsia="zh-CN" w:bidi="ar-SA"/>
              </w:rPr>
              <w:t>蒸压硅酸盐功能骨料</w:t>
            </w:r>
            <w:r>
              <w:rPr>
                <w:rFonts w:hint="eastAsia" w:ascii="Times New Roman" w:hAnsi="Times New Roman" w:eastAsia="宋体" w:cs="Times New Roman"/>
                <w:b w:val="0"/>
                <w:bCs w:val="0"/>
                <w:color w:val="auto"/>
                <w:kern w:val="0"/>
                <w:sz w:val="24"/>
                <w:szCs w:val="24"/>
                <w:highlight w:val="none"/>
                <w:lang w:val="en-US" w:eastAsia="zh-CN" w:bidi="ar-SA"/>
              </w:rPr>
              <w:t>，则</w:t>
            </w:r>
            <w:r>
              <w:rPr>
                <w:rFonts w:hint="default" w:ascii="Times New Roman" w:hAnsi="Times New Roman" w:eastAsia="宋体" w:cs="Times New Roman"/>
                <w:b w:val="0"/>
                <w:bCs w:val="0"/>
                <w:color w:val="auto"/>
                <w:kern w:val="0"/>
                <w:sz w:val="24"/>
                <w:szCs w:val="24"/>
                <w:highlight w:val="none"/>
                <w:lang w:val="en-US" w:eastAsia="zh-CN" w:bidi="ar-SA"/>
              </w:rPr>
              <w:t>其日消耗量为166</w:t>
            </w:r>
            <w:r>
              <w:rPr>
                <w:rFonts w:hint="eastAsia" w:cs="Times New Roman"/>
                <w:b w:val="0"/>
                <w:bCs w:val="0"/>
                <w:color w:val="auto"/>
                <w:kern w:val="0"/>
                <w:sz w:val="24"/>
                <w:szCs w:val="24"/>
                <w:highlight w:val="none"/>
                <w:lang w:val="en-US" w:eastAsia="zh-CN" w:bidi="ar-SA"/>
              </w:rPr>
              <w:t>.67</w:t>
            </w:r>
            <w:r>
              <w:rPr>
                <w:rFonts w:hint="default" w:ascii="Times New Roman" w:hAnsi="Times New Roman" w:eastAsia="宋体" w:cs="Times New Roman"/>
                <w:b w:val="0"/>
                <w:bCs w:val="0"/>
                <w:color w:val="auto"/>
                <w:kern w:val="0"/>
                <w:sz w:val="24"/>
                <w:szCs w:val="24"/>
                <w:highlight w:val="none"/>
                <w:lang w:val="en-US" w:eastAsia="zh-CN" w:bidi="ar-SA"/>
              </w:rPr>
              <w:t>m</w:t>
            </w:r>
            <w:r>
              <w:rPr>
                <w:rFonts w:hint="default" w:ascii="Times New Roman" w:hAnsi="Times New Roman" w:cs="Times New Roman"/>
                <w:b w:val="0"/>
                <w:bCs w:val="0"/>
                <w:color w:val="auto"/>
                <w:kern w:val="0"/>
                <w:sz w:val="24"/>
                <w:szCs w:val="24"/>
                <w:highlight w:val="none"/>
                <w:vertAlign w:val="superscript"/>
                <w:lang w:val="en-US" w:eastAsia="zh-CN" w:bidi="ar-SA"/>
              </w:rPr>
              <w:t>3</w:t>
            </w:r>
            <w:r>
              <w:rPr>
                <w:rFonts w:hint="default" w:ascii="Times New Roman" w:hAnsi="Times New Roman" w:eastAsia="宋体" w:cs="Times New Roman"/>
                <w:b w:val="0"/>
                <w:bCs w:val="0"/>
                <w:color w:val="auto"/>
                <w:kern w:val="0"/>
                <w:sz w:val="24"/>
                <w:szCs w:val="24"/>
                <w:highlight w:val="none"/>
                <w:lang w:val="en-US" w:eastAsia="zh-CN" w:bidi="ar-SA"/>
              </w:rPr>
              <w:t>/d</w:t>
            </w:r>
            <w:r>
              <w:rPr>
                <w:rFonts w:hint="eastAsia" w:ascii="Times New Roman" w:hAnsi="Times New Roman" w:cs="Times New Roman"/>
                <w:b w:val="0"/>
                <w:bCs w:val="0"/>
                <w:color w:val="auto"/>
                <w:kern w:val="0"/>
                <w:sz w:val="24"/>
                <w:szCs w:val="24"/>
                <w:highlight w:val="none"/>
                <w:lang w:val="en-US" w:eastAsia="zh-CN" w:bidi="ar-SA"/>
              </w:rPr>
              <w:t>（</w:t>
            </w:r>
            <w:r>
              <w:rPr>
                <w:rFonts w:hint="eastAsia" w:cs="Times New Roman"/>
                <w:b w:val="0"/>
                <w:bCs w:val="0"/>
                <w:color w:val="auto"/>
                <w:kern w:val="0"/>
                <w:sz w:val="24"/>
                <w:szCs w:val="24"/>
                <w:highlight w:val="none"/>
                <w:lang w:val="en-US" w:eastAsia="zh-CN" w:bidi="ar-SA"/>
              </w:rPr>
              <w:t>50000.0</w:t>
            </w:r>
            <w:r>
              <w:rPr>
                <w:rFonts w:hint="default" w:ascii="Times New Roman" w:hAnsi="Times New Roman" w:eastAsia="宋体" w:cs="Times New Roman"/>
                <w:b w:val="0"/>
                <w:bCs w:val="0"/>
                <w:color w:val="auto"/>
                <w:kern w:val="0"/>
                <w:sz w:val="24"/>
                <w:szCs w:val="24"/>
                <w:highlight w:val="none"/>
                <w:lang w:val="en-US" w:eastAsia="zh-CN" w:bidi="ar-SA"/>
              </w:rPr>
              <w:t>m</w:t>
            </w:r>
            <w:r>
              <w:rPr>
                <w:rFonts w:hint="default" w:ascii="Times New Roman" w:hAnsi="Times New Roman" w:cs="Times New Roman"/>
                <w:b w:val="0"/>
                <w:bCs w:val="0"/>
                <w:color w:val="auto"/>
                <w:kern w:val="0"/>
                <w:sz w:val="24"/>
                <w:szCs w:val="24"/>
                <w:highlight w:val="none"/>
                <w:vertAlign w:val="superscript"/>
                <w:lang w:val="en-US" w:eastAsia="zh-CN" w:bidi="ar-SA"/>
              </w:rPr>
              <w:t>3</w:t>
            </w:r>
            <w:r>
              <w:rPr>
                <w:rFonts w:hint="eastAsia" w:ascii="Times New Roman" w:hAnsi="Times New Roman" w:cs="Times New Roman"/>
                <w:b w:val="0"/>
                <w:bCs w:val="0"/>
                <w:color w:val="auto"/>
                <w:kern w:val="0"/>
                <w:sz w:val="24"/>
                <w:szCs w:val="24"/>
                <w:highlight w:val="none"/>
                <w:vertAlign w:val="baseline"/>
                <w:lang w:val="en-US" w:eastAsia="zh-CN" w:bidi="ar-SA"/>
              </w:rPr>
              <w:t>/a）。</w:t>
            </w:r>
          </w:p>
          <w:p w14:paraId="6772E9C7">
            <w:pPr>
              <w:bidi w:val="0"/>
              <w:rPr>
                <w:rFonts w:hint="eastAsia"/>
                <w:color w:val="auto"/>
                <w:highlight w:val="none"/>
                <w:lang w:val="en-US" w:eastAsia="zh-CN"/>
              </w:rPr>
            </w:pPr>
            <w:r>
              <w:rPr>
                <w:rFonts w:hint="eastAsia"/>
                <w:color w:val="auto"/>
                <w:highlight w:val="none"/>
                <w:lang w:val="en-US" w:eastAsia="zh-CN"/>
              </w:rPr>
              <w:t>②车辆冲洗用水</w:t>
            </w:r>
          </w:p>
          <w:p w14:paraId="4A81EE92">
            <w:pPr>
              <w:spacing w:line="360" w:lineRule="auto"/>
              <w:ind w:firstLine="480" w:firstLineChars="200"/>
              <w:rPr>
                <w:rFonts w:hint="eastAsia"/>
                <w:bCs/>
                <w:color w:val="auto"/>
                <w:sz w:val="24"/>
                <w:highlight w:val="none"/>
              </w:rPr>
            </w:pPr>
            <w:r>
              <w:rPr>
                <w:rFonts w:hint="eastAsia" w:hAnsi="宋体"/>
                <w:color w:val="auto"/>
                <w:sz w:val="24"/>
                <w:highlight w:val="none"/>
                <w:lang w:val="en-US" w:eastAsia="zh-CN"/>
              </w:rPr>
              <w:t>厂区出入口</w:t>
            </w:r>
            <w:r>
              <w:rPr>
                <w:rFonts w:hint="eastAsia" w:hAnsi="宋体"/>
                <w:color w:val="auto"/>
                <w:sz w:val="24"/>
                <w:highlight w:val="none"/>
              </w:rPr>
              <w:t>设置洗车台，</w:t>
            </w:r>
            <w:r>
              <w:rPr>
                <w:rFonts w:hint="eastAsia"/>
                <w:color w:val="auto"/>
                <w:highlight w:val="none"/>
                <w:lang w:val="en-US" w:eastAsia="zh-CN"/>
              </w:rPr>
              <w:t>蒸压硅酸盐功能骨料运输车辆出厂区，及粉煤灰、炉渣、镁渣和脱硫石膏等原料运输车辆进入厂区时需进行轮胎冲洗</w:t>
            </w:r>
            <w:r>
              <w:rPr>
                <w:rFonts w:hint="eastAsia" w:hAnsi="宋体"/>
                <w:color w:val="auto"/>
                <w:sz w:val="24"/>
                <w:highlight w:val="none"/>
              </w:rPr>
              <w:t>。</w:t>
            </w:r>
            <w:r>
              <w:rPr>
                <w:color w:val="auto"/>
                <w:highlight w:val="none"/>
              </w:rPr>
              <w:t>根据同类车辆冲洗水量</w:t>
            </w:r>
            <w:r>
              <w:rPr>
                <w:rFonts w:hint="eastAsia"/>
                <w:color w:val="auto"/>
                <w:highlight w:val="none"/>
                <w:lang w:eastAsia="zh-CN"/>
              </w:rPr>
              <w:t>，</w:t>
            </w:r>
            <w:r>
              <w:rPr>
                <w:rFonts w:hint="eastAsia" w:hAnsi="宋体"/>
                <w:color w:val="auto"/>
                <w:sz w:val="24"/>
                <w:highlight w:val="none"/>
              </w:rPr>
              <w:t>每辆车每次</w:t>
            </w:r>
            <w:r>
              <w:rPr>
                <w:rFonts w:hint="eastAsia" w:hAnsi="宋体"/>
                <w:color w:val="auto"/>
                <w:sz w:val="24"/>
                <w:highlight w:val="none"/>
                <w:lang w:val="en-US" w:eastAsia="zh-CN"/>
              </w:rPr>
              <w:t>轮胎</w:t>
            </w:r>
            <w:r>
              <w:rPr>
                <w:rFonts w:hint="eastAsia" w:hAnsi="宋体"/>
                <w:color w:val="auto"/>
                <w:sz w:val="24"/>
                <w:highlight w:val="none"/>
              </w:rPr>
              <w:t>清洗需水0</w:t>
            </w:r>
            <w:r>
              <w:rPr>
                <w:rFonts w:hAnsi="宋体"/>
                <w:color w:val="auto"/>
                <w:sz w:val="24"/>
                <w:highlight w:val="none"/>
              </w:rPr>
              <w:t>.1</w:t>
            </w:r>
            <w:r>
              <w:rPr>
                <w:rFonts w:hint="eastAsia"/>
                <w:bCs/>
                <w:color w:val="auto"/>
                <w:sz w:val="24"/>
                <w:highlight w:val="none"/>
              </w:rPr>
              <w:t>m</w:t>
            </w:r>
            <w:r>
              <w:rPr>
                <w:rFonts w:hint="eastAsia"/>
                <w:bCs/>
                <w:color w:val="auto"/>
                <w:sz w:val="24"/>
                <w:highlight w:val="none"/>
                <w:vertAlign w:val="superscript"/>
                <w:lang w:val="en-US" w:eastAsia="zh-CN"/>
              </w:rPr>
              <w:t>3</w:t>
            </w:r>
            <w:r>
              <w:rPr>
                <w:rFonts w:hint="eastAsia" w:hAnsi="宋体"/>
                <w:color w:val="auto"/>
                <w:sz w:val="24"/>
                <w:highlight w:val="none"/>
              </w:rPr>
              <w:t>，排水量9</w:t>
            </w:r>
            <w:r>
              <w:rPr>
                <w:rFonts w:hAnsi="宋体"/>
                <w:color w:val="auto"/>
                <w:sz w:val="24"/>
                <w:highlight w:val="none"/>
              </w:rPr>
              <w:t>0%</w:t>
            </w:r>
            <w:r>
              <w:rPr>
                <w:rFonts w:hint="eastAsia" w:hAnsi="宋体"/>
                <w:color w:val="auto"/>
                <w:sz w:val="24"/>
                <w:highlight w:val="none"/>
              </w:rPr>
              <w:t>，清洗废水经沉淀后循环使用。</w:t>
            </w:r>
            <w:r>
              <w:rPr>
                <w:color w:val="auto"/>
                <w:sz w:val="24"/>
                <w:highlight w:val="none"/>
              </w:rPr>
              <w:t>成品</w:t>
            </w:r>
            <w:r>
              <w:rPr>
                <w:rFonts w:hint="eastAsia"/>
                <w:color w:val="auto"/>
                <w:sz w:val="24"/>
                <w:highlight w:val="none"/>
                <w:lang w:val="en-US" w:eastAsia="zh-CN"/>
              </w:rPr>
              <w:t>蒸压硅酸盐功能骨料</w:t>
            </w:r>
            <w:r>
              <w:rPr>
                <w:color w:val="auto"/>
                <w:sz w:val="24"/>
                <w:highlight w:val="none"/>
              </w:rPr>
              <w:t>全年运输量为</w:t>
            </w:r>
            <w:r>
              <w:rPr>
                <w:rFonts w:hint="eastAsia"/>
                <w:color w:val="auto"/>
                <w:sz w:val="24"/>
                <w:highlight w:val="none"/>
                <w:lang w:val="en-US" w:eastAsia="zh-CN"/>
              </w:rPr>
              <w:t>100万t</w:t>
            </w:r>
            <w:r>
              <w:rPr>
                <w:color w:val="auto"/>
                <w:sz w:val="24"/>
                <w:highlight w:val="none"/>
              </w:rPr>
              <w:t>，单车平均每次运输量30t，全年运输车辆为</w:t>
            </w:r>
            <w:r>
              <w:rPr>
                <w:rFonts w:hint="eastAsia"/>
                <w:color w:val="auto"/>
                <w:sz w:val="24"/>
                <w:highlight w:val="none"/>
                <w:lang w:val="en-US" w:eastAsia="zh-CN"/>
              </w:rPr>
              <w:t>33334</w:t>
            </w:r>
            <w:r>
              <w:rPr>
                <w:color w:val="auto"/>
                <w:sz w:val="24"/>
                <w:highlight w:val="none"/>
              </w:rPr>
              <w:t>车次</w:t>
            </w:r>
            <w:r>
              <w:rPr>
                <w:bCs/>
                <w:color w:val="auto"/>
                <w:sz w:val="24"/>
                <w:highlight w:val="none"/>
              </w:rPr>
              <w:t>；原料年运输量为</w:t>
            </w:r>
            <w:r>
              <w:rPr>
                <w:rFonts w:hint="eastAsia"/>
                <w:bCs/>
                <w:color w:val="auto"/>
                <w:sz w:val="24"/>
                <w:highlight w:val="none"/>
                <w:lang w:val="en-US" w:eastAsia="zh-CN"/>
              </w:rPr>
              <w:t>94.5万</w:t>
            </w:r>
            <w:r>
              <w:rPr>
                <w:bCs/>
                <w:color w:val="auto"/>
                <w:sz w:val="24"/>
                <w:highlight w:val="none"/>
              </w:rPr>
              <w:t>t/a，单车每次运输量</w:t>
            </w:r>
            <w:r>
              <w:rPr>
                <w:rFonts w:hint="eastAsia"/>
                <w:bCs/>
                <w:color w:val="auto"/>
                <w:sz w:val="24"/>
                <w:highlight w:val="none"/>
                <w:lang w:val="en-US" w:eastAsia="zh-CN"/>
              </w:rPr>
              <w:t>3</w:t>
            </w:r>
            <w:r>
              <w:rPr>
                <w:bCs/>
                <w:color w:val="auto"/>
                <w:sz w:val="24"/>
                <w:highlight w:val="none"/>
              </w:rPr>
              <w:t>0t，则需运输</w:t>
            </w:r>
            <w:r>
              <w:rPr>
                <w:rFonts w:hint="eastAsia"/>
                <w:bCs/>
                <w:color w:val="auto"/>
                <w:sz w:val="24"/>
                <w:highlight w:val="none"/>
                <w:lang w:val="en-US" w:eastAsia="zh-CN"/>
              </w:rPr>
              <w:t>31502</w:t>
            </w:r>
            <w:r>
              <w:rPr>
                <w:bCs/>
                <w:color w:val="auto"/>
                <w:sz w:val="24"/>
                <w:highlight w:val="none"/>
              </w:rPr>
              <w:t>车次，项目年运输量总计约</w:t>
            </w:r>
            <w:r>
              <w:rPr>
                <w:rFonts w:hint="eastAsia"/>
                <w:bCs/>
                <w:color w:val="auto"/>
                <w:sz w:val="24"/>
                <w:highlight w:val="none"/>
                <w:lang w:val="en-US" w:eastAsia="zh-CN"/>
              </w:rPr>
              <w:t>64836</w:t>
            </w:r>
            <w:r>
              <w:rPr>
                <w:bCs/>
                <w:color w:val="auto"/>
                <w:sz w:val="24"/>
                <w:highlight w:val="none"/>
              </w:rPr>
              <w:t>车次</w:t>
            </w:r>
            <w:r>
              <w:rPr>
                <w:rFonts w:hint="eastAsia"/>
                <w:bCs/>
                <w:color w:val="auto"/>
                <w:sz w:val="24"/>
                <w:highlight w:val="none"/>
              </w:rPr>
              <w:t>。因此</w:t>
            </w:r>
            <w:r>
              <w:rPr>
                <w:rFonts w:hint="eastAsia"/>
                <w:bCs/>
                <w:color w:val="auto"/>
                <w:sz w:val="24"/>
                <w:highlight w:val="none"/>
                <w:lang w:val="en-US" w:eastAsia="zh-CN"/>
              </w:rPr>
              <w:t>车辆</w:t>
            </w:r>
            <w:r>
              <w:rPr>
                <w:rFonts w:hint="eastAsia"/>
                <w:bCs/>
                <w:color w:val="auto"/>
                <w:sz w:val="24"/>
                <w:highlight w:val="none"/>
              </w:rPr>
              <w:t>清洗水为</w:t>
            </w:r>
            <w:r>
              <w:rPr>
                <w:rFonts w:hint="eastAsia"/>
                <w:bCs/>
                <w:color w:val="auto"/>
                <w:sz w:val="24"/>
                <w:highlight w:val="none"/>
                <w:lang w:val="en-US" w:eastAsia="zh-CN"/>
              </w:rPr>
              <w:t>21.61</w:t>
            </w:r>
            <w:r>
              <w:rPr>
                <w:color w:val="auto"/>
                <w:highlight w:val="none"/>
                <w:lang w:val="zh-TW"/>
              </w:rPr>
              <w:t>m</w:t>
            </w:r>
            <w:r>
              <w:rPr>
                <w:color w:val="auto"/>
                <w:highlight w:val="none"/>
                <w:vertAlign w:val="superscript"/>
                <w:lang w:val="zh-TW"/>
              </w:rPr>
              <w:t>3</w:t>
            </w:r>
            <w:r>
              <w:rPr>
                <w:color w:val="auto"/>
                <w:highlight w:val="none"/>
                <w:lang w:val="zh-TW"/>
              </w:rPr>
              <w:t>/d</w:t>
            </w:r>
            <w:r>
              <w:rPr>
                <w:rFonts w:hint="eastAsia"/>
                <w:color w:val="auto"/>
                <w:highlight w:val="none"/>
                <w:lang w:val="zh-TW" w:eastAsia="zh-CN"/>
              </w:rPr>
              <w:t>（</w:t>
            </w:r>
            <w:r>
              <w:rPr>
                <w:rFonts w:hint="eastAsia"/>
                <w:bCs/>
                <w:color w:val="auto"/>
                <w:sz w:val="24"/>
                <w:highlight w:val="none"/>
                <w:lang w:val="en-US" w:eastAsia="zh-CN"/>
              </w:rPr>
              <w:t>6483.6</w:t>
            </w:r>
            <w:r>
              <w:rPr>
                <w:rFonts w:hint="eastAsia"/>
                <w:bCs/>
                <w:color w:val="auto"/>
                <w:sz w:val="24"/>
                <w:highlight w:val="none"/>
              </w:rPr>
              <w:t>m</w:t>
            </w:r>
            <w:r>
              <w:rPr>
                <w:rFonts w:hint="eastAsia"/>
                <w:bCs/>
                <w:color w:val="auto"/>
                <w:sz w:val="24"/>
                <w:highlight w:val="none"/>
                <w:vertAlign w:val="superscript"/>
                <w:lang w:val="en-US" w:eastAsia="zh-CN"/>
              </w:rPr>
              <w:t>3</w:t>
            </w:r>
            <w:r>
              <w:rPr>
                <w:bCs/>
                <w:color w:val="auto"/>
                <w:sz w:val="24"/>
                <w:highlight w:val="none"/>
              </w:rPr>
              <w:t>/</w:t>
            </w:r>
            <w:r>
              <w:rPr>
                <w:rFonts w:hint="eastAsia"/>
                <w:bCs/>
                <w:color w:val="auto"/>
                <w:sz w:val="24"/>
                <w:highlight w:val="none"/>
              </w:rPr>
              <w:t>a</w:t>
            </w:r>
            <w:r>
              <w:rPr>
                <w:rFonts w:hint="eastAsia"/>
                <w:bCs/>
                <w:color w:val="auto"/>
                <w:sz w:val="24"/>
                <w:highlight w:val="none"/>
                <w:lang w:eastAsia="zh-CN"/>
              </w:rPr>
              <w:t>）</w:t>
            </w:r>
            <w:r>
              <w:rPr>
                <w:rFonts w:hint="eastAsia"/>
                <w:bCs/>
                <w:color w:val="auto"/>
                <w:sz w:val="24"/>
                <w:highlight w:val="none"/>
              </w:rPr>
              <w:t>，</w:t>
            </w:r>
            <w:r>
              <w:rPr>
                <w:rFonts w:hint="eastAsia"/>
                <w:bCs/>
                <w:color w:val="auto"/>
                <w:sz w:val="24"/>
                <w:highlight w:val="none"/>
                <w:lang w:val="en-US" w:eastAsia="zh-CN"/>
              </w:rPr>
              <w:t>其中新鲜用水量为2.16</w:t>
            </w:r>
            <w:r>
              <w:rPr>
                <w:color w:val="auto"/>
                <w:highlight w:val="none"/>
                <w:lang w:val="zh-TW"/>
              </w:rPr>
              <w:t>m</w:t>
            </w:r>
            <w:r>
              <w:rPr>
                <w:color w:val="auto"/>
                <w:highlight w:val="none"/>
                <w:vertAlign w:val="superscript"/>
                <w:lang w:val="zh-TW"/>
              </w:rPr>
              <w:t>3</w:t>
            </w:r>
            <w:r>
              <w:rPr>
                <w:color w:val="auto"/>
                <w:highlight w:val="none"/>
                <w:lang w:val="zh-TW"/>
              </w:rPr>
              <w:t>/d</w:t>
            </w:r>
            <w:r>
              <w:rPr>
                <w:rFonts w:hint="eastAsia"/>
                <w:color w:val="auto"/>
                <w:highlight w:val="none"/>
                <w:lang w:val="zh-TW" w:eastAsia="zh-CN"/>
              </w:rPr>
              <w:t>（</w:t>
            </w:r>
            <w:r>
              <w:rPr>
                <w:rFonts w:hint="eastAsia"/>
                <w:color w:val="auto"/>
                <w:highlight w:val="none"/>
                <w:lang w:val="en-US" w:eastAsia="zh-CN"/>
              </w:rPr>
              <w:t>648.4</w:t>
            </w:r>
            <w:r>
              <w:rPr>
                <w:rFonts w:hint="eastAsia"/>
                <w:bCs/>
                <w:color w:val="auto"/>
                <w:sz w:val="24"/>
                <w:highlight w:val="none"/>
              </w:rPr>
              <w:t>m</w:t>
            </w:r>
            <w:r>
              <w:rPr>
                <w:rFonts w:hint="eastAsia"/>
                <w:bCs/>
                <w:color w:val="auto"/>
                <w:sz w:val="24"/>
                <w:highlight w:val="none"/>
                <w:vertAlign w:val="superscript"/>
                <w:lang w:val="en-US" w:eastAsia="zh-CN"/>
              </w:rPr>
              <w:t>3</w:t>
            </w:r>
            <w:r>
              <w:rPr>
                <w:bCs/>
                <w:color w:val="auto"/>
                <w:sz w:val="24"/>
                <w:highlight w:val="none"/>
              </w:rPr>
              <w:t>/</w:t>
            </w:r>
            <w:r>
              <w:rPr>
                <w:rFonts w:hint="eastAsia"/>
                <w:bCs/>
                <w:color w:val="auto"/>
                <w:sz w:val="24"/>
                <w:highlight w:val="none"/>
              </w:rPr>
              <w:t>a</w:t>
            </w:r>
            <w:r>
              <w:rPr>
                <w:rFonts w:hint="eastAsia"/>
                <w:bCs/>
                <w:color w:val="auto"/>
                <w:sz w:val="24"/>
                <w:highlight w:val="none"/>
                <w:lang w:eastAsia="zh-CN"/>
              </w:rPr>
              <w:t>），</w:t>
            </w:r>
            <w:r>
              <w:rPr>
                <w:rFonts w:hint="eastAsia"/>
                <w:bCs/>
                <w:color w:val="auto"/>
                <w:sz w:val="24"/>
                <w:highlight w:val="none"/>
                <w:lang w:val="en-US" w:eastAsia="zh-CN"/>
              </w:rPr>
              <w:t>回用水量19.45</w:t>
            </w:r>
            <w:r>
              <w:rPr>
                <w:color w:val="auto"/>
                <w:highlight w:val="none"/>
                <w:lang w:val="zh-TW"/>
              </w:rPr>
              <w:t>m</w:t>
            </w:r>
            <w:r>
              <w:rPr>
                <w:color w:val="auto"/>
                <w:highlight w:val="none"/>
                <w:vertAlign w:val="superscript"/>
                <w:lang w:val="zh-TW"/>
              </w:rPr>
              <w:t>3</w:t>
            </w:r>
            <w:r>
              <w:rPr>
                <w:color w:val="auto"/>
                <w:highlight w:val="none"/>
                <w:lang w:val="zh-TW"/>
              </w:rPr>
              <w:t>/d</w:t>
            </w:r>
            <w:r>
              <w:rPr>
                <w:rFonts w:hint="eastAsia"/>
                <w:color w:val="auto"/>
                <w:highlight w:val="none"/>
                <w:lang w:val="zh-TW" w:eastAsia="zh-CN"/>
              </w:rPr>
              <w:t>（</w:t>
            </w:r>
            <w:r>
              <w:rPr>
                <w:rFonts w:hint="eastAsia"/>
                <w:bCs/>
                <w:color w:val="auto"/>
                <w:sz w:val="24"/>
                <w:highlight w:val="none"/>
                <w:lang w:val="en-US" w:eastAsia="zh-CN"/>
              </w:rPr>
              <w:t>5835.2</w:t>
            </w:r>
            <w:r>
              <w:rPr>
                <w:rFonts w:hint="eastAsia"/>
                <w:bCs/>
                <w:color w:val="auto"/>
                <w:sz w:val="24"/>
                <w:highlight w:val="none"/>
              </w:rPr>
              <w:t>m</w:t>
            </w:r>
            <w:r>
              <w:rPr>
                <w:rFonts w:hint="eastAsia"/>
                <w:bCs/>
                <w:color w:val="auto"/>
                <w:sz w:val="24"/>
                <w:highlight w:val="none"/>
                <w:vertAlign w:val="superscript"/>
                <w:lang w:val="en-US" w:eastAsia="zh-CN"/>
              </w:rPr>
              <w:t>3</w:t>
            </w:r>
            <w:r>
              <w:rPr>
                <w:bCs/>
                <w:color w:val="auto"/>
                <w:sz w:val="24"/>
                <w:highlight w:val="none"/>
              </w:rPr>
              <w:t>/</w:t>
            </w:r>
            <w:r>
              <w:rPr>
                <w:rFonts w:hint="eastAsia"/>
                <w:bCs/>
                <w:color w:val="auto"/>
                <w:sz w:val="24"/>
                <w:highlight w:val="none"/>
              </w:rPr>
              <w:t>a</w:t>
            </w:r>
            <w:r>
              <w:rPr>
                <w:rFonts w:hint="eastAsia"/>
                <w:bCs/>
                <w:color w:val="auto"/>
                <w:sz w:val="24"/>
                <w:highlight w:val="none"/>
                <w:lang w:eastAsia="zh-CN"/>
              </w:rPr>
              <w:t>）</w:t>
            </w:r>
            <w:r>
              <w:rPr>
                <w:rFonts w:hint="eastAsia"/>
                <w:bCs/>
                <w:color w:val="auto"/>
                <w:sz w:val="24"/>
                <w:highlight w:val="none"/>
              </w:rPr>
              <w:t>。</w:t>
            </w:r>
          </w:p>
          <w:p w14:paraId="0F64C075">
            <w:pPr>
              <w:pStyle w:val="41"/>
              <w:bidi w:val="0"/>
              <w:rPr>
                <w:rFonts w:hint="default"/>
                <w:color w:val="auto"/>
                <w:highlight w:val="none"/>
                <w:lang w:val="en-US" w:eastAsia="zh-CN"/>
              </w:rPr>
            </w:pPr>
            <w:r>
              <w:rPr>
                <w:rFonts w:hint="eastAsia"/>
                <w:color w:val="auto"/>
                <w:highlight w:val="none"/>
                <w:lang w:val="en-US" w:eastAsia="zh-CN"/>
              </w:rPr>
              <w:t>2）混凝土生产线</w:t>
            </w:r>
          </w:p>
          <w:p w14:paraId="7A954B58">
            <w:pPr>
              <w:bidi w:val="0"/>
              <w:rPr>
                <w:rFonts w:hint="default"/>
                <w:color w:val="auto"/>
                <w:highlight w:val="none"/>
                <w:lang w:val="en-US" w:eastAsia="zh-CN"/>
              </w:rPr>
            </w:pPr>
            <w:r>
              <w:rPr>
                <w:rFonts w:hint="eastAsia"/>
                <w:color w:val="auto"/>
                <w:highlight w:val="none"/>
                <w:lang w:val="en-US" w:eastAsia="zh-CN"/>
              </w:rPr>
              <w:t>①搅拌用水</w:t>
            </w:r>
          </w:p>
          <w:p w14:paraId="09B2BE20">
            <w:pPr>
              <w:bidi w:val="0"/>
              <w:rPr>
                <w:rFonts w:hint="eastAsia"/>
                <w:color w:val="auto"/>
                <w:highlight w:val="none"/>
                <w:lang w:val="en-US" w:eastAsia="zh-CN"/>
              </w:rPr>
            </w:pPr>
            <w:r>
              <w:rPr>
                <w:rFonts w:hint="eastAsia" w:cs="Times New Roman"/>
                <w:b w:val="0"/>
                <w:bCs w:val="0"/>
                <w:color w:val="auto"/>
                <w:kern w:val="0"/>
                <w:sz w:val="24"/>
                <w:szCs w:val="24"/>
                <w:highlight w:val="none"/>
                <w:lang w:val="en-US" w:eastAsia="zh-CN" w:bidi="ar-SA"/>
              </w:rPr>
              <w:t>根据《工业用水定额：预拌混凝土及水泥制品》（水节约</w:t>
            </w:r>
            <w:r>
              <w:rPr>
                <w:color w:val="auto"/>
                <w:highlight w:val="none"/>
              </w:rPr>
              <w:t>〔202</w:t>
            </w:r>
            <w:r>
              <w:rPr>
                <w:rFonts w:hint="eastAsia"/>
                <w:color w:val="auto"/>
                <w:highlight w:val="none"/>
                <w:lang w:val="en-US" w:eastAsia="zh-CN"/>
              </w:rPr>
              <w:t>0</w:t>
            </w:r>
            <w:r>
              <w:rPr>
                <w:color w:val="auto"/>
                <w:highlight w:val="none"/>
              </w:rPr>
              <w:t>〕</w:t>
            </w:r>
            <w:r>
              <w:rPr>
                <w:rFonts w:hint="eastAsia" w:cs="Times New Roman"/>
                <w:b w:val="0"/>
                <w:bCs w:val="0"/>
                <w:color w:val="auto"/>
                <w:kern w:val="0"/>
                <w:sz w:val="24"/>
                <w:szCs w:val="24"/>
                <w:highlight w:val="none"/>
                <w:lang w:val="en-US" w:eastAsia="zh-CN" w:bidi="ar-SA"/>
              </w:rPr>
              <w:t>290号）中预拌混凝土及水泥制品用水定额，平均生产1m</w:t>
            </w:r>
            <w:r>
              <w:rPr>
                <w:rFonts w:hint="eastAsia" w:cs="Times New Roman"/>
                <w:b w:val="0"/>
                <w:bCs w:val="0"/>
                <w:color w:val="auto"/>
                <w:kern w:val="0"/>
                <w:sz w:val="24"/>
                <w:szCs w:val="24"/>
                <w:highlight w:val="none"/>
                <w:vertAlign w:val="superscript"/>
                <w:lang w:val="en-US" w:eastAsia="zh-CN" w:bidi="ar-SA"/>
              </w:rPr>
              <w:t>3</w:t>
            </w:r>
            <w:r>
              <w:rPr>
                <w:rFonts w:hint="eastAsia" w:cs="Times New Roman"/>
                <w:b w:val="0"/>
                <w:bCs w:val="0"/>
                <w:color w:val="auto"/>
                <w:kern w:val="0"/>
                <w:sz w:val="24"/>
                <w:szCs w:val="24"/>
                <w:highlight w:val="none"/>
                <w:lang w:val="en-US" w:eastAsia="zh-CN" w:bidi="ar-SA"/>
              </w:rPr>
              <w:t>预拌混凝土用水量为0.15m</w:t>
            </w:r>
            <w:r>
              <w:rPr>
                <w:rFonts w:hint="eastAsia" w:cs="Times New Roman"/>
                <w:b w:val="0"/>
                <w:bCs w:val="0"/>
                <w:color w:val="auto"/>
                <w:kern w:val="0"/>
                <w:sz w:val="24"/>
                <w:szCs w:val="24"/>
                <w:highlight w:val="none"/>
                <w:vertAlign w:val="superscript"/>
                <w:lang w:val="en-US" w:eastAsia="zh-CN" w:bidi="ar-SA"/>
              </w:rPr>
              <w:t>3</w:t>
            </w:r>
            <w:r>
              <w:rPr>
                <w:rFonts w:hint="eastAsia" w:cs="Times New Roman"/>
                <w:b w:val="0"/>
                <w:bCs w:val="0"/>
                <w:color w:val="auto"/>
                <w:kern w:val="0"/>
                <w:sz w:val="24"/>
                <w:szCs w:val="24"/>
                <w:highlight w:val="none"/>
                <w:lang w:val="en-US" w:eastAsia="zh-CN" w:bidi="ar-SA"/>
              </w:rPr>
              <w:t>。</w:t>
            </w:r>
            <w:r>
              <w:rPr>
                <w:rFonts w:hint="eastAsia"/>
                <w:color w:val="auto"/>
                <w:highlight w:val="none"/>
                <w:lang w:val="en-US" w:eastAsia="zh-CN"/>
              </w:rPr>
              <w:t>本项目年产50万</w:t>
            </w:r>
            <w:r>
              <w:rPr>
                <w:rFonts w:hint="default"/>
                <w:color w:val="auto"/>
                <w:highlight w:val="none"/>
                <w:lang w:val="en-US" w:eastAsia="zh-CN"/>
              </w:rPr>
              <w:t>m</w:t>
            </w:r>
            <w:r>
              <w:rPr>
                <w:rFonts w:hint="default"/>
                <w:color w:val="auto"/>
                <w:highlight w:val="none"/>
                <w:vertAlign w:val="superscript"/>
                <w:lang w:val="en-US" w:eastAsia="zh-CN"/>
              </w:rPr>
              <w:t>3</w:t>
            </w:r>
            <w:r>
              <w:rPr>
                <w:rFonts w:hint="eastAsia"/>
                <w:color w:val="auto"/>
                <w:highlight w:val="none"/>
                <w:lang w:val="en-US" w:eastAsia="zh-CN"/>
              </w:rPr>
              <w:t>绿色智能化预拌混凝土，则搅拌机搅拌用水量为340.91</w:t>
            </w:r>
            <w:r>
              <w:rPr>
                <w:rFonts w:hint="eastAsia" w:ascii="Times New Roman" w:hAnsi="Times New Roman" w:eastAsia="宋体" w:cs="Times New Roman"/>
                <w:b w:val="0"/>
                <w:bCs w:val="0"/>
                <w:color w:val="auto"/>
                <w:kern w:val="0"/>
                <w:sz w:val="24"/>
                <w:szCs w:val="24"/>
                <w:highlight w:val="none"/>
                <w:lang w:val="en-US" w:eastAsia="zh-CN" w:bidi="ar-SA"/>
              </w:rPr>
              <w:t>m</w:t>
            </w:r>
            <w:r>
              <w:rPr>
                <w:rFonts w:hint="eastAsia" w:ascii="Times New Roman" w:hAnsi="Times New Roman" w:eastAsia="宋体" w:cs="Times New Roman"/>
                <w:b w:val="0"/>
                <w:bCs w:val="0"/>
                <w:color w:val="auto"/>
                <w:kern w:val="0"/>
                <w:sz w:val="24"/>
                <w:szCs w:val="24"/>
                <w:highlight w:val="none"/>
                <w:vertAlign w:val="superscript"/>
                <w:lang w:val="en-US" w:eastAsia="zh-CN" w:bidi="ar-SA"/>
              </w:rPr>
              <w:t>3</w:t>
            </w:r>
            <w:r>
              <w:rPr>
                <w:rFonts w:hint="eastAsia" w:ascii="Times New Roman" w:hAnsi="Times New Roman" w:eastAsia="宋体" w:cs="Times New Roman"/>
                <w:b w:val="0"/>
                <w:bCs w:val="0"/>
                <w:color w:val="auto"/>
                <w:kern w:val="0"/>
                <w:sz w:val="24"/>
                <w:szCs w:val="24"/>
                <w:highlight w:val="none"/>
                <w:lang w:val="en-US" w:eastAsia="zh-CN" w:bidi="ar-SA"/>
              </w:rPr>
              <w:t>/d</w:t>
            </w:r>
            <w:r>
              <w:rPr>
                <w:rFonts w:hint="eastAsia"/>
                <w:color w:val="auto"/>
                <w:highlight w:val="none"/>
                <w:lang w:val="en-US" w:eastAsia="zh-CN"/>
              </w:rPr>
              <w:t>（75000.0</w:t>
            </w:r>
            <w:r>
              <w:rPr>
                <w:rFonts w:hint="eastAsia"/>
                <w:bCs/>
                <w:color w:val="auto"/>
                <w:sz w:val="24"/>
                <w:highlight w:val="none"/>
              </w:rPr>
              <w:t>m</w:t>
            </w:r>
            <w:r>
              <w:rPr>
                <w:rFonts w:hint="eastAsia"/>
                <w:bCs/>
                <w:color w:val="auto"/>
                <w:sz w:val="24"/>
                <w:highlight w:val="none"/>
                <w:vertAlign w:val="superscript"/>
                <w:lang w:val="en-US" w:eastAsia="zh-CN"/>
              </w:rPr>
              <w:t>3</w:t>
            </w:r>
            <w:r>
              <w:rPr>
                <w:bCs/>
                <w:color w:val="auto"/>
                <w:sz w:val="24"/>
                <w:highlight w:val="none"/>
              </w:rPr>
              <w:t>/</w:t>
            </w:r>
            <w:r>
              <w:rPr>
                <w:rFonts w:hint="eastAsia"/>
                <w:bCs/>
                <w:color w:val="auto"/>
                <w:sz w:val="24"/>
                <w:highlight w:val="none"/>
              </w:rPr>
              <w:t>a</w:t>
            </w:r>
            <w:r>
              <w:rPr>
                <w:rFonts w:hint="eastAsia"/>
                <w:color w:val="auto"/>
                <w:highlight w:val="none"/>
                <w:lang w:val="en-US" w:eastAsia="zh-CN"/>
              </w:rPr>
              <w:t>）。</w:t>
            </w:r>
          </w:p>
          <w:p w14:paraId="6919A413">
            <w:pPr>
              <w:bidi w:val="0"/>
              <w:rPr>
                <w:rFonts w:hint="default"/>
                <w:color w:val="auto"/>
                <w:highlight w:val="none"/>
                <w:lang w:val="en-US" w:eastAsia="zh-CN"/>
              </w:rPr>
            </w:pPr>
            <w:r>
              <w:rPr>
                <w:rFonts w:hint="eastAsia"/>
                <w:color w:val="auto"/>
                <w:highlight w:val="none"/>
                <w:lang w:val="en-US" w:eastAsia="zh-CN"/>
              </w:rPr>
              <w:t>②设备清洗用水</w:t>
            </w:r>
          </w:p>
          <w:p w14:paraId="7ED508F7">
            <w:pPr>
              <w:bidi w:val="0"/>
              <w:rPr>
                <w:color w:val="auto"/>
                <w:highlight w:val="none"/>
                <w:lang w:val="zh-TW"/>
              </w:rPr>
            </w:pPr>
            <w:r>
              <w:rPr>
                <w:rFonts w:hint="default"/>
                <w:color w:val="auto"/>
                <w:highlight w:val="none"/>
                <w:lang w:val="en-US" w:eastAsia="zh-CN"/>
              </w:rPr>
              <w:t>搅拌机为本项目的主要生产设备，在暂时停止生产时需冲洗干净，本项目2台搅拌机，每天冲洗1次，搅拌机冲洗水量为2m</w:t>
            </w:r>
            <w:r>
              <w:rPr>
                <w:rFonts w:hint="default"/>
                <w:color w:val="auto"/>
                <w:highlight w:val="none"/>
                <w:vertAlign w:val="superscript"/>
                <w:lang w:val="en-US" w:eastAsia="zh-CN"/>
              </w:rPr>
              <w:t>3</w:t>
            </w:r>
            <w:r>
              <w:rPr>
                <w:rFonts w:hint="default"/>
                <w:color w:val="auto"/>
                <w:highlight w:val="none"/>
                <w:lang w:val="en-US" w:eastAsia="zh-CN"/>
              </w:rPr>
              <w:t>/次，</w:t>
            </w:r>
            <w:r>
              <w:rPr>
                <w:rFonts w:hint="eastAsia"/>
                <w:color w:val="auto"/>
                <w:highlight w:val="none"/>
                <w:lang w:val="en-US" w:eastAsia="zh-CN"/>
              </w:rPr>
              <w:t>则搅拌机</w:t>
            </w:r>
            <w:r>
              <w:rPr>
                <w:color w:val="auto"/>
                <w:highlight w:val="none"/>
              </w:rPr>
              <w:t>冲洗水用量约为</w:t>
            </w:r>
            <w:r>
              <w:rPr>
                <w:rFonts w:hint="eastAsia"/>
                <w:color w:val="auto"/>
                <w:highlight w:val="none"/>
                <w:lang w:val="en-US" w:eastAsia="zh-CN"/>
              </w:rPr>
              <w:t>2.0</w:t>
            </w:r>
            <w:r>
              <w:rPr>
                <w:color w:val="auto"/>
                <w:highlight w:val="none"/>
              </w:rPr>
              <w:t>m</w:t>
            </w:r>
            <w:r>
              <w:rPr>
                <w:color w:val="auto"/>
                <w:highlight w:val="none"/>
                <w:vertAlign w:val="superscript"/>
              </w:rPr>
              <w:t>3</w:t>
            </w:r>
            <w:r>
              <w:rPr>
                <w:color w:val="auto"/>
                <w:highlight w:val="none"/>
              </w:rPr>
              <w:t>/d</w:t>
            </w:r>
            <w:r>
              <w:rPr>
                <w:rFonts w:hint="eastAsia"/>
                <w:color w:val="auto"/>
                <w:highlight w:val="none"/>
              </w:rPr>
              <w:t>（</w:t>
            </w:r>
            <w:r>
              <w:rPr>
                <w:rFonts w:hint="eastAsia"/>
                <w:color w:val="auto"/>
                <w:highlight w:val="none"/>
                <w:lang w:val="en-US" w:eastAsia="zh-CN"/>
              </w:rPr>
              <w:t>440.0</w:t>
            </w:r>
            <w:r>
              <w:rPr>
                <w:color w:val="auto"/>
                <w:highlight w:val="none"/>
              </w:rPr>
              <w:t>m</w:t>
            </w:r>
            <w:r>
              <w:rPr>
                <w:color w:val="auto"/>
                <w:highlight w:val="none"/>
                <w:vertAlign w:val="superscript"/>
              </w:rPr>
              <w:t>3</w:t>
            </w:r>
            <w:r>
              <w:rPr>
                <w:color w:val="auto"/>
                <w:highlight w:val="none"/>
              </w:rPr>
              <w:t>/a</w:t>
            </w:r>
            <w:r>
              <w:rPr>
                <w:rFonts w:hint="eastAsia"/>
                <w:color w:val="auto"/>
                <w:highlight w:val="none"/>
              </w:rPr>
              <w:t>）</w:t>
            </w:r>
            <w:r>
              <w:rPr>
                <w:rFonts w:hint="eastAsia"/>
                <w:color w:val="auto"/>
                <w:highlight w:val="none"/>
                <w:lang w:eastAsia="zh-CN"/>
              </w:rPr>
              <w:t>；</w:t>
            </w:r>
            <w:r>
              <w:rPr>
                <w:rFonts w:hint="default"/>
                <w:color w:val="auto"/>
                <w:highlight w:val="none"/>
                <w:lang w:val="en-US" w:eastAsia="zh-CN"/>
              </w:rPr>
              <w:t>混凝土罐车配备水箱，在卸料完成后，及时向罐车内加水搅拌，待车辆返回厂区后，罐车内废水经砂石分离机分离后进入三级沉淀池处理，本项目年产混凝土</w:t>
            </w:r>
            <w:r>
              <w:rPr>
                <w:rFonts w:hint="eastAsia"/>
                <w:color w:val="auto"/>
                <w:highlight w:val="none"/>
                <w:lang w:val="en-US" w:eastAsia="zh-CN"/>
              </w:rPr>
              <w:t>50万</w:t>
            </w:r>
            <w:r>
              <w:rPr>
                <w:color w:val="auto"/>
                <w:highlight w:val="none"/>
              </w:rPr>
              <w:t>m</w:t>
            </w:r>
            <w:r>
              <w:rPr>
                <w:color w:val="auto"/>
                <w:highlight w:val="none"/>
                <w:vertAlign w:val="superscript"/>
              </w:rPr>
              <w:t>3</w:t>
            </w:r>
            <w:r>
              <w:rPr>
                <w:rFonts w:hint="eastAsia"/>
                <w:color w:val="auto"/>
                <w:highlight w:val="none"/>
                <w:lang w:val="en-US" w:eastAsia="zh-CN"/>
              </w:rPr>
              <w:t>，</w:t>
            </w:r>
            <w:r>
              <w:rPr>
                <w:color w:val="auto"/>
                <w:highlight w:val="none"/>
              </w:rPr>
              <w:t>混凝土罐车运输量平均</w:t>
            </w:r>
            <w:r>
              <w:rPr>
                <w:rFonts w:hint="eastAsia"/>
                <w:color w:val="auto"/>
                <w:highlight w:val="none"/>
              </w:rPr>
              <w:t>约</w:t>
            </w:r>
            <w:r>
              <w:rPr>
                <w:color w:val="auto"/>
                <w:highlight w:val="none"/>
              </w:rPr>
              <w:t>为</w:t>
            </w:r>
            <w:r>
              <w:rPr>
                <w:rFonts w:hint="eastAsia"/>
                <w:color w:val="auto"/>
                <w:highlight w:val="none"/>
                <w:lang w:val="en-US" w:eastAsia="zh-CN"/>
              </w:rPr>
              <w:t>2273</w:t>
            </w:r>
            <w:r>
              <w:rPr>
                <w:color w:val="auto"/>
                <w:highlight w:val="none"/>
              </w:rPr>
              <w:t>m</w:t>
            </w:r>
            <w:r>
              <w:rPr>
                <w:color w:val="auto"/>
                <w:highlight w:val="none"/>
                <w:vertAlign w:val="superscript"/>
              </w:rPr>
              <w:t>3</w:t>
            </w:r>
            <w:r>
              <w:rPr>
                <w:color w:val="auto"/>
                <w:highlight w:val="none"/>
              </w:rPr>
              <w:t>/d，按单车1次运输量为12m</w:t>
            </w:r>
            <w:r>
              <w:rPr>
                <w:color w:val="auto"/>
                <w:highlight w:val="none"/>
                <w:vertAlign w:val="superscript"/>
              </w:rPr>
              <w:t>3</w:t>
            </w:r>
            <w:r>
              <w:rPr>
                <w:color w:val="auto"/>
                <w:highlight w:val="none"/>
              </w:rPr>
              <w:t>计，则运输车辆为</w:t>
            </w:r>
            <w:r>
              <w:rPr>
                <w:rFonts w:hint="eastAsia"/>
                <w:color w:val="auto"/>
                <w:highlight w:val="none"/>
                <w:lang w:val="en-US" w:eastAsia="zh-CN"/>
              </w:rPr>
              <w:t>190</w:t>
            </w:r>
            <w:r>
              <w:rPr>
                <w:color w:val="auto"/>
                <w:highlight w:val="none"/>
              </w:rPr>
              <w:t>次/d，每次均需冲洗，根据同类车辆冲洗水量约为0.4m</w:t>
            </w:r>
            <w:r>
              <w:rPr>
                <w:color w:val="auto"/>
                <w:highlight w:val="none"/>
                <w:vertAlign w:val="superscript"/>
              </w:rPr>
              <w:t>3</w:t>
            </w:r>
            <w:r>
              <w:rPr>
                <w:color w:val="auto"/>
                <w:highlight w:val="none"/>
              </w:rPr>
              <w:t>/辆，</w:t>
            </w:r>
            <w:r>
              <w:rPr>
                <w:rFonts w:hint="default"/>
                <w:color w:val="auto"/>
                <w:highlight w:val="none"/>
                <w:lang w:val="en-US" w:eastAsia="zh-CN"/>
              </w:rPr>
              <w:t>则混凝土罐车冲洗水量约</w:t>
            </w:r>
            <w:r>
              <w:rPr>
                <w:rFonts w:hint="eastAsia"/>
                <w:color w:val="auto"/>
                <w:highlight w:val="none"/>
                <w:lang w:val="en-US" w:eastAsia="zh-CN"/>
              </w:rPr>
              <w:t>76.0</w:t>
            </w:r>
            <w:r>
              <w:rPr>
                <w:color w:val="auto"/>
                <w:highlight w:val="none"/>
              </w:rPr>
              <w:t>m</w:t>
            </w:r>
            <w:r>
              <w:rPr>
                <w:color w:val="auto"/>
                <w:highlight w:val="none"/>
                <w:vertAlign w:val="superscript"/>
              </w:rPr>
              <w:t>3</w:t>
            </w:r>
            <w:r>
              <w:rPr>
                <w:color w:val="auto"/>
                <w:highlight w:val="none"/>
              </w:rPr>
              <w:t>/d</w:t>
            </w:r>
            <w:r>
              <w:rPr>
                <w:rFonts w:hint="eastAsia"/>
                <w:color w:val="auto"/>
                <w:highlight w:val="none"/>
              </w:rPr>
              <w:t>（</w:t>
            </w:r>
            <w:r>
              <w:rPr>
                <w:rFonts w:hint="eastAsia"/>
                <w:color w:val="auto"/>
                <w:highlight w:val="none"/>
                <w:lang w:val="en-US" w:eastAsia="zh-CN"/>
              </w:rPr>
              <w:t>16720.0</w:t>
            </w:r>
            <w:r>
              <w:rPr>
                <w:color w:val="auto"/>
                <w:highlight w:val="none"/>
              </w:rPr>
              <w:t>m</w:t>
            </w:r>
            <w:r>
              <w:rPr>
                <w:color w:val="auto"/>
                <w:highlight w:val="none"/>
                <w:vertAlign w:val="superscript"/>
              </w:rPr>
              <w:t>3</w:t>
            </w:r>
            <w:r>
              <w:rPr>
                <w:color w:val="auto"/>
                <w:highlight w:val="none"/>
              </w:rPr>
              <w:t>/a</w:t>
            </w:r>
            <w:r>
              <w:rPr>
                <w:rFonts w:hint="eastAsia"/>
                <w:color w:val="auto"/>
                <w:highlight w:val="none"/>
              </w:rPr>
              <w:t>）</w:t>
            </w:r>
            <w:r>
              <w:rPr>
                <w:color w:val="auto"/>
                <w:highlight w:val="none"/>
              </w:rPr>
              <w:t>。</w:t>
            </w:r>
            <w:r>
              <w:rPr>
                <w:rFonts w:hint="eastAsia"/>
                <w:color w:val="auto"/>
                <w:highlight w:val="none"/>
                <w:lang w:val="en-US" w:eastAsia="zh-CN"/>
              </w:rPr>
              <w:t>因此</w:t>
            </w:r>
            <w:r>
              <w:rPr>
                <w:color w:val="auto"/>
                <w:highlight w:val="none"/>
              </w:rPr>
              <w:t>项目搅拌机、混凝土罐车冲洗用水量为</w:t>
            </w:r>
            <w:r>
              <w:rPr>
                <w:rFonts w:hint="eastAsia"/>
                <w:color w:val="auto"/>
                <w:highlight w:val="none"/>
                <w:lang w:val="en-US" w:eastAsia="zh-CN"/>
              </w:rPr>
              <w:t>78</w:t>
            </w:r>
            <w:r>
              <w:rPr>
                <w:color w:val="auto"/>
                <w:highlight w:val="none"/>
              </w:rPr>
              <w:t>m</w:t>
            </w:r>
            <w:r>
              <w:rPr>
                <w:color w:val="auto"/>
                <w:highlight w:val="none"/>
                <w:vertAlign w:val="superscript"/>
              </w:rPr>
              <w:t>3</w:t>
            </w:r>
            <w:r>
              <w:rPr>
                <w:color w:val="auto"/>
                <w:highlight w:val="none"/>
              </w:rPr>
              <w:t>/d（</w:t>
            </w:r>
            <w:r>
              <w:rPr>
                <w:rFonts w:hint="eastAsia"/>
                <w:color w:val="auto"/>
                <w:highlight w:val="none"/>
                <w:lang w:val="en-US" w:eastAsia="zh-CN"/>
              </w:rPr>
              <w:t>17160.0</w:t>
            </w:r>
            <w:r>
              <w:rPr>
                <w:color w:val="auto"/>
                <w:highlight w:val="none"/>
              </w:rPr>
              <w:t>m</w:t>
            </w:r>
            <w:r>
              <w:rPr>
                <w:color w:val="auto"/>
                <w:highlight w:val="none"/>
                <w:vertAlign w:val="superscript"/>
              </w:rPr>
              <w:t>3</w:t>
            </w:r>
            <w:r>
              <w:rPr>
                <w:color w:val="auto"/>
                <w:highlight w:val="none"/>
              </w:rPr>
              <w:t>/a）</w:t>
            </w:r>
            <w:r>
              <w:rPr>
                <w:rFonts w:hint="eastAsia"/>
                <w:color w:val="auto"/>
                <w:highlight w:val="none"/>
              </w:rPr>
              <w:t>，冲洗废水按用水量的90%计算，则冲洗废水约为</w:t>
            </w:r>
            <w:r>
              <w:rPr>
                <w:rFonts w:hint="eastAsia"/>
                <w:color w:val="auto"/>
                <w:highlight w:val="none"/>
                <w:lang w:val="en-US" w:eastAsia="zh-CN"/>
              </w:rPr>
              <w:t>70.2</w:t>
            </w:r>
            <w:r>
              <w:rPr>
                <w:color w:val="auto"/>
                <w:highlight w:val="none"/>
              </w:rPr>
              <w:t>m</w:t>
            </w:r>
            <w:r>
              <w:rPr>
                <w:color w:val="auto"/>
                <w:highlight w:val="none"/>
                <w:vertAlign w:val="superscript"/>
              </w:rPr>
              <w:t>3</w:t>
            </w:r>
            <w:r>
              <w:rPr>
                <w:color w:val="auto"/>
                <w:highlight w:val="none"/>
              </w:rPr>
              <w:t>/d</w:t>
            </w:r>
            <w:r>
              <w:rPr>
                <w:rFonts w:hint="eastAsia"/>
                <w:color w:val="auto"/>
                <w:highlight w:val="none"/>
                <w:lang w:eastAsia="zh-CN"/>
              </w:rPr>
              <w:t>（</w:t>
            </w:r>
            <w:r>
              <w:rPr>
                <w:rFonts w:hint="eastAsia"/>
                <w:color w:val="auto"/>
                <w:highlight w:val="none"/>
                <w:lang w:val="en-US" w:eastAsia="zh-CN"/>
              </w:rPr>
              <w:t>15444.0</w:t>
            </w:r>
            <w:r>
              <w:rPr>
                <w:rFonts w:hint="eastAsia"/>
                <w:color w:val="auto"/>
                <w:highlight w:val="none"/>
              </w:rPr>
              <w:t>m</w:t>
            </w:r>
            <w:r>
              <w:rPr>
                <w:rFonts w:hint="eastAsia"/>
                <w:color w:val="auto"/>
                <w:highlight w:val="none"/>
                <w:vertAlign w:val="superscript"/>
              </w:rPr>
              <w:t>3</w:t>
            </w:r>
            <w:r>
              <w:rPr>
                <w:rFonts w:hint="eastAsia"/>
                <w:color w:val="auto"/>
                <w:highlight w:val="none"/>
              </w:rPr>
              <w:t>/a</w:t>
            </w:r>
            <w:r>
              <w:rPr>
                <w:rFonts w:hint="eastAsia"/>
                <w:color w:val="auto"/>
                <w:highlight w:val="none"/>
                <w:lang w:eastAsia="zh-CN"/>
              </w:rPr>
              <w:t>）</w:t>
            </w:r>
            <w:r>
              <w:rPr>
                <w:rFonts w:hint="eastAsia"/>
                <w:color w:val="auto"/>
                <w:highlight w:val="none"/>
              </w:rPr>
              <w:t>。</w:t>
            </w:r>
            <w:r>
              <w:rPr>
                <w:color w:val="auto"/>
                <w:highlight w:val="none"/>
              </w:rPr>
              <w:t>项目配置三级沉淀池，冲洗废水经砂石分离</w:t>
            </w:r>
            <w:r>
              <w:rPr>
                <w:rFonts w:hint="eastAsia"/>
                <w:color w:val="auto"/>
                <w:highlight w:val="none"/>
              </w:rPr>
              <w:t>机</w:t>
            </w:r>
            <w:r>
              <w:rPr>
                <w:color w:val="auto"/>
                <w:highlight w:val="none"/>
              </w:rPr>
              <w:t>、沉淀池处理后回用于搅拌工序</w:t>
            </w:r>
            <w:r>
              <w:rPr>
                <w:color w:val="auto"/>
                <w:highlight w:val="none"/>
                <w:lang w:val="zh-TW"/>
              </w:rPr>
              <w:t>。</w:t>
            </w:r>
          </w:p>
          <w:p w14:paraId="641486FE">
            <w:pPr>
              <w:bidi w:val="0"/>
              <w:rPr>
                <w:rFonts w:hint="eastAsia"/>
                <w:color w:val="auto"/>
                <w:highlight w:val="none"/>
                <w:lang w:val="en-US" w:eastAsia="zh-CN"/>
              </w:rPr>
            </w:pPr>
            <w:r>
              <w:rPr>
                <w:rFonts w:hint="eastAsia"/>
                <w:color w:val="auto"/>
                <w:highlight w:val="none"/>
                <w:lang w:val="en-US" w:eastAsia="zh-CN"/>
              </w:rPr>
              <w:t>③车辆冲洗用水</w:t>
            </w:r>
          </w:p>
          <w:p w14:paraId="6FDE05DD">
            <w:pPr>
              <w:spacing w:line="360" w:lineRule="auto"/>
              <w:ind w:firstLine="480" w:firstLineChars="200"/>
              <w:rPr>
                <w:rFonts w:hint="eastAsia"/>
                <w:bCs/>
                <w:color w:val="auto"/>
                <w:sz w:val="24"/>
                <w:highlight w:val="none"/>
              </w:rPr>
            </w:pPr>
            <w:r>
              <w:rPr>
                <w:rFonts w:hint="eastAsia" w:hAnsi="宋体"/>
                <w:color w:val="auto"/>
                <w:sz w:val="24"/>
                <w:highlight w:val="none"/>
                <w:lang w:val="en-US" w:eastAsia="zh-CN"/>
              </w:rPr>
              <w:t>厂区出入口</w:t>
            </w:r>
            <w:r>
              <w:rPr>
                <w:rFonts w:hint="eastAsia" w:hAnsi="宋体"/>
                <w:color w:val="auto"/>
                <w:sz w:val="24"/>
                <w:highlight w:val="none"/>
              </w:rPr>
              <w:t>设置洗车台，</w:t>
            </w:r>
            <w:r>
              <w:rPr>
                <w:rFonts w:hint="eastAsia"/>
                <w:color w:val="auto"/>
                <w:highlight w:val="none"/>
                <w:lang w:val="en-US" w:eastAsia="zh-CN"/>
              </w:rPr>
              <w:t>混凝土罐车驶出厂区，及水泥、粉煤灰、砂石等原料运输车辆进入厂区时需进行轮胎冲洗</w:t>
            </w:r>
            <w:r>
              <w:rPr>
                <w:rFonts w:hint="eastAsia" w:hAnsi="宋体"/>
                <w:color w:val="auto"/>
                <w:sz w:val="24"/>
                <w:highlight w:val="none"/>
              </w:rPr>
              <w:t>。</w:t>
            </w:r>
            <w:r>
              <w:rPr>
                <w:color w:val="auto"/>
                <w:highlight w:val="none"/>
              </w:rPr>
              <w:t>根据同类车辆冲洗水量</w:t>
            </w:r>
            <w:r>
              <w:rPr>
                <w:rFonts w:hint="eastAsia"/>
                <w:color w:val="auto"/>
                <w:highlight w:val="none"/>
                <w:lang w:eastAsia="zh-CN"/>
              </w:rPr>
              <w:t>，</w:t>
            </w:r>
            <w:r>
              <w:rPr>
                <w:rFonts w:hint="eastAsia" w:hAnsi="宋体"/>
                <w:color w:val="auto"/>
                <w:sz w:val="24"/>
                <w:highlight w:val="none"/>
              </w:rPr>
              <w:t>每辆车每次</w:t>
            </w:r>
            <w:r>
              <w:rPr>
                <w:rFonts w:hint="eastAsia" w:hAnsi="宋体"/>
                <w:color w:val="auto"/>
                <w:sz w:val="24"/>
                <w:highlight w:val="none"/>
                <w:lang w:val="en-US" w:eastAsia="zh-CN"/>
              </w:rPr>
              <w:t>轮胎</w:t>
            </w:r>
            <w:r>
              <w:rPr>
                <w:rFonts w:hint="eastAsia" w:hAnsi="宋体"/>
                <w:color w:val="auto"/>
                <w:sz w:val="24"/>
                <w:highlight w:val="none"/>
              </w:rPr>
              <w:t>清洗需水0</w:t>
            </w:r>
            <w:r>
              <w:rPr>
                <w:rFonts w:hAnsi="宋体"/>
                <w:color w:val="auto"/>
                <w:sz w:val="24"/>
                <w:highlight w:val="none"/>
              </w:rPr>
              <w:t>.1</w:t>
            </w:r>
            <w:r>
              <w:rPr>
                <w:rFonts w:hint="eastAsia"/>
                <w:bCs/>
                <w:color w:val="auto"/>
                <w:sz w:val="24"/>
                <w:highlight w:val="none"/>
              </w:rPr>
              <w:t>m</w:t>
            </w:r>
            <w:r>
              <w:rPr>
                <w:rFonts w:hint="eastAsia"/>
                <w:bCs/>
                <w:color w:val="auto"/>
                <w:sz w:val="24"/>
                <w:highlight w:val="none"/>
                <w:vertAlign w:val="superscript"/>
                <w:lang w:val="en-US" w:eastAsia="zh-CN"/>
              </w:rPr>
              <w:t>3</w:t>
            </w:r>
            <w:r>
              <w:rPr>
                <w:rFonts w:hint="eastAsia" w:hAnsi="宋体"/>
                <w:color w:val="auto"/>
                <w:sz w:val="24"/>
                <w:highlight w:val="none"/>
              </w:rPr>
              <w:t>，排水量9</w:t>
            </w:r>
            <w:r>
              <w:rPr>
                <w:rFonts w:hAnsi="宋体"/>
                <w:color w:val="auto"/>
                <w:sz w:val="24"/>
                <w:highlight w:val="none"/>
              </w:rPr>
              <w:t>0%</w:t>
            </w:r>
            <w:r>
              <w:rPr>
                <w:rFonts w:hint="eastAsia" w:hAnsi="宋体"/>
                <w:color w:val="auto"/>
                <w:sz w:val="24"/>
                <w:highlight w:val="none"/>
              </w:rPr>
              <w:t>，清洗废水经沉淀后循环使用。</w:t>
            </w:r>
            <w:r>
              <w:rPr>
                <w:bCs/>
                <w:color w:val="auto"/>
                <w:sz w:val="24"/>
                <w:highlight w:val="none"/>
              </w:rPr>
              <w:t>项目成品混凝土年运输量为</w:t>
            </w:r>
            <w:r>
              <w:rPr>
                <w:rFonts w:hint="eastAsia"/>
                <w:bCs/>
                <w:color w:val="auto"/>
                <w:sz w:val="24"/>
                <w:highlight w:val="none"/>
                <w:lang w:val="en-US" w:eastAsia="zh-CN"/>
              </w:rPr>
              <w:t>50</w:t>
            </w:r>
            <w:r>
              <w:rPr>
                <w:bCs/>
                <w:color w:val="auto"/>
                <w:sz w:val="24"/>
                <w:highlight w:val="none"/>
              </w:rPr>
              <w:t>万m</w:t>
            </w:r>
            <w:r>
              <w:rPr>
                <w:bCs/>
                <w:color w:val="auto"/>
                <w:sz w:val="24"/>
                <w:highlight w:val="none"/>
                <w:vertAlign w:val="superscript"/>
              </w:rPr>
              <w:t>3</w:t>
            </w:r>
            <w:r>
              <w:rPr>
                <w:bCs/>
                <w:color w:val="auto"/>
                <w:sz w:val="24"/>
                <w:highlight w:val="none"/>
              </w:rPr>
              <w:t>/a，单车平均每次运输量为12</w:t>
            </w:r>
            <w:r>
              <w:rPr>
                <w:rFonts w:hint="eastAsia"/>
                <w:bCs/>
                <w:color w:val="auto"/>
                <w:sz w:val="24"/>
                <w:highlight w:val="none"/>
              </w:rPr>
              <w:t>m</w:t>
            </w:r>
            <w:r>
              <w:rPr>
                <w:rFonts w:hint="eastAsia"/>
                <w:bCs/>
                <w:color w:val="auto"/>
                <w:sz w:val="24"/>
                <w:highlight w:val="none"/>
                <w:vertAlign w:val="superscript"/>
                <w:lang w:val="en-US" w:eastAsia="zh-CN"/>
              </w:rPr>
              <w:t>3</w:t>
            </w:r>
            <w:r>
              <w:rPr>
                <w:bCs/>
                <w:color w:val="auto"/>
                <w:sz w:val="24"/>
                <w:highlight w:val="none"/>
              </w:rPr>
              <w:t>，则需运输</w:t>
            </w:r>
            <w:r>
              <w:rPr>
                <w:rFonts w:hint="eastAsia"/>
                <w:color w:val="auto"/>
                <w:sz w:val="24"/>
                <w:highlight w:val="none"/>
                <w:lang w:val="en-US" w:eastAsia="zh-CN"/>
              </w:rPr>
              <w:t>41667</w:t>
            </w:r>
            <w:r>
              <w:rPr>
                <w:bCs/>
                <w:color w:val="auto"/>
                <w:sz w:val="24"/>
                <w:highlight w:val="none"/>
              </w:rPr>
              <w:t>车次；原料年运输量为</w:t>
            </w:r>
            <w:r>
              <w:rPr>
                <w:rFonts w:hint="eastAsia"/>
                <w:bCs/>
                <w:color w:val="auto"/>
                <w:sz w:val="24"/>
                <w:highlight w:val="none"/>
                <w:lang w:val="en-US" w:eastAsia="zh-CN"/>
              </w:rPr>
              <w:t>969000</w:t>
            </w:r>
            <w:r>
              <w:rPr>
                <w:bCs/>
                <w:color w:val="auto"/>
                <w:sz w:val="24"/>
                <w:highlight w:val="none"/>
              </w:rPr>
              <w:t>t/a，单车每次运输量</w:t>
            </w:r>
            <w:r>
              <w:rPr>
                <w:rFonts w:hint="eastAsia"/>
                <w:bCs/>
                <w:color w:val="auto"/>
                <w:sz w:val="24"/>
                <w:highlight w:val="none"/>
                <w:lang w:val="en-US" w:eastAsia="zh-CN"/>
              </w:rPr>
              <w:t>3</w:t>
            </w:r>
            <w:r>
              <w:rPr>
                <w:bCs/>
                <w:color w:val="auto"/>
                <w:sz w:val="24"/>
                <w:highlight w:val="none"/>
              </w:rPr>
              <w:t>0t，则需运输</w:t>
            </w:r>
            <w:r>
              <w:rPr>
                <w:rFonts w:hint="eastAsia"/>
                <w:bCs/>
                <w:color w:val="auto"/>
                <w:sz w:val="24"/>
                <w:highlight w:val="none"/>
                <w:lang w:val="en-US" w:eastAsia="zh-CN"/>
              </w:rPr>
              <w:t>32300</w:t>
            </w:r>
            <w:r>
              <w:rPr>
                <w:bCs/>
                <w:color w:val="auto"/>
                <w:sz w:val="24"/>
                <w:highlight w:val="none"/>
              </w:rPr>
              <w:t>车次，项目年运输量总计约</w:t>
            </w:r>
            <w:r>
              <w:rPr>
                <w:rFonts w:hint="eastAsia"/>
                <w:bCs/>
                <w:color w:val="auto"/>
                <w:sz w:val="24"/>
                <w:highlight w:val="none"/>
                <w:lang w:val="en-US" w:eastAsia="zh-CN"/>
              </w:rPr>
              <w:t>73967</w:t>
            </w:r>
            <w:r>
              <w:rPr>
                <w:bCs/>
                <w:color w:val="auto"/>
                <w:sz w:val="24"/>
                <w:highlight w:val="none"/>
              </w:rPr>
              <w:t>车次</w:t>
            </w:r>
            <w:r>
              <w:rPr>
                <w:rFonts w:hint="eastAsia"/>
                <w:bCs/>
                <w:color w:val="auto"/>
                <w:sz w:val="24"/>
                <w:highlight w:val="none"/>
              </w:rPr>
              <w:t>。因此</w:t>
            </w:r>
            <w:r>
              <w:rPr>
                <w:rFonts w:hint="eastAsia"/>
                <w:bCs/>
                <w:color w:val="auto"/>
                <w:sz w:val="24"/>
                <w:highlight w:val="none"/>
                <w:lang w:val="en-US" w:eastAsia="zh-CN"/>
              </w:rPr>
              <w:t>项目运输车辆冲洗用水量</w:t>
            </w:r>
            <w:r>
              <w:rPr>
                <w:rFonts w:hint="eastAsia"/>
                <w:bCs/>
                <w:color w:val="auto"/>
                <w:sz w:val="24"/>
                <w:highlight w:val="none"/>
              </w:rPr>
              <w:t>为</w:t>
            </w:r>
            <w:r>
              <w:rPr>
                <w:rFonts w:hint="eastAsia"/>
                <w:bCs/>
                <w:color w:val="auto"/>
                <w:sz w:val="24"/>
                <w:highlight w:val="none"/>
                <w:lang w:val="en-US" w:eastAsia="zh-CN"/>
              </w:rPr>
              <w:t>33.62</w:t>
            </w:r>
            <w:r>
              <w:rPr>
                <w:color w:val="auto"/>
                <w:highlight w:val="none"/>
                <w:lang w:val="zh-TW"/>
              </w:rPr>
              <w:t>m</w:t>
            </w:r>
            <w:r>
              <w:rPr>
                <w:color w:val="auto"/>
                <w:highlight w:val="none"/>
                <w:vertAlign w:val="superscript"/>
                <w:lang w:val="zh-TW"/>
              </w:rPr>
              <w:t>3</w:t>
            </w:r>
            <w:r>
              <w:rPr>
                <w:color w:val="auto"/>
                <w:highlight w:val="none"/>
                <w:lang w:val="zh-TW"/>
              </w:rPr>
              <w:t>/d</w:t>
            </w:r>
            <w:r>
              <w:rPr>
                <w:rFonts w:hint="eastAsia"/>
                <w:color w:val="auto"/>
                <w:highlight w:val="none"/>
                <w:lang w:val="zh-TW" w:eastAsia="zh-CN"/>
              </w:rPr>
              <w:t>（</w:t>
            </w:r>
            <w:r>
              <w:rPr>
                <w:rFonts w:hint="eastAsia"/>
                <w:bCs/>
                <w:color w:val="auto"/>
                <w:sz w:val="24"/>
                <w:highlight w:val="none"/>
                <w:lang w:val="en-US" w:eastAsia="zh-CN"/>
              </w:rPr>
              <w:t>7396.7</w:t>
            </w:r>
            <w:r>
              <w:rPr>
                <w:rFonts w:hint="eastAsia"/>
                <w:bCs/>
                <w:color w:val="auto"/>
                <w:sz w:val="24"/>
                <w:highlight w:val="none"/>
              </w:rPr>
              <w:t>m</w:t>
            </w:r>
            <w:r>
              <w:rPr>
                <w:rFonts w:hint="eastAsia"/>
                <w:bCs/>
                <w:color w:val="auto"/>
                <w:sz w:val="24"/>
                <w:highlight w:val="none"/>
                <w:vertAlign w:val="superscript"/>
                <w:lang w:val="en-US" w:eastAsia="zh-CN"/>
              </w:rPr>
              <w:t>3</w:t>
            </w:r>
            <w:r>
              <w:rPr>
                <w:bCs/>
                <w:color w:val="auto"/>
                <w:sz w:val="24"/>
                <w:highlight w:val="none"/>
              </w:rPr>
              <w:t>/</w:t>
            </w:r>
            <w:r>
              <w:rPr>
                <w:rFonts w:hint="eastAsia"/>
                <w:bCs/>
                <w:color w:val="auto"/>
                <w:sz w:val="24"/>
                <w:highlight w:val="none"/>
              </w:rPr>
              <w:t>a</w:t>
            </w:r>
            <w:r>
              <w:rPr>
                <w:rFonts w:hint="eastAsia"/>
                <w:bCs/>
                <w:color w:val="auto"/>
                <w:sz w:val="24"/>
                <w:highlight w:val="none"/>
                <w:lang w:eastAsia="zh-CN"/>
              </w:rPr>
              <w:t>）</w:t>
            </w:r>
            <w:r>
              <w:rPr>
                <w:rFonts w:hint="eastAsia"/>
                <w:bCs/>
                <w:color w:val="auto"/>
                <w:sz w:val="24"/>
                <w:highlight w:val="none"/>
              </w:rPr>
              <w:t>，</w:t>
            </w:r>
            <w:r>
              <w:rPr>
                <w:rFonts w:hint="eastAsia"/>
                <w:bCs/>
                <w:color w:val="auto"/>
                <w:sz w:val="24"/>
                <w:highlight w:val="none"/>
                <w:lang w:val="en-US" w:eastAsia="zh-CN"/>
              </w:rPr>
              <w:t>其中新鲜用水量为3.36</w:t>
            </w:r>
            <w:r>
              <w:rPr>
                <w:color w:val="auto"/>
                <w:highlight w:val="none"/>
                <w:lang w:val="zh-TW"/>
              </w:rPr>
              <w:t>m</w:t>
            </w:r>
            <w:r>
              <w:rPr>
                <w:color w:val="auto"/>
                <w:highlight w:val="none"/>
                <w:vertAlign w:val="superscript"/>
                <w:lang w:val="zh-TW"/>
              </w:rPr>
              <w:t>3</w:t>
            </w:r>
            <w:r>
              <w:rPr>
                <w:color w:val="auto"/>
                <w:highlight w:val="none"/>
                <w:lang w:val="zh-TW"/>
              </w:rPr>
              <w:t>/d</w:t>
            </w:r>
            <w:r>
              <w:rPr>
                <w:rFonts w:hint="eastAsia"/>
                <w:color w:val="auto"/>
                <w:highlight w:val="none"/>
                <w:lang w:val="zh-TW" w:eastAsia="zh-CN"/>
              </w:rPr>
              <w:t>（</w:t>
            </w:r>
            <w:r>
              <w:rPr>
                <w:rFonts w:hint="eastAsia"/>
                <w:color w:val="auto"/>
                <w:highlight w:val="none"/>
                <w:lang w:val="en-US" w:eastAsia="zh-CN"/>
              </w:rPr>
              <w:t>739.7</w:t>
            </w:r>
            <w:r>
              <w:rPr>
                <w:rFonts w:hint="eastAsia"/>
                <w:bCs/>
                <w:color w:val="auto"/>
                <w:sz w:val="24"/>
                <w:highlight w:val="none"/>
              </w:rPr>
              <w:t>m</w:t>
            </w:r>
            <w:r>
              <w:rPr>
                <w:rFonts w:hint="eastAsia"/>
                <w:bCs/>
                <w:color w:val="auto"/>
                <w:sz w:val="24"/>
                <w:highlight w:val="none"/>
                <w:vertAlign w:val="superscript"/>
                <w:lang w:val="en-US" w:eastAsia="zh-CN"/>
              </w:rPr>
              <w:t>3</w:t>
            </w:r>
            <w:r>
              <w:rPr>
                <w:bCs/>
                <w:color w:val="auto"/>
                <w:sz w:val="24"/>
                <w:highlight w:val="none"/>
              </w:rPr>
              <w:t>/</w:t>
            </w:r>
            <w:r>
              <w:rPr>
                <w:rFonts w:hint="eastAsia"/>
                <w:bCs/>
                <w:color w:val="auto"/>
                <w:sz w:val="24"/>
                <w:highlight w:val="none"/>
              </w:rPr>
              <w:t>a</w:t>
            </w:r>
            <w:r>
              <w:rPr>
                <w:rFonts w:hint="eastAsia"/>
                <w:bCs/>
                <w:color w:val="auto"/>
                <w:sz w:val="24"/>
                <w:highlight w:val="none"/>
                <w:lang w:eastAsia="zh-CN"/>
              </w:rPr>
              <w:t>），</w:t>
            </w:r>
            <w:r>
              <w:rPr>
                <w:rFonts w:hint="eastAsia"/>
                <w:bCs/>
                <w:color w:val="auto"/>
                <w:sz w:val="24"/>
                <w:highlight w:val="none"/>
                <w:lang w:val="en-US" w:eastAsia="zh-CN"/>
              </w:rPr>
              <w:t>回用水量30.26</w:t>
            </w:r>
            <w:r>
              <w:rPr>
                <w:color w:val="auto"/>
                <w:highlight w:val="none"/>
                <w:lang w:val="zh-TW"/>
              </w:rPr>
              <w:t>m</w:t>
            </w:r>
            <w:r>
              <w:rPr>
                <w:color w:val="auto"/>
                <w:highlight w:val="none"/>
                <w:vertAlign w:val="superscript"/>
                <w:lang w:val="zh-TW"/>
              </w:rPr>
              <w:t>3</w:t>
            </w:r>
            <w:r>
              <w:rPr>
                <w:color w:val="auto"/>
                <w:highlight w:val="none"/>
                <w:lang w:val="zh-TW"/>
              </w:rPr>
              <w:t>/d</w:t>
            </w:r>
            <w:r>
              <w:rPr>
                <w:rFonts w:hint="eastAsia"/>
                <w:color w:val="auto"/>
                <w:highlight w:val="none"/>
                <w:lang w:val="zh-TW" w:eastAsia="zh-CN"/>
              </w:rPr>
              <w:t>（</w:t>
            </w:r>
            <w:r>
              <w:rPr>
                <w:rFonts w:hint="eastAsia"/>
                <w:bCs/>
                <w:color w:val="auto"/>
                <w:sz w:val="24"/>
                <w:highlight w:val="none"/>
                <w:lang w:val="en-US" w:eastAsia="zh-CN"/>
              </w:rPr>
              <w:t>6657.0</w:t>
            </w:r>
            <w:r>
              <w:rPr>
                <w:rFonts w:hint="eastAsia"/>
                <w:bCs/>
                <w:color w:val="auto"/>
                <w:sz w:val="24"/>
                <w:highlight w:val="none"/>
              </w:rPr>
              <w:t>m</w:t>
            </w:r>
            <w:r>
              <w:rPr>
                <w:rFonts w:hint="eastAsia"/>
                <w:bCs/>
                <w:color w:val="auto"/>
                <w:sz w:val="24"/>
                <w:highlight w:val="none"/>
                <w:vertAlign w:val="superscript"/>
                <w:lang w:val="en-US" w:eastAsia="zh-CN"/>
              </w:rPr>
              <w:t>3</w:t>
            </w:r>
            <w:r>
              <w:rPr>
                <w:bCs/>
                <w:color w:val="auto"/>
                <w:sz w:val="24"/>
                <w:highlight w:val="none"/>
              </w:rPr>
              <w:t>/</w:t>
            </w:r>
            <w:r>
              <w:rPr>
                <w:rFonts w:hint="eastAsia"/>
                <w:bCs/>
                <w:color w:val="auto"/>
                <w:sz w:val="24"/>
                <w:highlight w:val="none"/>
              </w:rPr>
              <w:t>a</w:t>
            </w:r>
            <w:r>
              <w:rPr>
                <w:rFonts w:hint="eastAsia"/>
                <w:bCs/>
                <w:color w:val="auto"/>
                <w:sz w:val="24"/>
                <w:highlight w:val="none"/>
                <w:lang w:eastAsia="zh-CN"/>
              </w:rPr>
              <w:t>）</w:t>
            </w:r>
            <w:r>
              <w:rPr>
                <w:rFonts w:hint="eastAsia"/>
                <w:bCs/>
                <w:color w:val="auto"/>
                <w:sz w:val="24"/>
                <w:highlight w:val="none"/>
              </w:rPr>
              <w:t>。</w:t>
            </w:r>
          </w:p>
          <w:p w14:paraId="425267D6">
            <w:pPr>
              <w:pStyle w:val="41"/>
              <w:bidi w:val="0"/>
              <w:rPr>
                <w:rFonts w:hint="eastAsia"/>
                <w:color w:val="auto"/>
                <w:highlight w:val="none"/>
                <w:lang w:val="en-US" w:eastAsia="zh-CN"/>
              </w:rPr>
            </w:pPr>
            <w:r>
              <w:rPr>
                <w:rFonts w:hint="eastAsia"/>
                <w:color w:val="auto"/>
                <w:highlight w:val="none"/>
                <w:lang w:val="en-US" w:eastAsia="zh-CN"/>
              </w:rPr>
              <w:t>3）锅炉</w:t>
            </w:r>
          </w:p>
          <w:p w14:paraId="059D55AD">
            <w:pPr>
              <w:bidi w:val="0"/>
              <w:rPr>
                <w:rFonts w:hint="default"/>
                <w:color w:val="auto"/>
                <w:highlight w:val="none"/>
                <w:lang w:val="en-US" w:eastAsia="zh-CN"/>
              </w:rPr>
            </w:pPr>
            <w:r>
              <w:rPr>
                <w:rFonts w:hint="default"/>
                <w:color w:val="auto"/>
                <w:highlight w:val="none"/>
                <w:lang w:val="en-US" w:eastAsia="zh-CN"/>
              </w:rPr>
              <w:t>①锅炉给排水</w:t>
            </w:r>
          </w:p>
          <w:p w14:paraId="44867572">
            <w:pPr>
              <w:bidi w:val="0"/>
              <w:rPr>
                <w:rFonts w:hint="default"/>
                <w:color w:val="auto"/>
                <w:highlight w:val="none"/>
                <w:lang w:val="en-US" w:eastAsia="zh-CN"/>
              </w:rPr>
            </w:pPr>
            <w:r>
              <w:rPr>
                <w:rFonts w:hint="default"/>
                <w:color w:val="auto"/>
                <w:highlight w:val="none"/>
                <w:lang w:val="en-US" w:eastAsia="zh-CN"/>
              </w:rPr>
              <w:t>项目锅炉循环水量约</w:t>
            </w:r>
            <w:r>
              <w:rPr>
                <w:rFonts w:hint="eastAsia"/>
                <w:color w:val="auto"/>
                <w:highlight w:val="none"/>
                <w:lang w:val="en-US" w:eastAsia="zh-CN"/>
              </w:rPr>
              <w:t>360</w:t>
            </w:r>
            <w:r>
              <w:rPr>
                <w:rFonts w:hint="default"/>
                <w:color w:val="auto"/>
                <w:highlight w:val="none"/>
                <w:lang w:val="en-US" w:eastAsia="zh-CN"/>
              </w:rPr>
              <w:t>m</w:t>
            </w:r>
            <w:r>
              <w:rPr>
                <w:rFonts w:hint="default"/>
                <w:color w:val="auto"/>
                <w:highlight w:val="none"/>
                <w:vertAlign w:val="superscript"/>
                <w:lang w:val="en-US" w:eastAsia="zh-CN"/>
              </w:rPr>
              <w:t>3</w:t>
            </w:r>
            <w:r>
              <w:rPr>
                <w:rFonts w:hint="default"/>
                <w:color w:val="auto"/>
                <w:highlight w:val="none"/>
                <w:lang w:val="en-US" w:eastAsia="zh-CN"/>
              </w:rPr>
              <w:t>，每天管道汽水损失量为循环水量的3%，即</w:t>
            </w:r>
            <w:r>
              <w:rPr>
                <w:rFonts w:hint="eastAsia"/>
                <w:color w:val="auto"/>
                <w:highlight w:val="none"/>
                <w:lang w:val="en-US" w:eastAsia="zh-CN"/>
              </w:rPr>
              <w:t>10.8</w:t>
            </w:r>
            <w:r>
              <w:rPr>
                <w:rFonts w:hint="default"/>
                <w:color w:val="auto"/>
                <w:highlight w:val="none"/>
                <w:lang w:val="en-US" w:eastAsia="zh-CN"/>
              </w:rPr>
              <w:t>m</w:t>
            </w:r>
            <w:r>
              <w:rPr>
                <w:rFonts w:hint="default"/>
                <w:color w:val="auto"/>
                <w:highlight w:val="none"/>
                <w:vertAlign w:val="superscript"/>
                <w:lang w:val="en-US" w:eastAsia="zh-CN"/>
              </w:rPr>
              <w:t>3</w:t>
            </w:r>
            <w:r>
              <w:rPr>
                <w:rFonts w:hint="default"/>
                <w:color w:val="auto"/>
                <w:highlight w:val="none"/>
                <w:lang w:val="en-US" w:eastAsia="zh-CN"/>
              </w:rPr>
              <w:t>/d</w:t>
            </w:r>
            <w:r>
              <w:rPr>
                <w:rFonts w:hint="eastAsia"/>
                <w:color w:val="auto"/>
                <w:highlight w:val="none"/>
                <w:lang w:val="en-US" w:eastAsia="zh-CN"/>
              </w:rPr>
              <w:t>（3240.0m</w:t>
            </w:r>
            <w:r>
              <w:rPr>
                <w:rFonts w:hint="eastAsia"/>
                <w:color w:val="auto"/>
                <w:highlight w:val="none"/>
                <w:vertAlign w:val="superscript"/>
                <w:lang w:val="en-US" w:eastAsia="zh-CN"/>
              </w:rPr>
              <w:t>3</w:t>
            </w:r>
            <w:r>
              <w:rPr>
                <w:rFonts w:hint="eastAsia"/>
                <w:color w:val="auto"/>
                <w:highlight w:val="none"/>
                <w:lang w:val="en-US" w:eastAsia="zh-CN"/>
              </w:rPr>
              <w:t>/a）</w:t>
            </w:r>
            <w:r>
              <w:rPr>
                <w:rFonts w:hint="default"/>
                <w:color w:val="auto"/>
                <w:highlight w:val="none"/>
                <w:lang w:val="en-US" w:eastAsia="zh-CN"/>
              </w:rPr>
              <w:t>。锅炉</w:t>
            </w:r>
            <w:r>
              <w:rPr>
                <w:rFonts w:hint="eastAsia"/>
                <w:color w:val="auto"/>
                <w:highlight w:val="none"/>
                <w:lang w:val="en-US" w:eastAsia="zh-CN"/>
              </w:rPr>
              <w:t>定排</w:t>
            </w:r>
            <w:r>
              <w:rPr>
                <w:rFonts w:hint="default"/>
                <w:color w:val="auto"/>
                <w:highlight w:val="none"/>
                <w:lang w:val="en-US" w:eastAsia="zh-CN"/>
              </w:rPr>
              <w:t>损失量为循环水量的1%</w:t>
            </w:r>
            <w:r>
              <w:rPr>
                <w:rFonts w:hint="eastAsia"/>
                <w:color w:val="auto"/>
                <w:highlight w:val="none"/>
                <w:lang w:val="en-US" w:eastAsia="zh-CN"/>
              </w:rPr>
              <w:t>~</w:t>
            </w:r>
            <w:r>
              <w:rPr>
                <w:rFonts w:hint="default"/>
                <w:color w:val="auto"/>
                <w:highlight w:val="none"/>
                <w:lang w:val="en-US" w:eastAsia="zh-CN"/>
              </w:rPr>
              <w:t>5%，本次取2%，即</w:t>
            </w:r>
            <w:r>
              <w:rPr>
                <w:rFonts w:hint="eastAsia"/>
                <w:color w:val="auto"/>
                <w:highlight w:val="none"/>
                <w:lang w:val="en-US" w:eastAsia="zh-CN"/>
              </w:rPr>
              <w:t>7.2</w:t>
            </w:r>
            <w:r>
              <w:rPr>
                <w:rFonts w:hint="default"/>
                <w:color w:val="auto"/>
                <w:highlight w:val="none"/>
                <w:lang w:val="en-US" w:eastAsia="zh-CN"/>
              </w:rPr>
              <w:t>m</w:t>
            </w:r>
            <w:r>
              <w:rPr>
                <w:rFonts w:hint="default"/>
                <w:color w:val="auto"/>
                <w:highlight w:val="none"/>
                <w:vertAlign w:val="superscript"/>
                <w:lang w:val="en-US" w:eastAsia="zh-CN"/>
              </w:rPr>
              <w:t>3</w:t>
            </w:r>
            <w:r>
              <w:rPr>
                <w:rFonts w:hint="default"/>
                <w:color w:val="auto"/>
                <w:highlight w:val="none"/>
                <w:lang w:val="en-US" w:eastAsia="zh-CN"/>
              </w:rPr>
              <w:t>/d</w:t>
            </w:r>
            <w:r>
              <w:rPr>
                <w:rFonts w:hint="eastAsia"/>
                <w:color w:val="auto"/>
                <w:highlight w:val="none"/>
                <w:lang w:val="en-US" w:eastAsia="zh-CN"/>
              </w:rPr>
              <w:t>（2160.0m</w:t>
            </w:r>
            <w:r>
              <w:rPr>
                <w:rFonts w:hint="eastAsia"/>
                <w:color w:val="auto"/>
                <w:highlight w:val="none"/>
                <w:vertAlign w:val="superscript"/>
                <w:lang w:val="en-US" w:eastAsia="zh-CN"/>
              </w:rPr>
              <w:t>3</w:t>
            </w:r>
            <w:r>
              <w:rPr>
                <w:rFonts w:hint="eastAsia"/>
                <w:color w:val="auto"/>
                <w:highlight w:val="none"/>
                <w:lang w:val="en-US" w:eastAsia="zh-CN"/>
              </w:rPr>
              <w:t>/a）</w:t>
            </w:r>
            <w:r>
              <w:rPr>
                <w:rFonts w:hint="default"/>
                <w:color w:val="auto"/>
                <w:highlight w:val="none"/>
                <w:lang w:val="en-US" w:eastAsia="zh-CN"/>
              </w:rPr>
              <w:t>。</w:t>
            </w:r>
          </w:p>
          <w:p w14:paraId="387721C0">
            <w:pPr>
              <w:bidi w:val="0"/>
              <w:rPr>
                <w:rFonts w:hint="eastAsia"/>
                <w:color w:val="auto"/>
                <w:highlight w:val="none"/>
                <w:lang w:val="en-US" w:eastAsia="zh-CN"/>
              </w:rPr>
            </w:pPr>
            <w:r>
              <w:rPr>
                <w:rFonts w:hint="eastAsia"/>
                <w:color w:val="auto"/>
                <w:highlight w:val="none"/>
                <w:lang w:val="en-US" w:eastAsia="zh-CN"/>
              </w:rPr>
              <w:t>②蒸汽凝结水</w:t>
            </w:r>
          </w:p>
          <w:p w14:paraId="7840B322">
            <w:pPr>
              <w:bidi w:val="0"/>
              <w:rPr>
                <w:rFonts w:hint="eastAsia"/>
                <w:color w:val="auto"/>
                <w:highlight w:val="none"/>
                <w:lang w:val="en-US" w:eastAsia="zh-CN"/>
              </w:rPr>
            </w:pPr>
            <w:r>
              <w:rPr>
                <w:rFonts w:hint="eastAsia"/>
                <w:color w:val="auto"/>
                <w:highlight w:val="none"/>
                <w:lang w:val="en-US" w:eastAsia="zh-CN"/>
              </w:rPr>
              <w:t>锅炉蒸汽进入蒸压釜蒸养产品时会产生蒸汽凝结水，经查资料可知，蒸汽凝结水的产生量为锅炉蒸发量的10%~30%，本项目取10%，因此蒸汽凝结水的产生量为36.0</w:t>
            </w:r>
            <w:r>
              <w:rPr>
                <w:rFonts w:hint="default"/>
                <w:color w:val="auto"/>
                <w:highlight w:val="none"/>
                <w:lang w:val="en-US" w:eastAsia="zh-CN"/>
              </w:rPr>
              <w:t>m</w:t>
            </w:r>
            <w:r>
              <w:rPr>
                <w:rFonts w:hint="default"/>
                <w:color w:val="auto"/>
                <w:highlight w:val="none"/>
                <w:vertAlign w:val="superscript"/>
                <w:lang w:val="en-US" w:eastAsia="zh-CN"/>
              </w:rPr>
              <w:t>3</w:t>
            </w:r>
            <w:r>
              <w:rPr>
                <w:rFonts w:hint="default"/>
                <w:color w:val="auto"/>
                <w:highlight w:val="none"/>
                <w:lang w:val="en-US" w:eastAsia="zh-CN"/>
              </w:rPr>
              <w:t>/d</w:t>
            </w:r>
            <w:r>
              <w:rPr>
                <w:rFonts w:hint="eastAsia"/>
                <w:color w:val="auto"/>
                <w:highlight w:val="none"/>
                <w:lang w:val="en-US" w:eastAsia="zh-CN"/>
              </w:rPr>
              <w:t>（10800.0m</w:t>
            </w:r>
            <w:r>
              <w:rPr>
                <w:rFonts w:hint="eastAsia"/>
                <w:color w:val="auto"/>
                <w:highlight w:val="none"/>
                <w:vertAlign w:val="superscript"/>
                <w:lang w:val="en-US" w:eastAsia="zh-CN"/>
              </w:rPr>
              <w:t>3</w:t>
            </w:r>
            <w:r>
              <w:rPr>
                <w:rFonts w:hint="eastAsia"/>
                <w:color w:val="auto"/>
                <w:highlight w:val="none"/>
                <w:lang w:val="en-US" w:eastAsia="zh-CN"/>
              </w:rPr>
              <w:t>/a）。</w:t>
            </w:r>
          </w:p>
          <w:p w14:paraId="17AD6128">
            <w:pPr>
              <w:bidi w:val="0"/>
              <w:rPr>
                <w:rFonts w:hint="default"/>
                <w:color w:val="auto"/>
                <w:highlight w:val="none"/>
                <w:lang w:val="en-US" w:eastAsia="zh-CN"/>
              </w:rPr>
            </w:pPr>
            <w:r>
              <w:rPr>
                <w:rFonts w:hint="eastAsia"/>
                <w:color w:val="auto"/>
                <w:highlight w:val="none"/>
                <w:lang w:val="en-US" w:eastAsia="zh-CN"/>
              </w:rPr>
              <w:t>③</w:t>
            </w:r>
            <w:r>
              <w:rPr>
                <w:rFonts w:hint="default"/>
                <w:color w:val="auto"/>
                <w:highlight w:val="none"/>
                <w:lang w:val="en-US" w:eastAsia="zh-CN"/>
              </w:rPr>
              <w:t>离子交换树脂</w:t>
            </w:r>
            <w:r>
              <w:rPr>
                <w:rFonts w:hint="eastAsia"/>
                <w:color w:val="auto"/>
                <w:highlight w:val="none"/>
                <w:lang w:val="en-US" w:eastAsia="zh-CN"/>
              </w:rPr>
              <w:t>再生</w:t>
            </w:r>
          </w:p>
          <w:p w14:paraId="1670C1C2">
            <w:pPr>
              <w:bidi w:val="0"/>
              <w:rPr>
                <w:rFonts w:hint="default"/>
                <w:color w:val="auto"/>
                <w:highlight w:val="none"/>
                <w:lang w:val="en-US" w:eastAsia="zh-CN"/>
              </w:rPr>
            </w:pPr>
            <w:r>
              <w:rPr>
                <w:rFonts w:hint="default"/>
                <w:color w:val="auto"/>
                <w:highlight w:val="none"/>
                <w:lang w:val="en-US" w:eastAsia="zh-CN"/>
              </w:rPr>
              <w:t>交换器内的离子树脂6天反冲洗</w:t>
            </w:r>
            <w:r>
              <w:rPr>
                <w:rFonts w:hint="eastAsia"/>
                <w:color w:val="auto"/>
                <w:highlight w:val="none"/>
                <w:lang w:val="en-US" w:eastAsia="zh-CN"/>
              </w:rPr>
              <w:t>再生</w:t>
            </w:r>
            <w:r>
              <w:rPr>
                <w:rFonts w:hint="default"/>
                <w:color w:val="auto"/>
                <w:highlight w:val="none"/>
                <w:lang w:val="en-US" w:eastAsia="zh-CN"/>
              </w:rPr>
              <w:t>一次，反冲洗方式为采用软水进行正洗和反洗。对于常用的固定床钠离子交换器，用水量包括配制盐溶液用水、反洗离子交换器用水、正洗离子交换器用水，参考《工业锅炉房设计手册》中的表13-33：</w:t>
            </w:r>
            <w:r>
              <w:rPr>
                <w:rFonts w:hint="eastAsia"/>
                <w:color w:val="auto"/>
                <w:highlight w:val="none"/>
                <w:lang w:val="en-US" w:eastAsia="zh-CN"/>
              </w:rPr>
              <w:t>溶盐耗水量</w:t>
            </w:r>
            <w:r>
              <w:rPr>
                <w:rFonts w:hint="default"/>
                <w:color w:val="auto"/>
                <w:highlight w:val="none"/>
                <w:lang w:val="en-US" w:eastAsia="zh-CN"/>
              </w:rPr>
              <w:t>为</w:t>
            </w:r>
            <w:r>
              <w:rPr>
                <w:rFonts w:hint="eastAsia"/>
                <w:color w:val="auto"/>
                <w:highlight w:val="none"/>
                <w:lang w:val="en-US" w:eastAsia="zh-CN"/>
              </w:rPr>
              <w:t>0.56</w:t>
            </w:r>
            <w:r>
              <w:rPr>
                <w:rFonts w:hint="default"/>
                <w:color w:val="auto"/>
                <w:highlight w:val="none"/>
                <w:lang w:val="en-US" w:eastAsia="zh-CN"/>
              </w:rPr>
              <w:t>m</w:t>
            </w:r>
            <w:r>
              <w:rPr>
                <w:rFonts w:hint="default"/>
                <w:color w:val="auto"/>
                <w:highlight w:val="none"/>
                <w:vertAlign w:val="superscript"/>
                <w:lang w:val="en-US" w:eastAsia="zh-CN"/>
              </w:rPr>
              <w:t>3</w:t>
            </w:r>
            <w:r>
              <w:rPr>
                <w:rFonts w:hint="default"/>
                <w:color w:val="auto"/>
                <w:highlight w:val="none"/>
                <w:lang w:val="en-US" w:eastAsia="zh-CN"/>
              </w:rPr>
              <w:t>/次、</w:t>
            </w:r>
            <w:r>
              <w:rPr>
                <w:rFonts w:hint="eastAsia"/>
                <w:color w:val="auto"/>
                <w:highlight w:val="none"/>
                <w:lang w:val="en-US" w:eastAsia="zh-CN"/>
              </w:rPr>
              <w:t>反洗耗水量</w:t>
            </w:r>
            <w:r>
              <w:rPr>
                <w:rFonts w:hint="default"/>
                <w:color w:val="auto"/>
                <w:highlight w:val="none"/>
                <w:lang w:val="en-US" w:eastAsia="zh-CN"/>
              </w:rPr>
              <w:t>为1.58m</w:t>
            </w:r>
            <w:r>
              <w:rPr>
                <w:rFonts w:hint="default"/>
                <w:color w:val="auto"/>
                <w:highlight w:val="none"/>
                <w:vertAlign w:val="superscript"/>
                <w:lang w:val="en-US" w:eastAsia="zh-CN"/>
              </w:rPr>
              <w:t>3</w:t>
            </w:r>
            <w:r>
              <w:rPr>
                <w:rFonts w:hint="default"/>
                <w:color w:val="auto"/>
                <w:highlight w:val="none"/>
                <w:lang w:val="en-US" w:eastAsia="zh-CN"/>
              </w:rPr>
              <w:t>/次、正洗</w:t>
            </w:r>
            <w:r>
              <w:rPr>
                <w:rFonts w:hint="eastAsia"/>
                <w:color w:val="auto"/>
                <w:highlight w:val="none"/>
                <w:lang w:val="en-US" w:eastAsia="zh-CN"/>
              </w:rPr>
              <w:t>耗水量</w:t>
            </w:r>
            <w:r>
              <w:rPr>
                <w:rFonts w:hint="default"/>
                <w:color w:val="auto"/>
                <w:highlight w:val="none"/>
                <w:lang w:val="en-US" w:eastAsia="zh-CN"/>
              </w:rPr>
              <w:t>为2.57m</w:t>
            </w:r>
            <w:r>
              <w:rPr>
                <w:rFonts w:hint="default"/>
                <w:color w:val="auto"/>
                <w:highlight w:val="none"/>
                <w:vertAlign w:val="superscript"/>
                <w:lang w:val="en-US" w:eastAsia="zh-CN"/>
              </w:rPr>
              <w:t>3</w:t>
            </w:r>
            <w:r>
              <w:rPr>
                <w:rFonts w:hint="default"/>
                <w:color w:val="auto"/>
                <w:highlight w:val="none"/>
                <w:lang w:val="en-US" w:eastAsia="zh-CN"/>
              </w:rPr>
              <w:t>/次，故本项目</w:t>
            </w:r>
            <w:r>
              <w:rPr>
                <w:rFonts w:hint="eastAsia"/>
                <w:color w:val="auto"/>
                <w:highlight w:val="none"/>
                <w:lang w:val="en-US" w:eastAsia="zh-CN"/>
              </w:rPr>
              <w:t>离子交换树脂再生</w:t>
            </w:r>
            <w:r>
              <w:rPr>
                <w:rFonts w:hint="default"/>
                <w:color w:val="auto"/>
                <w:highlight w:val="none"/>
                <w:lang w:val="en-US" w:eastAsia="zh-CN"/>
              </w:rPr>
              <w:t>用水量为</w:t>
            </w:r>
            <w:r>
              <w:rPr>
                <w:rFonts w:hint="eastAsia"/>
                <w:color w:val="auto"/>
                <w:highlight w:val="none"/>
                <w:lang w:val="en-US" w:eastAsia="zh-CN"/>
              </w:rPr>
              <w:t>4.71</w:t>
            </w:r>
            <w:r>
              <w:rPr>
                <w:rFonts w:hint="default"/>
                <w:color w:val="auto"/>
                <w:highlight w:val="none"/>
                <w:lang w:val="en-US" w:eastAsia="zh-CN"/>
              </w:rPr>
              <w:t>m</w:t>
            </w:r>
            <w:r>
              <w:rPr>
                <w:rFonts w:hint="default"/>
                <w:color w:val="auto"/>
                <w:highlight w:val="none"/>
                <w:vertAlign w:val="superscript"/>
                <w:lang w:val="en-US" w:eastAsia="zh-CN"/>
              </w:rPr>
              <w:t>3</w:t>
            </w:r>
            <w:r>
              <w:rPr>
                <w:rFonts w:hint="default"/>
                <w:color w:val="auto"/>
                <w:highlight w:val="none"/>
                <w:lang w:val="en-US" w:eastAsia="zh-CN"/>
              </w:rPr>
              <w:t>/次，</w:t>
            </w:r>
            <w:r>
              <w:rPr>
                <w:rFonts w:hint="eastAsia"/>
                <w:color w:val="auto"/>
                <w:highlight w:val="none"/>
                <w:lang w:val="en-US" w:eastAsia="zh-CN"/>
              </w:rPr>
              <w:t>全年</w:t>
            </w:r>
            <w:r>
              <w:rPr>
                <w:rFonts w:hint="default"/>
                <w:color w:val="auto"/>
                <w:highlight w:val="none"/>
                <w:lang w:val="en-US" w:eastAsia="zh-CN"/>
              </w:rPr>
              <w:t>共冲洗</w:t>
            </w:r>
            <w:r>
              <w:rPr>
                <w:rFonts w:hint="eastAsia"/>
                <w:color w:val="auto"/>
                <w:highlight w:val="none"/>
                <w:lang w:val="en-US" w:eastAsia="zh-CN"/>
              </w:rPr>
              <w:t>50</w:t>
            </w:r>
            <w:r>
              <w:rPr>
                <w:rFonts w:hint="default"/>
                <w:color w:val="auto"/>
                <w:highlight w:val="none"/>
                <w:lang w:val="en-US" w:eastAsia="zh-CN"/>
              </w:rPr>
              <w:t>次</w:t>
            </w:r>
            <w:r>
              <w:rPr>
                <w:rFonts w:hint="eastAsia"/>
                <w:color w:val="auto"/>
                <w:highlight w:val="none"/>
                <w:lang w:val="en-US" w:eastAsia="zh-CN"/>
              </w:rPr>
              <w:t>，用水量为4.71</w:t>
            </w:r>
            <w:r>
              <w:rPr>
                <w:rFonts w:hint="default"/>
                <w:color w:val="auto"/>
                <w:highlight w:val="none"/>
                <w:lang w:val="en-US" w:eastAsia="zh-CN"/>
              </w:rPr>
              <w:t>m</w:t>
            </w:r>
            <w:r>
              <w:rPr>
                <w:rFonts w:hint="default"/>
                <w:color w:val="auto"/>
                <w:highlight w:val="none"/>
                <w:vertAlign w:val="superscript"/>
                <w:lang w:val="en-US" w:eastAsia="zh-CN"/>
              </w:rPr>
              <w:t>3</w:t>
            </w:r>
            <w:r>
              <w:rPr>
                <w:rFonts w:hint="default"/>
                <w:color w:val="auto"/>
                <w:highlight w:val="none"/>
                <w:lang w:val="en-US" w:eastAsia="zh-CN"/>
              </w:rPr>
              <w:t>/次</w:t>
            </w:r>
            <w:r>
              <w:rPr>
                <w:rFonts w:hint="eastAsia"/>
                <w:color w:val="auto"/>
                <w:highlight w:val="none"/>
                <w:lang w:val="en-US" w:eastAsia="zh-CN"/>
              </w:rPr>
              <w:t>（235.5m</w:t>
            </w:r>
            <w:r>
              <w:rPr>
                <w:rFonts w:hint="eastAsia"/>
                <w:color w:val="auto"/>
                <w:highlight w:val="none"/>
                <w:vertAlign w:val="superscript"/>
                <w:lang w:val="en-US" w:eastAsia="zh-CN"/>
              </w:rPr>
              <w:t>3</w:t>
            </w:r>
            <w:r>
              <w:rPr>
                <w:rFonts w:hint="eastAsia"/>
                <w:color w:val="auto"/>
                <w:highlight w:val="none"/>
                <w:lang w:val="en-US" w:eastAsia="zh-CN"/>
              </w:rPr>
              <w:t>/a），冲洗完成后</w:t>
            </w:r>
            <w:r>
              <w:rPr>
                <w:rFonts w:hint="default"/>
                <w:color w:val="auto"/>
                <w:highlight w:val="none"/>
                <w:lang w:val="en-US" w:eastAsia="zh-CN"/>
              </w:rPr>
              <w:t>全部外排。</w:t>
            </w:r>
          </w:p>
          <w:p w14:paraId="574E4CF7">
            <w:pPr>
              <w:pStyle w:val="41"/>
              <w:bidi w:val="0"/>
              <w:rPr>
                <w:rFonts w:hint="default"/>
                <w:color w:val="auto"/>
                <w:highlight w:val="none"/>
                <w:lang w:val="en-US" w:eastAsia="zh-CN"/>
              </w:rPr>
            </w:pPr>
            <w:r>
              <w:rPr>
                <w:rFonts w:hint="eastAsia"/>
                <w:color w:val="auto"/>
                <w:highlight w:val="none"/>
                <w:lang w:val="en-US" w:eastAsia="zh-CN"/>
              </w:rPr>
              <w:t>4）厂区抑尘用水</w:t>
            </w:r>
          </w:p>
          <w:p w14:paraId="1E8D95FC">
            <w:pPr>
              <w:adjustRightInd w:val="0"/>
              <w:snapToGrid w:val="0"/>
              <w:spacing w:line="360" w:lineRule="auto"/>
              <w:ind w:firstLine="480" w:firstLineChars="200"/>
              <w:rPr>
                <w:rFonts w:hint="eastAsia"/>
                <w:bCs/>
                <w:color w:val="auto"/>
                <w:sz w:val="24"/>
                <w:highlight w:val="none"/>
                <w:lang w:val="zh-TW"/>
              </w:rPr>
            </w:pPr>
            <w:r>
              <w:rPr>
                <w:color w:val="auto"/>
                <w:sz w:val="24"/>
                <w:highlight w:val="none"/>
              </w:rPr>
              <w:t>厂区抑尘</w:t>
            </w:r>
            <w:r>
              <w:rPr>
                <w:rFonts w:hint="eastAsia"/>
                <w:color w:val="auto"/>
                <w:sz w:val="24"/>
                <w:highlight w:val="none"/>
                <w:lang w:val="en-US" w:eastAsia="zh-CN"/>
              </w:rPr>
              <w:t>用水主要为</w:t>
            </w:r>
            <w:r>
              <w:rPr>
                <w:color w:val="auto"/>
                <w:sz w:val="24"/>
                <w:highlight w:val="none"/>
              </w:rPr>
              <w:t>原料棚内抑尘用水、道路洒水、原料转载点等过程</w:t>
            </w:r>
            <w:r>
              <w:rPr>
                <w:bCs/>
                <w:color w:val="auto"/>
                <w:sz w:val="24"/>
                <w:highlight w:val="none"/>
                <w:lang w:val="zh-TW"/>
              </w:rPr>
              <w:t>，项目抑尘用水量约</w:t>
            </w:r>
            <w:r>
              <w:rPr>
                <w:rFonts w:hint="eastAsia"/>
                <w:bCs/>
                <w:color w:val="auto"/>
                <w:sz w:val="24"/>
                <w:highlight w:val="none"/>
                <w:lang w:val="en-US" w:eastAsia="zh-CN"/>
              </w:rPr>
              <w:t>40.0</w:t>
            </w:r>
            <w:r>
              <w:rPr>
                <w:bCs/>
                <w:color w:val="auto"/>
                <w:sz w:val="24"/>
                <w:highlight w:val="none"/>
                <w:lang w:val="zh-TW"/>
              </w:rPr>
              <w:t>m</w:t>
            </w:r>
            <w:r>
              <w:rPr>
                <w:bCs/>
                <w:color w:val="auto"/>
                <w:sz w:val="24"/>
                <w:highlight w:val="none"/>
                <w:vertAlign w:val="superscript"/>
                <w:lang w:val="zh-TW"/>
              </w:rPr>
              <w:t>3</w:t>
            </w:r>
            <w:r>
              <w:rPr>
                <w:bCs/>
                <w:color w:val="auto"/>
                <w:sz w:val="24"/>
                <w:highlight w:val="none"/>
                <w:lang w:val="zh-TW"/>
              </w:rPr>
              <w:t>/d（</w:t>
            </w:r>
            <w:r>
              <w:rPr>
                <w:rFonts w:hint="eastAsia"/>
                <w:bCs/>
                <w:color w:val="auto"/>
                <w:sz w:val="24"/>
                <w:highlight w:val="none"/>
                <w:lang w:val="en-US" w:eastAsia="zh-CN"/>
              </w:rPr>
              <w:t>12000.0</w:t>
            </w:r>
            <w:r>
              <w:rPr>
                <w:bCs/>
                <w:color w:val="auto"/>
                <w:sz w:val="24"/>
                <w:highlight w:val="none"/>
                <w:lang w:val="zh-TW"/>
              </w:rPr>
              <w:t>m</w:t>
            </w:r>
            <w:r>
              <w:rPr>
                <w:bCs/>
                <w:color w:val="auto"/>
                <w:sz w:val="24"/>
                <w:highlight w:val="none"/>
                <w:vertAlign w:val="superscript"/>
                <w:lang w:val="zh-TW"/>
              </w:rPr>
              <w:t>3</w:t>
            </w:r>
            <w:r>
              <w:rPr>
                <w:bCs/>
                <w:color w:val="auto"/>
                <w:sz w:val="24"/>
                <w:highlight w:val="none"/>
                <w:lang w:val="zh-TW"/>
              </w:rPr>
              <w:t>/a）</w:t>
            </w:r>
            <w:r>
              <w:rPr>
                <w:rFonts w:hint="eastAsia"/>
                <w:bCs/>
                <w:color w:val="auto"/>
                <w:sz w:val="24"/>
                <w:highlight w:val="none"/>
                <w:lang w:val="zh-TW"/>
              </w:rPr>
              <w:t>。此环节用水全部消耗，无废水产生。</w:t>
            </w:r>
          </w:p>
          <w:p w14:paraId="14633251">
            <w:pPr>
              <w:pStyle w:val="41"/>
              <w:bidi w:val="0"/>
              <w:rPr>
                <w:color w:val="auto"/>
                <w:highlight w:val="none"/>
              </w:rPr>
            </w:pPr>
            <w:r>
              <w:rPr>
                <w:rFonts w:hint="eastAsia"/>
                <w:color w:val="auto"/>
                <w:highlight w:val="none"/>
                <w:lang w:val="en-US" w:eastAsia="zh-CN"/>
              </w:rPr>
              <w:t>5）绿化用水</w:t>
            </w:r>
          </w:p>
          <w:p w14:paraId="1F7B8834">
            <w:pPr>
              <w:bidi w:val="0"/>
              <w:rPr>
                <w:color w:val="auto"/>
                <w:highlight w:val="none"/>
              </w:rPr>
            </w:pPr>
            <w:r>
              <w:rPr>
                <w:color w:val="auto"/>
                <w:highlight w:val="none"/>
              </w:rPr>
              <w:t>本项目绿化面积</w:t>
            </w:r>
            <w:r>
              <w:rPr>
                <w:rFonts w:hint="eastAsia"/>
                <w:color w:val="auto"/>
                <w:highlight w:val="none"/>
                <w:lang w:val="en-US" w:eastAsia="zh-CN"/>
              </w:rPr>
              <w:t>13000</w:t>
            </w:r>
            <w:r>
              <w:rPr>
                <w:color w:val="auto"/>
                <w:highlight w:val="none"/>
              </w:rPr>
              <w:t>m</w:t>
            </w:r>
            <w:r>
              <w:rPr>
                <w:color w:val="auto"/>
                <w:highlight w:val="none"/>
                <w:vertAlign w:val="superscript"/>
              </w:rPr>
              <w:t>2</w:t>
            </w:r>
            <w:r>
              <w:rPr>
                <w:color w:val="auto"/>
                <w:highlight w:val="none"/>
              </w:rPr>
              <w:t>，绿化用水平均按2L/m</w:t>
            </w:r>
            <w:r>
              <w:rPr>
                <w:color w:val="auto"/>
                <w:highlight w:val="none"/>
                <w:vertAlign w:val="superscript"/>
              </w:rPr>
              <w:t>2</w:t>
            </w:r>
            <w:r>
              <w:rPr>
                <w:color w:val="auto"/>
                <w:highlight w:val="none"/>
              </w:rPr>
              <w:t>计，则项目绿化用水为</w:t>
            </w:r>
            <w:r>
              <w:rPr>
                <w:rFonts w:hint="eastAsia"/>
                <w:color w:val="auto"/>
                <w:highlight w:val="none"/>
                <w:lang w:val="en-US" w:eastAsia="zh-CN"/>
              </w:rPr>
              <w:t>26.0</w:t>
            </w:r>
            <w:r>
              <w:rPr>
                <w:color w:val="auto"/>
                <w:highlight w:val="none"/>
              </w:rPr>
              <w:t>m</w:t>
            </w:r>
            <w:r>
              <w:rPr>
                <w:color w:val="auto"/>
                <w:highlight w:val="none"/>
                <w:vertAlign w:val="superscript"/>
              </w:rPr>
              <w:t>3</w:t>
            </w:r>
            <w:r>
              <w:rPr>
                <w:color w:val="auto"/>
                <w:highlight w:val="none"/>
              </w:rPr>
              <w:t>/d（</w:t>
            </w:r>
            <w:r>
              <w:rPr>
                <w:rFonts w:hint="eastAsia"/>
                <w:color w:val="auto"/>
                <w:highlight w:val="none"/>
                <w:lang w:val="en-US" w:eastAsia="zh-CN"/>
              </w:rPr>
              <w:t>5200.0</w:t>
            </w:r>
            <w:r>
              <w:rPr>
                <w:color w:val="auto"/>
                <w:highlight w:val="none"/>
              </w:rPr>
              <w:t>m</w:t>
            </w:r>
            <w:r>
              <w:rPr>
                <w:color w:val="auto"/>
                <w:highlight w:val="none"/>
                <w:vertAlign w:val="superscript"/>
              </w:rPr>
              <w:t>3</w:t>
            </w:r>
            <w:r>
              <w:rPr>
                <w:color w:val="auto"/>
                <w:highlight w:val="none"/>
              </w:rPr>
              <w:t>/a</w:t>
            </w:r>
            <w:r>
              <w:rPr>
                <w:rFonts w:hint="eastAsia"/>
                <w:color w:val="auto"/>
                <w:highlight w:val="none"/>
                <w:lang w:eastAsia="zh-CN"/>
              </w:rPr>
              <w:t>，</w:t>
            </w:r>
            <w:r>
              <w:rPr>
                <w:rFonts w:hint="eastAsia"/>
                <w:color w:val="auto"/>
                <w:highlight w:val="none"/>
                <w:lang w:val="en-US" w:eastAsia="zh-CN"/>
              </w:rPr>
              <w:t>绿化用水时间以200天计</w:t>
            </w:r>
            <w:r>
              <w:rPr>
                <w:color w:val="auto"/>
                <w:highlight w:val="none"/>
              </w:rPr>
              <w:t>）。此环节用水全部消耗，无废水产生。</w:t>
            </w:r>
          </w:p>
          <w:p w14:paraId="09DCD64D">
            <w:pPr>
              <w:pStyle w:val="7"/>
              <w:bidi w:val="0"/>
              <w:rPr>
                <w:rFonts w:hint="eastAsia"/>
                <w:color w:val="auto"/>
                <w:highlight w:val="none"/>
                <w:lang w:val="en-US" w:eastAsia="zh-CN"/>
              </w:rPr>
            </w:pPr>
          </w:p>
          <w:p w14:paraId="0A3281AB">
            <w:pPr>
              <w:pStyle w:val="41"/>
              <w:bidi w:val="0"/>
              <w:rPr>
                <w:rFonts w:hint="default"/>
                <w:color w:val="auto"/>
                <w:highlight w:val="none"/>
                <w:lang w:val="en-US" w:eastAsia="zh-CN"/>
              </w:rPr>
            </w:pPr>
            <w:r>
              <w:rPr>
                <w:rFonts w:hint="eastAsia"/>
                <w:color w:val="auto"/>
                <w:highlight w:val="none"/>
                <w:lang w:val="en-US" w:eastAsia="zh-CN"/>
              </w:rPr>
              <w:t>2、供电</w:t>
            </w:r>
          </w:p>
          <w:p w14:paraId="34A3ED3A">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cs="Times New Roman"/>
                <w:b w:val="0"/>
                <w:bCs w:val="0"/>
                <w:color w:val="auto"/>
                <w:kern w:val="0"/>
                <w:sz w:val="24"/>
                <w:szCs w:val="24"/>
                <w:highlight w:val="none"/>
                <w:lang w:val="en-US" w:eastAsia="zh-CN" w:bidi="ar-SA"/>
              </w:rPr>
            </w:pPr>
            <w:r>
              <w:rPr>
                <w:rFonts w:hint="eastAsia" w:ascii="Times New Roman" w:hAnsi="Times New Roman" w:cs="Times New Roman"/>
                <w:b w:val="0"/>
                <w:bCs w:val="0"/>
                <w:color w:val="auto"/>
                <w:kern w:val="0"/>
                <w:sz w:val="24"/>
                <w:szCs w:val="24"/>
                <w:highlight w:val="none"/>
                <w:lang w:val="en-US" w:eastAsia="zh-CN" w:bidi="ar-SA"/>
              </w:rPr>
              <w:t>本</w:t>
            </w:r>
            <w:r>
              <w:rPr>
                <w:rFonts w:hint="default" w:ascii="Times New Roman" w:hAnsi="Times New Roman" w:cs="Times New Roman"/>
                <w:b w:val="0"/>
                <w:bCs w:val="0"/>
                <w:color w:val="auto"/>
                <w:kern w:val="0"/>
                <w:sz w:val="24"/>
                <w:szCs w:val="24"/>
                <w:highlight w:val="none"/>
                <w:lang w:val="en-US" w:eastAsia="zh-CN" w:bidi="ar-SA"/>
              </w:rPr>
              <w:t>项目供电电源由清水川工业园区110kV变电站10kV Ⅰ、Ⅱ段供给。采用双回路供电，每路进线回路均满足生产线总负荷要求，敷设方式采用电缆沟方式敷设，本项目在厂区新建10kV配电室和低压配电室。</w:t>
            </w:r>
          </w:p>
          <w:p w14:paraId="77F16152">
            <w:pPr>
              <w:pStyle w:val="41"/>
              <w:bidi w:val="0"/>
              <w:rPr>
                <w:rFonts w:hint="default"/>
                <w:color w:val="auto"/>
                <w:highlight w:val="none"/>
                <w:lang w:val="en-US" w:eastAsia="zh-CN"/>
              </w:rPr>
            </w:pPr>
            <w:r>
              <w:rPr>
                <w:rFonts w:hint="eastAsia"/>
                <w:color w:val="auto"/>
                <w:highlight w:val="none"/>
                <w:lang w:val="en-US" w:eastAsia="zh-CN"/>
              </w:rPr>
              <w:t>3、供热</w:t>
            </w:r>
          </w:p>
          <w:p w14:paraId="2F1E8B6B">
            <w:pPr>
              <w:bidi w:val="0"/>
              <w:rPr>
                <w:rFonts w:hint="eastAsia"/>
                <w:color w:val="auto"/>
                <w:highlight w:val="none"/>
              </w:rPr>
            </w:pPr>
            <w:r>
              <w:rPr>
                <w:rFonts w:hint="eastAsia"/>
                <w:color w:val="auto"/>
                <w:highlight w:val="none"/>
              </w:rPr>
              <w:t>本项目厂址地处北方，有环境温度要求的生产车间</w:t>
            </w:r>
            <w:r>
              <w:rPr>
                <w:rFonts w:hint="eastAsia"/>
                <w:color w:val="auto"/>
                <w:highlight w:val="none"/>
                <w:lang w:eastAsia="zh-CN"/>
              </w:rPr>
              <w:t>、</w:t>
            </w:r>
            <w:r>
              <w:rPr>
                <w:rFonts w:hint="default" w:ascii="Times New Roman" w:hAnsi="Times New Roman" w:cs="Times New Roman"/>
                <w:color w:val="auto"/>
                <w:highlight w:val="none"/>
              </w:rPr>
              <w:t>综合办公楼、宿舍楼以及食堂</w:t>
            </w:r>
            <w:r>
              <w:rPr>
                <w:rFonts w:hint="eastAsia"/>
                <w:color w:val="auto"/>
                <w:highlight w:val="none"/>
                <w:lang w:val="en-US" w:eastAsia="zh-CN"/>
              </w:rPr>
              <w:t>采用本项目生物质蒸汽锅炉</w:t>
            </w:r>
            <w:r>
              <w:rPr>
                <w:rFonts w:hint="eastAsia"/>
                <w:color w:val="auto"/>
                <w:highlight w:val="none"/>
              </w:rPr>
              <w:t>提供的</w:t>
            </w:r>
            <w:r>
              <w:rPr>
                <w:rFonts w:hint="eastAsia"/>
                <w:color w:val="auto"/>
                <w:highlight w:val="none"/>
                <w:lang w:val="en-US" w:eastAsia="zh-CN"/>
              </w:rPr>
              <w:t>蒸汽作为采暖热源，厂区设置一座换热站</w:t>
            </w:r>
            <w:r>
              <w:rPr>
                <w:rFonts w:hint="eastAsia"/>
                <w:color w:val="auto"/>
                <w:highlight w:val="none"/>
              </w:rPr>
              <w:t>。</w:t>
            </w:r>
          </w:p>
          <w:p w14:paraId="0D70498E">
            <w:pPr>
              <w:pStyle w:val="41"/>
              <w:bidi w:val="0"/>
              <w:rPr>
                <w:rFonts w:hint="default" w:ascii="Times New Roman" w:hAnsi="Times New Roman" w:eastAsia="宋体" w:cs="Times New Roman"/>
                <w:b/>
                <w:bCs/>
                <w:color w:val="auto"/>
                <w:kern w:val="0"/>
                <w:szCs w:val="24"/>
                <w:highlight w:val="none"/>
                <w:lang w:val="en-US" w:eastAsia="zh-CN" w:bidi="ar-SA"/>
              </w:rPr>
            </w:pPr>
            <w:r>
              <w:rPr>
                <w:rFonts w:hint="eastAsia"/>
                <w:color w:val="auto"/>
                <w:highlight w:val="none"/>
                <w:lang w:val="en-US" w:eastAsia="zh-CN"/>
              </w:rPr>
              <w:t>七、厂区平面布置</w:t>
            </w:r>
          </w:p>
          <w:p w14:paraId="71F24492">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SA"/>
              </w:rPr>
            </w:pPr>
            <w:r>
              <w:rPr>
                <w:rFonts w:hint="eastAsia" w:ascii="Times New Roman" w:hAnsi="Times New Roman" w:eastAsia="宋体" w:cs="Times New Roman"/>
                <w:b w:val="0"/>
                <w:bCs w:val="0"/>
                <w:color w:val="auto"/>
                <w:kern w:val="0"/>
                <w:sz w:val="24"/>
                <w:szCs w:val="24"/>
                <w:highlight w:val="none"/>
                <w:lang w:val="en-US" w:eastAsia="zh-CN" w:bidi="ar-SA"/>
              </w:rPr>
              <w:t>项目选址在府谷县清水川工业园区，项目占地面积为</w:t>
            </w:r>
            <w:r>
              <w:rPr>
                <w:rFonts w:hint="eastAsia" w:cs="Times New Roman"/>
                <w:b w:val="0"/>
                <w:bCs w:val="0"/>
                <w:color w:val="auto"/>
                <w:kern w:val="0"/>
                <w:sz w:val="24"/>
                <w:szCs w:val="24"/>
                <w:highlight w:val="none"/>
                <w:lang w:val="en-US" w:eastAsia="zh-CN" w:bidi="ar-SA"/>
              </w:rPr>
              <w:t>4.1701hm</w:t>
            </w:r>
            <w:r>
              <w:rPr>
                <w:rFonts w:hint="eastAsia" w:cs="Times New Roman"/>
                <w:b w:val="0"/>
                <w:bCs w:val="0"/>
                <w:color w:val="auto"/>
                <w:kern w:val="0"/>
                <w:sz w:val="24"/>
                <w:szCs w:val="24"/>
                <w:highlight w:val="none"/>
                <w:vertAlign w:val="superscript"/>
                <w:lang w:val="en-US" w:eastAsia="zh-CN" w:bidi="ar-SA"/>
              </w:rPr>
              <w:t>2</w:t>
            </w:r>
            <w:r>
              <w:rPr>
                <w:rFonts w:hint="eastAsia"/>
                <w:color w:val="auto"/>
                <w:sz w:val="24"/>
                <w:szCs w:val="32"/>
                <w:highlight w:val="none"/>
                <w:vertAlign w:val="baseline"/>
                <w:lang w:eastAsia="zh-CN"/>
              </w:rPr>
              <w:t>。</w:t>
            </w:r>
            <w:r>
              <w:rPr>
                <w:rFonts w:hint="default" w:ascii="Times New Roman" w:hAnsi="Times New Roman" w:eastAsia="宋体" w:cs="Times New Roman"/>
                <w:b w:val="0"/>
                <w:bCs w:val="0"/>
                <w:color w:val="auto"/>
                <w:kern w:val="0"/>
                <w:sz w:val="24"/>
                <w:szCs w:val="24"/>
                <w:highlight w:val="none"/>
                <w:lang w:val="en-US" w:eastAsia="zh-CN" w:bidi="ar-SA"/>
              </w:rPr>
              <w:t>根据总平面布置的原则及拟建场地的地形、内外运输等因素。在满足生产工艺的前提下，以方便物流运输为主要因素，根据厂区主要功能结合上下两个台阶的场地特点，将建筑物按照西北-东南走向布置，同时将厂区主要分为三个区：</w:t>
            </w:r>
          </w:p>
          <w:p w14:paraId="4D0DF829">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SA"/>
              </w:rPr>
            </w:pPr>
            <w:r>
              <w:rPr>
                <w:rFonts w:hint="default" w:ascii="Times New Roman" w:hAnsi="Times New Roman" w:eastAsia="宋体" w:cs="Times New Roman"/>
                <w:b w:val="0"/>
                <w:bCs w:val="0"/>
                <w:color w:val="auto"/>
                <w:kern w:val="0"/>
                <w:sz w:val="24"/>
                <w:szCs w:val="24"/>
                <w:highlight w:val="none"/>
                <w:lang w:val="en-US" w:eastAsia="zh-CN" w:bidi="ar-SA"/>
              </w:rPr>
              <w:t>厂前区：该区位于下面台阶的</w:t>
            </w:r>
            <w:r>
              <w:rPr>
                <w:rFonts w:hint="eastAsia" w:cs="Times New Roman"/>
                <w:b w:val="0"/>
                <w:bCs w:val="0"/>
                <w:color w:val="auto"/>
                <w:kern w:val="0"/>
                <w:sz w:val="24"/>
                <w:szCs w:val="24"/>
                <w:highlight w:val="none"/>
                <w:lang w:val="en-US" w:eastAsia="zh-CN" w:bidi="ar-SA"/>
              </w:rPr>
              <w:t>南</w:t>
            </w:r>
            <w:r>
              <w:rPr>
                <w:rFonts w:hint="default" w:ascii="Times New Roman" w:hAnsi="Times New Roman" w:eastAsia="宋体" w:cs="Times New Roman"/>
                <w:b w:val="0"/>
                <w:bCs w:val="0"/>
                <w:color w:val="auto"/>
                <w:kern w:val="0"/>
                <w:sz w:val="24"/>
                <w:szCs w:val="24"/>
                <w:highlight w:val="none"/>
                <w:lang w:val="en-US" w:eastAsia="zh-CN" w:bidi="ar-SA"/>
              </w:rPr>
              <w:t>侧，自西向东依次布置有综合办公楼、宿舍、食堂等</w:t>
            </w:r>
            <w:r>
              <w:rPr>
                <w:rFonts w:hint="eastAsia" w:ascii="Times New Roman" w:hAnsi="Times New Roman" w:eastAsia="宋体" w:cs="Times New Roman"/>
                <w:b w:val="0"/>
                <w:bCs w:val="0"/>
                <w:color w:val="auto"/>
                <w:kern w:val="0"/>
                <w:sz w:val="24"/>
                <w:szCs w:val="24"/>
                <w:highlight w:val="none"/>
                <w:lang w:val="en-US" w:eastAsia="zh-CN" w:bidi="ar-SA"/>
              </w:rPr>
              <w:t>，</w:t>
            </w:r>
            <w:r>
              <w:rPr>
                <w:rFonts w:hint="default" w:ascii="Times New Roman" w:hAnsi="Times New Roman" w:eastAsia="宋体" w:cs="Times New Roman"/>
                <w:b w:val="0"/>
                <w:bCs w:val="0"/>
                <w:color w:val="auto"/>
                <w:kern w:val="0"/>
                <w:sz w:val="24"/>
                <w:szCs w:val="24"/>
                <w:highlight w:val="none"/>
                <w:lang w:val="en-US" w:eastAsia="zh-CN" w:bidi="ar-SA"/>
              </w:rPr>
              <w:t>办公区</w:t>
            </w:r>
            <w:r>
              <w:rPr>
                <w:rFonts w:hint="eastAsia" w:cs="Times New Roman"/>
                <w:b w:val="0"/>
                <w:bCs w:val="0"/>
                <w:color w:val="auto"/>
                <w:kern w:val="0"/>
                <w:sz w:val="24"/>
                <w:szCs w:val="24"/>
                <w:highlight w:val="none"/>
                <w:lang w:val="en-US" w:eastAsia="zh-CN" w:bidi="ar-SA"/>
              </w:rPr>
              <w:t>北侧</w:t>
            </w:r>
            <w:r>
              <w:rPr>
                <w:rFonts w:hint="default" w:ascii="Times New Roman" w:hAnsi="Times New Roman" w:eastAsia="宋体" w:cs="Times New Roman"/>
                <w:b w:val="0"/>
                <w:bCs w:val="0"/>
                <w:color w:val="auto"/>
                <w:kern w:val="0"/>
                <w:sz w:val="24"/>
                <w:szCs w:val="24"/>
                <w:highlight w:val="none"/>
                <w:lang w:val="en-US" w:eastAsia="zh-CN" w:bidi="ar-SA"/>
              </w:rPr>
              <w:t>为硬化广场</w:t>
            </w:r>
            <w:r>
              <w:rPr>
                <w:rFonts w:hint="eastAsia" w:ascii="Times New Roman" w:hAnsi="Times New Roman" w:eastAsia="宋体" w:cs="Times New Roman"/>
                <w:b w:val="0"/>
                <w:bCs w:val="0"/>
                <w:color w:val="auto"/>
                <w:kern w:val="0"/>
                <w:sz w:val="24"/>
                <w:szCs w:val="24"/>
                <w:highlight w:val="none"/>
                <w:lang w:val="en-US" w:eastAsia="zh-CN" w:bidi="ar-SA"/>
              </w:rPr>
              <w:t>，</w:t>
            </w:r>
            <w:r>
              <w:rPr>
                <w:rFonts w:hint="default" w:ascii="Times New Roman" w:hAnsi="Times New Roman" w:eastAsia="宋体" w:cs="Times New Roman"/>
                <w:b w:val="0"/>
                <w:bCs w:val="0"/>
                <w:color w:val="auto"/>
                <w:kern w:val="0"/>
                <w:sz w:val="24"/>
                <w:szCs w:val="24"/>
                <w:highlight w:val="none"/>
                <w:lang w:val="en-US" w:eastAsia="zh-CN" w:bidi="ar-SA"/>
              </w:rPr>
              <w:t>厂前区与生产区之间设置一道绿化隔离带</w:t>
            </w:r>
            <w:r>
              <w:rPr>
                <w:rFonts w:hint="eastAsia" w:ascii="Times New Roman" w:hAnsi="Times New Roman" w:eastAsia="宋体" w:cs="Times New Roman"/>
                <w:b w:val="0"/>
                <w:bCs w:val="0"/>
                <w:color w:val="auto"/>
                <w:kern w:val="0"/>
                <w:sz w:val="24"/>
                <w:szCs w:val="24"/>
                <w:highlight w:val="none"/>
                <w:lang w:val="en-US" w:eastAsia="zh-CN" w:bidi="ar-SA"/>
              </w:rPr>
              <w:t>；</w:t>
            </w:r>
            <w:r>
              <w:rPr>
                <w:rFonts w:hint="eastAsia" w:cs="Times New Roman"/>
                <w:b w:val="0"/>
                <w:bCs w:val="0"/>
                <w:color w:val="auto"/>
                <w:kern w:val="0"/>
                <w:sz w:val="24"/>
                <w:szCs w:val="24"/>
                <w:highlight w:val="none"/>
                <w:lang w:val="en-US" w:eastAsia="zh-CN" w:bidi="ar-SA"/>
              </w:rPr>
              <w:t>蒸压硅酸盐功能骨料</w:t>
            </w:r>
            <w:r>
              <w:rPr>
                <w:rFonts w:hint="default" w:ascii="Times New Roman" w:hAnsi="Times New Roman" w:eastAsia="宋体" w:cs="Times New Roman"/>
                <w:b w:val="0"/>
                <w:bCs w:val="0"/>
                <w:color w:val="auto"/>
                <w:kern w:val="0"/>
                <w:sz w:val="24"/>
                <w:szCs w:val="24"/>
                <w:highlight w:val="none"/>
                <w:lang w:val="en-US" w:eastAsia="zh-CN" w:bidi="ar-SA"/>
              </w:rPr>
              <w:t>生产区：该区位于上部台阶，</w:t>
            </w:r>
            <w:r>
              <w:rPr>
                <w:rFonts w:hint="eastAsia" w:cs="Times New Roman"/>
                <w:b w:val="0"/>
                <w:bCs w:val="0"/>
                <w:color w:val="auto"/>
                <w:kern w:val="0"/>
                <w:sz w:val="24"/>
                <w:szCs w:val="24"/>
                <w:highlight w:val="none"/>
                <w:lang w:val="en-US" w:eastAsia="zh-CN" w:bidi="ar-SA"/>
              </w:rPr>
              <w:t>沿</w:t>
            </w:r>
            <w:r>
              <w:rPr>
                <w:rFonts w:hint="default" w:ascii="Times New Roman" w:hAnsi="Times New Roman" w:eastAsia="宋体" w:cs="Times New Roman"/>
                <w:b w:val="0"/>
                <w:bCs w:val="0"/>
                <w:color w:val="auto"/>
                <w:kern w:val="0"/>
                <w:sz w:val="24"/>
                <w:szCs w:val="24"/>
                <w:highlight w:val="none"/>
                <w:lang w:val="en-US" w:eastAsia="zh-CN" w:bidi="ar-SA"/>
              </w:rPr>
              <w:t>山体剥落方向，即</w:t>
            </w:r>
            <w:r>
              <w:rPr>
                <w:rFonts w:hint="eastAsia" w:cs="Times New Roman"/>
                <w:b w:val="0"/>
                <w:bCs w:val="0"/>
                <w:color w:val="auto"/>
                <w:kern w:val="0"/>
                <w:sz w:val="24"/>
                <w:szCs w:val="24"/>
                <w:highlight w:val="none"/>
                <w:lang w:val="en-US" w:eastAsia="zh-CN" w:bidi="ar-SA"/>
              </w:rPr>
              <w:t>北-南</w:t>
            </w:r>
            <w:r>
              <w:rPr>
                <w:rFonts w:hint="default" w:ascii="Times New Roman" w:hAnsi="Times New Roman" w:eastAsia="宋体" w:cs="Times New Roman"/>
                <w:b w:val="0"/>
                <w:bCs w:val="0"/>
                <w:color w:val="auto"/>
                <w:kern w:val="0"/>
                <w:sz w:val="24"/>
                <w:szCs w:val="24"/>
                <w:highlight w:val="none"/>
                <w:lang w:val="en-US" w:eastAsia="zh-CN" w:bidi="ar-SA"/>
              </w:rPr>
              <w:t>方向依次布置</w:t>
            </w:r>
            <w:r>
              <w:rPr>
                <w:rFonts w:hint="eastAsia" w:cs="Times New Roman"/>
                <w:b w:val="0"/>
                <w:bCs w:val="0"/>
                <w:color w:val="auto"/>
                <w:kern w:val="0"/>
                <w:sz w:val="24"/>
                <w:szCs w:val="24"/>
                <w:highlight w:val="none"/>
                <w:lang w:val="en-US" w:eastAsia="zh-CN" w:bidi="ar-SA"/>
              </w:rPr>
              <w:t>原料区、预处理区、搅拌及成核区、成球包膜区、静养筛分区、蒸养区和成品筛分区等</w:t>
            </w:r>
            <w:r>
              <w:rPr>
                <w:rFonts w:hint="default" w:ascii="Times New Roman" w:hAnsi="Times New Roman" w:eastAsia="宋体" w:cs="Times New Roman"/>
                <w:b w:val="0"/>
                <w:bCs w:val="0"/>
                <w:color w:val="auto"/>
                <w:kern w:val="0"/>
                <w:sz w:val="24"/>
                <w:szCs w:val="24"/>
                <w:highlight w:val="none"/>
                <w:lang w:val="en-US" w:eastAsia="zh-CN" w:bidi="ar-SA"/>
              </w:rPr>
              <w:t>，主厂房为长方形，宽度约为80</w:t>
            </w:r>
            <w:r>
              <w:rPr>
                <w:rFonts w:hint="eastAsia" w:ascii="Times New Roman" w:hAnsi="Times New Roman" w:eastAsia="宋体" w:cs="Times New Roman"/>
                <w:b w:val="0"/>
                <w:bCs w:val="0"/>
                <w:color w:val="auto"/>
                <w:kern w:val="0"/>
                <w:sz w:val="24"/>
                <w:szCs w:val="24"/>
                <w:highlight w:val="none"/>
                <w:lang w:val="en-US" w:eastAsia="zh-CN" w:bidi="ar-SA"/>
              </w:rPr>
              <w:t>m</w:t>
            </w:r>
            <w:r>
              <w:rPr>
                <w:rFonts w:hint="default" w:ascii="Times New Roman" w:hAnsi="Times New Roman" w:eastAsia="宋体" w:cs="Times New Roman"/>
                <w:b w:val="0"/>
                <w:bCs w:val="0"/>
                <w:color w:val="auto"/>
                <w:kern w:val="0"/>
                <w:sz w:val="24"/>
                <w:szCs w:val="24"/>
                <w:highlight w:val="none"/>
                <w:lang w:val="en-US" w:eastAsia="zh-CN" w:bidi="ar-SA"/>
              </w:rPr>
              <w:t>，长度约为160</w:t>
            </w:r>
            <w:r>
              <w:rPr>
                <w:rFonts w:hint="eastAsia" w:ascii="Times New Roman" w:hAnsi="Times New Roman" w:eastAsia="宋体" w:cs="Times New Roman"/>
                <w:b w:val="0"/>
                <w:bCs w:val="0"/>
                <w:color w:val="auto"/>
                <w:kern w:val="0"/>
                <w:sz w:val="24"/>
                <w:szCs w:val="24"/>
                <w:highlight w:val="none"/>
                <w:lang w:val="en-US" w:eastAsia="zh-CN" w:bidi="ar-SA"/>
              </w:rPr>
              <w:t>m</w:t>
            </w:r>
            <w:r>
              <w:rPr>
                <w:rFonts w:hint="default" w:ascii="Times New Roman" w:hAnsi="Times New Roman" w:eastAsia="宋体" w:cs="Times New Roman"/>
                <w:b w:val="0"/>
                <w:bCs w:val="0"/>
                <w:color w:val="auto"/>
                <w:kern w:val="0"/>
                <w:sz w:val="24"/>
                <w:szCs w:val="24"/>
                <w:highlight w:val="none"/>
                <w:lang w:val="en-US" w:eastAsia="zh-CN" w:bidi="ar-SA"/>
              </w:rPr>
              <w:t>，厂房内外布置电气室、空压站等公共辅助设施</w:t>
            </w:r>
            <w:r>
              <w:rPr>
                <w:rFonts w:hint="eastAsia" w:ascii="Times New Roman" w:hAnsi="Times New Roman" w:eastAsia="宋体" w:cs="Times New Roman"/>
                <w:b w:val="0"/>
                <w:bCs w:val="0"/>
                <w:color w:val="auto"/>
                <w:kern w:val="0"/>
                <w:sz w:val="24"/>
                <w:szCs w:val="24"/>
                <w:highlight w:val="none"/>
                <w:lang w:val="en-US" w:eastAsia="zh-CN" w:bidi="ar-SA"/>
              </w:rPr>
              <w:t>；</w:t>
            </w:r>
            <w:r>
              <w:rPr>
                <w:rFonts w:hint="eastAsia" w:cs="Times New Roman"/>
                <w:b w:val="0"/>
                <w:bCs w:val="0"/>
                <w:color w:val="auto"/>
                <w:kern w:val="0"/>
                <w:sz w:val="24"/>
                <w:szCs w:val="24"/>
                <w:highlight w:val="none"/>
                <w:lang w:val="en-US" w:eastAsia="zh-CN" w:bidi="ar-SA"/>
              </w:rPr>
              <w:t>混凝土</w:t>
            </w:r>
            <w:r>
              <w:rPr>
                <w:rFonts w:hint="default" w:ascii="Times New Roman" w:hAnsi="Times New Roman" w:eastAsia="宋体" w:cs="Times New Roman"/>
                <w:b w:val="0"/>
                <w:bCs w:val="0"/>
                <w:color w:val="auto"/>
                <w:kern w:val="0"/>
                <w:sz w:val="24"/>
                <w:szCs w:val="24"/>
                <w:highlight w:val="none"/>
                <w:lang w:val="en-US" w:eastAsia="zh-CN" w:bidi="ar-SA"/>
              </w:rPr>
              <w:t>生产区：该区位于下部台阶，延上部台阶放坡线为方向布置绿色智能化预拌混凝土生产线。</w:t>
            </w:r>
          </w:p>
          <w:p w14:paraId="65AA69FC">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SA"/>
              </w:rPr>
            </w:pPr>
            <w:r>
              <w:rPr>
                <w:rFonts w:hint="eastAsia"/>
                <w:color w:val="auto"/>
                <w:sz w:val="24"/>
                <w:highlight w:val="none"/>
              </w:rPr>
              <w:t>综上，本项目总平面按功能分区布置，充分考虑了生产工艺流程、运输、防火、安全、卫生、节约用地等要求。并按照各部分与各自功能的特点，结合厂区自然条件进行平面布置。项目规划设计总图布置功能分区明确、工艺紧凑、物流顺畅，并充分考虑了环保、安全、消防等方面因素。评价认为，厂区总平面布置基本合理、可行。</w:t>
            </w:r>
            <w:r>
              <w:rPr>
                <w:rFonts w:hint="default" w:ascii="Times New Roman" w:hAnsi="Times New Roman" w:eastAsia="宋体" w:cs="Times New Roman"/>
                <w:b w:val="0"/>
                <w:bCs w:val="0"/>
                <w:color w:val="auto"/>
                <w:kern w:val="0"/>
                <w:sz w:val="24"/>
                <w:szCs w:val="24"/>
                <w:highlight w:val="none"/>
                <w:lang w:val="en-US" w:eastAsia="zh-CN" w:bidi="ar-SA"/>
              </w:rPr>
              <w:t>具体总平面布置详见</w:t>
            </w:r>
            <w:bookmarkStart w:id="29" w:name="_Ref15488"/>
            <w:r>
              <w:rPr>
                <w:color w:val="auto"/>
                <w:highlight w:val="none"/>
              </w:rPr>
              <w:t>附图</w:t>
            </w:r>
            <w:bookmarkEnd w:id="29"/>
            <w:r>
              <w:rPr>
                <w:rFonts w:hint="eastAsia"/>
                <w:color w:val="auto"/>
                <w:highlight w:val="none"/>
                <w:lang w:val="en-US" w:eastAsia="zh-CN"/>
              </w:rPr>
              <w:t>5</w:t>
            </w:r>
            <w:r>
              <w:rPr>
                <w:rFonts w:hint="eastAsia" w:ascii="Times New Roman" w:hAnsi="Times New Roman" w:eastAsia="宋体" w:cs="Times New Roman"/>
                <w:b w:val="0"/>
                <w:bCs w:val="0"/>
                <w:color w:val="auto"/>
                <w:kern w:val="0"/>
                <w:sz w:val="24"/>
                <w:szCs w:val="24"/>
                <w:highlight w:val="none"/>
                <w:lang w:val="en-US" w:eastAsia="zh-CN" w:bidi="ar-SA"/>
              </w:rPr>
              <w:t>。</w:t>
            </w:r>
          </w:p>
        </w:tc>
      </w:tr>
      <w:tr w14:paraId="72F10B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 w:type="pct"/>
            <w:noWrap w:val="0"/>
            <w:vAlign w:val="center"/>
          </w:tcPr>
          <w:p w14:paraId="74560B2E">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工艺流程和产排污环节</w:t>
            </w:r>
          </w:p>
        </w:tc>
        <w:tc>
          <w:tcPr>
            <w:tcW w:w="4750" w:type="pct"/>
            <w:noWrap w:val="0"/>
            <w:vAlign w:val="top"/>
          </w:tcPr>
          <w:p w14:paraId="58084D6E">
            <w:pPr>
              <w:pStyle w:val="41"/>
              <w:bidi w:val="0"/>
              <w:rPr>
                <w:rFonts w:hint="eastAsia"/>
                <w:color w:val="auto"/>
                <w:highlight w:val="none"/>
                <w:lang w:val="en-US" w:eastAsia="zh-CN"/>
              </w:rPr>
            </w:pPr>
            <w:r>
              <w:rPr>
                <w:rFonts w:hint="eastAsia"/>
                <w:color w:val="auto"/>
                <w:highlight w:val="none"/>
                <w:lang w:val="en-US" w:eastAsia="zh-CN"/>
              </w:rPr>
              <w:t>一、</w:t>
            </w:r>
            <w:r>
              <w:rPr>
                <w:color w:val="auto"/>
                <w:highlight w:val="none"/>
              </w:rPr>
              <w:t>施工期工艺流程和产污环节</w:t>
            </w:r>
          </w:p>
          <w:p w14:paraId="03A3F7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32"/>
                <w:highlight w:val="none"/>
              </w:rPr>
            </w:pPr>
            <w:r>
              <w:rPr>
                <w:rFonts w:hint="default"/>
                <w:color w:val="auto"/>
                <w:sz w:val="24"/>
                <w:szCs w:val="32"/>
                <w:highlight w:val="none"/>
              </w:rPr>
              <w:t>施工期的污染主要有</w:t>
            </w:r>
            <w:r>
              <w:rPr>
                <w:rFonts w:hint="eastAsia"/>
                <w:color w:val="auto"/>
                <w:sz w:val="24"/>
                <w:szCs w:val="32"/>
                <w:highlight w:val="none"/>
                <w:lang w:val="en-US" w:eastAsia="zh-CN"/>
              </w:rPr>
              <w:t>蒸压硅酸盐功能骨料生产线和混凝土生产线</w:t>
            </w:r>
            <w:r>
              <w:rPr>
                <w:rFonts w:hint="default"/>
                <w:color w:val="auto"/>
                <w:sz w:val="24"/>
                <w:szCs w:val="32"/>
                <w:highlight w:val="none"/>
              </w:rPr>
              <w:t>及其他辅助工程的建设，将产生扬尘、固体废弃物、废水及噪声等污染物，施工工艺流程及各阶段主要污染物产生情况见</w:t>
            </w:r>
            <w:r>
              <w:rPr>
                <w:rFonts w:hint="default"/>
                <w:color w:val="auto"/>
                <w:sz w:val="24"/>
                <w:szCs w:val="32"/>
                <w:highlight w:val="none"/>
              </w:rPr>
              <w:fldChar w:fldCharType="begin"/>
            </w:r>
            <w:r>
              <w:rPr>
                <w:rFonts w:hint="default"/>
                <w:color w:val="auto"/>
                <w:sz w:val="24"/>
                <w:szCs w:val="32"/>
                <w:highlight w:val="none"/>
              </w:rPr>
              <w:instrText xml:space="preserve"> REF _Ref6782 \h </w:instrText>
            </w:r>
            <w:r>
              <w:rPr>
                <w:rFonts w:hint="default"/>
                <w:color w:val="auto"/>
                <w:sz w:val="24"/>
                <w:szCs w:val="32"/>
                <w:highlight w:val="none"/>
              </w:rPr>
              <w:fldChar w:fldCharType="separate"/>
            </w:r>
            <w:r>
              <w:rPr>
                <w:color w:val="auto"/>
                <w:highlight w:val="none"/>
              </w:rPr>
              <w:t>图2-2</w:t>
            </w:r>
            <w:r>
              <w:rPr>
                <w:rFonts w:hint="default"/>
                <w:color w:val="auto"/>
                <w:sz w:val="24"/>
                <w:szCs w:val="32"/>
                <w:highlight w:val="none"/>
              </w:rPr>
              <w:fldChar w:fldCharType="end"/>
            </w:r>
            <w:r>
              <w:rPr>
                <w:rFonts w:hint="default"/>
                <w:color w:val="auto"/>
                <w:sz w:val="24"/>
                <w:szCs w:val="32"/>
                <w:highlight w:val="none"/>
              </w:rPr>
              <w:t>。施工期工艺流程及产污环节简述如下：</w:t>
            </w:r>
          </w:p>
          <w:p w14:paraId="26CB30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32"/>
                <w:highlight w:val="none"/>
              </w:rPr>
            </w:pPr>
            <w:r>
              <w:rPr>
                <w:rFonts w:hint="default"/>
                <w:color w:val="auto"/>
                <w:sz w:val="24"/>
                <w:szCs w:val="32"/>
                <w:highlight w:val="none"/>
              </w:rPr>
              <w:t>1、地基开挖：项目设备设施安装前期需对地表进行清理、地基进行压实处理，此工序主要污染物为噪声、扬尘等；</w:t>
            </w:r>
          </w:p>
          <w:p w14:paraId="4E2BF54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32"/>
                <w:highlight w:val="none"/>
              </w:rPr>
            </w:pPr>
            <w:r>
              <w:rPr>
                <w:rFonts w:hint="default"/>
                <w:color w:val="auto"/>
                <w:sz w:val="24"/>
                <w:szCs w:val="32"/>
                <w:highlight w:val="none"/>
              </w:rPr>
              <w:t>2、土地平整：平整项目场地，如清除厂区地上障碍物，排除地面积水，铺筑厂区道路等。此工序主要污染物为噪声、扬尘、固废等；</w:t>
            </w:r>
          </w:p>
          <w:p w14:paraId="4CA070C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32"/>
                <w:highlight w:val="none"/>
              </w:rPr>
            </w:pPr>
            <w:r>
              <w:rPr>
                <w:rFonts w:hint="default"/>
                <w:color w:val="auto"/>
                <w:sz w:val="24"/>
                <w:szCs w:val="32"/>
                <w:highlight w:val="none"/>
              </w:rPr>
              <w:t>3、主体工程：主要包括围护挖土、基础施工、场地的填土和夯实。此工序主要污染物为机械设备噪声、场地扬尘、施工机械尾气等；</w:t>
            </w:r>
          </w:p>
          <w:p w14:paraId="20D5A1B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32"/>
                <w:highlight w:val="none"/>
              </w:rPr>
            </w:pPr>
            <w:r>
              <w:rPr>
                <w:rFonts w:hint="eastAsia"/>
                <w:color w:val="auto"/>
                <w:sz w:val="24"/>
                <w:szCs w:val="32"/>
                <w:highlight w:val="none"/>
                <w:lang w:val="en-US" w:eastAsia="zh-CN"/>
              </w:rPr>
              <w:t>4</w:t>
            </w:r>
            <w:r>
              <w:rPr>
                <w:rFonts w:hint="default"/>
                <w:color w:val="auto"/>
                <w:sz w:val="24"/>
                <w:szCs w:val="32"/>
                <w:highlight w:val="none"/>
              </w:rPr>
              <w:t>、设备安装：按照设计要求进行设备安装、检修施工。此工序主要污染物为噪声、固废等。</w:t>
            </w:r>
          </w:p>
          <w:p w14:paraId="02A44865">
            <w:pPr>
              <w:pStyle w:val="42"/>
              <w:bidi w:val="0"/>
              <w:rPr>
                <w:rFonts w:hint="default"/>
                <w:color w:val="auto"/>
                <w:highlight w:val="none"/>
              </w:rPr>
            </w:pPr>
            <w:r>
              <w:rPr>
                <w:color w:val="auto"/>
                <w:highlight w:val="none"/>
              </w:rPr>
              <w:drawing>
                <wp:inline distT="0" distB="0" distL="114300" distR="114300">
                  <wp:extent cx="5363845" cy="1831340"/>
                  <wp:effectExtent l="0" t="0" r="8255" b="1651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a:stretch>
                            <a:fillRect/>
                          </a:stretch>
                        </pic:blipFill>
                        <pic:spPr>
                          <a:xfrm>
                            <a:off x="0" y="0"/>
                            <a:ext cx="5363845" cy="1831340"/>
                          </a:xfrm>
                          <a:prstGeom prst="rect">
                            <a:avLst/>
                          </a:prstGeom>
                          <a:noFill/>
                          <a:ln>
                            <a:noFill/>
                          </a:ln>
                        </pic:spPr>
                      </pic:pic>
                    </a:graphicData>
                  </a:graphic>
                </wp:inline>
              </w:drawing>
            </w:r>
          </w:p>
          <w:p w14:paraId="0BB3C9B4">
            <w:pPr>
              <w:pStyle w:val="51"/>
              <w:bidi w:val="0"/>
              <w:rPr>
                <w:rFonts w:hint="default"/>
                <w:color w:val="auto"/>
                <w:highlight w:val="none"/>
              </w:rPr>
            </w:pPr>
            <w:bookmarkStart w:id="30" w:name="_Ref6782"/>
            <w:r>
              <w:rPr>
                <w:color w:val="auto"/>
                <w:highlight w:val="none"/>
              </w:rPr>
              <w:t>图2-</w:t>
            </w:r>
            <w:r>
              <w:rPr>
                <w:color w:val="auto"/>
                <w:highlight w:val="none"/>
              </w:rPr>
              <w:fldChar w:fldCharType="begin"/>
            </w:r>
            <w:r>
              <w:rPr>
                <w:color w:val="auto"/>
                <w:highlight w:val="none"/>
              </w:rPr>
              <w:instrText xml:space="preserve"> SEQ 图2- \* ARABIC </w:instrText>
            </w:r>
            <w:r>
              <w:rPr>
                <w:color w:val="auto"/>
                <w:highlight w:val="none"/>
              </w:rPr>
              <w:fldChar w:fldCharType="separate"/>
            </w:r>
            <w:r>
              <w:rPr>
                <w:color w:val="auto"/>
                <w:highlight w:val="none"/>
              </w:rPr>
              <w:t>2</w:t>
            </w:r>
            <w:r>
              <w:rPr>
                <w:color w:val="auto"/>
                <w:highlight w:val="none"/>
              </w:rPr>
              <w:fldChar w:fldCharType="end"/>
            </w:r>
            <w:bookmarkEnd w:id="30"/>
            <w:r>
              <w:rPr>
                <w:rFonts w:hint="eastAsia"/>
                <w:color w:val="auto"/>
                <w:highlight w:val="none"/>
                <w:lang w:val="en-US" w:eastAsia="zh-CN"/>
              </w:rPr>
              <w:t xml:space="preserve">  施工期工艺流程图及产污环节</w:t>
            </w:r>
          </w:p>
          <w:p w14:paraId="082AFA23">
            <w:pPr>
              <w:pStyle w:val="41"/>
              <w:bidi w:val="0"/>
              <w:rPr>
                <w:rFonts w:hint="default"/>
                <w:color w:val="auto"/>
                <w:highlight w:val="none"/>
                <w:lang w:val="en-US" w:eastAsia="zh-CN"/>
              </w:rPr>
            </w:pPr>
            <w:r>
              <w:rPr>
                <w:rFonts w:hint="eastAsia"/>
                <w:color w:val="auto"/>
                <w:highlight w:val="none"/>
                <w:lang w:val="en-US" w:eastAsia="zh-CN"/>
              </w:rPr>
              <w:t>二、运营</w:t>
            </w:r>
            <w:r>
              <w:rPr>
                <w:color w:val="auto"/>
                <w:highlight w:val="none"/>
              </w:rPr>
              <w:t>期工艺流程和产污环节</w:t>
            </w:r>
          </w:p>
          <w:p w14:paraId="4DE21A69">
            <w:pPr>
              <w:pStyle w:val="41"/>
              <w:bidi w:val="0"/>
              <w:rPr>
                <w:rFonts w:hint="eastAsia"/>
                <w:color w:val="auto"/>
                <w:highlight w:val="none"/>
                <w:lang w:val="en-US" w:eastAsia="zh-CN"/>
              </w:rPr>
            </w:pPr>
            <w:r>
              <w:rPr>
                <w:rFonts w:hint="eastAsia"/>
                <w:color w:val="auto"/>
                <w:highlight w:val="none"/>
                <w:lang w:val="en-US" w:eastAsia="zh-CN"/>
              </w:rPr>
              <w:t>1、蒸压硅酸盐功能骨料工艺流程和产污环节</w:t>
            </w:r>
          </w:p>
          <w:p w14:paraId="7351B652">
            <w:pPr>
              <w:pStyle w:val="41"/>
              <w:bidi w:val="0"/>
              <w:rPr>
                <w:rFonts w:hint="eastAsia"/>
                <w:color w:val="auto"/>
                <w:highlight w:val="none"/>
                <w:lang w:val="en-US" w:eastAsia="zh-CN"/>
              </w:rPr>
            </w:pPr>
            <w:r>
              <w:rPr>
                <w:rFonts w:hint="eastAsia"/>
                <w:color w:val="auto"/>
                <w:highlight w:val="none"/>
                <w:lang w:val="en-US" w:eastAsia="zh-CN"/>
              </w:rPr>
              <w:t>蒸压硅酸盐功能骨料的工艺原理及可行性如下：</w:t>
            </w:r>
          </w:p>
          <w:p w14:paraId="6EA9E81D">
            <w:pPr>
              <w:bidi w:val="0"/>
              <w:rPr>
                <w:rFonts w:hint="eastAsia"/>
                <w:color w:val="auto"/>
                <w:highlight w:val="none"/>
                <w:lang w:val="en-US" w:eastAsia="zh-CN"/>
              </w:rPr>
            </w:pPr>
            <w:r>
              <w:rPr>
                <w:rFonts w:hint="eastAsia"/>
                <w:color w:val="auto"/>
                <w:highlight w:val="none"/>
                <w:lang w:val="en-US" w:eastAsia="zh-CN"/>
              </w:rPr>
              <w:t>蒸压硅酸盐功能骨料采用免烧法生产工艺，该工艺主要包括原料粉磨、成型造粒和养护三大关键环节。免烧法是一种采用活性固废为主要原材料，加入适量外加剂及其他辅助材料，经混合、成球、养护（蒸汽养护、蒸压养护、自然养护等）制成人造轻骨料的方法。骨料制备过程中原材料的种类、成分以及含量会对产品的性能产生很大的影响。由于粉煤灰等固废原料活化能较低，不易单独生成稳定可靠的产品，因此需要通过合理配比并添加能与之反应生成可靠物质的外加剂，其强度来源于具有火山灰活性的粉煤灰、CaO和水产生的C-S-H，加入外加剂可以加速火山灰反应和钙矾石的生成，从而提高材料的强度。通过实验发现，蒸汽养护的骨料强度远高于自然养护。</w:t>
            </w:r>
          </w:p>
          <w:p w14:paraId="54573414">
            <w:pPr>
              <w:bidi w:val="0"/>
              <w:rPr>
                <w:rFonts w:hint="eastAsia"/>
                <w:color w:val="auto"/>
                <w:spacing w:val="-6"/>
                <w:sz w:val="24"/>
                <w:highlight w:val="none"/>
                <w:lang w:val="en-US" w:eastAsia="zh-CN"/>
              </w:rPr>
            </w:pPr>
            <w:r>
              <w:rPr>
                <w:rFonts w:hint="eastAsia"/>
                <w:color w:val="auto"/>
                <w:highlight w:val="none"/>
                <w:lang w:val="en-US" w:eastAsia="zh-CN"/>
              </w:rPr>
              <w:t>基于上述原理，本项目采用水热合成技术制备蒸压硅酸盐功能骨料，生产过程无需高温烧结，一次能源消耗小，符合绿色循环的发展理念，可真正实现清洁</w:t>
            </w:r>
            <w:r>
              <w:rPr>
                <w:rFonts w:hint="eastAsia"/>
                <w:color w:val="auto"/>
                <w:spacing w:val="-6"/>
                <w:sz w:val="24"/>
                <w:highlight w:val="none"/>
                <w:lang w:val="en-US" w:eastAsia="zh-CN"/>
              </w:rPr>
              <w:t>化生产高性能高附加值产品。本技术具有以下优势：生产成本低较烧结法低，产品粒径均匀；占地小，节约土地资源；产品指标好，附加值高，可用于绿色建筑各种领域。</w:t>
            </w:r>
          </w:p>
          <w:p w14:paraId="434728D2">
            <w:pPr>
              <w:rPr>
                <w:color w:val="auto"/>
                <w:sz w:val="24"/>
                <w:highlight w:val="none"/>
              </w:rPr>
            </w:pPr>
            <w:r>
              <w:rPr>
                <w:rFonts w:hint="eastAsia"/>
                <w:color w:val="auto"/>
                <w:highlight w:val="none"/>
                <w:lang w:val="en-US" w:eastAsia="zh-CN"/>
              </w:rPr>
              <w:t>蒸压硅酸盐功能骨料生产线的</w:t>
            </w:r>
            <w:r>
              <w:rPr>
                <w:color w:val="auto"/>
                <w:sz w:val="24"/>
                <w:highlight w:val="none"/>
              </w:rPr>
              <w:t>工艺流程及主要产污环节见</w:t>
            </w:r>
            <w:r>
              <w:rPr>
                <w:color w:val="auto"/>
                <w:sz w:val="24"/>
                <w:highlight w:val="none"/>
              </w:rPr>
              <w:fldChar w:fldCharType="begin"/>
            </w:r>
            <w:r>
              <w:rPr>
                <w:color w:val="auto"/>
                <w:sz w:val="24"/>
                <w:highlight w:val="none"/>
              </w:rPr>
              <w:instrText xml:space="preserve"> REF _Ref6903 \h </w:instrText>
            </w:r>
            <w:r>
              <w:rPr>
                <w:color w:val="auto"/>
                <w:sz w:val="24"/>
                <w:highlight w:val="none"/>
              </w:rPr>
              <w:fldChar w:fldCharType="separate"/>
            </w:r>
            <w:r>
              <w:rPr>
                <w:color w:val="auto"/>
                <w:highlight w:val="none"/>
              </w:rPr>
              <w:t>图2-3</w:t>
            </w:r>
            <w:r>
              <w:rPr>
                <w:color w:val="auto"/>
                <w:sz w:val="24"/>
                <w:highlight w:val="none"/>
              </w:rPr>
              <w:fldChar w:fldCharType="end"/>
            </w:r>
            <w:r>
              <w:rPr>
                <w:rFonts w:hint="eastAsia"/>
                <w:color w:val="auto"/>
                <w:sz w:val="24"/>
                <w:highlight w:val="none"/>
                <w:lang w:eastAsia="zh-CN"/>
              </w:rPr>
              <w:t>，</w:t>
            </w:r>
            <w:r>
              <w:rPr>
                <w:rFonts w:hint="eastAsia"/>
                <w:color w:val="auto"/>
                <w:highlight w:val="none"/>
                <w:lang w:val="en-US" w:eastAsia="zh-CN"/>
              </w:rPr>
              <w:t>物料流向见</w:t>
            </w:r>
            <w:r>
              <w:rPr>
                <w:rFonts w:hint="eastAsia"/>
                <w:color w:val="auto"/>
                <w:highlight w:val="none"/>
                <w:lang w:val="en-US" w:eastAsia="zh-CN"/>
              </w:rPr>
              <w:fldChar w:fldCharType="begin"/>
            </w:r>
            <w:r>
              <w:rPr>
                <w:rFonts w:hint="eastAsia"/>
                <w:color w:val="auto"/>
                <w:highlight w:val="none"/>
                <w:lang w:val="en-US" w:eastAsia="zh-CN"/>
              </w:rPr>
              <w:instrText xml:space="preserve"> REF _Ref19024 \h </w:instrText>
            </w:r>
            <w:r>
              <w:rPr>
                <w:rFonts w:hint="eastAsia"/>
                <w:color w:val="auto"/>
                <w:highlight w:val="none"/>
                <w:lang w:val="en-US" w:eastAsia="zh-CN"/>
              </w:rPr>
              <w:fldChar w:fldCharType="separate"/>
            </w:r>
            <w:r>
              <w:rPr>
                <w:color w:val="auto"/>
                <w:highlight w:val="none"/>
              </w:rPr>
              <w:t>图2-4</w:t>
            </w:r>
            <w:r>
              <w:rPr>
                <w:rFonts w:hint="eastAsia"/>
                <w:color w:val="auto"/>
                <w:highlight w:val="none"/>
                <w:lang w:val="en-US" w:eastAsia="zh-CN"/>
              </w:rPr>
              <w:fldChar w:fldCharType="end"/>
            </w:r>
            <w:r>
              <w:rPr>
                <w:color w:val="auto"/>
                <w:sz w:val="24"/>
                <w:highlight w:val="none"/>
              </w:rPr>
              <w:t>。</w:t>
            </w:r>
          </w:p>
          <w:p w14:paraId="71ADD21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32"/>
                <w:highlight w:val="none"/>
                <w:lang w:eastAsia="zh-CN"/>
              </w:rPr>
            </w:pPr>
            <w:r>
              <w:rPr>
                <w:rFonts w:hint="eastAsia" w:ascii="Times New Roman" w:hAnsi="Times New Roman" w:eastAsia="宋体" w:cs="Times New Roman"/>
                <w:b/>
                <w:bCs/>
                <w:color w:val="auto"/>
                <w:sz w:val="24"/>
                <w:szCs w:val="32"/>
                <w:highlight w:val="none"/>
                <w:lang w:eastAsia="zh-CN"/>
              </w:rPr>
              <w:t>（</w:t>
            </w:r>
            <w:r>
              <w:rPr>
                <w:rFonts w:hint="eastAsia" w:ascii="Times New Roman" w:hAnsi="Times New Roman" w:eastAsia="宋体" w:cs="Times New Roman"/>
                <w:b/>
                <w:bCs/>
                <w:color w:val="auto"/>
                <w:sz w:val="24"/>
                <w:szCs w:val="32"/>
                <w:highlight w:val="none"/>
                <w:lang w:val="en-US" w:eastAsia="zh-CN"/>
              </w:rPr>
              <w:t>1）原料运输、储存</w:t>
            </w:r>
          </w:p>
          <w:p w14:paraId="0C25B90A">
            <w:pPr>
              <w:bidi w:val="0"/>
              <w:rPr>
                <w:rFonts w:hint="eastAsia"/>
                <w:color w:val="auto"/>
                <w:highlight w:val="none"/>
                <w:lang w:eastAsia="zh-CN"/>
              </w:rPr>
            </w:pPr>
            <w:r>
              <w:rPr>
                <w:rFonts w:hint="eastAsia"/>
                <w:color w:val="auto"/>
                <w:highlight w:val="none"/>
                <w:lang w:eastAsia="zh-CN"/>
              </w:rPr>
              <w:t>①粉煤灰由周边电厂以专用罐车密闭运输至厂区，气力输送至5座</w:t>
            </w:r>
            <w:r>
              <w:rPr>
                <w:rFonts w:hint="eastAsia"/>
                <w:color w:val="auto"/>
                <w:highlight w:val="none"/>
                <w:lang w:val="en-US" w:eastAsia="zh-CN"/>
              </w:rPr>
              <w:t>400t</w:t>
            </w:r>
            <w:r>
              <w:rPr>
                <w:rFonts w:hint="eastAsia"/>
                <w:color w:val="auto"/>
                <w:highlight w:val="none"/>
                <w:lang w:eastAsia="zh-CN"/>
              </w:rPr>
              <w:t>筒仓储存，主要污染物为G1骨料粉煤灰筒仓粉尘。</w:t>
            </w:r>
          </w:p>
          <w:p w14:paraId="3B82C65D">
            <w:pPr>
              <w:bidi w:val="0"/>
              <w:rPr>
                <w:rFonts w:hint="eastAsia"/>
                <w:color w:val="auto"/>
                <w:highlight w:val="none"/>
                <w:lang w:eastAsia="zh-CN"/>
              </w:rPr>
            </w:pPr>
            <w:r>
              <w:rPr>
                <w:rFonts w:hint="eastAsia"/>
                <w:color w:val="auto"/>
                <w:highlight w:val="none"/>
                <w:lang w:eastAsia="zh-CN"/>
              </w:rPr>
              <w:t>②炉渣、镁渣、脱硫石膏经密闭篷布货车运输进入厂区，在骨料生产车间的原料区</w:t>
            </w:r>
            <w:r>
              <w:rPr>
                <w:rFonts w:hint="eastAsia"/>
                <w:color w:val="auto"/>
                <w:highlight w:val="none"/>
                <w:lang w:val="en-US" w:eastAsia="zh-CN"/>
              </w:rPr>
              <w:t>储存</w:t>
            </w:r>
            <w:r>
              <w:rPr>
                <w:rFonts w:hint="eastAsia"/>
                <w:color w:val="auto"/>
                <w:highlight w:val="none"/>
                <w:lang w:eastAsia="zh-CN"/>
              </w:rPr>
              <w:t>，主要污染物为G2骨料原料区扬尘。</w:t>
            </w:r>
          </w:p>
          <w:p w14:paraId="5C6F5457">
            <w:pPr>
              <w:bidi w:val="0"/>
              <w:rPr>
                <w:rFonts w:hint="eastAsia"/>
                <w:color w:val="auto"/>
                <w:highlight w:val="none"/>
                <w:lang w:eastAsia="zh-CN"/>
              </w:rPr>
            </w:pPr>
            <w:r>
              <w:rPr>
                <w:rFonts w:hint="eastAsia"/>
                <w:color w:val="auto"/>
                <w:highlight w:val="none"/>
                <w:lang w:eastAsia="zh-CN"/>
              </w:rPr>
              <w:t>③活化剂为袋装，由密闭篷布货车运输进入厂区，由自动拆包机拆包，拆包过程全密闭负压集气接入2座活化剂筒仓，拆包后由斗提机送至活化剂筒仓储存，主要污染物为G3活化剂筒仓粉尘。</w:t>
            </w:r>
          </w:p>
          <w:p w14:paraId="1B8D33D7">
            <w:pPr>
              <w:pStyle w:val="41"/>
              <w:bidi w:val="0"/>
              <w:rPr>
                <w:rFonts w:hint="default"/>
                <w:color w:val="auto"/>
                <w:highlight w:val="none"/>
              </w:rPr>
            </w:pPr>
            <w:r>
              <w:rPr>
                <w:rFonts w:hint="default"/>
                <w:color w:val="auto"/>
                <w:highlight w:val="none"/>
              </w:rPr>
              <w:t>（2）原料预处理</w:t>
            </w:r>
          </w:p>
          <w:p w14:paraId="5838F265">
            <w:pPr>
              <w:bidi w:val="0"/>
              <w:rPr>
                <w:rFonts w:hint="default"/>
                <w:color w:val="auto"/>
                <w:highlight w:val="none"/>
              </w:rPr>
            </w:pPr>
            <w:r>
              <w:rPr>
                <w:rFonts w:hint="default"/>
                <w:color w:val="auto"/>
                <w:highlight w:val="none"/>
              </w:rPr>
              <w:t>①炉渣粗磨：由于炉渣较其他原料粒径大，需单独进行粗磨方能进入下道工序。炉渣粗磨在骨料生产车间的原料预处理区进行，粗磨系统入料粒径大约20mm，经粗磨后细度约200</w:t>
            </w:r>
            <w:r>
              <w:rPr>
                <w:rFonts w:hint="default" w:ascii="Times New Roman" w:hAnsi="Times New Roman" w:cs="Times New Roman"/>
                <w:color w:val="auto"/>
                <w:highlight w:val="none"/>
                <w:lang w:val="en-US" w:eastAsia="zh-CN"/>
              </w:rPr>
              <w:t>μ</w:t>
            </w:r>
            <w:r>
              <w:rPr>
                <w:rFonts w:hint="default" w:ascii="Times New Roman" w:hAnsi="Times New Roman" w:cs="Times New Roman"/>
                <w:color w:val="auto"/>
                <w:highlight w:val="none"/>
              </w:rPr>
              <w:t>m</w:t>
            </w:r>
            <w:r>
              <w:rPr>
                <w:rFonts w:hint="default"/>
                <w:color w:val="auto"/>
                <w:highlight w:val="none"/>
              </w:rPr>
              <w:t>。粗磨后密闭送至斗提机，由斗提机送至2座炉渣中间仓。主要污染物为G4a炉渣粗磨粉尘（有组织）、G4b炉渣粗磨粉尘（无组织）、G5炉渣中间仓粉尘。</w:t>
            </w:r>
          </w:p>
          <w:p w14:paraId="5982C1CF">
            <w:pPr>
              <w:bidi w:val="0"/>
              <w:rPr>
                <w:rFonts w:hint="eastAsia" w:eastAsia="宋体"/>
                <w:color w:val="auto"/>
                <w:highlight w:val="none"/>
                <w:lang w:eastAsia="zh-CN"/>
              </w:rPr>
            </w:pPr>
            <w:r>
              <w:rPr>
                <w:rFonts w:hint="default"/>
                <w:color w:val="auto"/>
                <w:highlight w:val="none"/>
              </w:rPr>
              <w:t>②原料配比：各</w:t>
            </w:r>
            <w:r>
              <w:rPr>
                <w:rFonts w:hint="eastAsia"/>
                <w:color w:val="auto"/>
                <w:highlight w:val="none"/>
                <w:lang w:val="en-US" w:eastAsia="zh-CN"/>
              </w:rPr>
              <w:t>原料</w:t>
            </w:r>
            <w:r>
              <w:rPr>
                <w:rFonts w:hint="default"/>
                <w:color w:val="auto"/>
                <w:highlight w:val="none"/>
              </w:rPr>
              <w:t>配比为粉煤灰：炉渣：镁渣：脱硫石膏：活化剂=100:20:44:5:1；粉煤灰、粗磨后的炉渣经仓底卸料及螺旋秤计量后进入球磨机，镁渣、脱硫石膏通过原料区的受料坑下的链板计量后先进入2座镁渣中间仓，然后经仓底卸料及螺旋秤计量后进入球磨机。主要污染物为G</w:t>
            </w:r>
            <w:r>
              <w:rPr>
                <w:rFonts w:hint="eastAsia"/>
                <w:color w:val="auto"/>
                <w:highlight w:val="none"/>
                <w:lang w:val="en-US" w:eastAsia="zh-CN"/>
              </w:rPr>
              <w:t>6镁渣</w:t>
            </w:r>
            <w:r>
              <w:rPr>
                <w:rFonts w:hint="default"/>
                <w:color w:val="auto"/>
                <w:highlight w:val="none"/>
              </w:rPr>
              <w:t>中间仓粉尘</w:t>
            </w:r>
            <w:r>
              <w:rPr>
                <w:rFonts w:hint="eastAsia"/>
                <w:color w:val="auto"/>
                <w:highlight w:val="none"/>
                <w:lang w:eastAsia="zh-CN"/>
              </w:rPr>
              <w:t>。</w:t>
            </w:r>
          </w:p>
          <w:p w14:paraId="65F59E86">
            <w:pPr>
              <w:bidi w:val="0"/>
              <w:rPr>
                <w:rFonts w:hint="default"/>
                <w:color w:val="auto"/>
                <w:highlight w:val="none"/>
              </w:rPr>
            </w:pPr>
            <w:r>
              <w:rPr>
                <w:rFonts w:hint="default"/>
                <w:color w:val="auto"/>
                <w:highlight w:val="none"/>
              </w:rPr>
              <w:t>③原料细磨：原料预处理区设置</w:t>
            </w:r>
            <w:r>
              <w:rPr>
                <w:rFonts w:hint="eastAsia"/>
                <w:color w:val="auto"/>
                <w:highlight w:val="none"/>
                <w:lang w:val="en-US" w:eastAsia="zh-CN"/>
              </w:rPr>
              <w:t>2</w:t>
            </w:r>
            <w:r>
              <w:rPr>
                <w:rFonts w:hint="default"/>
                <w:color w:val="auto"/>
                <w:highlight w:val="none"/>
              </w:rPr>
              <w:t>台Ø2.8×13m球磨机</w:t>
            </w:r>
            <w:r>
              <w:rPr>
                <w:rFonts w:hint="eastAsia"/>
                <w:color w:val="auto"/>
                <w:highlight w:val="none"/>
                <w:lang w:val="en-US" w:eastAsia="zh-CN"/>
              </w:rPr>
              <w:t>进行原料磨粉，</w:t>
            </w:r>
            <w:r>
              <w:rPr>
                <w:rFonts w:hint="default"/>
                <w:color w:val="auto"/>
                <w:highlight w:val="none"/>
              </w:rPr>
              <w:t>混合料经粉磨至直径≤200目（75μm），球磨机出口处设有检测装置，合格的物料由球磨机出磨斗提机送入5座预处理灰仓。主要污染物为G</w:t>
            </w:r>
            <w:r>
              <w:rPr>
                <w:rFonts w:hint="eastAsia"/>
                <w:color w:val="auto"/>
                <w:highlight w:val="none"/>
                <w:lang w:val="en-US" w:eastAsia="zh-CN"/>
              </w:rPr>
              <w:t>7</w:t>
            </w:r>
            <w:r>
              <w:rPr>
                <w:rFonts w:hint="default"/>
                <w:color w:val="auto"/>
                <w:highlight w:val="none"/>
              </w:rPr>
              <w:t>a球磨粉尘（有组织）、G</w:t>
            </w:r>
            <w:r>
              <w:rPr>
                <w:rFonts w:hint="eastAsia"/>
                <w:color w:val="auto"/>
                <w:highlight w:val="none"/>
                <w:lang w:val="en-US" w:eastAsia="zh-CN"/>
              </w:rPr>
              <w:t>7</w:t>
            </w:r>
            <w:r>
              <w:rPr>
                <w:rFonts w:hint="default"/>
                <w:color w:val="auto"/>
                <w:highlight w:val="none"/>
              </w:rPr>
              <w:t>b球磨粉尘（无组织）、G</w:t>
            </w:r>
            <w:r>
              <w:rPr>
                <w:rFonts w:hint="eastAsia"/>
                <w:color w:val="auto"/>
                <w:highlight w:val="none"/>
                <w:lang w:val="en-US" w:eastAsia="zh-CN"/>
              </w:rPr>
              <w:t>8</w:t>
            </w:r>
            <w:r>
              <w:rPr>
                <w:rFonts w:hint="default"/>
                <w:color w:val="auto"/>
                <w:highlight w:val="none"/>
              </w:rPr>
              <w:t>预处理灰仓粉尘。</w:t>
            </w:r>
          </w:p>
          <w:p w14:paraId="139BE2E0">
            <w:pPr>
              <w:pStyle w:val="41"/>
              <w:bidi w:val="0"/>
              <w:rPr>
                <w:rFonts w:hint="eastAsia"/>
                <w:color w:val="auto"/>
                <w:highlight w:val="none"/>
                <w:lang w:eastAsia="zh-CN"/>
              </w:rPr>
            </w:pPr>
            <w:r>
              <w:rPr>
                <w:rFonts w:hint="eastAsia"/>
                <w:color w:val="auto"/>
                <w:highlight w:val="none"/>
                <w:lang w:eastAsia="zh-CN"/>
              </w:rPr>
              <w:t>（3）原料搅拌及成核</w:t>
            </w:r>
          </w:p>
          <w:p w14:paraId="5EE49BEB">
            <w:pPr>
              <w:bidi w:val="0"/>
              <w:rPr>
                <w:rFonts w:hint="eastAsia"/>
                <w:color w:val="auto"/>
                <w:highlight w:val="none"/>
                <w:lang w:eastAsia="zh-CN"/>
              </w:rPr>
            </w:pPr>
            <w:r>
              <w:rPr>
                <w:rFonts w:hint="eastAsia"/>
                <w:color w:val="auto"/>
                <w:highlight w:val="none"/>
                <w:lang w:eastAsia="zh-CN"/>
              </w:rPr>
              <w:t>项目设置5台搅拌机，预处理灰经5座预处理灰仓底卸料及螺旋秤计量后分别喂入对应的搅拌机。水经计量后雾化喷入搅拌腔内，多种物料经搅拌均匀为湿混合料，并形成微小球核。出搅拌机的生料进入</w:t>
            </w:r>
            <w:r>
              <w:rPr>
                <w:rFonts w:hint="eastAsia"/>
                <w:color w:val="auto"/>
                <w:highlight w:val="none"/>
                <w:lang w:val="en-US" w:eastAsia="zh-CN"/>
              </w:rPr>
              <w:t>均化机</w:t>
            </w:r>
            <w:r>
              <w:rPr>
                <w:rFonts w:hint="eastAsia"/>
                <w:color w:val="auto"/>
                <w:highlight w:val="none"/>
                <w:lang w:eastAsia="zh-CN"/>
              </w:rPr>
              <w:t>进一步均化后，由带式输送机送至下游成球包膜车间。</w:t>
            </w:r>
          </w:p>
          <w:p w14:paraId="77C092F1">
            <w:pPr>
              <w:bidi w:val="0"/>
              <w:rPr>
                <w:rFonts w:hint="eastAsia"/>
                <w:color w:val="auto"/>
                <w:highlight w:val="none"/>
                <w:lang w:eastAsia="zh-CN"/>
              </w:rPr>
            </w:pPr>
            <w:r>
              <w:rPr>
                <w:rFonts w:hint="eastAsia"/>
                <w:color w:val="auto"/>
                <w:highlight w:val="none"/>
                <w:lang w:eastAsia="zh-CN"/>
              </w:rPr>
              <w:t>主要污染物为G</w:t>
            </w:r>
            <w:r>
              <w:rPr>
                <w:rFonts w:hint="eastAsia"/>
                <w:color w:val="auto"/>
                <w:highlight w:val="none"/>
                <w:lang w:val="en-US" w:eastAsia="zh-CN"/>
              </w:rPr>
              <w:t>9</w:t>
            </w:r>
            <w:r>
              <w:rPr>
                <w:rFonts w:hint="eastAsia"/>
                <w:color w:val="auto"/>
                <w:highlight w:val="none"/>
                <w:lang w:eastAsia="zh-CN"/>
              </w:rPr>
              <w:t>a搅拌粉尘（有组织）、G</w:t>
            </w:r>
            <w:r>
              <w:rPr>
                <w:rFonts w:hint="eastAsia"/>
                <w:color w:val="auto"/>
                <w:highlight w:val="none"/>
                <w:lang w:val="en-US" w:eastAsia="zh-CN"/>
              </w:rPr>
              <w:t>9</w:t>
            </w:r>
            <w:r>
              <w:rPr>
                <w:rFonts w:hint="eastAsia"/>
                <w:color w:val="auto"/>
                <w:highlight w:val="none"/>
                <w:lang w:eastAsia="zh-CN"/>
              </w:rPr>
              <w:t>b搅拌粉尘（无组织）。</w:t>
            </w:r>
          </w:p>
          <w:p w14:paraId="173B45B1">
            <w:pPr>
              <w:pStyle w:val="41"/>
              <w:bidi w:val="0"/>
              <w:rPr>
                <w:rFonts w:hint="eastAsia"/>
                <w:color w:val="auto"/>
                <w:highlight w:val="none"/>
                <w:lang w:eastAsia="zh-CN"/>
              </w:rPr>
            </w:pPr>
            <w:r>
              <w:rPr>
                <w:rFonts w:hint="eastAsia"/>
                <w:color w:val="auto"/>
                <w:highlight w:val="none"/>
                <w:lang w:eastAsia="zh-CN"/>
              </w:rPr>
              <w:t>（4）成球及包膜</w:t>
            </w:r>
          </w:p>
          <w:p w14:paraId="593E634F">
            <w:pPr>
              <w:bidi w:val="0"/>
              <w:rPr>
                <w:rFonts w:hint="eastAsia"/>
                <w:color w:val="auto"/>
                <w:highlight w:val="none"/>
                <w:lang w:eastAsia="zh-CN"/>
              </w:rPr>
            </w:pPr>
            <w:r>
              <w:rPr>
                <w:rFonts w:hint="eastAsia"/>
                <w:color w:val="auto"/>
                <w:highlight w:val="none"/>
                <w:lang w:eastAsia="zh-CN"/>
              </w:rPr>
              <w:t>项目设置5台成球机，来自搅拌机的微小球核料经带式输送机分别喂入对应的成球机，在成球盘内连续滚动，使微小球核的粒径逐渐增大，最终形成生料球。生料球的大小，可通过调整成球盘的转速和倾斜度控制。</w:t>
            </w:r>
          </w:p>
          <w:p w14:paraId="085902DF">
            <w:pPr>
              <w:bidi w:val="0"/>
              <w:rPr>
                <w:rFonts w:hint="eastAsia"/>
                <w:color w:val="auto"/>
                <w:highlight w:val="none"/>
                <w:lang w:eastAsia="zh-CN"/>
              </w:rPr>
            </w:pPr>
            <w:r>
              <w:rPr>
                <w:rFonts w:hint="eastAsia"/>
                <w:color w:val="auto"/>
                <w:highlight w:val="none"/>
                <w:lang w:eastAsia="zh-CN"/>
              </w:rPr>
              <w:t>预处理灰仓下另设置一路螺旋计量卸料及气力输送系统，用于将部分预处理灰给生料球包膜，形成壳层结构。预处理灰与生料球在包膜机内完成料球包膜后，由带式输送机送至静养机。主要污染物为G</w:t>
            </w:r>
            <w:r>
              <w:rPr>
                <w:rFonts w:hint="eastAsia"/>
                <w:color w:val="auto"/>
                <w:highlight w:val="none"/>
                <w:lang w:val="en-US" w:eastAsia="zh-CN"/>
              </w:rPr>
              <w:t>10</w:t>
            </w:r>
            <w:r>
              <w:rPr>
                <w:rFonts w:hint="eastAsia"/>
                <w:color w:val="auto"/>
                <w:highlight w:val="none"/>
                <w:lang w:eastAsia="zh-CN"/>
              </w:rPr>
              <w:t>a成球包膜粉尘（有组织）、G</w:t>
            </w:r>
            <w:r>
              <w:rPr>
                <w:rFonts w:hint="eastAsia"/>
                <w:color w:val="auto"/>
                <w:highlight w:val="none"/>
                <w:lang w:val="en-US" w:eastAsia="zh-CN"/>
              </w:rPr>
              <w:t>10</w:t>
            </w:r>
            <w:r>
              <w:rPr>
                <w:rFonts w:hint="eastAsia"/>
                <w:color w:val="auto"/>
                <w:highlight w:val="none"/>
                <w:lang w:eastAsia="zh-CN"/>
              </w:rPr>
              <w:t>b成球包膜粉尘（无组织）。</w:t>
            </w:r>
          </w:p>
          <w:p w14:paraId="2949F900">
            <w:pPr>
              <w:pStyle w:val="41"/>
              <w:bidi w:val="0"/>
              <w:rPr>
                <w:rFonts w:hint="default"/>
                <w:color w:val="auto"/>
                <w:highlight w:val="none"/>
              </w:rPr>
            </w:pPr>
            <w:r>
              <w:rPr>
                <w:rFonts w:hint="default"/>
                <w:color w:val="auto"/>
                <w:highlight w:val="none"/>
              </w:rPr>
              <w:t>（5）静养筛分</w:t>
            </w:r>
          </w:p>
          <w:p w14:paraId="4E7F6F02">
            <w:pPr>
              <w:bidi w:val="0"/>
              <w:rPr>
                <w:rFonts w:hint="default"/>
                <w:color w:val="auto"/>
                <w:highlight w:val="none"/>
              </w:rPr>
            </w:pPr>
            <w:r>
              <w:rPr>
                <w:rFonts w:hint="default"/>
                <w:color w:val="auto"/>
                <w:highlight w:val="none"/>
              </w:rPr>
              <w:t>生料球在静养机内静养10-12小时，静养机为相对封闭的结构，可通过调节环境温度和湿度（含装料、卸料时间），使其具有一定强度。静养结束后，落入筛分设备，将＞20mm的粒径分离出来通过皮带机返回</w:t>
            </w:r>
            <w:r>
              <w:rPr>
                <w:rFonts w:hint="eastAsia"/>
                <w:color w:val="auto"/>
                <w:highlight w:val="none"/>
                <w:lang w:val="en-US" w:eastAsia="zh-CN"/>
              </w:rPr>
              <w:t>均化机</w:t>
            </w:r>
            <w:r>
              <w:rPr>
                <w:rFonts w:hint="default"/>
                <w:color w:val="auto"/>
                <w:highlight w:val="none"/>
              </w:rPr>
              <w:t>循环利用，将＜1mm的少量细粉经气力输送系统返回预处理灰仓，其余1-20mm</w:t>
            </w:r>
            <w:r>
              <w:rPr>
                <w:rFonts w:hint="eastAsia"/>
                <w:color w:val="auto"/>
                <w:highlight w:val="none"/>
                <w:lang w:val="en-US" w:eastAsia="zh-CN"/>
              </w:rPr>
              <w:t>生</w:t>
            </w:r>
            <w:r>
              <w:rPr>
                <w:rFonts w:hint="default"/>
                <w:color w:val="auto"/>
                <w:highlight w:val="none"/>
              </w:rPr>
              <w:t>料球喂入蒸压釜进行蒸压养护。主要污染物为G1</w:t>
            </w:r>
            <w:r>
              <w:rPr>
                <w:rFonts w:hint="eastAsia"/>
                <w:color w:val="auto"/>
                <w:highlight w:val="none"/>
                <w:lang w:val="en-US" w:eastAsia="zh-CN"/>
              </w:rPr>
              <w:t>1</w:t>
            </w:r>
            <w:r>
              <w:rPr>
                <w:rFonts w:hint="default"/>
                <w:color w:val="auto"/>
                <w:highlight w:val="none"/>
              </w:rPr>
              <w:t>a生料球筛分粉尘（有组织）、G1</w:t>
            </w:r>
            <w:r>
              <w:rPr>
                <w:rFonts w:hint="eastAsia"/>
                <w:color w:val="auto"/>
                <w:highlight w:val="none"/>
                <w:lang w:val="en-US" w:eastAsia="zh-CN"/>
              </w:rPr>
              <w:t>1</w:t>
            </w:r>
            <w:r>
              <w:rPr>
                <w:rFonts w:hint="default"/>
                <w:color w:val="auto"/>
                <w:highlight w:val="none"/>
              </w:rPr>
              <w:t>b生料球筛分粉尘（无组织）。</w:t>
            </w:r>
          </w:p>
          <w:p w14:paraId="4A6AB4A6">
            <w:pPr>
              <w:pStyle w:val="41"/>
              <w:bidi w:val="0"/>
              <w:rPr>
                <w:rFonts w:hint="default"/>
                <w:color w:val="auto"/>
                <w:highlight w:val="none"/>
              </w:rPr>
            </w:pPr>
            <w:r>
              <w:rPr>
                <w:rFonts w:hint="default"/>
                <w:color w:val="auto"/>
                <w:highlight w:val="none"/>
              </w:rPr>
              <w:t>（6）蒸养</w:t>
            </w:r>
          </w:p>
          <w:p w14:paraId="1E1D0E7E">
            <w:pPr>
              <w:bidi w:val="0"/>
              <w:rPr>
                <w:rFonts w:hint="default"/>
                <w:color w:val="auto"/>
                <w:highlight w:val="none"/>
              </w:rPr>
            </w:pPr>
            <w:r>
              <w:rPr>
                <w:rFonts w:hint="default"/>
                <w:color w:val="auto"/>
                <w:highlight w:val="none"/>
              </w:rPr>
              <w:t>蒸压釜的养护周期为12小时（含装料、卸料时间），采用压力为1MPa，温度180℃的蒸汽进行养护，</w:t>
            </w:r>
            <w:r>
              <w:rPr>
                <w:rFonts w:hint="eastAsia"/>
                <w:color w:val="auto"/>
                <w:highlight w:val="none"/>
                <w:lang w:val="en-US" w:eastAsia="zh-CN"/>
              </w:rPr>
              <w:t>本工序蒸汽由1台15t/h生物质蒸汽锅炉提供，</w:t>
            </w:r>
            <w:r>
              <w:rPr>
                <w:rFonts w:hint="default"/>
                <w:color w:val="auto"/>
                <w:highlight w:val="none"/>
              </w:rPr>
              <w:t>养护完成的成品蒸压硅酸盐功能骨料进入成品筛分进一步筛分分级</w:t>
            </w:r>
            <w:r>
              <w:rPr>
                <w:rFonts w:hint="eastAsia"/>
                <w:color w:val="auto"/>
                <w:highlight w:val="none"/>
                <w:lang w:val="en-US" w:eastAsia="zh-CN"/>
              </w:rPr>
              <w:t>。</w:t>
            </w:r>
            <w:r>
              <w:rPr>
                <w:rFonts w:hint="default"/>
                <w:color w:val="auto"/>
                <w:highlight w:val="none"/>
              </w:rPr>
              <w:t>主要污染物为G1</w:t>
            </w:r>
            <w:r>
              <w:rPr>
                <w:rFonts w:hint="eastAsia"/>
                <w:color w:val="auto"/>
                <w:highlight w:val="none"/>
                <w:lang w:val="en-US" w:eastAsia="zh-CN"/>
              </w:rPr>
              <w:t>2</w:t>
            </w:r>
            <w:r>
              <w:rPr>
                <w:rFonts w:hint="default"/>
                <w:color w:val="auto"/>
                <w:highlight w:val="none"/>
              </w:rPr>
              <w:t>锅炉烟气、W1锅炉定排水、W2</w:t>
            </w:r>
            <w:r>
              <w:rPr>
                <w:rFonts w:hint="eastAsia"/>
                <w:color w:val="auto"/>
                <w:highlight w:val="none"/>
                <w:lang w:val="en-US" w:eastAsia="zh-CN"/>
              </w:rPr>
              <w:t>蒸汽凝结水</w:t>
            </w:r>
            <w:r>
              <w:rPr>
                <w:rFonts w:hint="default"/>
                <w:color w:val="auto"/>
                <w:highlight w:val="none"/>
              </w:rPr>
              <w:t>、W3离子交换树脂再生废水。</w:t>
            </w:r>
          </w:p>
          <w:p w14:paraId="424A6EB9">
            <w:pPr>
              <w:pStyle w:val="41"/>
              <w:bidi w:val="0"/>
              <w:rPr>
                <w:rFonts w:hint="default"/>
                <w:color w:val="auto"/>
                <w:highlight w:val="none"/>
              </w:rPr>
            </w:pPr>
            <w:r>
              <w:rPr>
                <w:rFonts w:hint="default"/>
                <w:color w:val="auto"/>
                <w:highlight w:val="none"/>
              </w:rPr>
              <w:t>（7）成品筛分</w:t>
            </w:r>
          </w:p>
          <w:p w14:paraId="3FCE65A9">
            <w:pPr>
              <w:bidi w:val="0"/>
              <w:rPr>
                <w:rFonts w:hint="default"/>
                <w:color w:val="auto"/>
                <w:highlight w:val="none"/>
              </w:rPr>
            </w:pPr>
            <w:r>
              <w:rPr>
                <w:rFonts w:hint="default"/>
                <w:color w:val="auto"/>
                <w:highlight w:val="none"/>
              </w:rPr>
              <w:t>成品筛筛网尺寸为5×5mm。筛分出的1-5mm、5-20mm两种产品经带式输送机分别输送至6</w:t>
            </w:r>
            <w:r>
              <w:rPr>
                <w:rFonts w:hint="eastAsia"/>
                <w:color w:val="auto"/>
                <w:highlight w:val="none"/>
                <w:lang w:val="en-US" w:eastAsia="zh-CN"/>
              </w:rPr>
              <w:t>座</w:t>
            </w:r>
            <w:r>
              <w:rPr>
                <w:rFonts w:hint="default"/>
                <w:color w:val="auto"/>
                <w:highlight w:val="none"/>
              </w:rPr>
              <w:t>成品中间仓。主要污染物为G1</w:t>
            </w:r>
            <w:r>
              <w:rPr>
                <w:rFonts w:hint="eastAsia"/>
                <w:color w:val="auto"/>
                <w:highlight w:val="none"/>
                <w:lang w:val="en-US" w:eastAsia="zh-CN"/>
              </w:rPr>
              <w:t>3</w:t>
            </w:r>
            <w:r>
              <w:rPr>
                <w:rFonts w:hint="default"/>
                <w:color w:val="auto"/>
                <w:highlight w:val="none"/>
              </w:rPr>
              <w:t>a成品筛分粉尘（有组织）、G1</w:t>
            </w:r>
            <w:r>
              <w:rPr>
                <w:rFonts w:hint="eastAsia"/>
                <w:color w:val="auto"/>
                <w:highlight w:val="none"/>
                <w:lang w:val="en-US" w:eastAsia="zh-CN"/>
              </w:rPr>
              <w:t>3</w:t>
            </w:r>
            <w:r>
              <w:rPr>
                <w:rFonts w:hint="default"/>
                <w:color w:val="auto"/>
                <w:highlight w:val="none"/>
              </w:rPr>
              <w:t>b成品筛分粉尘（无组织）。</w:t>
            </w:r>
          </w:p>
          <w:p w14:paraId="5C80C64C">
            <w:pPr>
              <w:pStyle w:val="41"/>
              <w:bidi w:val="0"/>
              <w:rPr>
                <w:rFonts w:hint="default"/>
                <w:color w:val="auto"/>
                <w:highlight w:val="none"/>
              </w:rPr>
            </w:pPr>
            <w:r>
              <w:rPr>
                <w:rFonts w:hint="default"/>
                <w:color w:val="auto"/>
                <w:highlight w:val="none"/>
              </w:rPr>
              <w:t>（8）包装、外售、贮存</w:t>
            </w:r>
          </w:p>
          <w:p w14:paraId="399BF4D5">
            <w:pPr>
              <w:bidi w:val="0"/>
              <w:rPr>
                <w:rFonts w:hint="default"/>
                <w:color w:val="auto"/>
                <w:spacing w:val="-6"/>
                <w:sz w:val="24"/>
                <w:highlight w:val="none"/>
              </w:rPr>
            </w:pPr>
            <w:r>
              <w:rPr>
                <w:rFonts w:hint="default"/>
                <w:color w:val="auto"/>
                <w:highlight w:val="none"/>
              </w:rPr>
              <w:t>部分骨料作为原料用于后端绿色智能化预拌混凝土生产线，其余部分可直接</w:t>
            </w:r>
            <w:r>
              <w:rPr>
                <w:rFonts w:hint="default"/>
                <w:color w:val="auto"/>
                <w:spacing w:val="-6"/>
                <w:sz w:val="24"/>
                <w:highlight w:val="none"/>
              </w:rPr>
              <w:t>外售。仓底设置有</w:t>
            </w:r>
            <w:r>
              <w:rPr>
                <w:rFonts w:hint="eastAsia"/>
                <w:color w:val="auto"/>
                <w:spacing w:val="-6"/>
                <w:sz w:val="24"/>
                <w:highlight w:val="none"/>
                <w:lang w:val="en-US" w:eastAsia="zh-CN"/>
              </w:rPr>
              <w:t>2</w:t>
            </w:r>
            <w:r>
              <w:rPr>
                <w:rFonts w:hint="default"/>
                <w:color w:val="auto"/>
                <w:spacing w:val="-6"/>
                <w:sz w:val="24"/>
                <w:highlight w:val="none"/>
              </w:rPr>
              <w:t>台散装机和</w:t>
            </w:r>
            <w:r>
              <w:rPr>
                <w:rFonts w:hint="eastAsia"/>
                <w:color w:val="auto"/>
                <w:spacing w:val="-6"/>
                <w:sz w:val="24"/>
                <w:highlight w:val="none"/>
                <w:lang w:val="en-US" w:eastAsia="zh-CN"/>
              </w:rPr>
              <w:t>1</w:t>
            </w:r>
            <w:r>
              <w:rPr>
                <w:rFonts w:hint="default"/>
                <w:color w:val="auto"/>
                <w:spacing w:val="-6"/>
                <w:sz w:val="24"/>
                <w:highlight w:val="none"/>
              </w:rPr>
              <w:t>个大袋包装机，成品可经散装发运销售，也可经大袋包装后贮存、外销。产品经蒸养成型后硬度较高，包装贮存过程基本不产生扬尘。</w:t>
            </w:r>
          </w:p>
          <w:p w14:paraId="5B902530">
            <w:pPr>
              <w:pStyle w:val="41"/>
              <w:bidi w:val="0"/>
              <w:rPr>
                <w:rFonts w:hint="default"/>
                <w:color w:val="auto"/>
                <w:highlight w:val="none"/>
              </w:rPr>
            </w:pPr>
            <w:r>
              <w:rPr>
                <w:rFonts w:hint="default"/>
                <w:color w:val="auto"/>
                <w:highlight w:val="none"/>
              </w:rPr>
              <w:t>2、绿色智能化预拌混凝土生产工艺流程和产污环节</w:t>
            </w:r>
          </w:p>
          <w:p w14:paraId="6FB262B5">
            <w:pPr>
              <w:bidi w:val="0"/>
              <w:rPr>
                <w:rFonts w:hint="eastAsia" w:eastAsia="宋体"/>
                <w:color w:val="auto"/>
                <w:highlight w:val="none"/>
                <w:lang w:eastAsia="zh-CN"/>
              </w:rPr>
            </w:pPr>
            <w:r>
              <w:rPr>
                <w:rFonts w:hint="eastAsia"/>
                <w:color w:val="auto"/>
                <w:highlight w:val="none"/>
                <w:lang w:val="en-US" w:eastAsia="zh-CN"/>
              </w:rPr>
              <w:t>绿色智能化预拌混凝土生产线的</w:t>
            </w:r>
            <w:r>
              <w:rPr>
                <w:color w:val="auto"/>
                <w:highlight w:val="none"/>
              </w:rPr>
              <w:t>工艺流程及主要产污环节见</w:t>
            </w:r>
            <w:r>
              <w:rPr>
                <w:rFonts w:hint="default"/>
                <w:color w:val="auto"/>
                <w:highlight w:val="none"/>
                <w:lang w:val="en-US"/>
              </w:rPr>
              <w:fldChar w:fldCharType="begin"/>
            </w:r>
            <w:r>
              <w:rPr>
                <w:rFonts w:hint="default"/>
                <w:color w:val="auto"/>
                <w:highlight w:val="none"/>
                <w:lang w:val="en-US"/>
              </w:rPr>
              <w:instrText xml:space="preserve"> REF _Ref7500 \h </w:instrText>
            </w:r>
            <w:r>
              <w:rPr>
                <w:rFonts w:hint="default"/>
                <w:color w:val="auto"/>
                <w:highlight w:val="none"/>
                <w:lang w:val="en-US"/>
              </w:rPr>
              <w:fldChar w:fldCharType="separate"/>
            </w:r>
            <w:r>
              <w:rPr>
                <w:color w:val="auto"/>
                <w:highlight w:val="none"/>
              </w:rPr>
              <w:t>图2-5</w:t>
            </w:r>
            <w:r>
              <w:rPr>
                <w:rFonts w:hint="default"/>
                <w:color w:val="auto"/>
                <w:highlight w:val="none"/>
                <w:lang w:val="en-US"/>
              </w:rPr>
              <w:fldChar w:fldCharType="end"/>
            </w:r>
            <w:r>
              <w:rPr>
                <w:rFonts w:hint="eastAsia"/>
                <w:color w:val="auto"/>
                <w:highlight w:val="none"/>
                <w:lang w:val="en-US" w:eastAsia="zh-CN"/>
              </w:rPr>
              <w:t>，物料流向见</w:t>
            </w:r>
            <w:r>
              <w:rPr>
                <w:rFonts w:hint="eastAsia"/>
                <w:color w:val="auto"/>
                <w:highlight w:val="none"/>
                <w:lang w:val="en-US" w:eastAsia="zh-CN"/>
              </w:rPr>
              <w:fldChar w:fldCharType="begin"/>
            </w:r>
            <w:r>
              <w:rPr>
                <w:rFonts w:hint="eastAsia"/>
                <w:color w:val="auto"/>
                <w:highlight w:val="none"/>
                <w:lang w:val="en-US" w:eastAsia="zh-CN"/>
              </w:rPr>
              <w:instrText xml:space="preserve"> REF _Ref19207 \h </w:instrText>
            </w:r>
            <w:r>
              <w:rPr>
                <w:rFonts w:hint="eastAsia"/>
                <w:color w:val="auto"/>
                <w:highlight w:val="none"/>
                <w:lang w:val="en-US" w:eastAsia="zh-CN"/>
              </w:rPr>
              <w:fldChar w:fldCharType="separate"/>
            </w:r>
            <w:r>
              <w:rPr>
                <w:color w:val="auto"/>
                <w:highlight w:val="none"/>
              </w:rPr>
              <w:t>图2-6</w:t>
            </w:r>
            <w:r>
              <w:rPr>
                <w:rFonts w:hint="eastAsia"/>
                <w:color w:val="auto"/>
                <w:highlight w:val="none"/>
                <w:lang w:val="en-US" w:eastAsia="zh-CN"/>
              </w:rPr>
              <w:fldChar w:fldCharType="end"/>
            </w:r>
            <w:r>
              <w:rPr>
                <w:rFonts w:hint="eastAsia"/>
                <w:color w:val="auto"/>
                <w:highlight w:val="none"/>
                <w:lang w:val="en-US" w:eastAsia="zh-CN"/>
              </w:rPr>
              <w:t>。</w:t>
            </w:r>
          </w:p>
          <w:p w14:paraId="2605AEA9">
            <w:pPr>
              <w:pStyle w:val="41"/>
              <w:bidi w:val="0"/>
              <w:rPr>
                <w:rFonts w:hint="default"/>
                <w:color w:val="auto"/>
                <w:highlight w:val="none"/>
              </w:rPr>
            </w:pPr>
            <w:r>
              <w:rPr>
                <w:rFonts w:hint="default"/>
                <w:color w:val="auto"/>
                <w:highlight w:val="none"/>
              </w:rPr>
              <w:t>（1）原料运输、储存</w:t>
            </w:r>
          </w:p>
          <w:p w14:paraId="31323E46">
            <w:pPr>
              <w:bidi w:val="0"/>
              <w:rPr>
                <w:rFonts w:hint="default"/>
                <w:color w:val="auto"/>
                <w:highlight w:val="none"/>
              </w:rPr>
            </w:pPr>
            <w:r>
              <w:rPr>
                <w:rFonts w:hint="default"/>
                <w:color w:val="auto"/>
                <w:highlight w:val="none"/>
              </w:rPr>
              <w:t>①粉煤灰、水泥以专用罐车密闭运输至厂区，气力输送至筒仓储存，混凝土生产线设置200t的粉煤灰</w:t>
            </w:r>
            <w:r>
              <w:rPr>
                <w:rFonts w:hint="eastAsia"/>
                <w:color w:val="auto"/>
                <w:highlight w:val="none"/>
                <w:lang w:val="en-US" w:eastAsia="zh-CN"/>
              </w:rPr>
              <w:t>筒仓</w:t>
            </w:r>
            <w:r>
              <w:rPr>
                <w:rFonts w:hint="default"/>
                <w:color w:val="auto"/>
                <w:highlight w:val="none"/>
              </w:rPr>
              <w:t>2座，200t水泥筒仓6座，主要污染物为G1</w:t>
            </w:r>
            <w:r>
              <w:rPr>
                <w:rFonts w:hint="eastAsia"/>
                <w:color w:val="auto"/>
                <w:highlight w:val="none"/>
                <w:lang w:val="en-US" w:eastAsia="zh-CN"/>
              </w:rPr>
              <w:t>4</w:t>
            </w:r>
            <w:r>
              <w:rPr>
                <w:rFonts w:hint="default"/>
                <w:color w:val="auto"/>
                <w:highlight w:val="none"/>
              </w:rPr>
              <w:t>混凝土粉煤灰筒仓粉尘、G1</w:t>
            </w:r>
            <w:r>
              <w:rPr>
                <w:rFonts w:hint="eastAsia"/>
                <w:color w:val="auto"/>
                <w:highlight w:val="none"/>
                <w:lang w:val="en-US" w:eastAsia="zh-CN"/>
              </w:rPr>
              <w:t>5</w:t>
            </w:r>
            <w:r>
              <w:rPr>
                <w:rFonts w:hint="default"/>
                <w:color w:val="auto"/>
                <w:highlight w:val="none"/>
              </w:rPr>
              <w:t>水泥筒仓粉尘。</w:t>
            </w:r>
          </w:p>
          <w:p w14:paraId="46F7225E">
            <w:pPr>
              <w:bidi w:val="0"/>
              <w:rPr>
                <w:rFonts w:hint="default"/>
                <w:color w:val="auto"/>
                <w:highlight w:val="none"/>
              </w:rPr>
            </w:pPr>
            <w:r>
              <w:rPr>
                <w:rFonts w:hint="default"/>
                <w:color w:val="auto"/>
                <w:highlight w:val="none"/>
              </w:rPr>
              <w:t>②砂子、石子等骨料经密闭篷布货车运输进入厂区，在混凝土生产线的原料棚贮存，主要污染物为G1</w:t>
            </w:r>
            <w:r>
              <w:rPr>
                <w:rFonts w:hint="eastAsia"/>
                <w:color w:val="auto"/>
                <w:highlight w:val="none"/>
                <w:lang w:val="en-US" w:eastAsia="zh-CN"/>
              </w:rPr>
              <w:t>6</w:t>
            </w:r>
            <w:r>
              <w:rPr>
                <w:rFonts w:hint="default"/>
                <w:color w:val="auto"/>
                <w:highlight w:val="none"/>
              </w:rPr>
              <w:t>砂石原料棚扬尘。</w:t>
            </w:r>
          </w:p>
          <w:p w14:paraId="4C8640DF">
            <w:pPr>
              <w:bidi w:val="0"/>
              <w:rPr>
                <w:rFonts w:hint="default"/>
                <w:color w:val="auto"/>
                <w:highlight w:val="none"/>
              </w:rPr>
            </w:pPr>
            <w:r>
              <w:rPr>
                <w:rFonts w:hint="default"/>
                <w:color w:val="auto"/>
                <w:highlight w:val="none"/>
              </w:rPr>
              <w:t>③添加剂由专用罐车运输至厂区利用压力差将添加剂通过管道输送至厂区添加剂储罐。</w:t>
            </w:r>
          </w:p>
          <w:p w14:paraId="1AFEA5B5">
            <w:pPr>
              <w:pStyle w:val="41"/>
              <w:bidi w:val="0"/>
              <w:rPr>
                <w:rFonts w:hint="default"/>
                <w:color w:val="auto"/>
                <w:highlight w:val="none"/>
              </w:rPr>
            </w:pPr>
            <w:r>
              <w:rPr>
                <w:rFonts w:hint="default"/>
                <w:color w:val="auto"/>
                <w:highlight w:val="none"/>
              </w:rPr>
              <w:t>（2）称量输送</w:t>
            </w:r>
          </w:p>
          <w:p w14:paraId="6976CAD0">
            <w:pPr>
              <w:bidi w:val="0"/>
              <w:rPr>
                <w:rFonts w:hint="default"/>
                <w:color w:val="auto"/>
                <w:highlight w:val="none"/>
              </w:rPr>
            </w:pPr>
            <w:r>
              <w:rPr>
                <w:rFonts w:hint="default"/>
                <w:color w:val="auto"/>
                <w:highlight w:val="none"/>
              </w:rPr>
              <w:t>本项目混凝土生产线砂石</w:t>
            </w:r>
            <w:r>
              <w:rPr>
                <w:rFonts w:hint="eastAsia"/>
                <w:color w:val="auto"/>
                <w:highlight w:val="none"/>
                <w:lang w:val="en-US" w:eastAsia="zh-CN"/>
              </w:rPr>
              <w:t>原料</w:t>
            </w:r>
            <w:r>
              <w:rPr>
                <w:rFonts w:hint="default"/>
                <w:color w:val="auto"/>
                <w:highlight w:val="none"/>
              </w:rPr>
              <w:t>部分用前序工段产生的</w:t>
            </w:r>
            <w:r>
              <w:rPr>
                <w:rFonts w:hint="eastAsia"/>
                <w:color w:val="auto"/>
                <w:highlight w:val="none"/>
                <w:lang w:val="en-US" w:eastAsia="zh-CN"/>
              </w:rPr>
              <w:t>蒸压硅酸盐功能骨料</w:t>
            </w:r>
            <w:r>
              <w:rPr>
                <w:rFonts w:hint="default"/>
                <w:color w:val="auto"/>
                <w:highlight w:val="none"/>
              </w:rPr>
              <w:t>等体积替代，骨料经骨料成品仓底卸料及螺旋秤计量后送入混凝土搅拌机；粉煤灰、水泥经仓底卸料及螺旋秤计量后进入搅拌机；砂子、石子由车辆转载至斗式料仓，经料仓下方的自动计量系统计量后，由密闭的皮带输送机输送至搅拌机。添加剂由自吸泵从储罐定量抽至搅拌机；生产搅拌用水采用压力供水，搅拌用水由水秤斗计量后送入搅拌机。</w:t>
            </w:r>
          </w:p>
          <w:p w14:paraId="659B1AEE">
            <w:pPr>
              <w:pStyle w:val="41"/>
              <w:bidi w:val="0"/>
              <w:rPr>
                <w:rFonts w:hint="default"/>
                <w:color w:val="auto"/>
                <w:highlight w:val="none"/>
              </w:rPr>
            </w:pPr>
            <w:r>
              <w:rPr>
                <w:rFonts w:hint="default"/>
                <w:color w:val="auto"/>
                <w:highlight w:val="none"/>
              </w:rPr>
              <w:t>（3）搅拌工序</w:t>
            </w:r>
          </w:p>
          <w:p w14:paraId="66177C49">
            <w:pPr>
              <w:bidi w:val="0"/>
              <w:rPr>
                <w:rFonts w:hint="default"/>
                <w:color w:val="auto"/>
                <w:highlight w:val="none"/>
              </w:rPr>
            </w:pPr>
            <w:r>
              <w:rPr>
                <w:rFonts w:hint="default"/>
                <w:color w:val="auto"/>
                <w:highlight w:val="none"/>
              </w:rPr>
              <w:t>计量后各种原料进入搅拌机进行机械式强制搅拌，本工序设置2台搅拌机，每台搅拌机机壳上部用一根通风管与收尘设备连接，产生粉尘通过管道进入</w:t>
            </w:r>
            <w:r>
              <w:rPr>
                <w:rFonts w:hint="eastAsia"/>
                <w:color w:val="auto"/>
                <w:highlight w:val="none"/>
                <w:lang w:val="en-US" w:eastAsia="zh-CN"/>
              </w:rPr>
              <w:t>脉冲式布袋除尘器</w:t>
            </w:r>
            <w:r>
              <w:rPr>
                <w:rFonts w:hint="default"/>
                <w:color w:val="auto"/>
                <w:highlight w:val="none"/>
              </w:rPr>
              <w:t>净化后由除尘器出口排放到封闭搅拌楼内无组织沉降，除尘灰经收集后回用于本工序。主要污染物为G1</w:t>
            </w:r>
            <w:r>
              <w:rPr>
                <w:rFonts w:hint="eastAsia"/>
                <w:color w:val="auto"/>
                <w:highlight w:val="none"/>
                <w:lang w:val="en-US" w:eastAsia="zh-CN"/>
              </w:rPr>
              <w:t>7</w:t>
            </w:r>
            <w:r>
              <w:rPr>
                <w:rFonts w:hint="default"/>
                <w:color w:val="auto"/>
                <w:highlight w:val="none"/>
              </w:rPr>
              <w:t>混凝土搅拌粉尘。</w:t>
            </w:r>
          </w:p>
          <w:p w14:paraId="05C8C14F">
            <w:pPr>
              <w:pStyle w:val="41"/>
              <w:bidi w:val="0"/>
              <w:rPr>
                <w:rFonts w:hint="default"/>
                <w:color w:val="auto"/>
                <w:highlight w:val="none"/>
              </w:rPr>
            </w:pPr>
            <w:r>
              <w:rPr>
                <w:rFonts w:hint="default"/>
                <w:color w:val="auto"/>
                <w:highlight w:val="none"/>
              </w:rPr>
              <w:t>（4）外运</w:t>
            </w:r>
          </w:p>
          <w:p w14:paraId="6A30DF22">
            <w:pPr>
              <w:bidi w:val="0"/>
              <w:rPr>
                <w:rFonts w:hint="default"/>
                <w:color w:val="auto"/>
                <w:highlight w:val="none"/>
              </w:rPr>
            </w:pPr>
            <w:r>
              <w:rPr>
                <w:rFonts w:hint="default"/>
                <w:color w:val="auto"/>
                <w:highlight w:val="none"/>
              </w:rPr>
              <w:t>搅拌均匀后的混凝土由搅拌机出料口卸入混凝土罐车直接运至施工现场。</w:t>
            </w:r>
          </w:p>
          <w:p w14:paraId="4D0858DF">
            <w:pPr>
              <w:pStyle w:val="41"/>
              <w:bidi w:val="0"/>
              <w:rPr>
                <w:rFonts w:hint="default"/>
                <w:color w:val="auto"/>
                <w:highlight w:val="none"/>
              </w:rPr>
            </w:pPr>
            <w:r>
              <w:rPr>
                <w:rFonts w:hint="default"/>
                <w:color w:val="auto"/>
                <w:highlight w:val="none"/>
              </w:rPr>
              <w:t>（5）清洁</w:t>
            </w:r>
          </w:p>
          <w:p w14:paraId="23762472">
            <w:pPr>
              <w:bidi w:val="0"/>
              <w:rPr>
                <w:rFonts w:hint="default"/>
                <w:color w:val="auto"/>
                <w:highlight w:val="none"/>
              </w:rPr>
            </w:pPr>
            <w:r>
              <w:rPr>
                <w:rFonts w:hint="default"/>
                <w:color w:val="auto"/>
                <w:highlight w:val="none"/>
              </w:rPr>
              <w:t>每日生产结束后，对搅拌设备、罐车等进行冲洗，冲洗后的废水排入砂石分离机，经砂石分离机分离后进入沉淀池。从分离机分离出的砂石以及沉淀池内的沉淀物全部回用于生产工序。主要污染物为W</w:t>
            </w:r>
            <w:r>
              <w:rPr>
                <w:rFonts w:hint="eastAsia"/>
                <w:color w:val="auto"/>
                <w:highlight w:val="none"/>
                <w:lang w:val="en-US" w:eastAsia="zh-CN"/>
              </w:rPr>
              <w:t>4设备</w:t>
            </w:r>
            <w:r>
              <w:rPr>
                <w:rFonts w:hint="default"/>
                <w:color w:val="auto"/>
                <w:highlight w:val="none"/>
              </w:rPr>
              <w:t>清洗</w:t>
            </w:r>
            <w:r>
              <w:rPr>
                <w:rFonts w:hint="eastAsia"/>
                <w:color w:val="auto"/>
                <w:highlight w:val="none"/>
                <w:lang w:val="en-US" w:eastAsia="zh-CN"/>
              </w:rPr>
              <w:t>废水</w:t>
            </w:r>
            <w:r>
              <w:rPr>
                <w:rFonts w:hint="default"/>
                <w:color w:val="auto"/>
                <w:highlight w:val="none"/>
              </w:rPr>
              <w:t>。</w:t>
            </w:r>
          </w:p>
          <w:p w14:paraId="7CF8F576">
            <w:pPr>
              <w:pStyle w:val="41"/>
              <w:bidi w:val="0"/>
              <w:rPr>
                <w:rFonts w:hint="eastAsia"/>
                <w:color w:val="auto"/>
                <w:highlight w:val="none"/>
                <w:lang w:val="en-US" w:eastAsia="zh-CN"/>
              </w:rPr>
            </w:pPr>
            <w:r>
              <w:rPr>
                <w:rFonts w:hint="eastAsia"/>
                <w:color w:val="auto"/>
                <w:highlight w:val="none"/>
                <w:lang w:val="en-US" w:eastAsia="zh-CN"/>
              </w:rPr>
              <w:t>3、主要产污环节：</w:t>
            </w:r>
          </w:p>
          <w:p w14:paraId="5E1AA01E">
            <w:pPr>
              <w:bidi w:val="0"/>
              <w:rPr>
                <w:rFonts w:hint="default"/>
                <w:color w:val="auto"/>
                <w:highlight w:val="none"/>
                <w:lang w:val="en-US" w:eastAsia="zh-CN"/>
              </w:rPr>
            </w:pPr>
            <w:r>
              <w:rPr>
                <w:rFonts w:hint="eastAsia"/>
                <w:color w:val="auto"/>
                <w:highlight w:val="none"/>
                <w:lang w:val="en-US" w:eastAsia="zh-CN"/>
              </w:rPr>
              <w:t>（1）废气：G1、G2、G3、G4、G5、G6、G7、G8、G9、G10、G11、G12、G13、G14、G15、G16、G17；</w:t>
            </w:r>
          </w:p>
          <w:p w14:paraId="671A5CA4">
            <w:pPr>
              <w:bidi w:val="0"/>
              <w:rPr>
                <w:rFonts w:hint="eastAsia"/>
                <w:color w:val="auto"/>
                <w:highlight w:val="none"/>
                <w:lang w:val="en-US" w:eastAsia="zh-CN"/>
              </w:rPr>
            </w:pPr>
            <w:r>
              <w:rPr>
                <w:rFonts w:hint="eastAsia"/>
                <w:color w:val="auto"/>
                <w:highlight w:val="none"/>
                <w:lang w:val="en-US" w:eastAsia="zh-CN"/>
              </w:rPr>
              <w:t>（2）噪声：空压机、球磨机、搅拌机、成球机、包膜机、筛分设备、风机、水泵等设备噪声，车辆运输噪声；</w:t>
            </w:r>
          </w:p>
          <w:p w14:paraId="6A1DACA0">
            <w:pPr>
              <w:bidi w:val="0"/>
              <w:rPr>
                <w:rFonts w:hint="default"/>
                <w:color w:val="auto"/>
                <w:highlight w:val="none"/>
                <w:lang w:val="en-US" w:eastAsia="zh-CN"/>
              </w:rPr>
            </w:pPr>
            <w:r>
              <w:rPr>
                <w:rFonts w:hint="eastAsia"/>
                <w:color w:val="auto"/>
                <w:highlight w:val="none"/>
                <w:lang w:val="en-US" w:eastAsia="zh-CN"/>
              </w:rPr>
              <w:t>（3）固体废物：S1、S2、S3、S4、S5、S6分别为G4、G7、G9、G10、G11、G13除尘系统的除尘灰，S7锅炉灰渣，S8为G12锅炉烟气的除尘灰，S9废离子交换树脂，S10砂石分离机分离出的砂石，S11清洗水沉淀池内的沉淀物（除S7、S8和S9外均回用于相应工序）；</w:t>
            </w:r>
          </w:p>
          <w:p w14:paraId="2C633282">
            <w:pPr>
              <w:bidi w:val="0"/>
              <w:rPr>
                <w:rFonts w:hint="eastAsia"/>
                <w:color w:val="auto"/>
                <w:highlight w:val="none"/>
                <w:lang w:val="en-US" w:eastAsia="zh-CN"/>
              </w:rPr>
            </w:pPr>
            <w:r>
              <w:rPr>
                <w:rFonts w:hint="eastAsia"/>
                <w:color w:val="auto"/>
                <w:highlight w:val="none"/>
                <w:lang w:val="en-US" w:eastAsia="zh-CN"/>
              </w:rPr>
              <w:t>（4）废水：W1、W2、W3、W4、W5车辆冲洗废水。</w:t>
            </w:r>
          </w:p>
          <w:p w14:paraId="09906641">
            <w:pPr>
              <w:bidi w:val="0"/>
              <w:rPr>
                <w:rFonts w:hint="default"/>
                <w:color w:val="auto"/>
                <w:spacing w:val="-6"/>
                <w:sz w:val="24"/>
                <w:highlight w:val="none"/>
              </w:rPr>
            </w:pPr>
          </w:p>
          <w:p w14:paraId="36F4B3BE">
            <w:pPr>
              <w:bidi w:val="0"/>
              <w:rPr>
                <w:rFonts w:hint="default"/>
                <w:color w:val="auto"/>
                <w:spacing w:val="-6"/>
                <w:sz w:val="24"/>
                <w:highlight w:val="none"/>
              </w:rPr>
            </w:pPr>
          </w:p>
          <w:p w14:paraId="14FA6087">
            <w:pPr>
              <w:bidi w:val="0"/>
              <w:rPr>
                <w:rFonts w:hint="default"/>
                <w:color w:val="auto"/>
                <w:spacing w:val="-6"/>
                <w:sz w:val="24"/>
                <w:highlight w:val="none"/>
              </w:rPr>
            </w:pPr>
          </w:p>
          <w:p w14:paraId="786022D6">
            <w:pPr>
              <w:bidi w:val="0"/>
              <w:rPr>
                <w:rFonts w:hint="default"/>
                <w:color w:val="auto"/>
                <w:spacing w:val="-6"/>
                <w:sz w:val="24"/>
                <w:highlight w:val="none"/>
              </w:rPr>
            </w:pPr>
          </w:p>
          <w:p w14:paraId="526CAE17">
            <w:pPr>
              <w:bidi w:val="0"/>
              <w:rPr>
                <w:rFonts w:hint="default"/>
                <w:color w:val="auto"/>
                <w:spacing w:val="-6"/>
                <w:sz w:val="24"/>
                <w:highlight w:val="none"/>
              </w:rPr>
            </w:pPr>
          </w:p>
          <w:p w14:paraId="33FA5D38">
            <w:pPr>
              <w:bidi w:val="0"/>
              <w:rPr>
                <w:rFonts w:hint="default"/>
                <w:color w:val="auto"/>
                <w:spacing w:val="-6"/>
                <w:sz w:val="24"/>
                <w:highlight w:val="none"/>
              </w:rPr>
            </w:pPr>
          </w:p>
          <w:p w14:paraId="342A14E7">
            <w:pPr>
              <w:bidi w:val="0"/>
              <w:rPr>
                <w:rFonts w:hint="default"/>
                <w:color w:val="auto"/>
                <w:spacing w:val="-6"/>
                <w:sz w:val="24"/>
                <w:highlight w:val="none"/>
              </w:rPr>
            </w:pPr>
          </w:p>
          <w:p w14:paraId="571E13E8">
            <w:pPr>
              <w:bidi w:val="0"/>
              <w:rPr>
                <w:rFonts w:hint="default"/>
                <w:color w:val="auto"/>
                <w:spacing w:val="-6"/>
                <w:sz w:val="24"/>
                <w:highlight w:val="none"/>
              </w:rPr>
            </w:pPr>
          </w:p>
          <w:p w14:paraId="6F98C03F">
            <w:pPr>
              <w:bidi w:val="0"/>
              <w:rPr>
                <w:rFonts w:hint="default"/>
                <w:color w:val="auto"/>
                <w:spacing w:val="-6"/>
                <w:sz w:val="24"/>
                <w:highlight w:val="none"/>
              </w:rPr>
            </w:pPr>
          </w:p>
          <w:p w14:paraId="74774FE6">
            <w:pPr>
              <w:bidi w:val="0"/>
              <w:rPr>
                <w:rFonts w:hint="default"/>
                <w:color w:val="auto"/>
                <w:spacing w:val="-6"/>
                <w:sz w:val="24"/>
                <w:highlight w:val="none"/>
              </w:rPr>
            </w:pPr>
          </w:p>
          <w:p w14:paraId="03F0FA34">
            <w:pPr>
              <w:bidi w:val="0"/>
              <w:rPr>
                <w:rFonts w:hint="default"/>
                <w:color w:val="auto"/>
                <w:spacing w:val="-6"/>
                <w:sz w:val="24"/>
                <w:highlight w:val="none"/>
              </w:rPr>
            </w:pPr>
          </w:p>
          <w:p w14:paraId="69425214">
            <w:pPr>
              <w:bidi w:val="0"/>
              <w:rPr>
                <w:rFonts w:hint="default"/>
                <w:color w:val="auto"/>
                <w:spacing w:val="-6"/>
                <w:sz w:val="24"/>
                <w:highlight w:val="none"/>
              </w:rPr>
            </w:pPr>
          </w:p>
          <w:p w14:paraId="51237684">
            <w:pPr>
              <w:bidi w:val="0"/>
              <w:rPr>
                <w:rFonts w:hint="default"/>
                <w:color w:val="auto"/>
                <w:spacing w:val="-6"/>
                <w:sz w:val="24"/>
                <w:highlight w:val="none"/>
              </w:rPr>
            </w:pPr>
          </w:p>
          <w:p w14:paraId="0700A88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292090" cy="8225155"/>
                  <wp:effectExtent l="0" t="0" r="3810" b="4445"/>
                  <wp:docPr id="10" name="图片 10" descr="32b3d68ab94d0e627ae2aa9a2f75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2b3d68ab94d0e627ae2aa9a2f75896"/>
                          <pic:cNvPicPr>
                            <a:picLocks noChangeAspect="1"/>
                          </pic:cNvPicPr>
                        </pic:nvPicPr>
                        <pic:blipFill>
                          <a:blip r:embed="rId13"/>
                          <a:srcRect l="10851" t="7812" r="10958" b="8102"/>
                          <a:stretch>
                            <a:fillRect/>
                          </a:stretch>
                        </pic:blipFill>
                        <pic:spPr>
                          <a:xfrm>
                            <a:off x="0" y="0"/>
                            <a:ext cx="5292090" cy="8225155"/>
                          </a:xfrm>
                          <a:prstGeom prst="rect">
                            <a:avLst/>
                          </a:prstGeom>
                        </pic:spPr>
                      </pic:pic>
                    </a:graphicData>
                  </a:graphic>
                </wp:inline>
              </w:drawing>
            </w:r>
          </w:p>
          <w:p w14:paraId="0734C77D">
            <w:pPr>
              <w:pStyle w:val="51"/>
              <w:keepNext w:val="0"/>
              <w:keepLines w:val="0"/>
              <w:pageBreakBefore w:val="0"/>
              <w:widowControl w:val="0"/>
              <w:kinsoku/>
              <w:wordWrap/>
              <w:overflowPunct/>
              <w:topLinePunct w:val="0"/>
              <w:autoSpaceDE/>
              <w:autoSpaceDN/>
              <w:bidi w:val="0"/>
              <w:adjustRightInd/>
              <w:snapToGrid/>
              <w:spacing w:after="0" w:afterLines="0"/>
              <w:textAlignment w:val="auto"/>
              <w:rPr>
                <w:rFonts w:hint="eastAsia"/>
                <w:color w:val="auto"/>
                <w:highlight w:val="none"/>
                <w:lang w:val="en-US" w:eastAsia="zh-CN"/>
              </w:rPr>
            </w:pPr>
            <w:bookmarkStart w:id="31" w:name="_Ref6903"/>
            <w:r>
              <w:rPr>
                <w:color w:val="auto"/>
                <w:highlight w:val="none"/>
              </w:rPr>
              <w:t>图2-</w:t>
            </w:r>
            <w:r>
              <w:rPr>
                <w:color w:val="auto"/>
                <w:highlight w:val="none"/>
              </w:rPr>
              <w:fldChar w:fldCharType="begin"/>
            </w:r>
            <w:r>
              <w:rPr>
                <w:color w:val="auto"/>
                <w:highlight w:val="none"/>
              </w:rPr>
              <w:instrText xml:space="preserve"> SEQ 图2- \* ARABIC </w:instrText>
            </w:r>
            <w:r>
              <w:rPr>
                <w:color w:val="auto"/>
                <w:highlight w:val="none"/>
              </w:rPr>
              <w:fldChar w:fldCharType="separate"/>
            </w:r>
            <w:r>
              <w:rPr>
                <w:color w:val="auto"/>
                <w:highlight w:val="none"/>
              </w:rPr>
              <w:t>3</w:t>
            </w:r>
            <w:r>
              <w:rPr>
                <w:color w:val="auto"/>
                <w:highlight w:val="none"/>
              </w:rPr>
              <w:fldChar w:fldCharType="end"/>
            </w:r>
            <w:bookmarkEnd w:id="31"/>
            <w:r>
              <w:rPr>
                <w:rFonts w:hint="eastAsia"/>
                <w:color w:val="auto"/>
                <w:highlight w:val="none"/>
                <w:lang w:val="en-US" w:eastAsia="zh-CN"/>
              </w:rPr>
              <w:t xml:space="preserve">  蒸压硅酸盐功能骨料生产工艺流程及产污环节图</w:t>
            </w:r>
          </w:p>
          <w:p w14:paraId="3FCCDF86">
            <w:pPr>
              <w:pStyle w:val="51"/>
              <w:keepNext w:val="0"/>
              <w:keepLines w:val="0"/>
              <w:pageBreakBefore w:val="0"/>
              <w:widowControl w:val="0"/>
              <w:kinsoku/>
              <w:wordWrap/>
              <w:overflowPunct/>
              <w:topLinePunct w:val="0"/>
              <w:autoSpaceDE/>
              <w:autoSpaceDN/>
              <w:bidi w:val="0"/>
              <w:adjustRightInd/>
              <w:snapToGrid/>
              <w:spacing w:after="0" w:afterLines="0"/>
              <w:textAlignment w:val="auto"/>
              <w:rPr>
                <w:rFonts w:hint="default"/>
                <w:color w:val="auto"/>
                <w:highlight w:val="none"/>
                <w:lang w:val="en-US" w:eastAsia="zh-CN"/>
              </w:rPr>
            </w:pPr>
            <w:r>
              <w:rPr>
                <w:rFonts w:hint="default"/>
                <w:color w:val="auto"/>
                <w:highlight w:val="none"/>
                <w:lang w:val="en-US" w:eastAsia="zh-CN"/>
              </w:rPr>
              <w:drawing>
                <wp:inline distT="0" distB="0" distL="114300" distR="114300">
                  <wp:extent cx="5363845" cy="6628765"/>
                  <wp:effectExtent l="0" t="0" r="8255" b="635"/>
                  <wp:docPr id="8" name="图片 8" descr="4e0395c70e4316b8704bdc83f4048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e0395c70e4316b8704bdc83f40489f"/>
                          <pic:cNvPicPr>
                            <a:picLocks noChangeAspect="1"/>
                          </pic:cNvPicPr>
                        </pic:nvPicPr>
                        <pic:blipFill>
                          <a:blip r:embed="rId14"/>
                          <a:srcRect l="6186" t="20229" r="8584" b="20587"/>
                          <a:stretch>
                            <a:fillRect/>
                          </a:stretch>
                        </pic:blipFill>
                        <pic:spPr>
                          <a:xfrm>
                            <a:off x="0" y="0"/>
                            <a:ext cx="5363845" cy="6628765"/>
                          </a:xfrm>
                          <a:prstGeom prst="rect">
                            <a:avLst/>
                          </a:prstGeom>
                        </pic:spPr>
                      </pic:pic>
                    </a:graphicData>
                  </a:graphic>
                </wp:inline>
              </w:drawing>
            </w:r>
          </w:p>
          <w:p w14:paraId="457208D1">
            <w:pPr>
              <w:pStyle w:val="7"/>
              <w:bidi w:val="0"/>
              <w:rPr>
                <w:rFonts w:hint="eastAsia"/>
                <w:color w:val="auto"/>
                <w:highlight w:val="none"/>
                <w:lang w:val="en-US" w:eastAsia="zh-CN"/>
              </w:rPr>
            </w:pPr>
            <w:bookmarkStart w:id="32" w:name="_Ref19024"/>
            <w:r>
              <w:rPr>
                <w:color w:val="auto"/>
                <w:highlight w:val="none"/>
              </w:rPr>
              <w:t>图2-</w:t>
            </w:r>
            <w:r>
              <w:rPr>
                <w:color w:val="auto"/>
                <w:highlight w:val="none"/>
              </w:rPr>
              <w:fldChar w:fldCharType="begin"/>
            </w:r>
            <w:r>
              <w:rPr>
                <w:color w:val="auto"/>
                <w:highlight w:val="none"/>
              </w:rPr>
              <w:instrText xml:space="preserve"> SEQ 图2- \* ARABIC </w:instrText>
            </w:r>
            <w:r>
              <w:rPr>
                <w:color w:val="auto"/>
                <w:highlight w:val="none"/>
              </w:rPr>
              <w:fldChar w:fldCharType="separate"/>
            </w:r>
            <w:r>
              <w:rPr>
                <w:color w:val="auto"/>
                <w:highlight w:val="none"/>
              </w:rPr>
              <w:t>4</w:t>
            </w:r>
            <w:r>
              <w:rPr>
                <w:color w:val="auto"/>
                <w:highlight w:val="none"/>
              </w:rPr>
              <w:fldChar w:fldCharType="end"/>
            </w:r>
            <w:bookmarkEnd w:id="32"/>
            <w:r>
              <w:rPr>
                <w:rFonts w:hint="eastAsia"/>
                <w:color w:val="auto"/>
                <w:highlight w:val="none"/>
                <w:lang w:val="en-US" w:eastAsia="zh-CN"/>
              </w:rPr>
              <w:t xml:space="preserve">  蒸压硅酸盐功能骨料物料流向图</w:t>
            </w:r>
          </w:p>
          <w:p w14:paraId="1F21C39D">
            <w:pPr>
              <w:pStyle w:val="51"/>
              <w:bidi w:val="0"/>
              <w:rPr>
                <w:rFonts w:hint="eastAsia"/>
                <w:color w:val="auto"/>
                <w:highlight w:val="none"/>
                <w:lang w:val="en-US" w:eastAsia="zh-CN"/>
              </w:rPr>
            </w:pPr>
            <w:r>
              <w:rPr>
                <w:rFonts w:hint="eastAsia"/>
                <w:color w:val="auto"/>
                <w:highlight w:val="none"/>
                <w:lang w:val="en-US" w:eastAsia="zh-CN"/>
              </w:rPr>
              <w:t>（备注：除尘灰、地面沉降和筒仓回收的颗粒物均回用于相应工序）</w:t>
            </w:r>
          </w:p>
          <w:p w14:paraId="4964AA73">
            <w:pPr>
              <w:pStyle w:val="51"/>
              <w:bidi w:val="0"/>
              <w:rPr>
                <w:rFonts w:hint="eastAsia"/>
                <w:color w:val="auto"/>
                <w:highlight w:val="none"/>
                <w:lang w:val="en-US" w:eastAsia="zh-CN"/>
              </w:rPr>
            </w:pPr>
          </w:p>
          <w:p w14:paraId="35AB95C6">
            <w:pPr>
              <w:pStyle w:val="51"/>
              <w:bidi w:val="0"/>
              <w:rPr>
                <w:rFonts w:hint="eastAsia"/>
                <w:color w:val="auto"/>
                <w:highlight w:val="none"/>
                <w:lang w:val="en-US" w:eastAsia="zh-CN"/>
              </w:rPr>
            </w:pPr>
          </w:p>
          <w:p w14:paraId="3CF124B2">
            <w:pPr>
              <w:pStyle w:val="51"/>
              <w:bidi w:val="0"/>
              <w:rPr>
                <w:rFonts w:hint="eastAsia"/>
                <w:color w:val="auto"/>
                <w:highlight w:val="none"/>
                <w:lang w:val="en-US" w:eastAsia="zh-CN"/>
              </w:rPr>
            </w:pPr>
          </w:p>
          <w:p w14:paraId="13CB25BC">
            <w:pPr>
              <w:pStyle w:val="51"/>
              <w:bidi w:val="0"/>
              <w:rPr>
                <w:rFonts w:hint="eastAsia"/>
                <w:color w:val="auto"/>
                <w:highlight w:val="none"/>
                <w:lang w:val="en-US" w:eastAsia="zh-CN"/>
              </w:rPr>
            </w:pPr>
          </w:p>
          <w:p w14:paraId="17216C2F">
            <w:pPr>
              <w:pStyle w:val="51"/>
              <w:bidi w:val="0"/>
              <w:rPr>
                <w:rFonts w:hint="eastAsia"/>
                <w:color w:val="auto"/>
                <w:highlight w:val="none"/>
                <w:lang w:val="en-US" w:eastAsia="zh-CN"/>
              </w:rPr>
            </w:pPr>
          </w:p>
          <w:p w14:paraId="5ADD22C1">
            <w:pPr>
              <w:pStyle w:val="51"/>
              <w:bidi w:val="0"/>
              <w:rPr>
                <w:rFonts w:hint="default"/>
                <w:color w:val="auto"/>
                <w:highlight w:val="none"/>
                <w:lang w:val="en-US" w:eastAsia="zh-CN"/>
              </w:rPr>
            </w:pPr>
          </w:p>
          <w:p w14:paraId="7C445BC2">
            <w:pPr>
              <w:pStyle w:val="42"/>
              <w:bidi w:val="0"/>
              <w:jc w:val="center"/>
              <w:rPr>
                <w:rFonts w:hint="eastAsia"/>
                <w:color w:val="auto"/>
                <w:highlight w:val="none"/>
                <w:lang w:val="en-US" w:eastAsia="zh-CN"/>
              </w:rPr>
            </w:pPr>
            <w:r>
              <w:rPr>
                <w:color w:val="auto"/>
                <w:highlight w:val="none"/>
              </w:rPr>
              <w:drawing>
                <wp:inline distT="0" distB="0" distL="114300" distR="114300">
                  <wp:extent cx="5363845" cy="2969260"/>
                  <wp:effectExtent l="0" t="0" r="8255" b="254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5"/>
                          <a:stretch>
                            <a:fillRect/>
                          </a:stretch>
                        </pic:blipFill>
                        <pic:spPr>
                          <a:xfrm>
                            <a:off x="0" y="0"/>
                            <a:ext cx="5363845" cy="2969260"/>
                          </a:xfrm>
                          <a:prstGeom prst="rect">
                            <a:avLst/>
                          </a:prstGeom>
                          <a:noFill/>
                          <a:ln>
                            <a:noFill/>
                          </a:ln>
                        </pic:spPr>
                      </pic:pic>
                    </a:graphicData>
                  </a:graphic>
                </wp:inline>
              </w:drawing>
            </w:r>
          </w:p>
          <w:p w14:paraId="184D5206">
            <w:pPr>
              <w:pStyle w:val="51"/>
              <w:bidi w:val="0"/>
              <w:rPr>
                <w:rFonts w:hint="eastAsia"/>
                <w:color w:val="auto"/>
                <w:highlight w:val="none"/>
                <w:lang w:val="en-US" w:eastAsia="zh-CN"/>
              </w:rPr>
            </w:pPr>
            <w:bookmarkStart w:id="33" w:name="_Ref7500"/>
            <w:r>
              <w:rPr>
                <w:color w:val="auto"/>
                <w:highlight w:val="none"/>
              </w:rPr>
              <w:t>图2-</w:t>
            </w:r>
            <w:r>
              <w:rPr>
                <w:color w:val="auto"/>
                <w:highlight w:val="none"/>
              </w:rPr>
              <w:fldChar w:fldCharType="begin"/>
            </w:r>
            <w:r>
              <w:rPr>
                <w:color w:val="auto"/>
                <w:highlight w:val="none"/>
              </w:rPr>
              <w:instrText xml:space="preserve"> SEQ 图2- \* ARABIC </w:instrText>
            </w:r>
            <w:r>
              <w:rPr>
                <w:color w:val="auto"/>
                <w:highlight w:val="none"/>
              </w:rPr>
              <w:fldChar w:fldCharType="separate"/>
            </w:r>
            <w:r>
              <w:rPr>
                <w:color w:val="auto"/>
                <w:highlight w:val="none"/>
              </w:rPr>
              <w:t>5</w:t>
            </w:r>
            <w:r>
              <w:rPr>
                <w:color w:val="auto"/>
                <w:highlight w:val="none"/>
              </w:rPr>
              <w:fldChar w:fldCharType="end"/>
            </w:r>
            <w:bookmarkEnd w:id="33"/>
            <w:r>
              <w:rPr>
                <w:rFonts w:hint="eastAsia"/>
                <w:color w:val="auto"/>
                <w:highlight w:val="none"/>
                <w:lang w:val="en-US" w:eastAsia="zh-CN"/>
              </w:rPr>
              <w:t xml:space="preserve">  绿色智能化预拌混凝土生产工艺流程图及产污环节</w:t>
            </w:r>
          </w:p>
          <w:p w14:paraId="7FA663FE">
            <w:pPr>
              <w:pStyle w:val="42"/>
              <w:bidi w:val="0"/>
              <w:rPr>
                <w:color w:val="auto"/>
                <w:highlight w:val="none"/>
              </w:rPr>
            </w:pPr>
            <w:r>
              <w:rPr>
                <w:color w:val="auto"/>
                <w:highlight w:val="none"/>
              </w:rPr>
              <w:drawing>
                <wp:inline distT="0" distB="0" distL="114300" distR="114300">
                  <wp:extent cx="4679950" cy="3322320"/>
                  <wp:effectExtent l="0" t="0" r="6350" b="1143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6"/>
                          <a:stretch>
                            <a:fillRect/>
                          </a:stretch>
                        </pic:blipFill>
                        <pic:spPr>
                          <a:xfrm>
                            <a:off x="0" y="0"/>
                            <a:ext cx="4679950" cy="3322320"/>
                          </a:xfrm>
                          <a:prstGeom prst="rect">
                            <a:avLst/>
                          </a:prstGeom>
                          <a:noFill/>
                          <a:ln>
                            <a:noFill/>
                          </a:ln>
                        </pic:spPr>
                      </pic:pic>
                    </a:graphicData>
                  </a:graphic>
                </wp:inline>
              </w:drawing>
            </w:r>
          </w:p>
          <w:p w14:paraId="3C774CDA">
            <w:pPr>
              <w:pStyle w:val="7"/>
              <w:bidi w:val="0"/>
              <w:rPr>
                <w:rFonts w:hint="eastAsia"/>
                <w:color w:val="auto"/>
                <w:highlight w:val="none"/>
                <w:lang w:val="en-US" w:eastAsia="zh-CN"/>
              </w:rPr>
            </w:pPr>
            <w:bookmarkStart w:id="34" w:name="_Ref19207"/>
            <w:r>
              <w:rPr>
                <w:color w:val="auto"/>
                <w:highlight w:val="none"/>
              </w:rPr>
              <w:t>图2-</w:t>
            </w:r>
            <w:r>
              <w:rPr>
                <w:color w:val="auto"/>
                <w:highlight w:val="none"/>
              </w:rPr>
              <w:fldChar w:fldCharType="begin"/>
            </w:r>
            <w:r>
              <w:rPr>
                <w:color w:val="auto"/>
                <w:highlight w:val="none"/>
              </w:rPr>
              <w:instrText xml:space="preserve"> SEQ 图2- \* ARABIC </w:instrText>
            </w:r>
            <w:r>
              <w:rPr>
                <w:color w:val="auto"/>
                <w:highlight w:val="none"/>
              </w:rPr>
              <w:fldChar w:fldCharType="separate"/>
            </w:r>
            <w:r>
              <w:rPr>
                <w:color w:val="auto"/>
                <w:highlight w:val="none"/>
              </w:rPr>
              <w:t>6</w:t>
            </w:r>
            <w:r>
              <w:rPr>
                <w:color w:val="auto"/>
                <w:highlight w:val="none"/>
              </w:rPr>
              <w:fldChar w:fldCharType="end"/>
            </w:r>
            <w:bookmarkEnd w:id="34"/>
            <w:r>
              <w:rPr>
                <w:rFonts w:hint="eastAsia"/>
                <w:color w:val="auto"/>
                <w:highlight w:val="none"/>
                <w:lang w:val="en-US" w:eastAsia="zh-CN"/>
              </w:rPr>
              <w:t xml:space="preserve">  绿色智能化预拌混凝土物料流向图</w:t>
            </w:r>
          </w:p>
          <w:p w14:paraId="1710E6BE">
            <w:pPr>
              <w:pStyle w:val="51"/>
              <w:bidi w:val="0"/>
              <w:rPr>
                <w:rFonts w:hint="eastAsia"/>
                <w:color w:val="auto"/>
                <w:highlight w:val="none"/>
                <w:lang w:val="en-US" w:eastAsia="zh-CN"/>
              </w:rPr>
            </w:pPr>
            <w:r>
              <w:rPr>
                <w:rFonts w:hint="eastAsia"/>
                <w:color w:val="auto"/>
                <w:highlight w:val="none"/>
                <w:lang w:val="en-US" w:eastAsia="zh-CN"/>
              </w:rPr>
              <w:t>（备注：除尘灰、地面沉降和筒仓回收的颗粒物均回用于相应工序）</w:t>
            </w:r>
          </w:p>
          <w:p w14:paraId="640EC71A">
            <w:pPr>
              <w:pStyle w:val="7"/>
              <w:bidi w:val="0"/>
              <w:rPr>
                <w:rFonts w:hint="eastAsia"/>
                <w:color w:val="auto"/>
                <w:highlight w:val="none"/>
                <w:lang w:val="en-US" w:eastAsia="zh-CN"/>
              </w:rPr>
            </w:pPr>
          </w:p>
          <w:p w14:paraId="020DA26C">
            <w:pPr>
              <w:pStyle w:val="7"/>
              <w:bidi w:val="0"/>
              <w:rPr>
                <w:rFonts w:hint="eastAsia"/>
                <w:color w:val="auto"/>
                <w:highlight w:val="none"/>
                <w:lang w:val="en-US" w:eastAsia="zh-CN"/>
              </w:rPr>
            </w:pPr>
          </w:p>
          <w:p w14:paraId="4DC0C984">
            <w:pPr>
              <w:pStyle w:val="7"/>
              <w:bidi w:val="0"/>
              <w:rPr>
                <w:rFonts w:hint="eastAsia"/>
                <w:color w:val="auto"/>
                <w:highlight w:val="none"/>
                <w:lang w:val="en-US" w:eastAsia="zh-CN"/>
              </w:rPr>
            </w:pPr>
          </w:p>
          <w:p w14:paraId="47AF1C6A">
            <w:pPr>
              <w:pStyle w:val="7"/>
              <w:bidi w:val="0"/>
              <w:rPr>
                <w:rFonts w:hint="eastAsia"/>
                <w:color w:val="auto"/>
                <w:highlight w:val="none"/>
                <w:lang w:val="en-US" w:eastAsia="zh-CN"/>
              </w:rPr>
            </w:pPr>
          </w:p>
          <w:p w14:paraId="3FA28352">
            <w:pPr>
              <w:pStyle w:val="7"/>
              <w:bidi w:val="0"/>
              <w:rPr>
                <w:rFonts w:hint="eastAsia"/>
                <w:color w:val="auto"/>
                <w:highlight w:val="none"/>
                <w:lang w:val="en-US" w:eastAsia="zh-CN"/>
              </w:rPr>
            </w:pPr>
          </w:p>
          <w:p w14:paraId="3F609831">
            <w:pPr>
              <w:pStyle w:val="7"/>
              <w:bidi w:val="0"/>
              <w:rPr>
                <w:rFonts w:hint="eastAsia"/>
                <w:color w:val="auto"/>
                <w:highlight w:val="none"/>
                <w:lang w:val="en-US" w:eastAsia="zh-CN"/>
              </w:rPr>
            </w:pPr>
          </w:p>
          <w:p w14:paraId="3E46A24E">
            <w:pPr>
              <w:pStyle w:val="7"/>
              <w:bidi w:val="0"/>
              <w:rPr>
                <w:rFonts w:hint="eastAsia"/>
                <w:color w:val="auto"/>
                <w:highlight w:val="none"/>
                <w:lang w:val="en-US" w:eastAsia="zh-CN"/>
              </w:rPr>
            </w:pPr>
          </w:p>
          <w:p w14:paraId="60D3877B">
            <w:pPr>
              <w:pStyle w:val="7"/>
              <w:bidi w:val="0"/>
              <w:rPr>
                <w:rFonts w:hint="eastAsia"/>
                <w:color w:val="auto"/>
                <w:highlight w:val="none"/>
                <w:lang w:val="en-US" w:eastAsia="zh-CN"/>
              </w:rPr>
            </w:pPr>
          </w:p>
          <w:p w14:paraId="24E3DF24">
            <w:pPr>
              <w:pStyle w:val="51"/>
              <w:bidi w:val="0"/>
              <w:rPr>
                <w:rFonts w:hint="default"/>
                <w:color w:val="auto"/>
                <w:highlight w:val="none"/>
                <w:lang w:val="en-US" w:eastAsia="zh-CN"/>
              </w:rPr>
            </w:pPr>
          </w:p>
        </w:tc>
      </w:tr>
      <w:tr w14:paraId="58E213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36" w:hRule="atLeast"/>
          <w:jc w:val="center"/>
        </w:trPr>
        <w:tc>
          <w:tcPr>
            <w:tcW w:w="250" w:type="pct"/>
            <w:noWrap w:val="0"/>
            <w:vAlign w:val="center"/>
          </w:tcPr>
          <w:p w14:paraId="1F14D85D">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Cs/>
                <w:color w:val="auto"/>
                <w:kern w:val="2"/>
                <w:sz w:val="24"/>
                <w:szCs w:val="24"/>
                <w:highlight w:val="none"/>
              </w:rPr>
              <w:t>与项目有关的原有环境污染问题</w:t>
            </w:r>
          </w:p>
        </w:tc>
        <w:tc>
          <w:tcPr>
            <w:tcW w:w="4750" w:type="pct"/>
            <w:noWrap w:val="0"/>
            <w:vAlign w:val="center"/>
          </w:tcPr>
          <w:p w14:paraId="3DA1ECEC">
            <w:pPr>
              <w:bidi w:val="0"/>
              <w:rPr>
                <w:rFonts w:hint="default" w:eastAsia="宋体"/>
                <w:color w:val="auto"/>
                <w:highlight w:val="none"/>
                <w:lang w:val="en-US" w:eastAsia="zh-CN"/>
              </w:rPr>
            </w:pPr>
            <w:r>
              <w:rPr>
                <w:rFonts w:hint="default" w:eastAsia="宋体"/>
                <w:color w:val="auto"/>
                <w:highlight w:val="none"/>
                <w:lang w:val="en-US" w:eastAsia="zh-CN"/>
              </w:rPr>
              <w:t>1、通过现场踏勘得知，目前场地上遗留有输送皮带、配电室、砖混结构建构筑物、水池等设施设备</w:t>
            </w:r>
            <w:r>
              <w:rPr>
                <w:rFonts w:hint="eastAsia"/>
                <w:color w:val="auto"/>
                <w:highlight w:val="none"/>
                <w:lang w:val="en-US" w:eastAsia="zh-CN"/>
              </w:rPr>
              <w:t>若干</w:t>
            </w:r>
            <w:r>
              <w:rPr>
                <w:rFonts w:hint="default" w:eastAsia="宋体"/>
                <w:color w:val="auto"/>
                <w:highlight w:val="none"/>
                <w:lang w:val="en-US" w:eastAsia="zh-CN"/>
              </w:rPr>
              <w:t>，</w:t>
            </w:r>
            <w:r>
              <w:rPr>
                <w:rFonts w:hint="eastAsia"/>
                <w:color w:val="auto"/>
                <w:highlight w:val="none"/>
                <w:lang w:val="en-US" w:eastAsia="zh-CN"/>
              </w:rPr>
              <w:t>根据卫星地图推测至少已停产5年，</w:t>
            </w:r>
            <w:r>
              <w:rPr>
                <w:rFonts w:hint="default" w:eastAsia="宋体"/>
                <w:color w:val="auto"/>
                <w:highlight w:val="none"/>
                <w:lang w:val="en-US" w:eastAsia="zh-CN"/>
              </w:rPr>
              <w:t>初步勘查</w:t>
            </w:r>
            <w:r>
              <w:rPr>
                <w:rFonts w:hint="eastAsia"/>
                <w:color w:val="auto"/>
                <w:highlight w:val="none"/>
                <w:lang w:val="en-US" w:eastAsia="zh-CN"/>
              </w:rPr>
              <w:t>现场</w:t>
            </w:r>
            <w:r>
              <w:rPr>
                <w:rFonts w:hint="default" w:eastAsia="宋体"/>
                <w:color w:val="auto"/>
                <w:highlight w:val="none"/>
                <w:lang w:val="en-US" w:eastAsia="zh-CN"/>
              </w:rPr>
              <w:t>未发现化学药剂、废水等残留污染物，但堆存有遗留物料</w:t>
            </w:r>
            <w:r>
              <w:rPr>
                <w:rFonts w:hint="eastAsia"/>
                <w:color w:val="auto"/>
                <w:highlight w:val="none"/>
                <w:lang w:val="en-US" w:eastAsia="zh-CN"/>
              </w:rPr>
              <w:t>（疑似锅炉灰渣）</w:t>
            </w:r>
            <w:r>
              <w:rPr>
                <w:rFonts w:hint="default" w:eastAsia="宋体"/>
                <w:color w:val="auto"/>
                <w:highlight w:val="none"/>
                <w:lang w:val="en-US" w:eastAsia="zh-CN"/>
              </w:rPr>
              <w:t>约30m</w:t>
            </w:r>
            <w:r>
              <w:rPr>
                <w:rFonts w:hint="default" w:eastAsia="宋体"/>
                <w:color w:val="auto"/>
                <w:highlight w:val="none"/>
                <w:vertAlign w:val="superscript"/>
                <w:lang w:val="en-US" w:eastAsia="zh-CN"/>
              </w:rPr>
              <w:t>3</w:t>
            </w:r>
            <w:r>
              <w:rPr>
                <w:rFonts w:hint="default" w:eastAsia="宋体"/>
                <w:color w:val="auto"/>
                <w:highlight w:val="none"/>
                <w:lang w:val="en-US" w:eastAsia="zh-CN"/>
              </w:rPr>
              <w:t>。</w:t>
            </w:r>
          </w:p>
          <w:p w14:paraId="712A8D45">
            <w:pPr>
              <w:bidi w:val="0"/>
              <w:rPr>
                <w:rFonts w:hint="default" w:eastAsia="宋体"/>
                <w:color w:val="auto"/>
                <w:highlight w:val="none"/>
                <w:lang w:val="en-US" w:eastAsia="zh-CN"/>
              </w:rPr>
            </w:pPr>
            <w:r>
              <w:rPr>
                <w:rFonts w:hint="default" w:eastAsia="宋体"/>
                <w:color w:val="auto"/>
                <w:highlight w:val="none"/>
                <w:lang w:val="en-US" w:eastAsia="zh-CN"/>
              </w:rPr>
              <w:t>2、建设单位在拆除现有设施设备时，应严格落实扬尘控制措施，参照《企业拆除活动污染防治技术规定》采取相关措施防止造成土壤、地下水污染。</w:t>
            </w:r>
          </w:p>
          <w:p w14:paraId="3FC915F4">
            <w:pPr>
              <w:bidi w:val="0"/>
              <w:rPr>
                <w:rFonts w:hint="default" w:eastAsia="宋体"/>
                <w:color w:val="auto"/>
                <w:highlight w:val="none"/>
                <w:lang w:val="en-US" w:eastAsia="zh-CN"/>
              </w:rPr>
            </w:pPr>
            <w:r>
              <w:rPr>
                <w:rFonts w:hint="default" w:eastAsia="宋体"/>
                <w:color w:val="auto"/>
                <w:highlight w:val="none"/>
                <w:lang w:val="en-US" w:eastAsia="zh-CN"/>
              </w:rPr>
              <w:t>3、拆除过程若发现积水应集中收集合理处置；拆除活动应尽量减少固体废物的产生，对拆除活动产生的建筑垃圾送至环卫部门指定的建筑垃圾填埋场，工业固体废物合理处置，危险废物现场需暂存时应做好防渗措施后续交有资质单位处置；</w:t>
            </w:r>
          </w:p>
          <w:p w14:paraId="4CDC7CF7">
            <w:pPr>
              <w:bidi w:val="0"/>
              <w:rPr>
                <w:rFonts w:hint="default" w:eastAsia="宋体"/>
                <w:color w:val="auto"/>
                <w:highlight w:val="none"/>
                <w:lang w:val="en-US" w:eastAsia="zh-CN"/>
              </w:rPr>
            </w:pPr>
            <w:r>
              <w:rPr>
                <w:rFonts w:hint="default" w:eastAsia="宋体"/>
                <w:color w:val="auto"/>
                <w:highlight w:val="none"/>
                <w:lang w:val="en-US" w:eastAsia="zh-CN"/>
              </w:rPr>
              <w:t>4、现场遗留的物料</w:t>
            </w:r>
            <w:r>
              <w:rPr>
                <w:rFonts w:hint="eastAsia"/>
                <w:color w:val="auto"/>
                <w:highlight w:val="none"/>
                <w:lang w:val="en-US" w:eastAsia="zh-CN"/>
              </w:rPr>
              <w:t>应通过检测确定固体废物类别及理化性质，具备利用条件时用于本项目的生产，否则根据鉴定后的固体废物类别合规处置。</w:t>
            </w:r>
          </w:p>
        </w:tc>
      </w:tr>
    </w:tbl>
    <w:p w14:paraId="14CC1135">
      <w:pPr>
        <w:rPr>
          <w:rFonts w:hint="eastAsia"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br w:type="page"/>
      </w:r>
    </w:p>
    <w:p w14:paraId="0062A91E">
      <w:pPr>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三、区域环境质量现状、环境保护目标及评价标准</w:t>
      </w:r>
    </w:p>
    <w:tbl>
      <w:tblPr>
        <w:tblStyle w:val="24"/>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5"/>
        <w:gridCol w:w="8603"/>
      </w:tblGrid>
      <w:tr w14:paraId="505632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50" w:hRule="atLeast"/>
          <w:jc w:val="center"/>
        </w:trPr>
        <w:tc>
          <w:tcPr>
            <w:tcW w:w="251" w:type="pct"/>
            <w:noWrap w:val="0"/>
            <w:vAlign w:val="center"/>
          </w:tcPr>
          <w:p w14:paraId="59D7A3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区域环境质量现状</w:t>
            </w:r>
          </w:p>
        </w:tc>
        <w:tc>
          <w:tcPr>
            <w:tcW w:w="4748" w:type="pct"/>
            <w:noWrap w:val="0"/>
            <w:vAlign w:val="center"/>
          </w:tcPr>
          <w:p w14:paraId="4B25EB68">
            <w:pPr>
              <w:pStyle w:val="41"/>
              <w:bidi w:val="0"/>
              <w:rPr>
                <w:color w:val="auto"/>
                <w:highlight w:val="none"/>
              </w:rPr>
            </w:pPr>
            <w:r>
              <w:rPr>
                <w:rFonts w:hint="eastAsia"/>
                <w:color w:val="auto"/>
                <w:highlight w:val="none"/>
                <w:lang w:val="en-US" w:eastAsia="zh-CN"/>
              </w:rPr>
              <w:t>一、</w:t>
            </w:r>
            <w:r>
              <w:rPr>
                <w:color w:val="auto"/>
                <w:highlight w:val="none"/>
              </w:rPr>
              <w:t>环境空气质量现状</w:t>
            </w:r>
          </w:p>
          <w:p w14:paraId="4014B738">
            <w:pPr>
              <w:pStyle w:val="41"/>
              <w:bidi w:val="0"/>
              <w:rPr>
                <w:rFonts w:hint="eastAsia" w:eastAsia="宋体"/>
                <w:b/>
                <w:bCs/>
                <w:color w:val="auto"/>
                <w:highlight w:val="none"/>
                <w:lang w:val="en-US" w:eastAsia="zh-CN"/>
              </w:rPr>
            </w:pPr>
            <w:r>
              <w:rPr>
                <w:rFonts w:hint="eastAsia"/>
                <w:color w:val="auto"/>
                <w:highlight w:val="none"/>
                <w:lang w:val="en-US" w:eastAsia="zh-CN"/>
              </w:rPr>
              <w:t>1、</w:t>
            </w:r>
            <w:r>
              <w:rPr>
                <w:rFonts w:hint="eastAsia"/>
                <w:color w:val="auto"/>
                <w:highlight w:val="none"/>
              </w:rPr>
              <w:t>区域环境质量达标情况</w:t>
            </w:r>
          </w:p>
          <w:p w14:paraId="49C80FDE">
            <w:pPr>
              <w:spacing w:line="360" w:lineRule="auto"/>
              <w:ind w:firstLine="480" w:firstLineChars="200"/>
              <w:jc w:val="both"/>
              <w:rPr>
                <w:color w:val="auto"/>
                <w:sz w:val="24"/>
                <w:highlight w:val="none"/>
              </w:rPr>
            </w:pPr>
            <w:r>
              <w:rPr>
                <w:color w:val="auto"/>
                <w:sz w:val="24"/>
                <w:highlight w:val="none"/>
              </w:rPr>
              <w:t>陕西省生态环境厅办公室于2024年1月19日发布的</w:t>
            </w:r>
            <w:r>
              <w:rPr>
                <w:rFonts w:hint="default" w:ascii="Times New Roman" w:hAnsi="Times New Roman" w:eastAsia="宋体" w:cs="Times New Roman"/>
                <w:color w:val="auto"/>
                <w:sz w:val="24"/>
                <w:szCs w:val="24"/>
                <w:highlight w:val="none"/>
                <w:lang w:val="en-US" w:eastAsia="zh-CN"/>
              </w:rPr>
              <w:t>《环保快报》（202</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年12月及1~12月全省环境空气质量状况）中榆林市</w:t>
            </w:r>
            <w:r>
              <w:rPr>
                <w:rFonts w:hint="eastAsia" w:eastAsia="宋体" w:cs="Times New Roman"/>
                <w:color w:val="auto"/>
                <w:sz w:val="24"/>
                <w:szCs w:val="24"/>
                <w:highlight w:val="none"/>
                <w:lang w:val="en-US" w:eastAsia="zh-CN"/>
              </w:rPr>
              <w:t>府谷县</w:t>
            </w:r>
            <w:r>
              <w:rPr>
                <w:color w:val="auto"/>
                <w:sz w:val="24"/>
                <w:highlight w:val="none"/>
              </w:rPr>
              <w:t>的统计数据</w:t>
            </w:r>
            <w:r>
              <w:rPr>
                <w:rFonts w:hint="eastAsia"/>
                <w:color w:val="auto"/>
                <w:sz w:val="24"/>
                <w:highlight w:val="none"/>
                <w:lang w:eastAsia="zh-CN"/>
              </w:rPr>
              <w:t>，</w:t>
            </w:r>
            <w:r>
              <w:rPr>
                <w:color w:val="auto"/>
                <w:sz w:val="24"/>
                <w:highlight w:val="none"/>
              </w:rPr>
              <w:t>202</w:t>
            </w:r>
            <w:r>
              <w:rPr>
                <w:rFonts w:hint="eastAsia"/>
                <w:color w:val="auto"/>
                <w:sz w:val="24"/>
                <w:highlight w:val="none"/>
              </w:rPr>
              <w:t>3</w:t>
            </w:r>
            <w:r>
              <w:rPr>
                <w:color w:val="auto"/>
                <w:sz w:val="24"/>
                <w:highlight w:val="none"/>
              </w:rPr>
              <w:t>年府谷县环境空气质量状况见</w:t>
            </w:r>
            <w:r>
              <w:rPr>
                <w:color w:val="auto"/>
                <w:sz w:val="24"/>
                <w:highlight w:val="none"/>
              </w:rPr>
              <w:fldChar w:fldCharType="begin"/>
            </w:r>
            <w:r>
              <w:rPr>
                <w:color w:val="auto"/>
                <w:sz w:val="24"/>
                <w:highlight w:val="none"/>
              </w:rPr>
              <w:instrText xml:space="preserve"> REF _Ref2134 \h </w:instrText>
            </w:r>
            <w:r>
              <w:rPr>
                <w:color w:val="auto"/>
                <w:sz w:val="24"/>
                <w:highlight w:val="none"/>
              </w:rPr>
              <w:fldChar w:fldCharType="separate"/>
            </w:r>
            <w:r>
              <w:rPr>
                <w:color w:val="auto"/>
                <w:highlight w:val="none"/>
              </w:rPr>
              <w:t>表3-1</w:t>
            </w:r>
            <w:r>
              <w:rPr>
                <w:color w:val="auto"/>
                <w:sz w:val="24"/>
                <w:highlight w:val="none"/>
              </w:rPr>
              <w:fldChar w:fldCharType="end"/>
            </w:r>
            <w:r>
              <w:rPr>
                <w:color w:val="auto"/>
                <w:sz w:val="24"/>
                <w:highlight w:val="none"/>
              </w:rPr>
              <w:t>。</w:t>
            </w:r>
          </w:p>
          <w:p w14:paraId="1328A80B">
            <w:pPr>
              <w:pStyle w:val="7"/>
              <w:bidi w:val="0"/>
              <w:rPr>
                <w:color w:val="auto"/>
                <w:highlight w:val="none"/>
              </w:rPr>
            </w:pPr>
            <w:r>
              <w:rPr>
                <w:color w:val="auto"/>
                <w:highlight w:val="none"/>
              </w:rPr>
              <w:t>表3-</w:t>
            </w:r>
            <w:r>
              <w:rPr>
                <w:color w:val="auto"/>
                <w:highlight w:val="none"/>
              </w:rPr>
              <w:fldChar w:fldCharType="begin"/>
            </w:r>
            <w:r>
              <w:rPr>
                <w:color w:val="auto"/>
                <w:highlight w:val="none"/>
              </w:rPr>
              <w:instrText xml:space="preserve"> SEQ 表3- \* ARABIC </w:instrText>
            </w:r>
            <w:r>
              <w:rPr>
                <w:color w:val="auto"/>
                <w:highlight w:val="none"/>
              </w:rPr>
              <w:fldChar w:fldCharType="separate"/>
            </w:r>
            <w:r>
              <w:rPr>
                <w:color w:val="auto"/>
                <w:highlight w:val="none"/>
              </w:rPr>
              <w:t>1</w:t>
            </w:r>
            <w:r>
              <w:rPr>
                <w:color w:val="auto"/>
                <w:highlight w:val="none"/>
              </w:rPr>
              <w:fldChar w:fldCharType="end"/>
            </w:r>
            <w:r>
              <w:rPr>
                <w:rFonts w:hint="eastAsia"/>
                <w:color w:val="auto"/>
                <w:highlight w:val="none"/>
                <w:lang w:val="en-US" w:eastAsia="zh-CN"/>
              </w:rPr>
              <w:t xml:space="preserve"> </w:t>
            </w:r>
            <w:r>
              <w:rPr>
                <w:color w:val="auto"/>
                <w:highlight w:val="none"/>
              </w:rPr>
              <w:t xml:space="preserve"> 2023年府谷县环境空气质量状况统计表</w:t>
            </w:r>
          </w:p>
          <w:tbl>
            <w:tblPr>
              <w:tblStyle w:val="24"/>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063"/>
              <w:gridCol w:w="1120"/>
              <w:gridCol w:w="901"/>
              <w:gridCol w:w="1120"/>
              <w:gridCol w:w="1061"/>
              <w:gridCol w:w="1088"/>
            </w:tblGrid>
            <w:tr w14:paraId="38963A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833" w:type="pct"/>
                  <w:tcBorders>
                    <w:tl2br w:val="nil"/>
                    <w:tr2bl w:val="nil"/>
                  </w:tcBorders>
                  <w:noWrap w:val="0"/>
                  <w:vAlign w:val="center"/>
                </w:tcPr>
                <w:p w14:paraId="6C3AF454">
                  <w:pPr>
                    <w:keepNext w:val="0"/>
                    <w:keepLines w:val="0"/>
                    <w:pageBreakBefore w:val="0"/>
                    <w:widowControl/>
                    <w:kinsoku/>
                    <w:wordWrap/>
                    <w:overflowPunct/>
                    <w:topLinePunct w:val="0"/>
                    <w:autoSpaceDE/>
                    <w:autoSpaceDN/>
                    <w:bidi w:val="0"/>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bookmarkStart w:id="35" w:name="_Ref2134"/>
                  <w:r>
                    <w:rPr>
                      <w:rFonts w:hint="default" w:ascii="Times New Roman" w:hAnsi="Times New Roman" w:eastAsia="宋体" w:cs="Times New Roman"/>
                      <w:b w:val="0"/>
                      <w:bCs w:val="0"/>
                      <w:color w:val="auto"/>
                      <w:sz w:val="21"/>
                      <w:szCs w:val="21"/>
                      <w:highlight w:val="none"/>
                    </w:rPr>
                    <w:t>污染物</w:t>
                  </w:r>
                </w:p>
              </w:tc>
              <w:tc>
                <w:tcPr>
                  <w:tcW w:w="670" w:type="pct"/>
                  <w:tcBorders>
                    <w:tl2br w:val="nil"/>
                    <w:tr2bl w:val="nil"/>
                  </w:tcBorders>
                  <w:noWrap w:val="0"/>
                  <w:vAlign w:val="center"/>
                </w:tcPr>
                <w:p w14:paraId="11AAD399">
                  <w:pPr>
                    <w:keepNext w:val="0"/>
                    <w:keepLines w:val="0"/>
                    <w:pageBreakBefore w:val="0"/>
                    <w:widowControl/>
                    <w:kinsoku/>
                    <w:wordWrap/>
                    <w:overflowPunct/>
                    <w:topLinePunct w:val="0"/>
                    <w:autoSpaceDE/>
                    <w:autoSpaceDN/>
                    <w:bidi w:val="0"/>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eastAsia" w:ascii="Times New Roman" w:hAnsi="Times New Roman" w:eastAsia="宋体" w:cs="Times New Roman"/>
                      <w:b w:val="0"/>
                      <w:bCs w:val="0"/>
                      <w:color w:val="auto"/>
                      <w:sz w:val="21"/>
                      <w:szCs w:val="21"/>
                      <w:highlight w:val="none"/>
                      <w:lang w:val="en-US" w:eastAsia="zh-CN"/>
                    </w:rPr>
                    <w:t>现状</w:t>
                  </w:r>
                  <w:r>
                    <w:rPr>
                      <w:rFonts w:hint="default" w:ascii="Times New Roman" w:hAnsi="Times New Roman" w:eastAsia="宋体" w:cs="Times New Roman"/>
                      <w:b w:val="0"/>
                      <w:bCs w:val="0"/>
                      <w:color w:val="auto"/>
                      <w:sz w:val="21"/>
                      <w:szCs w:val="21"/>
                      <w:highlight w:val="none"/>
                    </w:rPr>
                    <w:t>浓度</w:t>
                  </w:r>
                </w:p>
              </w:tc>
              <w:tc>
                <w:tcPr>
                  <w:tcW w:w="539" w:type="pct"/>
                  <w:tcBorders>
                    <w:tl2br w:val="nil"/>
                    <w:tr2bl w:val="nil"/>
                  </w:tcBorders>
                  <w:noWrap w:val="0"/>
                  <w:vAlign w:val="center"/>
                </w:tcPr>
                <w:p w14:paraId="00BD42DF">
                  <w:pPr>
                    <w:keepNext w:val="0"/>
                    <w:keepLines w:val="0"/>
                    <w:pageBreakBefore w:val="0"/>
                    <w:widowControl/>
                    <w:kinsoku/>
                    <w:wordWrap/>
                    <w:overflowPunct/>
                    <w:topLinePunct w:val="0"/>
                    <w:autoSpaceDE/>
                    <w:autoSpaceDN/>
                    <w:bidi w:val="0"/>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标准值</w:t>
                  </w:r>
                </w:p>
              </w:tc>
              <w:tc>
                <w:tcPr>
                  <w:tcW w:w="670" w:type="pct"/>
                  <w:tcBorders>
                    <w:tl2br w:val="nil"/>
                    <w:tr2bl w:val="nil"/>
                  </w:tcBorders>
                  <w:noWrap w:val="0"/>
                  <w:vAlign w:val="center"/>
                </w:tcPr>
                <w:p w14:paraId="02262E3C">
                  <w:pPr>
                    <w:keepNext w:val="0"/>
                    <w:keepLines w:val="0"/>
                    <w:pageBreakBefore w:val="0"/>
                    <w:widowControl/>
                    <w:kinsoku/>
                    <w:wordWrap/>
                    <w:overflowPunct/>
                    <w:topLinePunct w:val="0"/>
                    <w:autoSpaceDE/>
                    <w:autoSpaceDN/>
                    <w:bidi w:val="0"/>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占标率</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w:t>
                  </w:r>
                </w:p>
              </w:tc>
              <w:tc>
                <w:tcPr>
                  <w:tcW w:w="635" w:type="pct"/>
                  <w:tcBorders>
                    <w:tl2br w:val="nil"/>
                    <w:tr2bl w:val="nil"/>
                  </w:tcBorders>
                  <w:noWrap w:val="0"/>
                  <w:vAlign w:val="center"/>
                </w:tcPr>
                <w:p w14:paraId="2D08D5BC">
                  <w:pPr>
                    <w:keepNext w:val="0"/>
                    <w:keepLines w:val="0"/>
                    <w:pageBreakBefore w:val="0"/>
                    <w:widowControl/>
                    <w:kinsoku/>
                    <w:wordWrap/>
                    <w:overflowPunct/>
                    <w:topLinePunct w:val="0"/>
                    <w:autoSpaceDE/>
                    <w:autoSpaceDN/>
                    <w:bidi w:val="0"/>
                    <w:snapToGrid/>
                    <w:spacing w:line="240" w:lineRule="auto"/>
                    <w:ind w:lef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超标倍数</w:t>
                  </w:r>
                </w:p>
              </w:tc>
              <w:tc>
                <w:tcPr>
                  <w:tcW w:w="651" w:type="pct"/>
                  <w:tcBorders>
                    <w:tl2br w:val="nil"/>
                    <w:tr2bl w:val="nil"/>
                  </w:tcBorders>
                  <w:noWrap w:val="0"/>
                  <w:vAlign w:val="center"/>
                </w:tcPr>
                <w:p w14:paraId="32B7A362">
                  <w:pPr>
                    <w:keepNext w:val="0"/>
                    <w:keepLines w:val="0"/>
                    <w:pageBreakBefore w:val="0"/>
                    <w:widowControl/>
                    <w:kinsoku/>
                    <w:wordWrap/>
                    <w:overflowPunct/>
                    <w:topLinePunct w:val="0"/>
                    <w:autoSpaceDE/>
                    <w:autoSpaceDN/>
                    <w:bidi w:val="0"/>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达标情况</w:t>
                  </w:r>
                </w:p>
              </w:tc>
            </w:tr>
            <w:tr w14:paraId="5D238F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833" w:type="pct"/>
                  <w:tcBorders>
                    <w:tl2br w:val="nil"/>
                    <w:tr2bl w:val="nil"/>
                  </w:tcBorders>
                  <w:noWrap w:val="0"/>
                  <w:vAlign w:val="center"/>
                </w:tcPr>
                <w:p w14:paraId="57035C7E">
                  <w:pPr>
                    <w:pStyle w:val="40"/>
                    <w:bidi w:val="0"/>
                    <w:rPr>
                      <w:rFonts w:hint="default" w:ascii="Times New Roman" w:hAnsi="Times New Roman" w:eastAsia="宋体" w:cs="Times New Roman"/>
                      <w:b w:val="0"/>
                      <w:bCs w:val="0"/>
                      <w:color w:val="auto"/>
                      <w:sz w:val="21"/>
                      <w:szCs w:val="21"/>
                      <w:highlight w:val="none"/>
                    </w:rPr>
                  </w:pPr>
                  <w:r>
                    <w:rPr>
                      <w:rFonts w:hint="default"/>
                      <w:color w:val="auto"/>
                      <w:sz w:val="21"/>
                      <w:szCs w:val="21"/>
                      <w:highlight w:val="none"/>
                    </w:rPr>
                    <w:t>PM</w:t>
                  </w:r>
                  <w:r>
                    <w:rPr>
                      <w:rFonts w:hint="default"/>
                      <w:color w:val="auto"/>
                      <w:sz w:val="21"/>
                      <w:szCs w:val="21"/>
                      <w:highlight w:val="none"/>
                      <w:vertAlign w:val="subscript"/>
                    </w:rPr>
                    <w:t>10</w:t>
                  </w:r>
                  <w:r>
                    <w:rPr>
                      <w:rFonts w:hint="default"/>
                      <w:color w:val="auto"/>
                      <w:sz w:val="21"/>
                      <w:szCs w:val="21"/>
                      <w:highlight w:val="none"/>
                      <w:lang w:eastAsia="zh-CN"/>
                    </w:rPr>
                    <w:t>（年均值</w:t>
                  </w:r>
                  <w:r>
                    <w:rPr>
                      <w:rFonts w:hint="default"/>
                      <w:color w:val="auto"/>
                      <w:sz w:val="21"/>
                      <w:szCs w:val="21"/>
                      <w:highlight w:val="none"/>
                      <w:lang w:val="en-US" w:eastAsia="zh-CN"/>
                    </w:rPr>
                    <w:t>μg/m</w:t>
                  </w:r>
                  <w:r>
                    <w:rPr>
                      <w:rFonts w:hint="default"/>
                      <w:color w:val="auto"/>
                      <w:sz w:val="21"/>
                      <w:szCs w:val="21"/>
                      <w:highlight w:val="none"/>
                      <w:vertAlign w:val="superscript"/>
                      <w:lang w:val="en-US" w:eastAsia="zh-CN"/>
                    </w:rPr>
                    <w:t>3</w:t>
                  </w:r>
                  <w:r>
                    <w:rPr>
                      <w:rFonts w:hint="default"/>
                      <w:color w:val="auto"/>
                      <w:sz w:val="21"/>
                      <w:szCs w:val="21"/>
                      <w:highlight w:val="none"/>
                      <w:lang w:eastAsia="zh-CN"/>
                    </w:rPr>
                    <w:t>）</w:t>
                  </w:r>
                </w:p>
              </w:tc>
              <w:tc>
                <w:tcPr>
                  <w:tcW w:w="670" w:type="pct"/>
                  <w:tcBorders>
                    <w:tl2br w:val="nil"/>
                    <w:tr2bl w:val="nil"/>
                  </w:tcBorders>
                  <w:noWrap w:val="0"/>
                  <w:vAlign w:val="center"/>
                </w:tcPr>
                <w:p w14:paraId="69802B29">
                  <w:pPr>
                    <w:keepNext w:val="0"/>
                    <w:keepLines w:val="0"/>
                    <w:pageBreakBefore w:val="0"/>
                    <w:kinsoku/>
                    <w:wordWrap/>
                    <w:overflowPunct/>
                    <w:topLinePunct w:val="0"/>
                    <w:autoSpaceDE/>
                    <w:autoSpaceDN/>
                    <w:bidi w:val="0"/>
                    <w:adjustRightInd w:val="0"/>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67</w:t>
                  </w:r>
                </w:p>
              </w:tc>
              <w:tc>
                <w:tcPr>
                  <w:tcW w:w="539" w:type="pct"/>
                  <w:tcBorders>
                    <w:tl2br w:val="nil"/>
                    <w:tr2bl w:val="nil"/>
                  </w:tcBorders>
                  <w:noWrap w:val="0"/>
                  <w:vAlign w:val="center"/>
                </w:tcPr>
                <w:p w14:paraId="766B1A24">
                  <w:pPr>
                    <w:keepNext w:val="0"/>
                    <w:keepLines w:val="0"/>
                    <w:pageBreakBefore w:val="0"/>
                    <w:kinsoku/>
                    <w:wordWrap/>
                    <w:overflowPunct/>
                    <w:topLinePunct w:val="0"/>
                    <w:autoSpaceDE/>
                    <w:autoSpaceDN/>
                    <w:bidi w:val="0"/>
                    <w:adjustRightInd w:val="0"/>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70</w:t>
                  </w:r>
                </w:p>
              </w:tc>
              <w:tc>
                <w:tcPr>
                  <w:tcW w:w="670" w:type="pct"/>
                  <w:tcBorders>
                    <w:tl2br w:val="nil"/>
                    <w:tr2bl w:val="nil"/>
                  </w:tcBorders>
                  <w:noWrap w:val="0"/>
                  <w:vAlign w:val="center"/>
                </w:tcPr>
                <w:p w14:paraId="57310302">
                  <w:pPr>
                    <w:keepNext w:val="0"/>
                    <w:keepLines w:val="0"/>
                    <w:pageBreakBefore w:val="0"/>
                    <w:kinsoku/>
                    <w:wordWrap/>
                    <w:overflowPunct/>
                    <w:topLinePunct w:val="0"/>
                    <w:autoSpaceDE/>
                    <w:autoSpaceDN/>
                    <w:bidi w:val="0"/>
                    <w:adjustRightInd w:val="0"/>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95.71</w:t>
                  </w:r>
                </w:p>
              </w:tc>
              <w:tc>
                <w:tcPr>
                  <w:tcW w:w="635" w:type="pct"/>
                  <w:tcBorders>
                    <w:tl2br w:val="nil"/>
                    <w:tr2bl w:val="nil"/>
                  </w:tcBorders>
                  <w:noWrap w:val="0"/>
                  <w:vAlign w:val="center"/>
                </w:tcPr>
                <w:p w14:paraId="693CC3D2">
                  <w:pPr>
                    <w:keepNext w:val="0"/>
                    <w:keepLines w:val="0"/>
                    <w:pageBreakBefore w:val="0"/>
                    <w:kinsoku/>
                    <w:wordWrap/>
                    <w:overflowPunct/>
                    <w:topLinePunct w:val="0"/>
                    <w:autoSpaceDE/>
                    <w:autoSpaceDN/>
                    <w:bidi w:val="0"/>
                    <w:adjustRightInd w:val="0"/>
                    <w:snapToGrid/>
                    <w:spacing w:after="0"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w:t>
                  </w:r>
                </w:p>
              </w:tc>
              <w:tc>
                <w:tcPr>
                  <w:tcW w:w="651" w:type="pct"/>
                  <w:tcBorders>
                    <w:tl2br w:val="nil"/>
                    <w:tr2bl w:val="nil"/>
                  </w:tcBorders>
                  <w:noWrap w:val="0"/>
                  <w:vAlign w:val="center"/>
                </w:tcPr>
                <w:p w14:paraId="4D4A8891">
                  <w:pPr>
                    <w:keepNext w:val="0"/>
                    <w:keepLines w:val="0"/>
                    <w:pageBreakBefore w:val="0"/>
                    <w:kinsoku/>
                    <w:wordWrap/>
                    <w:overflowPunct/>
                    <w:topLinePunct w:val="0"/>
                    <w:autoSpaceDE/>
                    <w:autoSpaceDN/>
                    <w:bidi w:val="0"/>
                    <w:adjustRightInd w:val="0"/>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达标</w:t>
                  </w:r>
                </w:p>
              </w:tc>
            </w:tr>
            <w:tr w14:paraId="236776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833" w:type="pct"/>
                  <w:tcBorders>
                    <w:tl2br w:val="nil"/>
                    <w:tr2bl w:val="nil"/>
                  </w:tcBorders>
                  <w:noWrap w:val="0"/>
                  <w:vAlign w:val="center"/>
                </w:tcPr>
                <w:p w14:paraId="76372547">
                  <w:pPr>
                    <w:keepNext w:val="0"/>
                    <w:keepLines w:val="0"/>
                    <w:pageBreakBefore w:val="0"/>
                    <w:kinsoku/>
                    <w:wordWrap/>
                    <w:overflowPunct/>
                    <w:topLinePunct w:val="0"/>
                    <w:autoSpaceDE/>
                    <w:autoSpaceDN/>
                    <w:bidi w:val="0"/>
                    <w:adjustRightInd w:val="0"/>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PM</w:t>
                  </w:r>
                  <w:r>
                    <w:rPr>
                      <w:rFonts w:hint="default" w:ascii="Times New Roman" w:hAnsi="Times New Roman" w:eastAsia="宋体" w:cs="Times New Roman"/>
                      <w:b w:val="0"/>
                      <w:bCs w:val="0"/>
                      <w:color w:val="auto"/>
                      <w:sz w:val="21"/>
                      <w:szCs w:val="21"/>
                      <w:highlight w:val="none"/>
                      <w:vertAlign w:val="subscript"/>
                    </w:rPr>
                    <w:t>2.5</w:t>
                  </w:r>
                  <w:r>
                    <w:rPr>
                      <w:rFonts w:hint="default"/>
                      <w:color w:val="auto"/>
                      <w:sz w:val="21"/>
                      <w:szCs w:val="21"/>
                      <w:highlight w:val="none"/>
                      <w:lang w:eastAsia="zh-CN"/>
                    </w:rPr>
                    <w:t>（年均值</w:t>
                  </w:r>
                  <w:r>
                    <w:rPr>
                      <w:rFonts w:hint="default"/>
                      <w:color w:val="auto"/>
                      <w:sz w:val="21"/>
                      <w:szCs w:val="21"/>
                      <w:highlight w:val="none"/>
                      <w:lang w:val="en-US" w:eastAsia="zh-CN"/>
                    </w:rPr>
                    <w:t>μg/m</w:t>
                  </w:r>
                  <w:r>
                    <w:rPr>
                      <w:rFonts w:hint="default"/>
                      <w:color w:val="auto"/>
                      <w:sz w:val="21"/>
                      <w:szCs w:val="21"/>
                      <w:highlight w:val="none"/>
                      <w:vertAlign w:val="superscript"/>
                      <w:lang w:val="en-US" w:eastAsia="zh-CN"/>
                    </w:rPr>
                    <w:t>3</w:t>
                  </w:r>
                  <w:r>
                    <w:rPr>
                      <w:rFonts w:hint="default"/>
                      <w:color w:val="auto"/>
                      <w:sz w:val="21"/>
                      <w:szCs w:val="21"/>
                      <w:highlight w:val="none"/>
                      <w:lang w:eastAsia="zh-CN"/>
                    </w:rPr>
                    <w:t>）</w:t>
                  </w:r>
                </w:p>
              </w:tc>
              <w:tc>
                <w:tcPr>
                  <w:tcW w:w="670" w:type="pct"/>
                  <w:tcBorders>
                    <w:tl2br w:val="nil"/>
                    <w:tr2bl w:val="nil"/>
                  </w:tcBorders>
                  <w:noWrap w:val="0"/>
                  <w:vAlign w:val="center"/>
                </w:tcPr>
                <w:p w14:paraId="6714A6CD">
                  <w:pPr>
                    <w:keepNext w:val="0"/>
                    <w:keepLines w:val="0"/>
                    <w:pageBreakBefore w:val="0"/>
                    <w:kinsoku/>
                    <w:wordWrap/>
                    <w:overflowPunct/>
                    <w:topLinePunct w:val="0"/>
                    <w:autoSpaceDE/>
                    <w:autoSpaceDN/>
                    <w:bidi w:val="0"/>
                    <w:adjustRightInd w:val="0"/>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30</w:t>
                  </w:r>
                </w:p>
              </w:tc>
              <w:tc>
                <w:tcPr>
                  <w:tcW w:w="539" w:type="pct"/>
                  <w:tcBorders>
                    <w:tl2br w:val="nil"/>
                    <w:tr2bl w:val="nil"/>
                  </w:tcBorders>
                  <w:noWrap w:val="0"/>
                  <w:vAlign w:val="center"/>
                </w:tcPr>
                <w:p w14:paraId="6A56B548">
                  <w:pPr>
                    <w:keepNext w:val="0"/>
                    <w:keepLines w:val="0"/>
                    <w:pageBreakBefore w:val="0"/>
                    <w:kinsoku/>
                    <w:wordWrap/>
                    <w:overflowPunct/>
                    <w:topLinePunct w:val="0"/>
                    <w:autoSpaceDE/>
                    <w:autoSpaceDN/>
                    <w:bidi w:val="0"/>
                    <w:adjustRightInd w:val="0"/>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35</w:t>
                  </w:r>
                </w:p>
              </w:tc>
              <w:tc>
                <w:tcPr>
                  <w:tcW w:w="670" w:type="pct"/>
                  <w:tcBorders>
                    <w:tl2br w:val="nil"/>
                    <w:tr2bl w:val="nil"/>
                  </w:tcBorders>
                  <w:noWrap w:val="0"/>
                  <w:vAlign w:val="center"/>
                </w:tcPr>
                <w:p w14:paraId="37860ED1">
                  <w:pPr>
                    <w:keepNext w:val="0"/>
                    <w:keepLines w:val="0"/>
                    <w:pageBreakBefore w:val="0"/>
                    <w:kinsoku/>
                    <w:wordWrap/>
                    <w:overflowPunct/>
                    <w:topLinePunct w:val="0"/>
                    <w:autoSpaceDE/>
                    <w:autoSpaceDN/>
                    <w:bidi w:val="0"/>
                    <w:adjustRightInd w:val="0"/>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85.71</w:t>
                  </w:r>
                </w:p>
              </w:tc>
              <w:tc>
                <w:tcPr>
                  <w:tcW w:w="635" w:type="pct"/>
                  <w:tcBorders>
                    <w:tl2br w:val="nil"/>
                    <w:tr2bl w:val="nil"/>
                  </w:tcBorders>
                  <w:noWrap w:val="0"/>
                  <w:vAlign w:val="center"/>
                </w:tcPr>
                <w:p w14:paraId="5A349068">
                  <w:pPr>
                    <w:keepNext w:val="0"/>
                    <w:keepLines w:val="0"/>
                    <w:pageBreakBefore w:val="0"/>
                    <w:kinsoku/>
                    <w:wordWrap/>
                    <w:overflowPunct/>
                    <w:topLinePunct w:val="0"/>
                    <w:autoSpaceDE/>
                    <w:autoSpaceDN/>
                    <w:bidi w:val="0"/>
                    <w:adjustRightInd w:val="0"/>
                    <w:snapToGrid/>
                    <w:spacing w:after="0"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w:t>
                  </w:r>
                </w:p>
              </w:tc>
              <w:tc>
                <w:tcPr>
                  <w:tcW w:w="651" w:type="pct"/>
                  <w:tcBorders>
                    <w:tl2br w:val="nil"/>
                    <w:tr2bl w:val="nil"/>
                  </w:tcBorders>
                  <w:noWrap w:val="0"/>
                  <w:vAlign w:val="center"/>
                </w:tcPr>
                <w:p w14:paraId="32A6759E">
                  <w:pPr>
                    <w:keepNext w:val="0"/>
                    <w:keepLines w:val="0"/>
                    <w:pageBreakBefore w:val="0"/>
                    <w:kinsoku/>
                    <w:wordWrap/>
                    <w:overflowPunct/>
                    <w:topLinePunct w:val="0"/>
                    <w:autoSpaceDE/>
                    <w:autoSpaceDN/>
                    <w:bidi w:val="0"/>
                    <w:adjustRightInd w:val="0"/>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达标</w:t>
                  </w:r>
                </w:p>
              </w:tc>
            </w:tr>
            <w:tr w14:paraId="6BD8FB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833" w:type="pct"/>
                  <w:tcBorders>
                    <w:tl2br w:val="nil"/>
                    <w:tr2bl w:val="nil"/>
                  </w:tcBorders>
                  <w:noWrap w:val="0"/>
                  <w:vAlign w:val="center"/>
                </w:tcPr>
                <w:p w14:paraId="1F27BDA8">
                  <w:pPr>
                    <w:keepNext w:val="0"/>
                    <w:keepLines w:val="0"/>
                    <w:pageBreakBefore w:val="0"/>
                    <w:kinsoku/>
                    <w:wordWrap/>
                    <w:overflowPunct/>
                    <w:topLinePunct w:val="0"/>
                    <w:autoSpaceDE/>
                    <w:autoSpaceDN/>
                    <w:bidi w:val="0"/>
                    <w:adjustRightInd w:val="0"/>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SO</w:t>
                  </w:r>
                  <w:r>
                    <w:rPr>
                      <w:rFonts w:hint="default" w:ascii="Times New Roman" w:hAnsi="Times New Roman" w:eastAsia="宋体" w:cs="Times New Roman"/>
                      <w:b w:val="0"/>
                      <w:bCs w:val="0"/>
                      <w:color w:val="auto"/>
                      <w:sz w:val="21"/>
                      <w:szCs w:val="21"/>
                      <w:highlight w:val="none"/>
                      <w:vertAlign w:val="subscript"/>
                    </w:rPr>
                    <w:t>2</w:t>
                  </w:r>
                  <w:r>
                    <w:rPr>
                      <w:rFonts w:hint="default"/>
                      <w:color w:val="auto"/>
                      <w:sz w:val="21"/>
                      <w:szCs w:val="21"/>
                      <w:highlight w:val="none"/>
                      <w:lang w:eastAsia="zh-CN"/>
                    </w:rPr>
                    <w:t>（年均值</w:t>
                  </w:r>
                  <w:r>
                    <w:rPr>
                      <w:rFonts w:hint="default"/>
                      <w:color w:val="auto"/>
                      <w:sz w:val="21"/>
                      <w:szCs w:val="21"/>
                      <w:highlight w:val="none"/>
                      <w:lang w:val="en-US" w:eastAsia="zh-CN"/>
                    </w:rPr>
                    <w:t>μg/m</w:t>
                  </w:r>
                  <w:r>
                    <w:rPr>
                      <w:rFonts w:hint="default"/>
                      <w:color w:val="auto"/>
                      <w:sz w:val="21"/>
                      <w:szCs w:val="21"/>
                      <w:highlight w:val="none"/>
                      <w:vertAlign w:val="superscript"/>
                      <w:lang w:val="en-US" w:eastAsia="zh-CN"/>
                    </w:rPr>
                    <w:t>3</w:t>
                  </w:r>
                  <w:r>
                    <w:rPr>
                      <w:rFonts w:hint="default"/>
                      <w:color w:val="auto"/>
                      <w:sz w:val="21"/>
                      <w:szCs w:val="21"/>
                      <w:highlight w:val="none"/>
                      <w:lang w:eastAsia="zh-CN"/>
                    </w:rPr>
                    <w:t>）</w:t>
                  </w:r>
                </w:p>
              </w:tc>
              <w:tc>
                <w:tcPr>
                  <w:tcW w:w="670" w:type="pct"/>
                  <w:tcBorders>
                    <w:tl2br w:val="nil"/>
                    <w:tr2bl w:val="nil"/>
                  </w:tcBorders>
                  <w:noWrap w:val="0"/>
                  <w:vAlign w:val="center"/>
                </w:tcPr>
                <w:p w14:paraId="17EB8096">
                  <w:pPr>
                    <w:keepNext w:val="0"/>
                    <w:keepLines w:val="0"/>
                    <w:pageBreakBefore w:val="0"/>
                    <w:kinsoku/>
                    <w:wordWrap/>
                    <w:overflowPunct/>
                    <w:topLinePunct w:val="0"/>
                    <w:autoSpaceDE/>
                    <w:autoSpaceDN/>
                    <w:bidi w:val="0"/>
                    <w:adjustRightInd w:val="0"/>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17</w:t>
                  </w:r>
                </w:p>
              </w:tc>
              <w:tc>
                <w:tcPr>
                  <w:tcW w:w="539" w:type="pct"/>
                  <w:tcBorders>
                    <w:tl2br w:val="nil"/>
                    <w:tr2bl w:val="nil"/>
                  </w:tcBorders>
                  <w:noWrap w:val="0"/>
                  <w:vAlign w:val="center"/>
                </w:tcPr>
                <w:p w14:paraId="567365CA">
                  <w:pPr>
                    <w:keepNext w:val="0"/>
                    <w:keepLines w:val="0"/>
                    <w:pageBreakBefore w:val="0"/>
                    <w:kinsoku/>
                    <w:wordWrap/>
                    <w:overflowPunct/>
                    <w:topLinePunct w:val="0"/>
                    <w:autoSpaceDE/>
                    <w:autoSpaceDN/>
                    <w:bidi w:val="0"/>
                    <w:adjustRightInd w:val="0"/>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60</w:t>
                  </w:r>
                </w:p>
              </w:tc>
              <w:tc>
                <w:tcPr>
                  <w:tcW w:w="670" w:type="pct"/>
                  <w:tcBorders>
                    <w:tl2br w:val="nil"/>
                    <w:tr2bl w:val="nil"/>
                  </w:tcBorders>
                  <w:noWrap w:val="0"/>
                  <w:vAlign w:val="center"/>
                </w:tcPr>
                <w:p w14:paraId="6884AC73">
                  <w:pPr>
                    <w:keepNext w:val="0"/>
                    <w:keepLines w:val="0"/>
                    <w:pageBreakBefore w:val="0"/>
                    <w:kinsoku/>
                    <w:wordWrap/>
                    <w:overflowPunct/>
                    <w:topLinePunct w:val="0"/>
                    <w:autoSpaceDE/>
                    <w:autoSpaceDN/>
                    <w:bidi w:val="0"/>
                    <w:adjustRightInd w:val="0"/>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28.33</w:t>
                  </w:r>
                </w:p>
              </w:tc>
              <w:tc>
                <w:tcPr>
                  <w:tcW w:w="635" w:type="pct"/>
                  <w:tcBorders>
                    <w:tl2br w:val="nil"/>
                    <w:tr2bl w:val="nil"/>
                  </w:tcBorders>
                  <w:noWrap w:val="0"/>
                  <w:vAlign w:val="center"/>
                </w:tcPr>
                <w:p w14:paraId="4D8545E5">
                  <w:pPr>
                    <w:keepNext w:val="0"/>
                    <w:keepLines w:val="0"/>
                    <w:pageBreakBefore w:val="0"/>
                    <w:kinsoku/>
                    <w:wordWrap/>
                    <w:overflowPunct/>
                    <w:topLinePunct w:val="0"/>
                    <w:autoSpaceDE/>
                    <w:autoSpaceDN/>
                    <w:bidi w:val="0"/>
                    <w:adjustRightInd w:val="0"/>
                    <w:snapToGrid/>
                    <w:spacing w:after="0"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w:t>
                  </w:r>
                </w:p>
              </w:tc>
              <w:tc>
                <w:tcPr>
                  <w:tcW w:w="651" w:type="pct"/>
                  <w:tcBorders>
                    <w:tl2br w:val="nil"/>
                    <w:tr2bl w:val="nil"/>
                  </w:tcBorders>
                  <w:noWrap w:val="0"/>
                  <w:vAlign w:val="center"/>
                </w:tcPr>
                <w:p w14:paraId="1AB35611">
                  <w:pPr>
                    <w:keepNext w:val="0"/>
                    <w:keepLines w:val="0"/>
                    <w:pageBreakBefore w:val="0"/>
                    <w:kinsoku/>
                    <w:wordWrap/>
                    <w:overflowPunct/>
                    <w:topLinePunct w:val="0"/>
                    <w:autoSpaceDE/>
                    <w:autoSpaceDN/>
                    <w:bidi w:val="0"/>
                    <w:adjustRightInd w:val="0"/>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达标</w:t>
                  </w:r>
                </w:p>
              </w:tc>
            </w:tr>
            <w:tr w14:paraId="198098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833" w:type="pct"/>
                  <w:tcBorders>
                    <w:tl2br w:val="nil"/>
                    <w:tr2bl w:val="nil"/>
                  </w:tcBorders>
                  <w:noWrap w:val="0"/>
                  <w:vAlign w:val="center"/>
                </w:tcPr>
                <w:p w14:paraId="2041CB7B">
                  <w:pPr>
                    <w:keepNext w:val="0"/>
                    <w:keepLines w:val="0"/>
                    <w:pageBreakBefore w:val="0"/>
                    <w:kinsoku/>
                    <w:wordWrap/>
                    <w:overflowPunct/>
                    <w:topLinePunct w:val="0"/>
                    <w:autoSpaceDE/>
                    <w:autoSpaceDN/>
                    <w:bidi w:val="0"/>
                    <w:adjustRightInd w:val="0"/>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NO</w:t>
                  </w:r>
                  <w:r>
                    <w:rPr>
                      <w:rFonts w:hint="default" w:ascii="Times New Roman" w:hAnsi="Times New Roman" w:eastAsia="宋体" w:cs="Times New Roman"/>
                      <w:b w:val="0"/>
                      <w:bCs w:val="0"/>
                      <w:color w:val="auto"/>
                      <w:sz w:val="21"/>
                      <w:szCs w:val="21"/>
                      <w:highlight w:val="none"/>
                      <w:vertAlign w:val="subscript"/>
                    </w:rPr>
                    <w:t>2</w:t>
                  </w:r>
                  <w:r>
                    <w:rPr>
                      <w:rFonts w:hint="default"/>
                      <w:color w:val="auto"/>
                      <w:sz w:val="21"/>
                      <w:szCs w:val="21"/>
                      <w:highlight w:val="none"/>
                      <w:lang w:eastAsia="zh-CN"/>
                    </w:rPr>
                    <w:t>（年均值</w:t>
                  </w:r>
                  <w:r>
                    <w:rPr>
                      <w:rFonts w:hint="default"/>
                      <w:color w:val="auto"/>
                      <w:sz w:val="21"/>
                      <w:szCs w:val="21"/>
                      <w:highlight w:val="none"/>
                      <w:lang w:val="en-US" w:eastAsia="zh-CN"/>
                    </w:rPr>
                    <w:t>μg/m</w:t>
                  </w:r>
                  <w:r>
                    <w:rPr>
                      <w:rFonts w:hint="default"/>
                      <w:color w:val="auto"/>
                      <w:sz w:val="21"/>
                      <w:szCs w:val="21"/>
                      <w:highlight w:val="none"/>
                      <w:vertAlign w:val="superscript"/>
                      <w:lang w:val="en-US" w:eastAsia="zh-CN"/>
                    </w:rPr>
                    <w:t>3</w:t>
                  </w:r>
                  <w:r>
                    <w:rPr>
                      <w:rFonts w:hint="default"/>
                      <w:color w:val="auto"/>
                      <w:sz w:val="21"/>
                      <w:szCs w:val="21"/>
                      <w:highlight w:val="none"/>
                      <w:lang w:eastAsia="zh-CN"/>
                    </w:rPr>
                    <w:t>）</w:t>
                  </w:r>
                </w:p>
              </w:tc>
              <w:tc>
                <w:tcPr>
                  <w:tcW w:w="670" w:type="pct"/>
                  <w:tcBorders>
                    <w:tl2br w:val="nil"/>
                    <w:tr2bl w:val="nil"/>
                  </w:tcBorders>
                  <w:noWrap w:val="0"/>
                  <w:vAlign w:val="center"/>
                </w:tcPr>
                <w:p w14:paraId="2989A5FC">
                  <w:pPr>
                    <w:keepNext w:val="0"/>
                    <w:keepLines w:val="0"/>
                    <w:pageBreakBefore w:val="0"/>
                    <w:kinsoku/>
                    <w:wordWrap/>
                    <w:overflowPunct/>
                    <w:topLinePunct w:val="0"/>
                    <w:autoSpaceDE/>
                    <w:autoSpaceDN/>
                    <w:bidi w:val="0"/>
                    <w:adjustRightInd w:val="0"/>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35</w:t>
                  </w:r>
                </w:p>
              </w:tc>
              <w:tc>
                <w:tcPr>
                  <w:tcW w:w="539" w:type="pct"/>
                  <w:tcBorders>
                    <w:tl2br w:val="nil"/>
                    <w:tr2bl w:val="nil"/>
                  </w:tcBorders>
                  <w:noWrap w:val="0"/>
                  <w:vAlign w:val="center"/>
                </w:tcPr>
                <w:p w14:paraId="40238B3E">
                  <w:pPr>
                    <w:keepNext w:val="0"/>
                    <w:keepLines w:val="0"/>
                    <w:pageBreakBefore w:val="0"/>
                    <w:kinsoku/>
                    <w:wordWrap/>
                    <w:overflowPunct/>
                    <w:topLinePunct w:val="0"/>
                    <w:autoSpaceDE/>
                    <w:autoSpaceDN/>
                    <w:bidi w:val="0"/>
                    <w:adjustRightInd w:val="0"/>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40</w:t>
                  </w:r>
                </w:p>
              </w:tc>
              <w:tc>
                <w:tcPr>
                  <w:tcW w:w="670" w:type="pct"/>
                  <w:tcBorders>
                    <w:tl2br w:val="nil"/>
                    <w:tr2bl w:val="nil"/>
                  </w:tcBorders>
                  <w:noWrap w:val="0"/>
                  <w:vAlign w:val="center"/>
                </w:tcPr>
                <w:p w14:paraId="4C720477">
                  <w:pPr>
                    <w:keepNext w:val="0"/>
                    <w:keepLines w:val="0"/>
                    <w:pageBreakBefore w:val="0"/>
                    <w:kinsoku/>
                    <w:wordWrap/>
                    <w:overflowPunct/>
                    <w:topLinePunct w:val="0"/>
                    <w:autoSpaceDE/>
                    <w:autoSpaceDN/>
                    <w:bidi w:val="0"/>
                    <w:adjustRightInd w:val="0"/>
                    <w:snapToGrid/>
                    <w:spacing w:after="0"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87.5</w:t>
                  </w:r>
                  <w:r>
                    <w:rPr>
                      <w:rFonts w:hint="eastAsia" w:ascii="Times New Roman" w:hAnsi="Times New Roman" w:eastAsia="宋体" w:cs="Times New Roman"/>
                      <w:b w:val="0"/>
                      <w:bCs w:val="0"/>
                      <w:color w:val="auto"/>
                      <w:sz w:val="21"/>
                      <w:szCs w:val="21"/>
                      <w:highlight w:val="none"/>
                      <w:lang w:val="en-US" w:eastAsia="zh-CN"/>
                    </w:rPr>
                    <w:t>0</w:t>
                  </w:r>
                </w:p>
              </w:tc>
              <w:tc>
                <w:tcPr>
                  <w:tcW w:w="635" w:type="pct"/>
                  <w:tcBorders>
                    <w:tl2br w:val="nil"/>
                    <w:tr2bl w:val="nil"/>
                  </w:tcBorders>
                  <w:noWrap w:val="0"/>
                  <w:vAlign w:val="center"/>
                </w:tcPr>
                <w:p w14:paraId="6FFDC4BD">
                  <w:pPr>
                    <w:keepNext w:val="0"/>
                    <w:keepLines w:val="0"/>
                    <w:pageBreakBefore w:val="0"/>
                    <w:kinsoku/>
                    <w:wordWrap/>
                    <w:overflowPunct/>
                    <w:topLinePunct w:val="0"/>
                    <w:autoSpaceDE/>
                    <w:autoSpaceDN/>
                    <w:bidi w:val="0"/>
                    <w:adjustRightInd w:val="0"/>
                    <w:snapToGrid/>
                    <w:spacing w:after="0"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w:t>
                  </w:r>
                </w:p>
              </w:tc>
              <w:tc>
                <w:tcPr>
                  <w:tcW w:w="651" w:type="pct"/>
                  <w:tcBorders>
                    <w:tl2br w:val="nil"/>
                    <w:tr2bl w:val="nil"/>
                  </w:tcBorders>
                  <w:noWrap w:val="0"/>
                  <w:vAlign w:val="center"/>
                </w:tcPr>
                <w:p w14:paraId="7F0E8582">
                  <w:pPr>
                    <w:keepNext w:val="0"/>
                    <w:keepLines w:val="0"/>
                    <w:pageBreakBefore w:val="0"/>
                    <w:kinsoku/>
                    <w:wordWrap/>
                    <w:overflowPunct/>
                    <w:topLinePunct w:val="0"/>
                    <w:autoSpaceDE/>
                    <w:autoSpaceDN/>
                    <w:bidi w:val="0"/>
                    <w:adjustRightInd w:val="0"/>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达标</w:t>
                  </w:r>
                </w:p>
              </w:tc>
            </w:tr>
            <w:tr w14:paraId="1609F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833" w:type="pct"/>
                  <w:tcBorders>
                    <w:tl2br w:val="nil"/>
                    <w:tr2bl w:val="nil"/>
                  </w:tcBorders>
                  <w:noWrap w:val="0"/>
                  <w:vAlign w:val="center"/>
                </w:tcPr>
                <w:p w14:paraId="4E54DE4C">
                  <w:pPr>
                    <w:keepNext w:val="0"/>
                    <w:keepLines w:val="0"/>
                    <w:pageBreakBefore w:val="0"/>
                    <w:kinsoku/>
                    <w:wordWrap/>
                    <w:overflowPunct/>
                    <w:topLinePunct w:val="0"/>
                    <w:autoSpaceDE/>
                    <w:autoSpaceDN/>
                    <w:bidi w:val="0"/>
                    <w:adjustRightInd w:val="0"/>
                    <w:snapToGrid/>
                    <w:spacing w:after="0"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CO</w:t>
                  </w:r>
                  <w:r>
                    <w:rPr>
                      <w:rFonts w:hint="default"/>
                      <w:color w:val="auto"/>
                      <w:sz w:val="21"/>
                      <w:szCs w:val="21"/>
                      <w:highlight w:val="none"/>
                      <w:lang w:eastAsia="zh-CN"/>
                    </w:rPr>
                    <w:t>（</w:t>
                  </w:r>
                  <w:r>
                    <w:rPr>
                      <w:rFonts w:hint="eastAsia"/>
                      <w:color w:val="auto"/>
                      <w:sz w:val="21"/>
                      <w:szCs w:val="21"/>
                      <w:highlight w:val="none"/>
                      <w:lang w:val="en-US" w:eastAsia="zh-CN"/>
                    </w:rPr>
                    <w:t>第95百分位浓度m</w:t>
                  </w:r>
                  <w:r>
                    <w:rPr>
                      <w:rFonts w:hint="default"/>
                      <w:color w:val="auto"/>
                      <w:sz w:val="21"/>
                      <w:szCs w:val="21"/>
                      <w:highlight w:val="none"/>
                      <w:lang w:val="en-US" w:eastAsia="zh-CN"/>
                    </w:rPr>
                    <w:t>g/m</w:t>
                  </w:r>
                  <w:r>
                    <w:rPr>
                      <w:rFonts w:hint="default"/>
                      <w:color w:val="auto"/>
                      <w:sz w:val="21"/>
                      <w:szCs w:val="21"/>
                      <w:highlight w:val="none"/>
                      <w:vertAlign w:val="superscript"/>
                      <w:lang w:val="en-US" w:eastAsia="zh-CN"/>
                    </w:rPr>
                    <w:t>3</w:t>
                  </w:r>
                  <w:r>
                    <w:rPr>
                      <w:rFonts w:hint="default"/>
                      <w:color w:val="auto"/>
                      <w:sz w:val="21"/>
                      <w:szCs w:val="21"/>
                      <w:highlight w:val="none"/>
                      <w:lang w:eastAsia="zh-CN"/>
                    </w:rPr>
                    <w:t>）</w:t>
                  </w:r>
                </w:p>
              </w:tc>
              <w:tc>
                <w:tcPr>
                  <w:tcW w:w="670" w:type="pct"/>
                  <w:tcBorders>
                    <w:tl2br w:val="nil"/>
                    <w:tr2bl w:val="nil"/>
                  </w:tcBorders>
                  <w:noWrap w:val="0"/>
                  <w:vAlign w:val="center"/>
                </w:tcPr>
                <w:p w14:paraId="253439EC">
                  <w:pPr>
                    <w:keepNext w:val="0"/>
                    <w:keepLines w:val="0"/>
                    <w:pageBreakBefore w:val="0"/>
                    <w:kinsoku/>
                    <w:wordWrap/>
                    <w:overflowPunct/>
                    <w:topLinePunct w:val="0"/>
                    <w:autoSpaceDE/>
                    <w:autoSpaceDN/>
                    <w:bidi w:val="0"/>
                    <w:adjustRightInd w:val="0"/>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1.4</w:t>
                  </w:r>
                </w:p>
              </w:tc>
              <w:tc>
                <w:tcPr>
                  <w:tcW w:w="539" w:type="pct"/>
                  <w:tcBorders>
                    <w:tl2br w:val="nil"/>
                    <w:tr2bl w:val="nil"/>
                  </w:tcBorders>
                  <w:noWrap w:val="0"/>
                  <w:vAlign w:val="center"/>
                </w:tcPr>
                <w:p w14:paraId="677FDC90">
                  <w:pPr>
                    <w:keepNext w:val="0"/>
                    <w:keepLines w:val="0"/>
                    <w:pageBreakBefore w:val="0"/>
                    <w:kinsoku/>
                    <w:wordWrap/>
                    <w:overflowPunct/>
                    <w:topLinePunct w:val="0"/>
                    <w:autoSpaceDE/>
                    <w:autoSpaceDN/>
                    <w:bidi w:val="0"/>
                    <w:adjustRightInd w:val="0"/>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4</w:t>
                  </w:r>
                </w:p>
              </w:tc>
              <w:tc>
                <w:tcPr>
                  <w:tcW w:w="670" w:type="pct"/>
                  <w:tcBorders>
                    <w:tl2br w:val="nil"/>
                    <w:tr2bl w:val="nil"/>
                  </w:tcBorders>
                  <w:noWrap w:val="0"/>
                  <w:vAlign w:val="center"/>
                </w:tcPr>
                <w:p w14:paraId="287C8AB8">
                  <w:pPr>
                    <w:keepNext w:val="0"/>
                    <w:keepLines w:val="0"/>
                    <w:pageBreakBefore w:val="0"/>
                    <w:kinsoku/>
                    <w:wordWrap/>
                    <w:overflowPunct/>
                    <w:topLinePunct w:val="0"/>
                    <w:autoSpaceDE/>
                    <w:autoSpaceDN/>
                    <w:bidi w:val="0"/>
                    <w:adjustRightInd w:val="0"/>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35</w:t>
                  </w:r>
                  <w:r>
                    <w:rPr>
                      <w:rFonts w:hint="eastAsia" w:ascii="Times New Roman" w:hAnsi="Times New Roman" w:eastAsia="宋体" w:cs="Times New Roman"/>
                      <w:b w:val="0"/>
                      <w:bCs w:val="0"/>
                      <w:color w:val="auto"/>
                      <w:sz w:val="21"/>
                      <w:szCs w:val="21"/>
                      <w:highlight w:val="none"/>
                      <w:lang w:val="en-US" w:eastAsia="zh-CN"/>
                    </w:rPr>
                    <w:t>.00</w:t>
                  </w:r>
                </w:p>
              </w:tc>
              <w:tc>
                <w:tcPr>
                  <w:tcW w:w="635" w:type="pct"/>
                  <w:tcBorders>
                    <w:tl2br w:val="nil"/>
                    <w:tr2bl w:val="nil"/>
                  </w:tcBorders>
                  <w:noWrap w:val="0"/>
                  <w:vAlign w:val="center"/>
                </w:tcPr>
                <w:p w14:paraId="30D29A3B">
                  <w:pPr>
                    <w:keepNext w:val="0"/>
                    <w:keepLines w:val="0"/>
                    <w:pageBreakBefore w:val="0"/>
                    <w:kinsoku/>
                    <w:wordWrap/>
                    <w:overflowPunct/>
                    <w:topLinePunct w:val="0"/>
                    <w:autoSpaceDE/>
                    <w:autoSpaceDN/>
                    <w:bidi w:val="0"/>
                    <w:adjustRightInd w:val="0"/>
                    <w:snapToGrid/>
                    <w:spacing w:after="0"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w:t>
                  </w:r>
                </w:p>
              </w:tc>
              <w:tc>
                <w:tcPr>
                  <w:tcW w:w="651" w:type="pct"/>
                  <w:tcBorders>
                    <w:tl2br w:val="nil"/>
                    <w:tr2bl w:val="nil"/>
                  </w:tcBorders>
                  <w:noWrap w:val="0"/>
                  <w:vAlign w:val="center"/>
                </w:tcPr>
                <w:p w14:paraId="3015F915">
                  <w:pPr>
                    <w:keepNext w:val="0"/>
                    <w:keepLines w:val="0"/>
                    <w:pageBreakBefore w:val="0"/>
                    <w:kinsoku/>
                    <w:wordWrap/>
                    <w:overflowPunct/>
                    <w:topLinePunct w:val="0"/>
                    <w:autoSpaceDE/>
                    <w:autoSpaceDN/>
                    <w:bidi w:val="0"/>
                    <w:adjustRightInd w:val="0"/>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达标</w:t>
                  </w:r>
                </w:p>
              </w:tc>
            </w:tr>
            <w:tr w14:paraId="34B691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833" w:type="pct"/>
                  <w:tcBorders>
                    <w:tl2br w:val="nil"/>
                    <w:tr2bl w:val="nil"/>
                  </w:tcBorders>
                  <w:noWrap w:val="0"/>
                  <w:vAlign w:val="center"/>
                </w:tcPr>
                <w:p w14:paraId="79BBF652">
                  <w:pPr>
                    <w:keepNext w:val="0"/>
                    <w:keepLines w:val="0"/>
                    <w:pageBreakBefore w:val="0"/>
                    <w:kinsoku/>
                    <w:wordWrap/>
                    <w:overflowPunct/>
                    <w:topLinePunct w:val="0"/>
                    <w:autoSpaceDE/>
                    <w:autoSpaceDN/>
                    <w:bidi w:val="0"/>
                    <w:adjustRightInd w:val="0"/>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O</w:t>
                  </w:r>
                  <w:r>
                    <w:rPr>
                      <w:rFonts w:hint="default" w:ascii="Times New Roman" w:hAnsi="Times New Roman" w:eastAsia="宋体" w:cs="Times New Roman"/>
                      <w:b w:val="0"/>
                      <w:bCs w:val="0"/>
                      <w:color w:val="auto"/>
                      <w:sz w:val="21"/>
                      <w:szCs w:val="21"/>
                      <w:highlight w:val="none"/>
                      <w:vertAlign w:val="subscript"/>
                    </w:rPr>
                    <w:t>3</w:t>
                  </w:r>
                  <w:r>
                    <w:rPr>
                      <w:rFonts w:hint="default"/>
                      <w:color w:val="auto"/>
                      <w:sz w:val="21"/>
                      <w:szCs w:val="21"/>
                      <w:highlight w:val="none"/>
                      <w:lang w:eastAsia="zh-CN"/>
                    </w:rPr>
                    <w:t>（</w:t>
                  </w:r>
                  <w:r>
                    <w:rPr>
                      <w:rFonts w:hint="eastAsia"/>
                      <w:color w:val="auto"/>
                      <w:sz w:val="21"/>
                      <w:szCs w:val="21"/>
                      <w:highlight w:val="none"/>
                      <w:lang w:val="en-US" w:eastAsia="zh-CN"/>
                    </w:rPr>
                    <w:t>第90百分位浓度</w:t>
                  </w:r>
                  <w:r>
                    <w:rPr>
                      <w:rFonts w:hint="default"/>
                      <w:color w:val="auto"/>
                      <w:sz w:val="21"/>
                      <w:szCs w:val="21"/>
                      <w:highlight w:val="none"/>
                      <w:lang w:val="en-US" w:eastAsia="zh-CN"/>
                    </w:rPr>
                    <w:t>μg/m</w:t>
                  </w:r>
                  <w:r>
                    <w:rPr>
                      <w:rFonts w:hint="default"/>
                      <w:color w:val="auto"/>
                      <w:sz w:val="21"/>
                      <w:szCs w:val="21"/>
                      <w:highlight w:val="none"/>
                      <w:vertAlign w:val="superscript"/>
                      <w:lang w:val="en-US" w:eastAsia="zh-CN"/>
                    </w:rPr>
                    <w:t>3</w:t>
                  </w:r>
                  <w:r>
                    <w:rPr>
                      <w:rFonts w:hint="default"/>
                      <w:color w:val="auto"/>
                      <w:sz w:val="21"/>
                      <w:szCs w:val="21"/>
                      <w:highlight w:val="none"/>
                      <w:lang w:eastAsia="zh-CN"/>
                    </w:rPr>
                    <w:t>）</w:t>
                  </w:r>
                </w:p>
              </w:tc>
              <w:tc>
                <w:tcPr>
                  <w:tcW w:w="670" w:type="pct"/>
                  <w:tcBorders>
                    <w:tl2br w:val="nil"/>
                    <w:tr2bl w:val="nil"/>
                  </w:tcBorders>
                  <w:noWrap w:val="0"/>
                  <w:vAlign w:val="center"/>
                </w:tcPr>
                <w:p w14:paraId="54801EAF">
                  <w:pPr>
                    <w:keepNext w:val="0"/>
                    <w:keepLines w:val="0"/>
                    <w:pageBreakBefore w:val="0"/>
                    <w:kinsoku/>
                    <w:wordWrap/>
                    <w:overflowPunct/>
                    <w:topLinePunct w:val="0"/>
                    <w:autoSpaceDE/>
                    <w:autoSpaceDN/>
                    <w:bidi w:val="0"/>
                    <w:adjustRightInd w:val="0"/>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158</w:t>
                  </w:r>
                </w:p>
              </w:tc>
              <w:tc>
                <w:tcPr>
                  <w:tcW w:w="539" w:type="pct"/>
                  <w:tcBorders>
                    <w:tl2br w:val="nil"/>
                    <w:tr2bl w:val="nil"/>
                  </w:tcBorders>
                  <w:noWrap w:val="0"/>
                  <w:vAlign w:val="center"/>
                </w:tcPr>
                <w:p w14:paraId="51C4D22E">
                  <w:pPr>
                    <w:keepNext w:val="0"/>
                    <w:keepLines w:val="0"/>
                    <w:pageBreakBefore w:val="0"/>
                    <w:kinsoku/>
                    <w:wordWrap/>
                    <w:overflowPunct/>
                    <w:topLinePunct w:val="0"/>
                    <w:autoSpaceDE/>
                    <w:autoSpaceDN/>
                    <w:bidi w:val="0"/>
                    <w:adjustRightInd w:val="0"/>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160</w:t>
                  </w:r>
                </w:p>
              </w:tc>
              <w:tc>
                <w:tcPr>
                  <w:tcW w:w="670" w:type="pct"/>
                  <w:tcBorders>
                    <w:tl2br w:val="nil"/>
                    <w:tr2bl w:val="nil"/>
                  </w:tcBorders>
                  <w:noWrap w:val="0"/>
                  <w:vAlign w:val="center"/>
                </w:tcPr>
                <w:p w14:paraId="18598303">
                  <w:pPr>
                    <w:keepNext w:val="0"/>
                    <w:keepLines w:val="0"/>
                    <w:pageBreakBefore w:val="0"/>
                    <w:kinsoku/>
                    <w:wordWrap/>
                    <w:overflowPunct/>
                    <w:topLinePunct w:val="0"/>
                    <w:autoSpaceDE/>
                    <w:autoSpaceDN/>
                    <w:bidi w:val="0"/>
                    <w:adjustRightInd w:val="0"/>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98.75</w:t>
                  </w:r>
                </w:p>
              </w:tc>
              <w:tc>
                <w:tcPr>
                  <w:tcW w:w="635" w:type="pct"/>
                  <w:tcBorders>
                    <w:tl2br w:val="nil"/>
                    <w:tr2bl w:val="nil"/>
                  </w:tcBorders>
                  <w:noWrap w:val="0"/>
                  <w:vAlign w:val="center"/>
                </w:tcPr>
                <w:p w14:paraId="7289DEE8">
                  <w:pPr>
                    <w:keepNext w:val="0"/>
                    <w:keepLines w:val="0"/>
                    <w:pageBreakBefore w:val="0"/>
                    <w:kinsoku/>
                    <w:wordWrap/>
                    <w:overflowPunct/>
                    <w:topLinePunct w:val="0"/>
                    <w:autoSpaceDE/>
                    <w:autoSpaceDN/>
                    <w:bidi w:val="0"/>
                    <w:adjustRightInd w:val="0"/>
                    <w:snapToGrid/>
                    <w:spacing w:after="0"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w:t>
                  </w:r>
                </w:p>
              </w:tc>
              <w:tc>
                <w:tcPr>
                  <w:tcW w:w="651" w:type="pct"/>
                  <w:tcBorders>
                    <w:tl2br w:val="nil"/>
                    <w:tr2bl w:val="nil"/>
                  </w:tcBorders>
                  <w:noWrap w:val="0"/>
                  <w:vAlign w:val="center"/>
                </w:tcPr>
                <w:p w14:paraId="023ECA07">
                  <w:pPr>
                    <w:keepNext w:val="0"/>
                    <w:keepLines w:val="0"/>
                    <w:pageBreakBefore w:val="0"/>
                    <w:kinsoku/>
                    <w:wordWrap/>
                    <w:overflowPunct/>
                    <w:topLinePunct w:val="0"/>
                    <w:autoSpaceDE/>
                    <w:autoSpaceDN/>
                    <w:bidi w:val="0"/>
                    <w:adjustRightInd w:val="0"/>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达标</w:t>
                  </w:r>
                </w:p>
              </w:tc>
            </w:tr>
            <w:bookmarkEnd w:id="35"/>
          </w:tbl>
          <w:p w14:paraId="11A4DFA1">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jc w:val="both"/>
              <w:textAlignment w:val="auto"/>
              <w:rPr>
                <w:color w:val="auto"/>
                <w:sz w:val="24"/>
                <w:highlight w:val="none"/>
              </w:rPr>
            </w:pPr>
            <w:r>
              <w:rPr>
                <w:color w:val="auto"/>
                <w:sz w:val="24"/>
                <w:highlight w:val="none"/>
              </w:rPr>
              <w:t>由上表可知，项目所在区域PM</w:t>
            </w:r>
            <w:r>
              <w:rPr>
                <w:color w:val="auto"/>
                <w:sz w:val="24"/>
                <w:highlight w:val="none"/>
                <w:vertAlign w:val="subscript"/>
              </w:rPr>
              <w:t>10</w:t>
            </w:r>
            <w:r>
              <w:rPr>
                <w:color w:val="auto"/>
                <w:sz w:val="24"/>
                <w:highlight w:val="none"/>
              </w:rPr>
              <w:t>、PM</w:t>
            </w:r>
            <w:r>
              <w:rPr>
                <w:color w:val="auto"/>
                <w:sz w:val="24"/>
                <w:highlight w:val="none"/>
                <w:vertAlign w:val="subscript"/>
              </w:rPr>
              <w:t>2.5</w:t>
            </w:r>
            <w:r>
              <w:rPr>
                <w:color w:val="auto"/>
                <w:sz w:val="24"/>
                <w:highlight w:val="none"/>
              </w:rPr>
              <w:t>、NO</w:t>
            </w:r>
            <w:r>
              <w:rPr>
                <w:color w:val="auto"/>
                <w:sz w:val="24"/>
                <w:highlight w:val="none"/>
                <w:vertAlign w:val="subscript"/>
              </w:rPr>
              <w:t>2</w:t>
            </w:r>
            <w:r>
              <w:rPr>
                <w:color w:val="auto"/>
                <w:sz w:val="24"/>
                <w:highlight w:val="none"/>
              </w:rPr>
              <w:t>、SO</w:t>
            </w:r>
            <w:r>
              <w:rPr>
                <w:color w:val="auto"/>
                <w:sz w:val="24"/>
                <w:highlight w:val="none"/>
                <w:vertAlign w:val="subscript"/>
              </w:rPr>
              <w:t>2</w:t>
            </w:r>
            <w:r>
              <w:rPr>
                <w:color w:val="auto"/>
                <w:sz w:val="24"/>
                <w:highlight w:val="none"/>
              </w:rPr>
              <w:t>年平均质量浓度和CO第95百分位浓度、O</w:t>
            </w:r>
            <w:r>
              <w:rPr>
                <w:color w:val="auto"/>
                <w:sz w:val="24"/>
                <w:highlight w:val="none"/>
                <w:vertAlign w:val="subscript"/>
              </w:rPr>
              <w:t>3</w:t>
            </w:r>
            <w:r>
              <w:rPr>
                <w:color w:val="auto"/>
                <w:sz w:val="24"/>
                <w:highlight w:val="none"/>
              </w:rPr>
              <w:t>第90百分位浓度均满足《环境空气质量标准》（GB</w:t>
            </w:r>
            <w:r>
              <w:rPr>
                <w:rFonts w:hint="eastAsia"/>
                <w:color w:val="auto"/>
                <w:sz w:val="24"/>
                <w:highlight w:val="none"/>
                <w:lang w:val="en-US" w:eastAsia="zh-CN"/>
              </w:rPr>
              <w:t xml:space="preserve"> </w:t>
            </w:r>
            <w:r>
              <w:rPr>
                <w:color w:val="auto"/>
                <w:sz w:val="24"/>
                <w:highlight w:val="none"/>
              </w:rPr>
              <w:t>3095-2012）二级标准。</w:t>
            </w:r>
          </w:p>
          <w:p w14:paraId="1773FB99">
            <w:pPr>
              <w:pStyle w:val="41"/>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2、区域其他污染物环境质量现状</w:t>
            </w:r>
          </w:p>
          <w:p w14:paraId="6456B9E7">
            <w:pPr>
              <w:ind w:firstLine="480"/>
              <w:rPr>
                <w:rFonts w:hint="eastAsia"/>
                <w:color w:val="auto"/>
                <w:highlight w:val="none"/>
                <w:lang w:eastAsia="zh-CN"/>
              </w:rPr>
            </w:pPr>
            <w:r>
              <w:rPr>
                <w:rFonts w:hint="eastAsia"/>
                <w:color w:val="auto"/>
                <w:highlight w:val="none"/>
              </w:rPr>
              <w:t>为了解项目所在区域环境空气特征因子的质量现状，项目委托北京华成星科检测服务有限公司对现场进行监测，监测因子为TSP，监测时间为202</w:t>
            </w:r>
            <w:r>
              <w:rPr>
                <w:rFonts w:hint="eastAsia"/>
                <w:color w:val="auto"/>
                <w:highlight w:val="none"/>
                <w:lang w:val="en-US" w:eastAsia="zh-CN"/>
              </w:rPr>
              <w:t>4</w:t>
            </w:r>
            <w:r>
              <w:rPr>
                <w:rFonts w:hint="eastAsia"/>
                <w:color w:val="auto"/>
                <w:highlight w:val="none"/>
              </w:rPr>
              <w:t>年</w:t>
            </w:r>
            <w:r>
              <w:rPr>
                <w:rFonts w:hint="eastAsia"/>
                <w:color w:val="auto"/>
                <w:highlight w:val="none"/>
                <w:lang w:val="en-US" w:eastAsia="zh-CN"/>
              </w:rPr>
              <w:t>9</w:t>
            </w:r>
            <w:r>
              <w:rPr>
                <w:rFonts w:hint="eastAsia"/>
                <w:color w:val="auto"/>
                <w:highlight w:val="none"/>
              </w:rPr>
              <w:t>月</w:t>
            </w:r>
            <w:r>
              <w:rPr>
                <w:rFonts w:hint="eastAsia"/>
                <w:color w:val="auto"/>
                <w:highlight w:val="none"/>
                <w:lang w:val="en-US" w:eastAsia="zh-CN"/>
              </w:rPr>
              <w:t>1</w:t>
            </w:r>
            <w:r>
              <w:rPr>
                <w:rFonts w:hint="eastAsia"/>
                <w:color w:val="auto"/>
                <w:highlight w:val="none"/>
              </w:rPr>
              <w:t>日~202</w:t>
            </w:r>
            <w:r>
              <w:rPr>
                <w:rFonts w:hint="eastAsia"/>
                <w:color w:val="auto"/>
                <w:highlight w:val="none"/>
                <w:lang w:val="en-US" w:eastAsia="zh-CN"/>
              </w:rPr>
              <w:t>4</w:t>
            </w:r>
            <w:r>
              <w:rPr>
                <w:rFonts w:hint="eastAsia"/>
                <w:color w:val="auto"/>
                <w:highlight w:val="none"/>
              </w:rPr>
              <w:t>年</w:t>
            </w:r>
            <w:r>
              <w:rPr>
                <w:rFonts w:hint="eastAsia"/>
                <w:color w:val="auto"/>
                <w:highlight w:val="none"/>
                <w:lang w:val="en-US" w:eastAsia="zh-CN"/>
              </w:rPr>
              <w:t>9</w:t>
            </w:r>
            <w:r>
              <w:rPr>
                <w:rFonts w:hint="eastAsia"/>
                <w:color w:val="auto"/>
                <w:highlight w:val="none"/>
              </w:rPr>
              <w:t>月</w:t>
            </w:r>
            <w:r>
              <w:rPr>
                <w:rFonts w:hint="eastAsia"/>
                <w:color w:val="auto"/>
                <w:highlight w:val="none"/>
                <w:lang w:val="en-US" w:eastAsia="zh-CN"/>
              </w:rPr>
              <w:t>3</w:t>
            </w:r>
            <w:r>
              <w:rPr>
                <w:rFonts w:hint="eastAsia"/>
                <w:color w:val="auto"/>
                <w:highlight w:val="none"/>
              </w:rPr>
              <w:t>日，连续监测</w:t>
            </w:r>
            <w:r>
              <w:rPr>
                <w:rFonts w:hint="eastAsia"/>
                <w:color w:val="auto"/>
                <w:highlight w:val="none"/>
                <w:lang w:val="en-US" w:eastAsia="zh-CN"/>
              </w:rPr>
              <w:t>3</w:t>
            </w:r>
            <w:r>
              <w:rPr>
                <w:rFonts w:hint="eastAsia"/>
                <w:color w:val="auto"/>
                <w:highlight w:val="none"/>
              </w:rPr>
              <w:t>天。</w:t>
            </w:r>
          </w:p>
          <w:p w14:paraId="42FC996F">
            <w:pPr>
              <w:pStyle w:val="41"/>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（1）监测点位</w:t>
            </w:r>
          </w:p>
          <w:p w14:paraId="5EE7D791">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both"/>
              <w:textAlignment w:val="auto"/>
              <w:rPr>
                <w:rFonts w:hint="eastAsia"/>
                <w:color w:val="auto"/>
                <w:sz w:val="24"/>
                <w:highlight w:val="none"/>
                <w:lang w:val="en-US" w:eastAsia="zh-CN"/>
              </w:rPr>
            </w:pPr>
            <w:r>
              <w:rPr>
                <w:rFonts w:hint="eastAsia" w:ascii="Times New Roman" w:hAnsi="Times New Roman" w:cs="Times New Roman"/>
                <w:color w:val="auto"/>
                <w:sz w:val="24"/>
                <w:szCs w:val="24"/>
                <w:highlight w:val="none"/>
                <w:lang w:val="en-US" w:eastAsia="zh-CN"/>
              </w:rPr>
              <w:t>本次评价</w:t>
            </w:r>
            <w:r>
              <w:rPr>
                <w:rFonts w:hint="default" w:ascii="Times New Roman" w:hAnsi="Times New Roman" w:eastAsia="宋体" w:cs="Times New Roman"/>
                <w:color w:val="auto"/>
                <w:sz w:val="24"/>
                <w:szCs w:val="24"/>
                <w:highlight w:val="none"/>
                <w:lang w:val="en-US" w:eastAsia="zh-CN"/>
              </w:rPr>
              <w:t>在项目</w:t>
            </w:r>
            <w:r>
              <w:rPr>
                <w:rFonts w:hint="eastAsia" w:ascii="Times New Roman" w:hAnsi="Times New Roman" w:eastAsia="宋体" w:cs="Times New Roman"/>
                <w:color w:val="auto"/>
                <w:sz w:val="24"/>
                <w:szCs w:val="24"/>
                <w:highlight w:val="none"/>
                <w:lang w:val="en-US" w:eastAsia="zh-CN"/>
              </w:rPr>
              <w:t>所在</w:t>
            </w:r>
            <w:r>
              <w:rPr>
                <w:rFonts w:hint="default" w:ascii="Times New Roman" w:hAnsi="Times New Roman" w:eastAsia="宋体" w:cs="Times New Roman"/>
                <w:color w:val="auto"/>
                <w:sz w:val="24"/>
                <w:szCs w:val="24"/>
                <w:highlight w:val="none"/>
                <w:lang w:val="en-US" w:eastAsia="zh-CN"/>
              </w:rPr>
              <w:t>地当季主导风向下风向</w:t>
            </w:r>
            <w:r>
              <w:rPr>
                <w:rFonts w:hint="eastAsia" w:ascii="Times New Roman" w:hAnsi="Times New Roman" w:eastAsia="宋体" w:cs="Times New Roman"/>
                <w:color w:val="auto"/>
                <w:sz w:val="24"/>
                <w:szCs w:val="24"/>
                <w:highlight w:val="none"/>
                <w:lang w:val="en-US" w:eastAsia="zh-CN"/>
              </w:rPr>
              <w:t>北厂界</w:t>
            </w:r>
            <w:r>
              <w:rPr>
                <w:rFonts w:hint="default" w:ascii="Times New Roman" w:hAnsi="Times New Roman" w:eastAsia="宋体" w:cs="Times New Roman"/>
                <w:color w:val="auto"/>
                <w:sz w:val="24"/>
                <w:szCs w:val="24"/>
                <w:highlight w:val="none"/>
                <w:lang w:val="en-US" w:eastAsia="zh-CN"/>
              </w:rPr>
              <w:t>设置</w:t>
            </w:r>
            <w:r>
              <w:rPr>
                <w:rFonts w:hint="eastAsia" w:ascii="Times New Roman" w:hAnsi="Times New Roman" w:eastAsia="宋体" w:cs="Times New Roman"/>
                <w:color w:val="auto"/>
                <w:sz w:val="24"/>
                <w:szCs w:val="24"/>
                <w:highlight w:val="none"/>
                <w:lang w:val="en-US" w:eastAsia="zh-CN"/>
              </w:rPr>
              <w:t>了一个监测点位，</w:t>
            </w:r>
            <w:r>
              <w:rPr>
                <w:rFonts w:hint="default" w:ascii="Times New Roman" w:hAnsi="Times New Roman" w:eastAsia="宋体" w:cs="Times New Roman"/>
                <w:color w:val="auto"/>
                <w:sz w:val="24"/>
                <w:szCs w:val="24"/>
                <w:highlight w:val="none"/>
                <w:lang w:val="en-US" w:eastAsia="zh-CN"/>
              </w:rPr>
              <w:t>监测</w:t>
            </w:r>
            <w:r>
              <w:rPr>
                <w:rFonts w:hint="eastAsia" w:ascii="Times New Roman" w:hAnsi="Times New Roman" w:eastAsia="宋体" w:cs="Times New Roman"/>
                <w:color w:val="auto"/>
                <w:sz w:val="24"/>
                <w:szCs w:val="24"/>
                <w:highlight w:val="none"/>
                <w:lang w:val="en-US" w:eastAsia="zh-CN"/>
              </w:rPr>
              <w:t>点位相对厂址</w:t>
            </w:r>
            <w:r>
              <w:rPr>
                <w:rFonts w:hint="default" w:ascii="Times New Roman" w:hAnsi="Times New Roman" w:eastAsia="宋体" w:cs="Times New Roman"/>
                <w:color w:val="auto"/>
                <w:sz w:val="24"/>
                <w:szCs w:val="24"/>
                <w:highlight w:val="none"/>
                <w:lang w:val="en-US" w:eastAsia="zh-CN"/>
              </w:rPr>
              <w:t>的方位、距离见</w:t>
            </w:r>
            <w:r>
              <w:rPr>
                <w:rFonts w:hint="eastAsia" w:ascii="Times New Roman" w:hAnsi="Times New Roman" w:eastAsia="宋体" w:cs="Times New Roman"/>
                <w:color w:val="auto"/>
                <w:sz w:val="24"/>
                <w:szCs w:val="24"/>
                <w:highlight w:val="none"/>
                <w:lang w:val="en-US" w:eastAsia="zh-CN"/>
              </w:rPr>
              <w:fldChar w:fldCharType="begin"/>
            </w:r>
            <w:r>
              <w:rPr>
                <w:rFonts w:hint="eastAsia" w:ascii="Times New Roman" w:hAnsi="Times New Roman" w:eastAsia="宋体" w:cs="Times New Roman"/>
                <w:color w:val="auto"/>
                <w:sz w:val="24"/>
                <w:szCs w:val="24"/>
                <w:highlight w:val="none"/>
                <w:lang w:val="en-US" w:eastAsia="zh-CN"/>
              </w:rPr>
              <w:instrText xml:space="preserve"> REF _Ref2340 \h </w:instrText>
            </w:r>
            <w:r>
              <w:rPr>
                <w:rFonts w:hint="eastAsia" w:ascii="Times New Roman" w:hAnsi="Times New Roman" w:eastAsia="宋体" w:cs="Times New Roman"/>
                <w:color w:val="auto"/>
                <w:sz w:val="24"/>
                <w:szCs w:val="24"/>
                <w:highlight w:val="none"/>
                <w:lang w:val="en-US" w:eastAsia="zh-CN"/>
              </w:rPr>
              <w:fldChar w:fldCharType="separate"/>
            </w:r>
            <w:r>
              <w:rPr>
                <w:color w:val="auto"/>
                <w:highlight w:val="none"/>
              </w:rPr>
              <w:t>表3-2</w:t>
            </w:r>
            <w:r>
              <w:rPr>
                <w:rFonts w:hint="eastAsia" w:ascii="Times New Roman" w:hAnsi="Times New Roman" w:eastAsia="宋体" w:cs="Times New Roman"/>
                <w:color w:val="auto"/>
                <w:sz w:val="24"/>
                <w:szCs w:val="24"/>
                <w:highlight w:val="none"/>
                <w:lang w:val="en-US" w:eastAsia="zh-CN"/>
              </w:rPr>
              <w:fldChar w:fldCharType="end"/>
            </w:r>
            <w:r>
              <w:rPr>
                <w:rFonts w:hint="eastAsia" w:cs="Times New Roman"/>
                <w:color w:val="auto"/>
                <w:sz w:val="24"/>
                <w:szCs w:val="24"/>
                <w:highlight w:val="none"/>
                <w:lang w:val="en-US" w:eastAsia="zh-CN"/>
              </w:rPr>
              <w:t>，监测点位布点详</w:t>
            </w:r>
            <w:r>
              <w:rPr>
                <w:rFonts w:hint="eastAsia" w:ascii="Times New Roman" w:hAnsi="Times New Roman" w:eastAsia="宋体" w:cs="Times New Roman"/>
                <w:color w:val="auto"/>
                <w:sz w:val="24"/>
                <w:szCs w:val="24"/>
                <w:highlight w:val="none"/>
                <w:lang w:val="en-US" w:eastAsia="zh-CN"/>
              </w:rPr>
              <w:t>见</w:t>
            </w:r>
            <w:r>
              <w:rPr>
                <w:rFonts w:hint="eastAsia" w:cs="Times New Roman"/>
                <w:color w:val="auto"/>
                <w:sz w:val="24"/>
                <w:szCs w:val="24"/>
                <w:highlight w:val="none"/>
                <w:lang w:val="en-US" w:eastAsia="zh-CN"/>
              </w:rPr>
              <w:t>附图6</w:t>
            </w:r>
            <w:r>
              <w:rPr>
                <w:rFonts w:hint="eastAsia" w:ascii="Times New Roman" w:hAnsi="Times New Roman" w:eastAsia="宋体" w:cs="Times New Roman"/>
                <w:color w:val="auto"/>
                <w:sz w:val="24"/>
                <w:szCs w:val="24"/>
                <w:highlight w:val="none"/>
                <w:lang w:val="en-US" w:eastAsia="zh-CN"/>
              </w:rPr>
              <w:t>，</w:t>
            </w:r>
            <w:r>
              <w:rPr>
                <w:color w:val="auto"/>
                <w:sz w:val="24"/>
                <w:highlight w:val="none"/>
              </w:rPr>
              <w:t>监测</w:t>
            </w:r>
            <w:r>
              <w:rPr>
                <w:rFonts w:hint="eastAsia"/>
                <w:color w:val="auto"/>
                <w:sz w:val="24"/>
                <w:highlight w:val="none"/>
                <w:lang w:val="en-US" w:eastAsia="zh-CN"/>
              </w:rPr>
              <w:t>报告</w:t>
            </w:r>
            <w:r>
              <w:rPr>
                <w:color w:val="auto"/>
                <w:sz w:val="24"/>
                <w:highlight w:val="none"/>
              </w:rPr>
              <w:t>见</w:t>
            </w:r>
            <w:r>
              <w:rPr>
                <w:rFonts w:hint="eastAsia"/>
                <w:color w:val="auto"/>
                <w:sz w:val="24"/>
                <w:highlight w:val="none"/>
                <w:lang w:val="en-US" w:eastAsia="zh-CN"/>
              </w:rPr>
              <w:t>附件8。</w:t>
            </w:r>
          </w:p>
          <w:p w14:paraId="256EF72B">
            <w:pPr>
              <w:pStyle w:val="7"/>
              <w:keepNext w:val="0"/>
              <w:keepLines w:val="0"/>
              <w:pageBreakBefore w:val="0"/>
              <w:widowControl w:val="0"/>
              <w:kinsoku/>
              <w:wordWrap/>
              <w:overflowPunct/>
              <w:topLinePunct w:val="0"/>
              <w:autoSpaceDE/>
              <w:autoSpaceDN/>
              <w:bidi w:val="0"/>
              <w:adjustRightInd/>
              <w:snapToGrid/>
              <w:textAlignment w:val="auto"/>
              <w:rPr>
                <w:rFonts w:hint="default"/>
                <w:color w:val="auto"/>
                <w:highlight w:val="none"/>
                <w:lang w:val="en-US" w:eastAsia="zh-CN"/>
              </w:rPr>
            </w:pPr>
            <w:bookmarkStart w:id="36" w:name="_Ref2340"/>
            <w:r>
              <w:rPr>
                <w:color w:val="auto"/>
                <w:highlight w:val="none"/>
              </w:rPr>
              <w:t>表3-</w:t>
            </w:r>
            <w:r>
              <w:rPr>
                <w:color w:val="auto"/>
                <w:highlight w:val="none"/>
              </w:rPr>
              <w:fldChar w:fldCharType="begin"/>
            </w:r>
            <w:r>
              <w:rPr>
                <w:color w:val="auto"/>
                <w:highlight w:val="none"/>
              </w:rPr>
              <w:instrText xml:space="preserve"> SEQ 表3- \* ARABIC </w:instrText>
            </w:r>
            <w:r>
              <w:rPr>
                <w:color w:val="auto"/>
                <w:highlight w:val="none"/>
              </w:rPr>
              <w:fldChar w:fldCharType="separate"/>
            </w:r>
            <w:r>
              <w:rPr>
                <w:color w:val="auto"/>
                <w:highlight w:val="none"/>
              </w:rPr>
              <w:t>2</w:t>
            </w:r>
            <w:r>
              <w:rPr>
                <w:color w:val="auto"/>
                <w:highlight w:val="none"/>
              </w:rPr>
              <w:fldChar w:fldCharType="end"/>
            </w:r>
            <w:bookmarkEnd w:id="36"/>
            <w:r>
              <w:rPr>
                <w:rFonts w:hint="eastAsia"/>
                <w:color w:val="auto"/>
                <w:highlight w:val="none"/>
                <w:lang w:val="en-US" w:eastAsia="zh-CN"/>
              </w:rPr>
              <w:t xml:space="preserve">  环境空气质量现状监测点位布置</w:t>
            </w:r>
          </w:p>
          <w:tbl>
            <w:tblPr>
              <w:tblStyle w:val="24"/>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81"/>
              <w:gridCol w:w="882"/>
              <w:gridCol w:w="1789"/>
              <w:gridCol w:w="749"/>
              <w:gridCol w:w="2097"/>
              <w:gridCol w:w="1114"/>
              <w:gridCol w:w="1139"/>
            </w:tblGrid>
            <w:tr w14:paraId="653D08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48" w:type="pct"/>
                  <w:tcBorders>
                    <w:tl2br w:val="nil"/>
                    <w:tr2bl w:val="nil"/>
                  </w:tcBorders>
                  <w:noWrap w:val="0"/>
                  <w:vAlign w:val="center"/>
                </w:tcPr>
                <w:p w14:paraId="6FAD57B7">
                  <w:pPr>
                    <w:pStyle w:val="40"/>
                    <w:bidi w:val="0"/>
                    <w:rPr>
                      <w:color w:val="auto"/>
                      <w:highlight w:val="none"/>
                      <w:lang w:val="en-US" w:eastAsia="zh-CN"/>
                    </w:rPr>
                  </w:pPr>
                  <w:r>
                    <w:rPr>
                      <w:color w:val="auto"/>
                      <w:highlight w:val="none"/>
                      <w:lang w:val="en-US" w:eastAsia="zh-CN"/>
                    </w:rPr>
                    <w:t>编号</w:t>
                  </w:r>
                </w:p>
              </w:tc>
              <w:tc>
                <w:tcPr>
                  <w:tcW w:w="528" w:type="pct"/>
                  <w:tcBorders>
                    <w:tl2br w:val="nil"/>
                    <w:tr2bl w:val="nil"/>
                  </w:tcBorders>
                  <w:noWrap w:val="0"/>
                  <w:vAlign w:val="center"/>
                </w:tcPr>
                <w:p w14:paraId="75801CC9">
                  <w:pPr>
                    <w:pStyle w:val="40"/>
                    <w:bidi w:val="0"/>
                    <w:rPr>
                      <w:rFonts w:hint="default"/>
                      <w:color w:val="auto"/>
                      <w:highlight w:val="none"/>
                      <w:lang w:val="en-US" w:eastAsia="zh-CN"/>
                    </w:rPr>
                  </w:pPr>
                  <w:r>
                    <w:rPr>
                      <w:rFonts w:hint="eastAsia"/>
                      <w:color w:val="auto"/>
                      <w:highlight w:val="none"/>
                      <w:lang w:val="en-US" w:eastAsia="zh-CN"/>
                    </w:rPr>
                    <w:t>监测点名称</w:t>
                  </w:r>
                </w:p>
              </w:tc>
              <w:tc>
                <w:tcPr>
                  <w:tcW w:w="1071" w:type="pct"/>
                  <w:tcBorders>
                    <w:tl2br w:val="nil"/>
                    <w:tr2bl w:val="nil"/>
                  </w:tcBorders>
                  <w:noWrap w:val="0"/>
                  <w:vAlign w:val="center"/>
                </w:tcPr>
                <w:p w14:paraId="2B03BCA2">
                  <w:pPr>
                    <w:pStyle w:val="40"/>
                    <w:bidi w:val="0"/>
                    <w:rPr>
                      <w:color w:val="auto"/>
                      <w:highlight w:val="none"/>
                      <w:lang w:val="en-US" w:eastAsia="zh-CN"/>
                    </w:rPr>
                  </w:pPr>
                  <w:r>
                    <w:rPr>
                      <w:color w:val="auto"/>
                      <w:highlight w:val="none"/>
                      <w:lang w:val="en-US" w:eastAsia="zh-CN"/>
                    </w:rPr>
                    <w:t>监测</w:t>
                  </w:r>
                  <w:r>
                    <w:rPr>
                      <w:rFonts w:hint="eastAsia"/>
                      <w:color w:val="auto"/>
                      <w:highlight w:val="none"/>
                      <w:lang w:val="en-US" w:eastAsia="zh-CN"/>
                    </w:rPr>
                    <w:t>点坐标</w:t>
                  </w:r>
                </w:p>
              </w:tc>
              <w:tc>
                <w:tcPr>
                  <w:tcW w:w="448" w:type="pct"/>
                  <w:tcBorders>
                    <w:tl2br w:val="nil"/>
                    <w:tr2bl w:val="nil"/>
                  </w:tcBorders>
                  <w:noWrap w:val="0"/>
                  <w:vAlign w:val="center"/>
                </w:tcPr>
                <w:p w14:paraId="6387FB5B">
                  <w:pPr>
                    <w:pStyle w:val="40"/>
                    <w:bidi w:val="0"/>
                    <w:rPr>
                      <w:rFonts w:hint="eastAsia"/>
                      <w:color w:val="auto"/>
                      <w:highlight w:val="none"/>
                      <w:lang w:val="en-US" w:eastAsia="zh-CN"/>
                    </w:rPr>
                  </w:pPr>
                  <w:r>
                    <w:rPr>
                      <w:rFonts w:hint="eastAsia"/>
                      <w:color w:val="auto"/>
                      <w:highlight w:val="none"/>
                      <w:lang w:val="en-US" w:eastAsia="zh-CN"/>
                    </w:rPr>
                    <w:t>监测因子</w:t>
                  </w:r>
                </w:p>
              </w:tc>
              <w:tc>
                <w:tcPr>
                  <w:tcW w:w="1255" w:type="pct"/>
                  <w:tcBorders>
                    <w:tl2br w:val="nil"/>
                    <w:tr2bl w:val="nil"/>
                  </w:tcBorders>
                  <w:noWrap w:val="0"/>
                  <w:vAlign w:val="center"/>
                </w:tcPr>
                <w:p w14:paraId="4DB85216">
                  <w:pPr>
                    <w:pStyle w:val="40"/>
                    <w:bidi w:val="0"/>
                    <w:rPr>
                      <w:rFonts w:hint="eastAsia"/>
                      <w:color w:val="auto"/>
                      <w:highlight w:val="none"/>
                      <w:lang w:val="en-US" w:eastAsia="zh-CN"/>
                    </w:rPr>
                  </w:pPr>
                  <w:r>
                    <w:rPr>
                      <w:rFonts w:hint="eastAsia"/>
                      <w:color w:val="auto"/>
                      <w:highlight w:val="none"/>
                      <w:lang w:val="en-US" w:eastAsia="zh-CN"/>
                    </w:rPr>
                    <w:t>监测时段</w:t>
                  </w:r>
                </w:p>
              </w:tc>
              <w:tc>
                <w:tcPr>
                  <w:tcW w:w="667" w:type="pct"/>
                  <w:tcBorders>
                    <w:tl2br w:val="nil"/>
                    <w:tr2bl w:val="nil"/>
                  </w:tcBorders>
                  <w:noWrap w:val="0"/>
                  <w:vAlign w:val="center"/>
                </w:tcPr>
                <w:p w14:paraId="6DD4592D">
                  <w:pPr>
                    <w:pStyle w:val="40"/>
                    <w:bidi w:val="0"/>
                    <w:rPr>
                      <w:rFonts w:hint="eastAsia"/>
                      <w:color w:val="auto"/>
                      <w:highlight w:val="none"/>
                      <w:lang w:val="en-US" w:eastAsia="zh-CN"/>
                    </w:rPr>
                  </w:pPr>
                  <w:r>
                    <w:rPr>
                      <w:rFonts w:hint="eastAsia"/>
                      <w:color w:val="auto"/>
                      <w:highlight w:val="none"/>
                      <w:lang w:val="en-US" w:eastAsia="zh-CN"/>
                    </w:rPr>
                    <w:t>相对厂址方位</w:t>
                  </w:r>
                </w:p>
              </w:tc>
              <w:tc>
                <w:tcPr>
                  <w:tcW w:w="681" w:type="pct"/>
                  <w:tcBorders>
                    <w:tl2br w:val="nil"/>
                    <w:tr2bl w:val="nil"/>
                  </w:tcBorders>
                  <w:noWrap w:val="0"/>
                  <w:vAlign w:val="center"/>
                </w:tcPr>
                <w:p w14:paraId="7F27DEAC">
                  <w:pPr>
                    <w:pStyle w:val="40"/>
                    <w:bidi w:val="0"/>
                    <w:rPr>
                      <w:rFonts w:hint="eastAsia"/>
                      <w:color w:val="auto"/>
                      <w:highlight w:val="none"/>
                      <w:lang w:val="en-US" w:eastAsia="zh-CN"/>
                    </w:rPr>
                  </w:pPr>
                  <w:r>
                    <w:rPr>
                      <w:rFonts w:hint="eastAsia"/>
                      <w:color w:val="auto"/>
                      <w:highlight w:val="none"/>
                      <w:lang w:val="en-US" w:eastAsia="zh-CN"/>
                    </w:rPr>
                    <w:t>相对厂界</w:t>
                  </w:r>
                  <w:r>
                    <w:rPr>
                      <w:color w:val="auto"/>
                      <w:highlight w:val="none"/>
                      <w:lang w:val="en-US" w:eastAsia="zh-CN"/>
                    </w:rPr>
                    <w:t>距离</w:t>
                  </w:r>
                  <w:r>
                    <w:rPr>
                      <w:rFonts w:hint="eastAsia"/>
                      <w:color w:val="auto"/>
                      <w:highlight w:val="none"/>
                      <w:lang w:val="en-US" w:eastAsia="zh-CN"/>
                    </w:rPr>
                    <w:t>/m</w:t>
                  </w:r>
                </w:p>
              </w:tc>
            </w:tr>
            <w:tr w14:paraId="0FA651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48" w:type="pct"/>
                  <w:tcBorders>
                    <w:tl2br w:val="nil"/>
                    <w:tr2bl w:val="nil"/>
                  </w:tcBorders>
                  <w:noWrap w:val="0"/>
                  <w:vAlign w:val="center"/>
                </w:tcPr>
                <w:p w14:paraId="1E23004D">
                  <w:pPr>
                    <w:pStyle w:val="40"/>
                    <w:bidi w:val="0"/>
                    <w:rPr>
                      <w:color w:val="auto"/>
                      <w:highlight w:val="none"/>
                      <w:lang w:val="en-US" w:eastAsia="zh-CN"/>
                    </w:rPr>
                  </w:pPr>
                  <w:r>
                    <w:rPr>
                      <w:rFonts w:hint="eastAsia"/>
                      <w:color w:val="auto"/>
                      <w:highlight w:val="none"/>
                      <w:lang w:val="en-US" w:eastAsia="zh-CN"/>
                    </w:rPr>
                    <w:t>1</w:t>
                  </w:r>
                  <w:r>
                    <w:rPr>
                      <w:color w:val="auto"/>
                      <w:highlight w:val="none"/>
                      <w:lang w:val="en-US" w:eastAsia="zh-CN"/>
                    </w:rPr>
                    <w:t>#</w:t>
                  </w:r>
                </w:p>
              </w:tc>
              <w:tc>
                <w:tcPr>
                  <w:tcW w:w="528" w:type="pct"/>
                  <w:tcBorders>
                    <w:tl2br w:val="nil"/>
                    <w:tr2bl w:val="nil"/>
                  </w:tcBorders>
                  <w:noWrap w:val="0"/>
                  <w:vAlign w:val="center"/>
                </w:tcPr>
                <w:p w14:paraId="7CCDCB56">
                  <w:pPr>
                    <w:pStyle w:val="40"/>
                    <w:bidi w:val="0"/>
                    <w:rPr>
                      <w:rFonts w:hint="default"/>
                      <w:color w:val="auto"/>
                      <w:highlight w:val="none"/>
                      <w:lang w:val="en-US" w:eastAsia="zh-CN"/>
                    </w:rPr>
                  </w:pPr>
                  <w:r>
                    <w:rPr>
                      <w:rFonts w:hint="eastAsia"/>
                      <w:color w:val="auto"/>
                      <w:highlight w:val="none"/>
                      <w:lang w:val="en-US" w:eastAsia="zh-CN"/>
                    </w:rPr>
                    <w:t>北厂界</w:t>
                  </w:r>
                </w:p>
              </w:tc>
              <w:tc>
                <w:tcPr>
                  <w:tcW w:w="1071" w:type="pct"/>
                  <w:tcBorders>
                    <w:tl2br w:val="nil"/>
                    <w:tr2bl w:val="nil"/>
                  </w:tcBorders>
                  <w:noWrap w:val="0"/>
                  <w:vAlign w:val="center"/>
                </w:tcPr>
                <w:p w14:paraId="6F63B1A0">
                  <w:pPr>
                    <w:pStyle w:val="40"/>
                    <w:bidi w:val="0"/>
                    <w:rPr>
                      <w:rFonts w:hint="default"/>
                      <w:color w:val="auto"/>
                      <w:highlight w:val="none"/>
                    </w:rPr>
                  </w:pPr>
                  <w:r>
                    <w:rPr>
                      <w:rFonts w:hint="default"/>
                      <w:color w:val="auto"/>
                      <w:highlight w:val="none"/>
                    </w:rPr>
                    <w:t>111°4′59.60341″</w:t>
                  </w:r>
                </w:p>
                <w:p w14:paraId="67062FE5">
                  <w:pPr>
                    <w:pStyle w:val="40"/>
                    <w:bidi w:val="0"/>
                    <w:rPr>
                      <w:color w:val="auto"/>
                      <w:highlight w:val="none"/>
                    </w:rPr>
                  </w:pPr>
                  <w:r>
                    <w:rPr>
                      <w:rFonts w:hint="default"/>
                      <w:color w:val="auto"/>
                      <w:highlight w:val="none"/>
                    </w:rPr>
                    <w:t>39°14′45.54165″</w:t>
                  </w:r>
                </w:p>
              </w:tc>
              <w:tc>
                <w:tcPr>
                  <w:tcW w:w="448" w:type="pct"/>
                  <w:tcBorders>
                    <w:tl2br w:val="nil"/>
                    <w:tr2bl w:val="nil"/>
                  </w:tcBorders>
                  <w:noWrap w:val="0"/>
                  <w:vAlign w:val="center"/>
                </w:tcPr>
                <w:p w14:paraId="0B3893E7">
                  <w:pPr>
                    <w:pStyle w:val="40"/>
                    <w:bidi w:val="0"/>
                    <w:rPr>
                      <w:color w:val="auto"/>
                      <w:highlight w:val="none"/>
                      <w:lang w:val="en-US" w:eastAsia="zh-CN"/>
                    </w:rPr>
                  </w:pPr>
                  <w:r>
                    <w:rPr>
                      <w:rFonts w:hint="eastAsia"/>
                      <w:color w:val="auto"/>
                      <w:highlight w:val="none"/>
                      <w:lang w:val="en-US" w:eastAsia="zh-CN"/>
                    </w:rPr>
                    <w:t>TSP</w:t>
                  </w:r>
                </w:p>
              </w:tc>
              <w:tc>
                <w:tcPr>
                  <w:tcW w:w="1255" w:type="pct"/>
                  <w:tcBorders>
                    <w:tl2br w:val="nil"/>
                    <w:tr2bl w:val="nil"/>
                  </w:tcBorders>
                  <w:noWrap w:val="0"/>
                  <w:vAlign w:val="center"/>
                </w:tcPr>
                <w:p w14:paraId="5D505A55">
                  <w:pPr>
                    <w:pStyle w:val="40"/>
                    <w:bidi w:val="0"/>
                    <w:rPr>
                      <w:color w:val="auto"/>
                      <w:highlight w:val="none"/>
                      <w:lang w:val="en-US" w:eastAsia="zh-CN"/>
                    </w:rPr>
                  </w:pPr>
                  <w:r>
                    <w:rPr>
                      <w:rFonts w:hint="eastAsia"/>
                      <w:color w:val="auto"/>
                      <w:highlight w:val="none"/>
                      <w:lang w:val="en-US" w:eastAsia="zh-CN"/>
                    </w:rPr>
                    <w:t>3天，24小时平均值</w:t>
                  </w:r>
                </w:p>
              </w:tc>
              <w:tc>
                <w:tcPr>
                  <w:tcW w:w="667" w:type="pct"/>
                  <w:tcBorders>
                    <w:tl2br w:val="nil"/>
                    <w:tr2bl w:val="nil"/>
                  </w:tcBorders>
                  <w:noWrap w:val="0"/>
                  <w:vAlign w:val="center"/>
                </w:tcPr>
                <w:p w14:paraId="35AA4AA6">
                  <w:pPr>
                    <w:pStyle w:val="40"/>
                    <w:bidi w:val="0"/>
                    <w:rPr>
                      <w:rFonts w:hint="default"/>
                      <w:color w:val="auto"/>
                      <w:highlight w:val="none"/>
                      <w:lang w:val="en-US" w:eastAsia="zh-CN"/>
                    </w:rPr>
                  </w:pPr>
                  <w:r>
                    <w:rPr>
                      <w:rFonts w:hint="eastAsia"/>
                      <w:color w:val="auto"/>
                      <w:highlight w:val="none"/>
                      <w:lang w:val="en-US" w:eastAsia="zh-CN"/>
                    </w:rPr>
                    <w:t>北厂界</w:t>
                  </w:r>
                </w:p>
              </w:tc>
              <w:tc>
                <w:tcPr>
                  <w:tcW w:w="681" w:type="pct"/>
                  <w:tcBorders>
                    <w:tl2br w:val="nil"/>
                    <w:tr2bl w:val="nil"/>
                  </w:tcBorders>
                  <w:noWrap w:val="0"/>
                  <w:vAlign w:val="center"/>
                </w:tcPr>
                <w:p w14:paraId="543DDEC9">
                  <w:pPr>
                    <w:pStyle w:val="40"/>
                    <w:bidi w:val="0"/>
                    <w:rPr>
                      <w:rFonts w:hint="default"/>
                      <w:color w:val="auto"/>
                      <w:highlight w:val="none"/>
                      <w:lang w:val="en-US" w:eastAsia="zh-CN"/>
                    </w:rPr>
                  </w:pPr>
                  <w:r>
                    <w:rPr>
                      <w:rFonts w:hint="eastAsia"/>
                      <w:color w:val="auto"/>
                      <w:highlight w:val="none"/>
                      <w:lang w:val="en-US" w:eastAsia="zh-CN"/>
                    </w:rPr>
                    <w:t>/</w:t>
                  </w:r>
                </w:p>
              </w:tc>
            </w:tr>
          </w:tbl>
          <w:p w14:paraId="20B919B7">
            <w:pPr>
              <w:pStyle w:val="41"/>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（2）分析方法</w:t>
            </w:r>
          </w:p>
          <w:p w14:paraId="779E4A7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color w:val="auto"/>
                <w:sz w:val="24"/>
                <w:highlight w:val="none"/>
              </w:rPr>
            </w:pPr>
            <w:r>
              <w:rPr>
                <w:color w:val="auto"/>
                <w:sz w:val="24"/>
                <w:highlight w:val="none"/>
              </w:rPr>
              <w:t>监测方法、依据和仪器见</w:t>
            </w:r>
            <w:r>
              <w:rPr>
                <w:color w:val="auto"/>
                <w:sz w:val="24"/>
                <w:highlight w:val="none"/>
              </w:rPr>
              <w:fldChar w:fldCharType="begin"/>
            </w:r>
            <w:r>
              <w:rPr>
                <w:color w:val="auto"/>
                <w:sz w:val="24"/>
                <w:highlight w:val="none"/>
              </w:rPr>
              <w:instrText xml:space="preserve"> REF _Ref2571 \h </w:instrText>
            </w:r>
            <w:r>
              <w:rPr>
                <w:color w:val="auto"/>
                <w:sz w:val="24"/>
                <w:highlight w:val="none"/>
              </w:rPr>
              <w:fldChar w:fldCharType="separate"/>
            </w:r>
            <w:r>
              <w:rPr>
                <w:color w:val="auto"/>
                <w:highlight w:val="none"/>
              </w:rPr>
              <w:t>表3-3</w:t>
            </w:r>
            <w:r>
              <w:rPr>
                <w:color w:val="auto"/>
                <w:sz w:val="24"/>
                <w:highlight w:val="none"/>
              </w:rPr>
              <w:fldChar w:fldCharType="end"/>
            </w:r>
            <w:r>
              <w:rPr>
                <w:color w:val="auto"/>
                <w:sz w:val="24"/>
                <w:highlight w:val="none"/>
              </w:rPr>
              <w:t>。</w:t>
            </w:r>
          </w:p>
          <w:p w14:paraId="537A2152">
            <w:pPr>
              <w:pStyle w:val="7"/>
              <w:bidi w:val="0"/>
              <w:rPr>
                <w:rFonts w:hint="default"/>
                <w:color w:val="auto"/>
                <w:highlight w:val="none"/>
                <w:lang w:val="en-US" w:eastAsia="zh-CN"/>
              </w:rPr>
            </w:pPr>
            <w:bookmarkStart w:id="37" w:name="_Ref2571"/>
            <w:r>
              <w:rPr>
                <w:color w:val="auto"/>
                <w:highlight w:val="none"/>
              </w:rPr>
              <w:t>表3-</w:t>
            </w:r>
            <w:r>
              <w:rPr>
                <w:color w:val="auto"/>
                <w:highlight w:val="none"/>
              </w:rPr>
              <w:fldChar w:fldCharType="begin"/>
            </w:r>
            <w:r>
              <w:rPr>
                <w:color w:val="auto"/>
                <w:highlight w:val="none"/>
              </w:rPr>
              <w:instrText xml:space="preserve"> SEQ 表3- \* ARABIC </w:instrText>
            </w:r>
            <w:r>
              <w:rPr>
                <w:color w:val="auto"/>
                <w:highlight w:val="none"/>
              </w:rPr>
              <w:fldChar w:fldCharType="separate"/>
            </w:r>
            <w:r>
              <w:rPr>
                <w:color w:val="auto"/>
                <w:highlight w:val="none"/>
              </w:rPr>
              <w:t>3</w:t>
            </w:r>
            <w:r>
              <w:rPr>
                <w:color w:val="auto"/>
                <w:highlight w:val="none"/>
              </w:rPr>
              <w:fldChar w:fldCharType="end"/>
            </w:r>
            <w:bookmarkEnd w:id="37"/>
            <w:r>
              <w:rPr>
                <w:rFonts w:hint="eastAsia"/>
                <w:color w:val="auto"/>
                <w:highlight w:val="none"/>
                <w:lang w:val="en-US" w:eastAsia="zh-CN"/>
              </w:rPr>
              <w:t xml:space="preserve">  </w:t>
            </w:r>
            <w:r>
              <w:rPr>
                <w:color w:val="auto"/>
                <w:highlight w:val="none"/>
              </w:rPr>
              <w:t>监测方法和仪器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82"/>
              <w:gridCol w:w="737"/>
              <w:gridCol w:w="3016"/>
              <w:gridCol w:w="2516"/>
              <w:gridCol w:w="1004"/>
            </w:tblGrid>
            <w:tr w14:paraId="5C0D55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7" w:type="pct"/>
                  <w:tcBorders>
                    <w:tl2br w:val="nil"/>
                    <w:tr2bl w:val="nil"/>
                  </w:tcBorders>
                  <w:noWrap w:val="0"/>
                  <w:vAlign w:val="center"/>
                </w:tcPr>
                <w:p w14:paraId="39486B69">
                  <w:pPr>
                    <w:pStyle w:val="40"/>
                    <w:bidi w:val="0"/>
                    <w:rPr>
                      <w:rFonts w:hint="default"/>
                      <w:color w:val="auto"/>
                      <w:highlight w:val="none"/>
                    </w:rPr>
                  </w:pPr>
                  <w:r>
                    <w:rPr>
                      <w:rFonts w:hint="default"/>
                      <w:color w:val="auto"/>
                      <w:highlight w:val="none"/>
                    </w:rPr>
                    <w:t>类别</w:t>
                  </w:r>
                </w:p>
              </w:tc>
              <w:tc>
                <w:tcPr>
                  <w:tcW w:w="441" w:type="pct"/>
                  <w:tcBorders>
                    <w:tl2br w:val="nil"/>
                    <w:tr2bl w:val="nil"/>
                  </w:tcBorders>
                  <w:noWrap w:val="0"/>
                  <w:vAlign w:val="center"/>
                </w:tcPr>
                <w:p w14:paraId="7475864C">
                  <w:pPr>
                    <w:pStyle w:val="40"/>
                    <w:bidi w:val="0"/>
                    <w:rPr>
                      <w:rFonts w:hint="default"/>
                      <w:color w:val="auto"/>
                      <w:highlight w:val="none"/>
                    </w:rPr>
                  </w:pPr>
                  <w:r>
                    <w:rPr>
                      <w:rFonts w:hint="default"/>
                      <w:color w:val="auto"/>
                      <w:highlight w:val="none"/>
                    </w:rPr>
                    <w:t>项目</w:t>
                  </w:r>
                </w:p>
              </w:tc>
              <w:tc>
                <w:tcPr>
                  <w:tcW w:w="1804" w:type="pct"/>
                  <w:tcBorders>
                    <w:tl2br w:val="nil"/>
                    <w:tr2bl w:val="nil"/>
                  </w:tcBorders>
                  <w:noWrap w:val="0"/>
                  <w:vAlign w:val="center"/>
                </w:tcPr>
                <w:p w14:paraId="6F5819EA">
                  <w:pPr>
                    <w:pStyle w:val="40"/>
                    <w:bidi w:val="0"/>
                    <w:rPr>
                      <w:rFonts w:hint="default"/>
                      <w:color w:val="auto"/>
                      <w:highlight w:val="none"/>
                    </w:rPr>
                  </w:pPr>
                  <w:r>
                    <w:rPr>
                      <w:rFonts w:hint="default"/>
                      <w:color w:val="auto"/>
                      <w:highlight w:val="none"/>
                    </w:rPr>
                    <w:t>监测方法及依据</w:t>
                  </w:r>
                </w:p>
              </w:tc>
              <w:tc>
                <w:tcPr>
                  <w:tcW w:w="1505" w:type="pct"/>
                  <w:tcBorders>
                    <w:tl2br w:val="nil"/>
                    <w:tr2bl w:val="nil"/>
                  </w:tcBorders>
                  <w:noWrap w:val="0"/>
                  <w:vAlign w:val="center"/>
                </w:tcPr>
                <w:p w14:paraId="0D760429">
                  <w:pPr>
                    <w:pStyle w:val="40"/>
                    <w:bidi w:val="0"/>
                    <w:rPr>
                      <w:rFonts w:hint="default"/>
                      <w:color w:val="auto"/>
                      <w:highlight w:val="none"/>
                    </w:rPr>
                  </w:pPr>
                  <w:r>
                    <w:rPr>
                      <w:rFonts w:hint="default"/>
                      <w:color w:val="auto"/>
                      <w:highlight w:val="none"/>
                    </w:rPr>
                    <w:t>监测仪器</w:t>
                  </w:r>
                </w:p>
              </w:tc>
              <w:tc>
                <w:tcPr>
                  <w:tcW w:w="600" w:type="pct"/>
                  <w:tcBorders>
                    <w:tl2br w:val="nil"/>
                    <w:tr2bl w:val="nil"/>
                  </w:tcBorders>
                  <w:noWrap w:val="0"/>
                  <w:vAlign w:val="center"/>
                </w:tcPr>
                <w:p w14:paraId="10F07D02">
                  <w:pPr>
                    <w:pStyle w:val="40"/>
                    <w:bidi w:val="0"/>
                    <w:rPr>
                      <w:rFonts w:hint="default"/>
                      <w:color w:val="auto"/>
                      <w:highlight w:val="none"/>
                    </w:rPr>
                  </w:pPr>
                  <w:r>
                    <w:rPr>
                      <w:rFonts w:hint="default"/>
                      <w:color w:val="auto"/>
                      <w:highlight w:val="none"/>
                    </w:rPr>
                    <w:t>检出限</w:t>
                  </w:r>
                </w:p>
              </w:tc>
            </w:tr>
            <w:tr w14:paraId="4BCBE1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7" w:type="pct"/>
                  <w:tcBorders>
                    <w:tl2br w:val="nil"/>
                    <w:tr2bl w:val="nil"/>
                  </w:tcBorders>
                  <w:noWrap w:val="0"/>
                  <w:vAlign w:val="center"/>
                </w:tcPr>
                <w:p w14:paraId="0E932059">
                  <w:pPr>
                    <w:pStyle w:val="40"/>
                    <w:bidi w:val="0"/>
                    <w:rPr>
                      <w:rFonts w:hint="default"/>
                      <w:color w:val="auto"/>
                      <w:highlight w:val="none"/>
                    </w:rPr>
                  </w:pPr>
                  <w:r>
                    <w:rPr>
                      <w:rFonts w:hint="default"/>
                      <w:color w:val="auto"/>
                      <w:highlight w:val="none"/>
                    </w:rPr>
                    <w:t>环境空气</w:t>
                  </w:r>
                </w:p>
              </w:tc>
              <w:tc>
                <w:tcPr>
                  <w:tcW w:w="441" w:type="pct"/>
                  <w:tcBorders>
                    <w:tl2br w:val="nil"/>
                    <w:tr2bl w:val="nil"/>
                  </w:tcBorders>
                  <w:noWrap w:val="0"/>
                  <w:vAlign w:val="center"/>
                </w:tcPr>
                <w:p w14:paraId="681DC39B">
                  <w:pPr>
                    <w:pStyle w:val="40"/>
                    <w:bidi w:val="0"/>
                    <w:rPr>
                      <w:rFonts w:hint="default"/>
                      <w:color w:val="auto"/>
                      <w:highlight w:val="none"/>
                    </w:rPr>
                  </w:pPr>
                  <w:r>
                    <w:rPr>
                      <w:rFonts w:hint="default"/>
                      <w:color w:val="auto"/>
                      <w:highlight w:val="none"/>
                    </w:rPr>
                    <w:t>TSP</w:t>
                  </w:r>
                </w:p>
              </w:tc>
              <w:tc>
                <w:tcPr>
                  <w:tcW w:w="1804" w:type="pct"/>
                  <w:tcBorders>
                    <w:tl2br w:val="nil"/>
                    <w:tr2bl w:val="nil"/>
                  </w:tcBorders>
                  <w:noWrap w:val="0"/>
                  <w:vAlign w:val="center"/>
                </w:tcPr>
                <w:p w14:paraId="4CE0302F">
                  <w:pPr>
                    <w:pStyle w:val="40"/>
                    <w:bidi w:val="0"/>
                    <w:rPr>
                      <w:rFonts w:hint="default"/>
                      <w:color w:val="auto"/>
                      <w:highlight w:val="none"/>
                      <w:lang w:val="en-US" w:eastAsia="zh-CN"/>
                    </w:rPr>
                  </w:pPr>
                  <w:r>
                    <w:rPr>
                      <w:rFonts w:hint="default"/>
                      <w:color w:val="auto"/>
                      <w:highlight w:val="none"/>
                      <w:lang w:val="en-US" w:eastAsia="zh-CN"/>
                    </w:rPr>
                    <w:t>《环境空气 总悬浮颗粒物的测定 重量法》（HJ</w:t>
                  </w:r>
                  <w:r>
                    <w:rPr>
                      <w:rFonts w:hint="eastAsia"/>
                      <w:color w:val="auto"/>
                      <w:highlight w:val="none"/>
                      <w:lang w:val="en-US" w:eastAsia="zh-CN"/>
                    </w:rPr>
                    <w:t xml:space="preserve"> </w:t>
                  </w:r>
                  <w:r>
                    <w:rPr>
                      <w:rFonts w:hint="default"/>
                      <w:color w:val="auto"/>
                      <w:highlight w:val="none"/>
                      <w:lang w:val="en-US" w:eastAsia="zh-CN"/>
                    </w:rPr>
                    <w:t>1263-2022）</w:t>
                  </w:r>
                </w:p>
              </w:tc>
              <w:tc>
                <w:tcPr>
                  <w:tcW w:w="1505" w:type="pct"/>
                  <w:tcBorders>
                    <w:tl2br w:val="nil"/>
                    <w:tr2bl w:val="nil"/>
                  </w:tcBorders>
                  <w:noWrap w:val="0"/>
                  <w:vAlign w:val="center"/>
                </w:tcPr>
                <w:p w14:paraId="1A334165">
                  <w:pPr>
                    <w:pStyle w:val="40"/>
                    <w:bidi w:val="0"/>
                    <w:rPr>
                      <w:rFonts w:hint="default"/>
                      <w:color w:val="auto"/>
                      <w:highlight w:val="none"/>
                      <w:lang w:val="en-US" w:eastAsia="zh-CN"/>
                    </w:rPr>
                  </w:pPr>
                  <w:r>
                    <w:rPr>
                      <w:rFonts w:hint="default"/>
                      <w:color w:val="auto"/>
                      <w:highlight w:val="none"/>
                      <w:lang w:val="en-US" w:eastAsia="zh-CN"/>
                    </w:rPr>
                    <w:t>恒温恒湿称重系统PT-PM2.5D、YQ-073</w:t>
                  </w:r>
                </w:p>
                <w:p w14:paraId="45ED898E">
                  <w:pPr>
                    <w:pStyle w:val="40"/>
                    <w:bidi w:val="0"/>
                    <w:rPr>
                      <w:rFonts w:hint="default"/>
                      <w:color w:val="auto"/>
                      <w:highlight w:val="none"/>
                      <w:lang w:val="en-US" w:eastAsia="zh-CN"/>
                    </w:rPr>
                  </w:pPr>
                  <w:r>
                    <w:rPr>
                      <w:rFonts w:hint="default"/>
                      <w:color w:val="auto"/>
                      <w:highlight w:val="none"/>
                      <w:lang w:val="en-US" w:eastAsia="zh-CN"/>
                    </w:rPr>
                    <w:t>电子天平</w:t>
                  </w:r>
                </w:p>
                <w:p w14:paraId="46A8FC51">
                  <w:pPr>
                    <w:pStyle w:val="40"/>
                    <w:bidi w:val="0"/>
                    <w:rPr>
                      <w:rFonts w:hint="default"/>
                      <w:color w:val="auto"/>
                      <w:highlight w:val="none"/>
                      <w:lang w:val="en-US" w:eastAsia="zh-CN"/>
                    </w:rPr>
                  </w:pPr>
                  <w:r>
                    <w:rPr>
                      <w:rFonts w:hint="default"/>
                      <w:color w:val="auto"/>
                      <w:highlight w:val="none"/>
                      <w:lang w:val="en-US" w:eastAsia="zh-CN"/>
                    </w:rPr>
                    <w:t>FA1035、YQ-075</w:t>
                  </w:r>
                </w:p>
              </w:tc>
              <w:tc>
                <w:tcPr>
                  <w:tcW w:w="600" w:type="pct"/>
                  <w:tcBorders>
                    <w:tl2br w:val="nil"/>
                    <w:tr2bl w:val="nil"/>
                  </w:tcBorders>
                  <w:noWrap w:val="0"/>
                  <w:vAlign w:val="center"/>
                </w:tcPr>
                <w:p w14:paraId="35BE372E">
                  <w:pPr>
                    <w:pStyle w:val="40"/>
                    <w:bidi w:val="0"/>
                    <w:rPr>
                      <w:rFonts w:hint="default"/>
                      <w:color w:val="auto"/>
                      <w:highlight w:val="none"/>
                    </w:rPr>
                  </w:pPr>
                  <w:r>
                    <w:rPr>
                      <w:rFonts w:hint="default"/>
                      <w:color w:val="auto"/>
                      <w:highlight w:val="none"/>
                    </w:rPr>
                    <w:t>7μg/m</w:t>
                  </w:r>
                  <w:r>
                    <w:rPr>
                      <w:rFonts w:hint="default"/>
                      <w:color w:val="auto"/>
                      <w:highlight w:val="none"/>
                      <w:vertAlign w:val="superscript"/>
                    </w:rPr>
                    <w:t>3</w:t>
                  </w:r>
                </w:p>
              </w:tc>
            </w:tr>
          </w:tbl>
          <w:p w14:paraId="65280F98">
            <w:pPr>
              <w:pStyle w:val="41"/>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（3）监测结果分析及评价</w:t>
            </w:r>
          </w:p>
          <w:p w14:paraId="12F0DB3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bCs/>
                <w:color w:val="auto"/>
                <w:sz w:val="24"/>
                <w:highlight w:val="none"/>
                <w:lang w:val="en-US" w:eastAsia="zh-CN"/>
              </w:rPr>
            </w:pPr>
            <w:r>
              <w:rPr>
                <w:rFonts w:hint="eastAsia"/>
                <w:color w:val="auto"/>
                <w:sz w:val="24"/>
                <w:highlight w:val="none"/>
              </w:rPr>
              <w:t>TSP</w:t>
            </w:r>
            <w:r>
              <w:rPr>
                <w:color w:val="auto"/>
                <w:sz w:val="24"/>
                <w:highlight w:val="none"/>
              </w:rPr>
              <w:t>现状监测结果统计见</w:t>
            </w:r>
            <w:r>
              <w:rPr>
                <w:color w:val="auto"/>
                <w:sz w:val="24"/>
                <w:highlight w:val="none"/>
              </w:rPr>
              <w:fldChar w:fldCharType="begin"/>
            </w:r>
            <w:r>
              <w:rPr>
                <w:color w:val="auto"/>
                <w:sz w:val="24"/>
                <w:highlight w:val="none"/>
              </w:rPr>
              <w:instrText xml:space="preserve"> REF _Ref2692 \h </w:instrText>
            </w:r>
            <w:r>
              <w:rPr>
                <w:color w:val="auto"/>
                <w:sz w:val="24"/>
                <w:highlight w:val="none"/>
              </w:rPr>
              <w:fldChar w:fldCharType="separate"/>
            </w:r>
            <w:r>
              <w:rPr>
                <w:color w:val="auto"/>
                <w:highlight w:val="none"/>
              </w:rPr>
              <w:t>表3-4</w:t>
            </w:r>
            <w:r>
              <w:rPr>
                <w:color w:val="auto"/>
                <w:sz w:val="24"/>
                <w:highlight w:val="none"/>
              </w:rPr>
              <w:fldChar w:fldCharType="end"/>
            </w:r>
            <w:r>
              <w:rPr>
                <w:rFonts w:hint="eastAsia"/>
                <w:color w:val="auto"/>
                <w:sz w:val="24"/>
                <w:highlight w:val="none"/>
                <w:lang w:eastAsia="zh-CN"/>
              </w:rPr>
              <w:t>。</w:t>
            </w:r>
          </w:p>
          <w:p w14:paraId="79A58CCC">
            <w:pPr>
              <w:pStyle w:val="7"/>
              <w:bidi w:val="0"/>
              <w:rPr>
                <w:color w:val="auto"/>
                <w:highlight w:val="none"/>
                <w:lang w:val="en-US" w:eastAsia="zh-CN"/>
              </w:rPr>
            </w:pPr>
            <w:bookmarkStart w:id="38" w:name="_Ref2692"/>
            <w:r>
              <w:rPr>
                <w:color w:val="auto"/>
                <w:highlight w:val="none"/>
              </w:rPr>
              <w:t>表3-</w:t>
            </w:r>
            <w:r>
              <w:rPr>
                <w:color w:val="auto"/>
                <w:highlight w:val="none"/>
              </w:rPr>
              <w:fldChar w:fldCharType="begin"/>
            </w:r>
            <w:r>
              <w:rPr>
                <w:color w:val="auto"/>
                <w:highlight w:val="none"/>
              </w:rPr>
              <w:instrText xml:space="preserve"> SEQ 表3- \* ARABIC </w:instrText>
            </w:r>
            <w:r>
              <w:rPr>
                <w:color w:val="auto"/>
                <w:highlight w:val="none"/>
              </w:rPr>
              <w:fldChar w:fldCharType="separate"/>
            </w:r>
            <w:r>
              <w:rPr>
                <w:color w:val="auto"/>
                <w:highlight w:val="none"/>
              </w:rPr>
              <w:t>4</w:t>
            </w:r>
            <w:r>
              <w:rPr>
                <w:color w:val="auto"/>
                <w:highlight w:val="none"/>
              </w:rPr>
              <w:fldChar w:fldCharType="end"/>
            </w:r>
            <w:bookmarkEnd w:id="38"/>
            <w:r>
              <w:rPr>
                <w:color w:val="auto"/>
                <w:highlight w:val="none"/>
                <w:lang w:val="en-US" w:eastAsia="zh-CN"/>
              </w:rPr>
              <w:t xml:space="preserve">  环境质量现状监测结果表</w:t>
            </w:r>
            <w:r>
              <w:rPr>
                <w:rFonts w:hint="eastAsia"/>
                <w:color w:val="auto"/>
                <w:highlight w:val="none"/>
                <w:lang w:val="en-US" w:eastAsia="zh-CN"/>
              </w:rPr>
              <w:t xml:space="preserve">  单位：</w:t>
            </w:r>
            <w:r>
              <w:rPr>
                <w:color w:val="auto"/>
                <w:highlight w:val="none"/>
                <w:lang w:val="en-US" w:eastAsia="zh-CN"/>
              </w:rPr>
              <w:t>μg/m</w:t>
            </w:r>
            <w:r>
              <w:rPr>
                <w:color w:val="auto"/>
                <w:highlight w:val="none"/>
                <w:vertAlign w:val="superscript"/>
                <w:lang w:val="en-US" w:eastAsia="zh-CN"/>
              </w:rPr>
              <w:t>3</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61"/>
              <w:gridCol w:w="1200"/>
              <w:gridCol w:w="1200"/>
              <w:gridCol w:w="2593"/>
              <w:gridCol w:w="1200"/>
              <w:gridCol w:w="1201"/>
            </w:tblGrid>
            <w:tr w14:paraId="562A6F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pct"/>
                  <w:tcBorders>
                    <w:tl2br w:val="nil"/>
                    <w:tr2bl w:val="nil"/>
                  </w:tcBorders>
                  <w:noWrap w:val="0"/>
                  <w:vAlign w:val="center"/>
                </w:tcPr>
                <w:p w14:paraId="1822F937">
                  <w:pPr>
                    <w:pStyle w:val="40"/>
                    <w:bidi w:val="0"/>
                    <w:rPr>
                      <w:rFonts w:hint="default"/>
                      <w:color w:val="auto"/>
                      <w:highlight w:val="none"/>
                    </w:rPr>
                  </w:pPr>
                  <w:r>
                    <w:rPr>
                      <w:rFonts w:hint="default"/>
                      <w:color w:val="auto"/>
                      <w:highlight w:val="none"/>
                    </w:rPr>
                    <w:t>污染物</w:t>
                  </w:r>
                </w:p>
              </w:tc>
              <w:tc>
                <w:tcPr>
                  <w:tcW w:w="718" w:type="pct"/>
                  <w:tcBorders>
                    <w:tl2br w:val="nil"/>
                    <w:tr2bl w:val="nil"/>
                  </w:tcBorders>
                  <w:noWrap w:val="0"/>
                  <w:vAlign w:val="center"/>
                </w:tcPr>
                <w:p w14:paraId="4CE9DDC6">
                  <w:pPr>
                    <w:pStyle w:val="40"/>
                    <w:bidi w:val="0"/>
                    <w:rPr>
                      <w:rFonts w:hint="default"/>
                      <w:color w:val="auto"/>
                      <w:highlight w:val="none"/>
                    </w:rPr>
                  </w:pPr>
                  <w:r>
                    <w:rPr>
                      <w:rFonts w:hint="default"/>
                      <w:color w:val="auto"/>
                      <w:highlight w:val="none"/>
                    </w:rPr>
                    <w:t>评价标准</w:t>
                  </w:r>
                </w:p>
              </w:tc>
              <w:tc>
                <w:tcPr>
                  <w:tcW w:w="718" w:type="pct"/>
                  <w:tcBorders>
                    <w:tl2br w:val="nil"/>
                    <w:tr2bl w:val="nil"/>
                  </w:tcBorders>
                  <w:noWrap w:val="0"/>
                  <w:vAlign w:val="center"/>
                </w:tcPr>
                <w:p w14:paraId="22898AA2">
                  <w:pPr>
                    <w:pStyle w:val="40"/>
                    <w:bidi w:val="0"/>
                    <w:rPr>
                      <w:rFonts w:hint="default"/>
                      <w:color w:val="auto"/>
                      <w:highlight w:val="none"/>
                    </w:rPr>
                  </w:pPr>
                  <w:r>
                    <w:rPr>
                      <w:rFonts w:hint="default"/>
                      <w:color w:val="auto"/>
                      <w:highlight w:val="none"/>
                    </w:rPr>
                    <w:t>浓度范围</w:t>
                  </w:r>
                </w:p>
              </w:tc>
              <w:tc>
                <w:tcPr>
                  <w:tcW w:w="1551" w:type="pct"/>
                  <w:tcBorders>
                    <w:tl2br w:val="nil"/>
                    <w:tr2bl w:val="nil"/>
                  </w:tcBorders>
                  <w:noWrap w:val="0"/>
                  <w:vAlign w:val="center"/>
                </w:tcPr>
                <w:p w14:paraId="680A144B">
                  <w:pPr>
                    <w:pStyle w:val="40"/>
                    <w:bidi w:val="0"/>
                    <w:rPr>
                      <w:rFonts w:hint="default"/>
                      <w:color w:val="auto"/>
                      <w:highlight w:val="none"/>
                    </w:rPr>
                  </w:pPr>
                  <w:r>
                    <w:rPr>
                      <w:rFonts w:hint="default"/>
                      <w:color w:val="auto"/>
                      <w:highlight w:val="none"/>
                    </w:rPr>
                    <w:t>最大浓度占标率（%）</w:t>
                  </w:r>
                </w:p>
              </w:tc>
              <w:tc>
                <w:tcPr>
                  <w:tcW w:w="718" w:type="pct"/>
                  <w:tcBorders>
                    <w:tl2br w:val="nil"/>
                    <w:tr2bl w:val="nil"/>
                  </w:tcBorders>
                  <w:noWrap w:val="0"/>
                  <w:vAlign w:val="center"/>
                </w:tcPr>
                <w:p w14:paraId="4D2CE749">
                  <w:pPr>
                    <w:pStyle w:val="40"/>
                    <w:bidi w:val="0"/>
                    <w:rPr>
                      <w:rFonts w:hint="default"/>
                      <w:color w:val="auto"/>
                      <w:highlight w:val="none"/>
                    </w:rPr>
                  </w:pPr>
                  <w:r>
                    <w:rPr>
                      <w:rFonts w:hint="default"/>
                      <w:color w:val="auto"/>
                      <w:highlight w:val="none"/>
                    </w:rPr>
                    <w:t>超标倍数</w:t>
                  </w:r>
                </w:p>
              </w:tc>
              <w:tc>
                <w:tcPr>
                  <w:tcW w:w="718" w:type="pct"/>
                  <w:tcBorders>
                    <w:tl2br w:val="nil"/>
                    <w:tr2bl w:val="nil"/>
                  </w:tcBorders>
                  <w:noWrap w:val="0"/>
                  <w:vAlign w:val="center"/>
                </w:tcPr>
                <w:p w14:paraId="3BEE586C">
                  <w:pPr>
                    <w:pStyle w:val="40"/>
                    <w:bidi w:val="0"/>
                    <w:rPr>
                      <w:rFonts w:hint="default"/>
                      <w:color w:val="auto"/>
                      <w:highlight w:val="none"/>
                    </w:rPr>
                  </w:pPr>
                  <w:r>
                    <w:rPr>
                      <w:rFonts w:hint="default"/>
                      <w:color w:val="auto"/>
                      <w:highlight w:val="none"/>
                    </w:rPr>
                    <w:t>达标情况</w:t>
                  </w:r>
                </w:p>
              </w:tc>
            </w:tr>
            <w:tr w14:paraId="4F80A5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pct"/>
                  <w:tcBorders>
                    <w:tl2br w:val="nil"/>
                    <w:tr2bl w:val="nil"/>
                  </w:tcBorders>
                  <w:noWrap w:val="0"/>
                  <w:vAlign w:val="center"/>
                </w:tcPr>
                <w:p w14:paraId="676264A4">
                  <w:pPr>
                    <w:pStyle w:val="40"/>
                    <w:bidi w:val="0"/>
                    <w:rPr>
                      <w:rFonts w:hint="default"/>
                      <w:color w:val="auto"/>
                      <w:highlight w:val="none"/>
                    </w:rPr>
                  </w:pPr>
                  <w:r>
                    <w:rPr>
                      <w:rFonts w:hint="default"/>
                      <w:color w:val="auto"/>
                      <w:highlight w:val="none"/>
                    </w:rPr>
                    <w:t>TSP</w:t>
                  </w:r>
                </w:p>
              </w:tc>
              <w:tc>
                <w:tcPr>
                  <w:tcW w:w="718" w:type="pct"/>
                  <w:tcBorders>
                    <w:tl2br w:val="nil"/>
                    <w:tr2bl w:val="nil"/>
                  </w:tcBorders>
                  <w:noWrap w:val="0"/>
                  <w:vAlign w:val="center"/>
                </w:tcPr>
                <w:p w14:paraId="694125FF">
                  <w:pPr>
                    <w:pStyle w:val="40"/>
                    <w:bidi w:val="0"/>
                    <w:rPr>
                      <w:rFonts w:hint="default"/>
                      <w:color w:val="auto"/>
                      <w:highlight w:val="none"/>
                    </w:rPr>
                  </w:pPr>
                  <w:r>
                    <w:rPr>
                      <w:rFonts w:hint="default"/>
                      <w:color w:val="auto"/>
                      <w:highlight w:val="none"/>
                    </w:rPr>
                    <w:t>300</w:t>
                  </w:r>
                </w:p>
              </w:tc>
              <w:tc>
                <w:tcPr>
                  <w:tcW w:w="718" w:type="pct"/>
                  <w:tcBorders>
                    <w:tl2br w:val="nil"/>
                    <w:tr2bl w:val="nil"/>
                  </w:tcBorders>
                  <w:noWrap w:val="0"/>
                  <w:vAlign w:val="center"/>
                </w:tcPr>
                <w:p w14:paraId="62D2073C">
                  <w:pPr>
                    <w:pStyle w:val="40"/>
                    <w:bidi w:val="0"/>
                    <w:rPr>
                      <w:rFonts w:hint="default" w:eastAsia="宋体"/>
                      <w:color w:val="auto"/>
                      <w:highlight w:val="none"/>
                      <w:lang w:val="en-US" w:eastAsia="zh-CN"/>
                    </w:rPr>
                  </w:pPr>
                  <w:r>
                    <w:rPr>
                      <w:rFonts w:hint="eastAsia"/>
                      <w:color w:val="auto"/>
                      <w:highlight w:val="none"/>
                      <w:lang w:val="en-US" w:eastAsia="zh-CN"/>
                    </w:rPr>
                    <w:t>86~112</w:t>
                  </w:r>
                </w:p>
              </w:tc>
              <w:tc>
                <w:tcPr>
                  <w:tcW w:w="1551" w:type="pct"/>
                  <w:tcBorders>
                    <w:tl2br w:val="nil"/>
                    <w:tr2bl w:val="nil"/>
                  </w:tcBorders>
                  <w:noWrap w:val="0"/>
                  <w:vAlign w:val="center"/>
                </w:tcPr>
                <w:p w14:paraId="087C644D">
                  <w:pPr>
                    <w:pStyle w:val="40"/>
                    <w:bidi w:val="0"/>
                    <w:rPr>
                      <w:rFonts w:hint="default" w:eastAsia="宋体"/>
                      <w:color w:val="auto"/>
                      <w:highlight w:val="none"/>
                      <w:lang w:val="en-US" w:eastAsia="zh-CN"/>
                    </w:rPr>
                  </w:pPr>
                  <w:r>
                    <w:rPr>
                      <w:rFonts w:hint="eastAsia"/>
                      <w:color w:val="auto"/>
                      <w:highlight w:val="none"/>
                      <w:lang w:val="en-US" w:eastAsia="zh-CN"/>
                    </w:rPr>
                    <w:t>37.3</w:t>
                  </w:r>
                </w:p>
              </w:tc>
              <w:tc>
                <w:tcPr>
                  <w:tcW w:w="718" w:type="pct"/>
                  <w:tcBorders>
                    <w:tl2br w:val="nil"/>
                    <w:tr2bl w:val="nil"/>
                  </w:tcBorders>
                  <w:noWrap w:val="0"/>
                  <w:vAlign w:val="center"/>
                </w:tcPr>
                <w:p w14:paraId="2ACF5144">
                  <w:pPr>
                    <w:pStyle w:val="40"/>
                    <w:bidi w:val="0"/>
                    <w:rPr>
                      <w:rFonts w:hint="default"/>
                      <w:color w:val="auto"/>
                      <w:highlight w:val="none"/>
                    </w:rPr>
                  </w:pPr>
                  <w:r>
                    <w:rPr>
                      <w:rFonts w:hint="default"/>
                      <w:color w:val="auto"/>
                      <w:highlight w:val="none"/>
                    </w:rPr>
                    <w:t>0</w:t>
                  </w:r>
                </w:p>
              </w:tc>
              <w:tc>
                <w:tcPr>
                  <w:tcW w:w="718" w:type="pct"/>
                  <w:tcBorders>
                    <w:tl2br w:val="nil"/>
                    <w:tr2bl w:val="nil"/>
                  </w:tcBorders>
                  <w:noWrap w:val="0"/>
                  <w:vAlign w:val="center"/>
                </w:tcPr>
                <w:p w14:paraId="6F438A54">
                  <w:pPr>
                    <w:pStyle w:val="40"/>
                    <w:bidi w:val="0"/>
                    <w:rPr>
                      <w:rFonts w:hint="default"/>
                      <w:color w:val="auto"/>
                      <w:highlight w:val="none"/>
                    </w:rPr>
                  </w:pPr>
                  <w:r>
                    <w:rPr>
                      <w:rFonts w:hint="default"/>
                      <w:color w:val="auto"/>
                      <w:highlight w:val="none"/>
                    </w:rPr>
                    <w:t>达标</w:t>
                  </w:r>
                </w:p>
              </w:tc>
            </w:tr>
          </w:tbl>
          <w:p w14:paraId="5E545CFB">
            <w:pPr>
              <w:spacing w:line="360" w:lineRule="auto"/>
              <w:ind w:firstLine="480" w:firstLineChars="200"/>
              <w:rPr>
                <w:rFonts w:hint="eastAsia"/>
                <w:color w:val="auto"/>
                <w:sz w:val="24"/>
                <w:highlight w:val="none"/>
              </w:rPr>
            </w:pPr>
            <w:r>
              <w:rPr>
                <w:color w:val="auto"/>
                <w:sz w:val="24"/>
                <w:highlight w:val="none"/>
              </w:rPr>
              <w:t>由</w:t>
            </w:r>
            <w:r>
              <w:rPr>
                <w:rFonts w:hint="eastAsia"/>
                <w:color w:val="auto"/>
                <w:sz w:val="24"/>
                <w:highlight w:val="none"/>
              </w:rPr>
              <w:t>上表</w:t>
            </w:r>
            <w:r>
              <w:rPr>
                <w:color w:val="auto"/>
                <w:sz w:val="24"/>
                <w:highlight w:val="none"/>
              </w:rPr>
              <w:t>可知，评价区在监测期间，</w:t>
            </w:r>
            <w:r>
              <w:rPr>
                <w:rFonts w:hint="eastAsia"/>
                <w:color w:val="auto"/>
                <w:sz w:val="24"/>
                <w:highlight w:val="none"/>
              </w:rPr>
              <w:t>TSP</w:t>
            </w:r>
            <w:r>
              <w:rPr>
                <w:rFonts w:hint="eastAsia"/>
                <w:color w:val="auto"/>
                <w:sz w:val="24"/>
                <w:highlight w:val="none"/>
                <w:lang w:val="en-US" w:eastAsia="zh-CN"/>
              </w:rPr>
              <w:t xml:space="preserve"> </w:t>
            </w:r>
            <w:r>
              <w:rPr>
                <w:color w:val="auto"/>
                <w:kern w:val="0"/>
                <w:sz w:val="24"/>
                <w:highlight w:val="none"/>
              </w:rPr>
              <w:t>24小时平均</w:t>
            </w:r>
            <w:r>
              <w:rPr>
                <w:rFonts w:hint="eastAsia"/>
                <w:color w:val="auto"/>
                <w:sz w:val="24"/>
                <w:highlight w:val="none"/>
              </w:rPr>
              <w:t>值满足《环境空气质量标准》（GB</w:t>
            </w:r>
            <w:r>
              <w:rPr>
                <w:rFonts w:hint="eastAsia"/>
                <w:color w:val="auto"/>
                <w:sz w:val="24"/>
                <w:highlight w:val="none"/>
                <w:lang w:val="en-US" w:eastAsia="zh-CN"/>
              </w:rPr>
              <w:t xml:space="preserve"> </w:t>
            </w:r>
            <w:r>
              <w:rPr>
                <w:rFonts w:hint="eastAsia"/>
                <w:color w:val="auto"/>
                <w:sz w:val="24"/>
                <w:highlight w:val="none"/>
              </w:rPr>
              <w:t>3095-2012）</w:t>
            </w:r>
            <w:r>
              <w:rPr>
                <w:rFonts w:hint="eastAsia"/>
                <w:color w:val="auto"/>
                <w:sz w:val="24"/>
                <w:highlight w:val="none"/>
                <w:lang w:val="en-US" w:eastAsia="zh-CN"/>
              </w:rPr>
              <w:t>二</w:t>
            </w:r>
            <w:r>
              <w:rPr>
                <w:rFonts w:hint="eastAsia"/>
                <w:color w:val="auto"/>
                <w:sz w:val="24"/>
                <w:highlight w:val="none"/>
              </w:rPr>
              <w:t>级标准</w:t>
            </w:r>
            <w:r>
              <w:rPr>
                <w:rFonts w:hint="eastAsia"/>
                <w:color w:val="auto"/>
                <w:sz w:val="24"/>
                <w:highlight w:val="none"/>
                <w:lang w:val="en-US" w:eastAsia="zh-CN"/>
              </w:rPr>
              <w:t>限值</w:t>
            </w:r>
            <w:r>
              <w:rPr>
                <w:rFonts w:hint="eastAsia"/>
                <w:color w:val="auto"/>
                <w:sz w:val="24"/>
                <w:highlight w:val="none"/>
              </w:rPr>
              <w:t>。</w:t>
            </w:r>
          </w:p>
          <w:p w14:paraId="16FFC350">
            <w:pPr>
              <w:pStyle w:val="41"/>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二、声环境质量现状</w:t>
            </w:r>
          </w:p>
          <w:p w14:paraId="2CE97D5B">
            <w:pPr>
              <w:pStyle w:val="41"/>
              <w:bidi w:val="0"/>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r>
              <w:rPr>
                <w:rFonts w:hint="eastAsia" w:ascii="Times New Roman" w:hAnsi="Times New Roman" w:eastAsia="宋体" w:cs="Times New Roman"/>
                <w:color w:val="auto"/>
                <w:highlight w:val="none"/>
                <w:lang w:val="en-US" w:eastAsia="zh-CN"/>
              </w:rPr>
              <w:t>监测点位</w:t>
            </w:r>
          </w:p>
          <w:p w14:paraId="347C8117">
            <w:pPr>
              <w:adjustRightInd w:val="0"/>
              <w:snapToGrid w:val="0"/>
              <w:spacing w:line="360" w:lineRule="auto"/>
              <w:ind w:firstLine="480" w:firstLineChars="200"/>
              <w:rPr>
                <w:color w:val="auto"/>
                <w:sz w:val="24"/>
                <w:highlight w:val="none"/>
              </w:rPr>
            </w:pPr>
            <w:r>
              <w:rPr>
                <w:rFonts w:hint="eastAsia" w:ascii="Times New Roman" w:hAnsi="Times New Roman" w:eastAsia="宋体" w:cs="Times New Roman"/>
                <w:color w:val="auto"/>
                <w:sz w:val="24"/>
                <w:szCs w:val="24"/>
                <w:highlight w:val="none"/>
                <w:lang w:eastAsia="zh-CN"/>
              </w:rPr>
              <w:t>项目</w:t>
            </w:r>
            <w:r>
              <w:rPr>
                <w:rFonts w:hint="eastAsia" w:ascii="Times New Roman" w:hAnsi="Times New Roman" w:eastAsia="宋体" w:cs="Times New Roman"/>
                <w:color w:val="auto"/>
                <w:sz w:val="24"/>
                <w:szCs w:val="24"/>
                <w:highlight w:val="none"/>
                <w:lang w:val="en-US" w:eastAsia="zh-CN"/>
              </w:rPr>
              <w:t>在厂址四周</w:t>
            </w:r>
            <w:r>
              <w:rPr>
                <w:rFonts w:hint="default" w:ascii="Times New Roman" w:hAnsi="Times New Roman" w:eastAsia="宋体" w:cs="Times New Roman"/>
                <w:color w:val="auto"/>
                <w:sz w:val="24"/>
                <w:szCs w:val="24"/>
                <w:highlight w:val="none"/>
              </w:rPr>
              <w:t>共计布设</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个噪声监测点</w:t>
            </w:r>
            <w:r>
              <w:rPr>
                <w:rFonts w:hint="eastAsia" w:ascii="Times New Roman" w:hAnsi="Times New Roman" w:eastAsia="宋体" w:cs="Times New Roman"/>
                <w:color w:val="auto"/>
                <w:sz w:val="24"/>
                <w:szCs w:val="24"/>
                <w:highlight w:val="none"/>
                <w:lang w:eastAsia="zh-CN"/>
              </w:rPr>
              <w:t>，</w:t>
            </w:r>
            <w:r>
              <w:rPr>
                <w:rFonts w:hint="eastAsia" w:cs="Times New Roman"/>
                <w:b w:val="0"/>
                <w:bCs w:val="0"/>
                <w:color w:val="auto"/>
                <w:sz w:val="24"/>
                <w:szCs w:val="24"/>
                <w:highlight w:val="none"/>
                <w:vertAlign w:val="baseline"/>
                <w:lang w:val="en-US" w:eastAsia="zh-CN"/>
              </w:rPr>
              <w:t>监测布点见附图6</w:t>
            </w:r>
            <w:r>
              <w:rPr>
                <w:rFonts w:hint="eastAsia" w:ascii="Times New Roman" w:hAnsi="Times New Roman" w:eastAsia="宋体" w:cs="Times New Roman"/>
                <w:color w:val="auto"/>
                <w:sz w:val="24"/>
                <w:szCs w:val="24"/>
                <w:highlight w:val="none"/>
                <w:lang w:val="en-US" w:eastAsia="zh-CN"/>
              </w:rPr>
              <w:t>，</w:t>
            </w:r>
            <w:r>
              <w:rPr>
                <w:rFonts w:hint="eastAsia"/>
                <w:color w:val="auto"/>
                <w:sz w:val="24"/>
                <w:highlight w:val="none"/>
              </w:rPr>
              <w:t>监测报告</w:t>
            </w:r>
            <w:r>
              <w:rPr>
                <w:rFonts w:hint="eastAsia"/>
                <w:color w:val="auto"/>
                <w:sz w:val="24"/>
                <w:highlight w:val="none"/>
                <w:lang w:val="en-US" w:eastAsia="zh-CN"/>
              </w:rPr>
              <w:t>见附件8</w:t>
            </w:r>
            <w:r>
              <w:rPr>
                <w:rFonts w:hint="default" w:ascii="Times New Roman" w:hAnsi="Times New Roman" w:eastAsia="宋体" w:cs="Times New Roman"/>
                <w:color w:val="auto"/>
                <w:sz w:val="24"/>
                <w:szCs w:val="24"/>
                <w:highlight w:val="none"/>
              </w:rPr>
              <w:t>。</w:t>
            </w:r>
          </w:p>
          <w:p w14:paraId="53981588">
            <w:pPr>
              <w:pStyle w:val="41"/>
              <w:bidi w:val="0"/>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w:t>
            </w:r>
            <w:r>
              <w:rPr>
                <w:rFonts w:hint="eastAsia" w:ascii="Times New Roman" w:hAnsi="Times New Roman" w:eastAsia="宋体" w:cs="Times New Roman"/>
                <w:color w:val="auto"/>
                <w:highlight w:val="none"/>
                <w:lang w:val="en-US" w:eastAsia="zh-CN"/>
              </w:rPr>
              <w:t>监测时间及频次</w:t>
            </w:r>
          </w:p>
          <w:p w14:paraId="4DF17D7B">
            <w:pPr>
              <w:adjustRightInd w:val="0"/>
              <w:snapToGrid w:val="0"/>
              <w:spacing w:line="360" w:lineRule="auto"/>
              <w:ind w:firstLine="480" w:firstLineChars="200"/>
              <w:rPr>
                <w:color w:val="auto"/>
                <w:sz w:val="24"/>
                <w:highlight w:val="none"/>
              </w:rPr>
            </w:pPr>
            <w:r>
              <w:rPr>
                <w:rFonts w:hint="eastAsia"/>
                <w:color w:val="auto"/>
                <w:sz w:val="24"/>
                <w:highlight w:val="none"/>
                <w:shd w:val="clear"/>
              </w:rPr>
              <w:t>项目声环境质量现状评价委托北京华成星科检测服务有限公司</w:t>
            </w:r>
            <w:r>
              <w:rPr>
                <w:rFonts w:hint="eastAsia"/>
                <w:color w:val="auto"/>
                <w:sz w:val="24"/>
                <w:highlight w:val="none"/>
              </w:rPr>
              <w:t>对项目</w:t>
            </w:r>
            <w:r>
              <w:rPr>
                <w:rFonts w:hint="eastAsia"/>
                <w:color w:val="auto"/>
                <w:sz w:val="24"/>
                <w:highlight w:val="none"/>
                <w:lang w:val="en-US" w:eastAsia="zh-CN"/>
              </w:rPr>
              <w:t>所在地</w:t>
            </w:r>
            <w:r>
              <w:rPr>
                <w:rFonts w:hint="eastAsia"/>
                <w:color w:val="auto"/>
                <w:sz w:val="24"/>
                <w:highlight w:val="none"/>
              </w:rPr>
              <w:t>进行监测</w:t>
            </w:r>
            <w:r>
              <w:rPr>
                <w:color w:val="auto"/>
                <w:sz w:val="24"/>
                <w:highlight w:val="none"/>
              </w:rPr>
              <w:t>，监测时间为202</w:t>
            </w:r>
            <w:r>
              <w:rPr>
                <w:rFonts w:hint="eastAsia"/>
                <w:color w:val="auto"/>
                <w:sz w:val="24"/>
                <w:highlight w:val="none"/>
                <w:lang w:val="en-US" w:eastAsia="zh-CN"/>
              </w:rPr>
              <w:t>4</w:t>
            </w:r>
            <w:r>
              <w:rPr>
                <w:color w:val="auto"/>
                <w:sz w:val="24"/>
                <w:highlight w:val="none"/>
              </w:rPr>
              <w:t>年</w:t>
            </w:r>
            <w:r>
              <w:rPr>
                <w:rFonts w:hint="eastAsia"/>
                <w:color w:val="auto"/>
                <w:sz w:val="24"/>
                <w:highlight w:val="none"/>
                <w:lang w:val="en-US" w:eastAsia="zh-CN"/>
              </w:rPr>
              <w:t>9</w:t>
            </w:r>
            <w:r>
              <w:rPr>
                <w:color w:val="auto"/>
                <w:sz w:val="24"/>
                <w:highlight w:val="none"/>
              </w:rPr>
              <w:t>月</w:t>
            </w:r>
            <w:r>
              <w:rPr>
                <w:rFonts w:hint="eastAsia"/>
                <w:color w:val="auto"/>
                <w:sz w:val="24"/>
                <w:highlight w:val="none"/>
                <w:lang w:val="en-US" w:eastAsia="zh-CN"/>
              </w:rPr>
              <w:t>1</w:t>
            </w:r>
            <w:r>
              <w:rPr>
                <w:color w:val="auto"/>
                <w:sz w:val="24"/>
                <w:highlight w:val="none"/>
              </w:rPr>
              <w:t>日；监测</w:t>
            </w:r>
            <w:r>
              <w:rPr>
                <w:rFonts w:hint="eastAsia"/>
                <w:color w:val="auto"/>
                <w:sz w:val="24"/>
                <w:highlight w:val="none"/>
                <w:lang w:val="en-US" w:eastAsia="zh-CN"/>
              </w:rPr>
              <w:t>1</w:t>
            </w:r>
            <w:r>
              <w:rPr>
                <w:color w:val="auto"/>
                <w:sz w:val="24"/>
                <w:highlight w:val="none"/>
              </w:rPr>
              <w:t>天，昼间</w:t>
            </w:r>
            <w:r>
              <w:rPr>
                <w:rFonts w:hint="eastAsia"/>
                <w:color w:val="auto"/>
                <w:sz w:val="24"/>
                <w:highlight w:val="none"/>
              </w:rPr>
              <w:t>、夜间各监测1</w:t>
            </w:r>
            <w:r>
              <w:rPr>
                <w:color w:val="auto"/>
                <w:sz w:val="24"/>
                <w:highlight w:val="none"/>
              </w:rPr>
              <w:t>次。</w:t>
            </w:r>
          </w:p>
          <w:p w14:paraId="7F2E2544">
            <w:pPr>
              <w:pStyle w:val="41"/>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eastAsia="zh-CN"/>
              </w:rPr>
              <w:t>分析方法</w:t>
            </w:r>
          </w:p>
          <w:p w14:paraId="4B0AC738">
            <w:pPr>
              <w:bidi w:val="0"/>
              <w:rPr>
                <w:rFonts w:hint="eastAsia"/>
                <w:color w:val="auto"/>
                <w:highlight w:val="none"/>
                <w:lang w:val="en-US" w:eastAsia="zh-CN"/>
              </w:rPr>
            </w:pPr>
            <w:r>
              <w:rPr>
                <w:rFonts w:hint="default"/>
                <w:color w:val="auto"/>
                <w:highlight w:val="none"/>
                <w:lang w:val="en-US" w:eastAsia="zh-CN"/>
              </w:rPr>
              <w:t>监测方法、依据和仪器见</w:t>
            </w:r>
            <w:r>
              <w:rPr>
                <w:rFonts w:hint="eastAsia"/>
                <w:color w:val="auto"/>
                <w:highlight w:val="none"/>
                <w:lang w:val="en-US" w:eastAsia="zh-CN"/>
              </w:rPr>
              <w:fldChar w:fldCharType="begin"/>
            </w:r>
            <w:r>
              <w:rPr>
                <w:rFonts w:hint="eastAsia"/>
                <w:color w:val="auto"/>
                <w:highlight w:val="none"/>
                <w:lang w:val="en-US" w:eastAsia="zh-CN"/>
              </w:rPr>
              <w:instrText xml:space="preserve"> REF _Ref27515 \h </w:instrText>
            </w:r>
            <w:r>
              <w:rPr>
                <w:rFonts w:hint="eastAsia"/>
                <w:color w:val="auto"/>
                <w:highlight w:val="none"/>
                <w:lang w:val="en-US" w:eastAsia="zh-CN"/>
              </w:rPr>
              <w:fldChar w:fldCharType="separate"/>
            </w:r>
            <w:r>
              <w:rPr>
                <w:color w:val="auto"/>
                <w:highlight w:val="none"/>
              </w:rPr>
              <w:t>表3-5</w:t>
            </w:r>
            <w:r>
              <w:rPr>
                <w:rFonts w:hint="eastAsia"/>
                <w:color w:val="auto"/>
                <w:highlight w:val="none"/>
                <w:lang w:val="en-US" w:eastAsia="zh-CN"/>
              </w:rPr>
              <w:fldChar w:fldCharType="end"/>
            </w:r>
            <w:r>
              <w:rPr>
                <w:rFonts w:hint="eastAsia"/>
                <w:color w:val="auto"/>
                <w:highlight w:val="none"/>
                <w:lang w:val="en-US" w:eastAsia="zh-CN"/>
              </w:rPr>
              <w:t>。</w:t>
            </w:r>
          </w:p>
          <w:p w14:paraId="61F4D371">
            <w:pPr>
              <w:pStyle w:val="7"/>
              <w:rPr>
                <w:rFonts w:hint="default"/>
                <w:color w:val="auto"/>
                <w:highlight w:val="none"/>
                <w:lang w:val="en-US" w:eastAsia="zh-CN"/>
              </w:rPr>
            </w:pPr>
            <w:bookmarkStart w:id="39" w:name="_Ref27515"/>
            <w:r>
              <w:rPr>
                <w:color w:val="auto"/>
                <w:highlight w:val="none"/>
              </w:rPr>
              <w:t>表3-</w:t>
            </w:r>
            <w:r>
              <w:rPr>
                <w:color w:val="auto"/>
                <w:highlight w:val="none"/>
              </w:rPr>
              <w:fldChar w:fldCharType="begin"/>
            </w:r>
            <w:r>
              <w:rPr>
                <w:color w:val="auto"/>
                <w:highlight w:val="none"/>
              </w:rPr>
              <w:instrText xml:space="preserve"> SEQ 表3- \* ARABIC </w:instrText>
            </w:r>
            <w:r>
              <w:rPr>
                <w:color w:val="auto"/>
                <w:highlight w:val="none"/>
              </w:rPr>
              <w:fldChar w:fldCharType="separate"/>
            </w:r>
            <w:r>
              <w:rPr>
                <w:color w:val="auto"/>
                <w:highlight w:val="none"/>
              </w:rPr>
              <w:t>5</w:t>
            </w:r>
            <w:r>
              <w:rPr>
                <w:color w:val="auto"/>
                <w:highlight w:val="none"/>
              </w:rPr>
              <w:fldChar w:fldCharType="end"/>
            </w:r>
            <w:bookmarkEnd w:id="39"/>
            <w:r>
              <w:rPr>
                <w:rFonts w:hint="eastAsia"/>
                <w:color w:val="auto"/>
                <w:highlight w:val="none"/>
                <w:lang w:val="en-US" w:eastAsia="zh-CN"/>
              </w:rPr>
              <w:t xml:space="preserve">  监测方法和仪器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737"/>
              <w:gridCol w:w="3017"/>
              <w:gridCol w:w="2517"/>
              <w:gridCol w:w="1003"/>
            </w:tblGrid>
            <w:tr w14:paraId="4E100E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7" w:type="pct"/>
                  <w:tcBorders>
                    <w:tl2br w:val="nil"/>
                    <w:tr2bl w:val="nil"/>
                  </w:tcBorders>
                  <w:noWrap w:val="0"/>
                  <w:vAlign w:val="center"/>
                </w:tcPr>
                <w:p w14:paraId="580E9AFA">
                  <w:pPr>
                    <w:pStyle w:val="40"/>
                    <w:bidi w:val="0"/>
                    <w:rPr>
                      <w:rFonts w:hint="default"/>
                      <w:color w:val="auto"/>
                      <w:highlight w:val="none"/>
                    </w:rPr>
                  </w:pPr>
                  <w:r>
                    <w:rPr>
                      <w:rFonts w:hint="default"/>
                      <w:color w:val="auto"/>
                      <w:highlight w:val="none"/>
                    </w:rPr>
                    <w:t>类别</w:t>
                  </w:r>
                </w:p>
              </w:tc>
              <w:tc>
                <w:tcPr>
                  <w:tcW w:w="441" w:type="pct"/>
                  <w:tcBorders>
                    <w:tl2br w:val="nil"/>
                    <w:tr2bl w:val="nil"/>
                  </w:tcBorders>
                  <w:noWrap w:val="0"/>
                  <w:vAlign w:val="center"/>
                </w:tcPr>
                <w:p w14:paraId="3CBBE3A3">
                  <w:pPr>
                    <w:pStyle w:val="40"/>
                    <w:bidi w:val="0"/>
                    <w:rPr>
                      <w:rFonts w:hint="default"/>
                      <w:color w:val="auto"/>
                      <w:highlight w:val="none"/>
                    </w:rPr>
                  </w:pPr>
                  <w:r>
                    <w:rPr>
                      <w:rFonts w:hint="default"/>
                      <w:color w:val="auto"/>
                      <w:highlight w:val="none"/>
                    </w:rPr>
                    <w:t>项目</w:t>
                  </w:r>
                </w:p>
              </w:tc>
              <w:tc>
                <w:tcPr>
                  <w:tcW w:w="1805" w:type="pct"/>
                  <w:tcBorders>
                    <w:tl2br w:val="nil"/>
                    <w:tr2bl w:val="nil"/>
                  </w:tcBorders>
                  <w:noWrap w:val="0"/>
                  <w:vAlign w:val="center"/>
                </w:tcPr>
                <w:p w14:paraId="799D76B3">
                  <w:pPr>
                    <w:pStyle w:val="40"/>
                    <w:bidi w:val="0"/>
                    <w:rPr>
                      <w:rFonts w:hint="default"/>
                      <w:color w:val="auto"/>
                      <w:highlight w:val="none"/>
                    </w:rPr>
                  </w:pPr>
                  <w:r>
                    <w:rPr>
                      <w:rFonts w:hint="default"/>
                      <w:color w:val="auto"/>
                      <w:highlight w:val="none"/>
                    </w:rPr>
                    <w:t>监测方法及依据</w:t>
                  </w:r>
                </w:p>
              </w:tc>
              <w:tc>
                <w:tcPr>
                  <w:tcW w:w="1506" w:type="pct"/>
                  <w:tcBorders>
                    <w:tl2br w:val="nil"/>
                    <w:tr2bl w:val="nil"/>
                  </w:tcBorders>
                  <w:noWrap w:val="0"/>
                  <w:vAlign w:val="center"/>
                </w:tcPr>
                <w:p w14:paraId="7F858CE8">
                  <w:pPr>
                    <w:pStyle w:val="40"/>
                    <w:bidi w:val="0"/>
                    <w:rPr>
                      <w:rFonts w:hint="default"/>
                      <w:color w:val="auto"/>
                      <w:highlight w:val="none"/>
                    </w:rPr>
                  </w:pPr>
                  <w:r>
                    <w:rPr>
                      <w:rFonts w:hint="default"/>
                      <w:color w:val="auto"/>
                      <w:highlight w:val="none"/>
                    </w:rPr>
                    <w:t>监测仪器</w:t>
                  </w:r>
                </w:p>
              </w:tc>
              <w:tc>
                <w:tcPr>
                  <w:tcW w:w="600" w:type="pct"/>
                  <w:tcBorders>
                    <w:tl2br w:val="nil"/>
                    <w:tr2bl w:val="nil"/>
                  </w:tcBorders>
                  <w:noWrap w:val="0"/>
                  <w:vAlign w:val="center"/>
                </w:tcPr>
                <w:p w14:paraId="669B5FB8">
                  <w:pPr>
                    <w:pStyle w:val="40"/>
                    <w:bidi w:val="0"/>
                    <w:rPr>
                      <w:rFonts w:hint="default"/>
                      <w:color w:val="auto"/>
                      <w:highlight w:val="none"/>
                    </w:rPr>
                  </w:pPr>
                  <w:r>
                    <w:rPr>
                      <w:rFonts w:hint="default"/>
                      <w:color w:val="auto"/>
                      <w:highlight w:val="none"/>
                    </w:rPr>
                    <w:t>检出限</w:t>
                  </w:r>
                </w:p>
              </w:tc>
            </w:tr>
            <w:tr w14:paraId="0B3AD5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7" w:type="pct"/>
                  <w:tcBorders>
                    <w:tl2br w:val="nil"/>
                    <w:tr2bl w:val="nil"/>
                  </w:tcBorders>
                  <w:noWrap w:val="0"/>
                  <w:vAlign w:val="center"/>
                </w:tcPr>
                <w:p w14:paraId="41D729C0">
                  <w:pPr>
                    <w:pStyle w:val="40"/>
                    <w:bidi w:val="0"/>
                    <w:rPr>
                      <w:rFonts w:hint="default" w:eastAsia="宋体"/>
                      <w:color w:val="auto"/>
                      <w:highlight w:val="none"/>
                      <w:lang w:val="en-US" w:eastAsia="zh-CN"/>
                    </w:rPr>
                  </w:pPr>
                  <w:r>
                    <w:rPr>
                      <w:rFonts w:hint="eastAsia"/>
                      <w:color w:val="auto"/>
                      <w:highlight w:val="none"/>
                      <w:lang w:val="en-US" w:eastAsia="zh-CN"/>
                    </w:rPr>
                    <w:t>噪声</w:t>
                  </w:r>
                </w:p>
              </w:tc>
              <w:tc>
                <w:tcPr>
                  <w:tcW w:w="441" w:type="pct"/>
                  <w:tcBorders>
                    <w:tl2br w:val="nil"/>
                    <w:tr2bl w:val="nil"/>
                  </w:tcBorders>
                  <w:noWrap w:val="0"/>
                  <w:vAlign w:val="center"/>
                </w:tcPr>
                <w:p w14:paraId="560FC3A4">
                  <w:pPr>
                    <w:pStyle w:val="40"/>
                    <w:bidi w:val="0"/>
                    <w:rPr>
                      <w:rFonts w:hint="eastAsia" w:eastAsia="宋体"/>
                      <w:color w:val="auto"/>
                      <w:highlight w:val="none"/>
                      <w:lang w:eastAsia="zh-CN"/>
                    </w:rPr>
                  </w:pPr>
                  <w:r>
                    <w:rPr>
                      <w:rFonts w:hint="eastAsia"/>
                      <w:color w:val="auto"/>
                      <w:highlight w:val="none"/>
                      <w:lang w:val="en-US" w:eastAsia="zh-CN"/>
                    </w:rPr>
                    <w:t>环境噪声</w:t>
                  </w:r>
                </w:p>
              </w:tc>
              <w:tc>
                <w:tcPr>
                  <w:tcW w:w="1805" w:type="pct"/>
                  <w:tcBorders>
                    <w:tl2br w:val="nil"/>
                    <w:tr2bl w:val="nil"/>
                  </w:tcBorders>
                  <w:noWrap w:val="0"/>
                  <w:vAlign w:val="center"/>
                </w:tcPr>
                <w:p w14:paraId="26C958DE">
                  <w:pPr>
                    <w:pStyle w:val="40"/>
                    <w:bidi w:val="0"/>
                    <w:rPr>
                      <w:rFonts w:hint="default"/>
                      <w:color w:val="auto"/>
                      <w:highlight w:val="none"/>
                      <w:lang w:val="en-US" w:eastAsia="zh-CN"/>
                    </w:rPr>
                  </w:pPr>
                  <w:r>
                    <w:rPr>
                      <w:rFonts w:hint="default"/>
                      <w:color w:val="auto"/>
                      <w:highlight w:val="none"/>
                      <w:lang w:val="en-US" w:eastAsia="zh-CN"/>
                    </w:rPr>
                    <w:t>《声环境质量标准》</w:t>
                  </w:r>
                  <w:r>
                    <w:rPr>
                      <w:rFonts w:hint="eastAsia"/>
                      <w:color w:val="auto"/>
                      <w:highlight w:val="none"/>
                      <w:lang w:val="en-US" w:eastAsia="zh-CN"/>
                    </w:rPr>
                    <w:t>（</w:t>
                  </w:r>
                  <w:r>
                    <w:rPr>
                      <w:rFonts w:hint="default"/>
                      <w:color w:val="auto"/>
                      <w:highlight w:val="none"/>
                      <w:lang w:val="en-US" w:eastAsia="zh-CN"/>
                    </w:rPr>
                    <w:t>GB 3096-2008</w:t>
                  </w:r>
                  <w:r>
                    <w:rPr>
                      <w:rFonts w:hint="eastAsia"/>
                      <w:color w:val="auto"/>
                      <w:highlight w:val="none"/>
                      <w:lang w:val="en-US" w:eastAsia="zh-CN"/>
                    </w:rPr>
                    <w:t>）</w:t>
                  </w:r>
                </w:p>
              </w:tc>
              <w:tc>
                <w:tcPr>
                  <w:tcW w:w="1506" w:type="pct"/>
                  <w:tcBorders>
                    <w:tl2br w:val="nil"/>
                    <w:tr2bl w:val="nil"/>
                  </w:tcBorders>
                  <w:shd w:val="clear" w:color="auto" w:fill="auto"/>
                  <w:noWrap w:val="0"/>
                  <w:vAlign w:val="center"/>
                </w:tcPr>
                <w:p w14:paraId="57ED28E1">
                  <w:pPr>
                    <w:pStyle w:val="40"/>
                    <w:bidi w:val="0"/>
                    <w:rPr>
                      <w:color w:val="auto"/>
                      <w:highlight w:val="none"/>
                    </w:rPr>
                  </w:pPr>
                  <w:r>
                    <w:rPr>
                      <w:color w:val="auto"/>
                      <w:highlight w:val="none"/>
                    </w:rPr>
                    <w:t>多功能声级计</w:t>
                  </w:r>
                </w:p>
                <w:p w14:paraId="2A11184E">
                  <w:pPr>
                    <w:pStyle w:val="40"/>
                    <w:bidi w:val="0"/>
                    <w:rPr>
                      <w:rFonts w:hint="default"/>
                      <w:color w:val="auto"/>
                      <w:highlight w:val="none"/>
                      <w:lang w:val="en-US" w:eastAsia="zh-CN"/>
                    </w:rPr>
                  </w:pPr>
                  <w:r>
                    <w:rPr>
                      <w:color w:val="auto"/>
                      <w:highlight w:val="none"/>
                    </w:rPr>
                    <w:t>AWA5688</w:t>
                  </w:r>
                  <w:r>
                    <w:rPr>
                      <w:rFonts w:hint="eastAsia"/>
                      <w:color w:val="auto"/>
                      <w:highlight w:val="none"/>
                    </w:rPr>
                    <w:t>、</w:t>
                  </w:r>
                  <w:r>
                    <w:rPr>
                      <w:color w:val="auto"/>
                      <w:highlight w:val="none"/>
                    </w:rPr>
                    <w:t>YQ-</w:t>
                  </w:r>
                  <w:r>
                    <w:rPr>
                      <w:rFonts w:hint="eastAsia"/>
                      <w:color w:val="auto"/>
                      <w:highlight w:val="none"/>
                      <w:lang w:val="en-US" w:eastAsia="zh-CN"/>
                    </w:rPr>
                    <w:t>255</w:t>
                  </w:r>
                </w:p>
                <w:p w14:paraId="20FE290A">
                  <w:pPr>
                    <w:pStyle w:val="40"/>
                    <w:bidi w:val="0"/>
                    <w:rPr>
                      <w:color w:val="auto"/>
                      <w:highlight w:val="none"/>
                    </w:rPr>
                  </w:pPr>
                  <w:r>
                    <w:rPr>
                      <w:color w:val="auto"/>
                      <w:highlight w:val="none"/>
                    </w:rPr>
                    <w:t>声校准器</w:t>
                  </w:r>
                </w:p>
                <w:p w14:paraId="2ACEFE05">
                  <w:pPr>
                    <w:pStyle w:val="40"/>
                    <w:bidi w:val="0"/>
                    <w:rPr>
                      <w:rFonts w:hint="default"/>
                      <w:color w:val="auto"/>
                      <w:highlight w:val="none"/>
                      <w:lang w:val="en-US" w:eastAsia="zh-CN"/>
                    </w:rPr>
                  </w:pPr>
                  <w:r>
                    <w:rPr>
                      <w:color w:val="auto"/>
                      <w:highlight w:val="none"/>
                    </w:rPr>
                    <w:t>AWA6022A</w:t>
                  </w:r>
                  <w:r>
                    <w:rPr>
                      <w:rFonts w:hint="eastAsia"/>
                      <w:color w:val="auto"/>
                      <w:highlight w:val="none"/>
                    </w:rPr>
                    <w:t>、</w:t>
                  </w:r>
                  <w:r>
                    <w:rPr>
                      <w:color w:val="auto"/>
                      <w:highlight w:val="none"/>
                    </w:rPr>
                    <w:t>YQ-</w:t>
                  </w:r>
                  <w:r>
                    <w:rPr>
                      <w:rFonts w:hint="eastAsia"/>
                      <w:color w:val="auto"/>
                      <w:highlight w:val="none"/>
                      <w:lang w:val="en-US" w:eastAsia="zh-CN"/>
                    </w:rPr>
                    <w:t>256</w:t>
                  </w:r>
                </w:p>
              </w:tc>
              <w:tc>
                <w:tcPr>
                  <w:tcW w:w="600" w:type="pct"/>
                  <w:tcBorders>
                    <w:tl2br w:val="nil"/>
                    <w:tr2bl w:val="nil"/>
                  </w:tcBorders>
                  <w:noWrap w:val="0"/>
                  <w:vAlign w:val="center"/>
                </w:tcPr>
                <w:p w14:paraId="025872B2">
                  <w:pPr>
                    <w:pStyle w:val="40"/>
                    <w:bidi w:val="0"/>
                    <w:rPr>
                      <w:rFonts w:hint="default" w:eastAsia="宋体"/>
                      <w:color w:val="auto"/>
                      <w:highlight w:val="none"/>
                      <w:lang w:val="en-US" w:eastAsia="zh-CN"/>
                    </w:rPr>
                  </w:pPr>
                  <w:r>
                    <w:rPr>
                      <w:rFonts w:hint="eastAsia"/>
                      <w:color w:val="auto"/>
                      <w:highlight w:val="none"/>
                      <w:lang w:val="en-US" w:eastAsia="zh-CN"/>
                    </w:rPr>
                    <w:t>/</w:t>
                  </w:r>
                </w:p>
              </w:tc>
            </w:tr>
          </w:tbl>
          <w:p w14:paraId="75167D95">
            <w:pPr>
              <w:pStyle w:val="41"/>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评价标准</w:t>
            </w:r>
          </w:p>
          <w:p w14:paraId="29760885">
            <w:pPr>
              <w:adjustRightInd w:val="0"/>
              <w:snapToGrid w:val="0"/>
              <w:spacing w:line="360" w:lineRule="auto"/>
              <w:ind w:firstLine="480" w:firstLineChars="200"/>
              <w:rPr>
                <w:color w:val="auto"/>
                <w:sz w:val="24"/>
                <w:highlight w:val="none"/>
              </w:rPr>
            </w:pPr>
            <w:r>
              <w:rPr>
                <w:rFonts w:hint="eastAsia"/>
                <w:color w:val="auto"/>
                <w:highlight w:val="none"/>
              </w:rPr>
              <w:t>项目所在区域为</w:t>
            </w:r>
            <w:r>
              <w:rPr>
                <w:rFonts w:hint="eastAsia"/>
                <w:color w:val="auto"/>
                <w:highlight w:val="none"/>
                <w:lang w:val="en-US" w:eastAsia="zh-CN"/>
              </w:rPr>
              <w:t>3</w:t>
            </w:r>
            <w:r>
              <w:rPr>
                <w:rFonts w:hint="eastAsia"/>
                <w:color w:val="auto"/>
                <w:highlight w:val="none"/>
              </w:rPr>
              <w:t>类声环境功能区，</w:t>
            </w:r>
            <w:r>
              <w:rPr>
                <w:color w:val="auto"/>
                <w:sz w:val="24"/>
                <w:highlight w:val="none"/>
              </w:rPr>
              <w:t>执行《声环境质量标准》（GB</w:t>
            </w:r>
            <w:r>
              <w:rPr>
                <w:rFonts w:hint="eastAsia"/>
                <w:color w:val="auto"/>
                <w:sz w:val="24"/>
                <w:highlight w:val="none"/>
                <w:lang w:val="en-US" w:eastAsia="zh-CN"/>
              </w:rPr>
              <w:t xml:space="preserve"> </w:t>
            </w:r>
            <w:r>
              <w:rPr>
                <w:color w:val="auto"/>
                <w:sz w:val="24"/>
                <w:highlight w:val="none"/>
              </w:rPr>
              <w:t>3096-2008）中</w:t>
            </w:r>
            <w:r>
              <w:rPr>
                <w:rFonts w:hint="eastAsia"/>
                <w:color w:val="auto"/>
                <w:sz w:val="24"/>
                <w:highlight w:val="none"/>
                <w:lang w:val="en-US" w:eastAsia="zh-CN"/>
              </w:rPr>
              <w:t>3</w:t>
            </w:r>
            <w:r>
              <w:rPr>
                <w:color w:val="auto"/>
                <w:sz w:val="24"/>
                <w:highlight w:val="none"/>
              </w:rPr>
              <w:t>类区标准，昼间噪声限值为</w:t>
            </w:r>
            <w:r>
              <w:rPr>
                <w:rFonts w:hint="eastAsia"/>
                <w:color w:val="auto"/>
                <w:sz w:val="24"/>
                <w:highlight w:val="none"/>
                <w:lang w:val="en-US" w:eastAsia="zh-CN"/>
              </w:rPr>
              <w:t>65</w:t>
            </w:r>
            <w:r>
              <w:rPr>
                <w:color w:val="auto"/>
                <w:highlight w:val="none"/>
                <w:lang w:val="en-US" w:eastAsia="zh-CN"/>
              </w:rPr>
              <w:t>dB</w:t>
            </w:r>
            <w:r>
              <w:rPr>
                <w:rFonts w:hint="eastAsia"/>
                <w:color w:val="auto"/>
                <w:highlight w:val="none"/>
                <w:lang w:val="en-US" w:eastAsia="zh-CN"/>
              </w:rPr>
              <w:t>（A）</w:t>
            </w:r>
            <w:r>
              <w:rPr>
                <w:color w:val="auto"/>
                <w:sz w:val="24"/>
                <w:highlight w:val="none"/>
              </w:rPr>
              <w:t>，夜间噪声限值为</w:t>
            </w:r>
            <w:r>
              <w:rPr>
                <w:rFonts w:hint="eastAsia"/>
                <w:color w:val="auto"/>
                <w:sz w:val="24"/>
                <w:highlight w:val="none"/>
                <w:lang w:val="en-US" w:eastAsia="zh-CN"/>
              </w:rPr>
              <w:t>55</w:t>
            </w:r>
            <w:r>
              <w:rPr>
                <w:color w:val="auto"/>
                <w:highlight w:val="none"/>
                <w:lang w:val="en-US" w:eastAsia="zh-CN"/>
              </w:rPr>
              <w:t>dB</w:t>
            </w:r>
            <w:r>
              <w:rPr>
                <w:rFonts w:hint="eastAsia"/>
                <w:color w:val="auto"/>
                <w:highlight w:val="none"/>
                <w:lang w:val="en-US" w:eastAsia="zh-CN"/>
              </w:rPr>
              <w:t>（A）</w:t>
            </w:r>
            <w:r>
              <w:rPr>
                <w:color w:val="auto"/>
                <w:sz w:val="24"/>
                <w:highlight w:val="none"/>
              </w:rPr>
              <w:t>。</w:t>
            </w:r>
          </w:p>
          <w:p w14:paraId="44754C8B">
            <w:pPr>
              <w:pStyle w:val="41"/>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监测结果分析及评价</w:t>
            </w:r>
          </w:p>
          <w:p w14:paraId="65293975">
            <w:pPr>
              <w:adjustRightInd w:val="0"/>
              <w:snapToGrid w:val="0"/>
              <w:spacing w:line="360" w:lineRule="auto"/>
              <w:ind w:firstLine="480" w:firstLineChars="200"/>
              <w:rPr>
                <w:rFonts w:hint="eastAsia" w:eastAsia="宋体"/>
                <w:color w:val="auto"/>
                <w:sz w:val="24"/>
                <w:highlight w:val="none"/>
                <w:lang w:eastAsia="zh-CN"/>
              </w:rPr>
            </w:pPr>
            <w:r>
              <w:rPr>
                <w:color w:val="auto"/>
                <w:sz w:val="24"/>
                <w:highlight w:val="none"/>
              </w:rPr>
              <w:t>声环境质量现状监测结果见</w:t>
            </w:r>
            <w:r>
              <w:rPr>
                <w:color w:val="auto"/>
                <w:sz w:val="24"/>
                <w:highlight w:val="none"/>
              </w:rPr>
              <w:fldChar w:fldCharType="begin"/>
            </w:r>
            <w:r>
              <w:rPr>
                <w:color w:val="auto"/>
                <w:sz w:val="24"/>
                <w:highlight w:val="none"/>
              </w:rPr>
              <w:instrText xml:space="preserve"> REF _Ref2803 \h </w:instrText>
            </w:r>
            <w:r>
              <w:rPr>
                <w:color w:val="auto"/>
                <w:sz w:val="24"/>
                <w:highlight w:val="none"/>
              </w:rPr>
              <w:fldChar w:fldCharType="separate"/>
            </w:r>
            <w:r>
              <w:rPr>
                <w:color w:val="auto"/>
                <w:highlight w:val="none"/>
              </w:rPr>
              <w:t>表3-5</w:t>
            </w:r>
            <w:r>
              <w:rPr>
                <w:color w:val="auto"/>
                <w:sz w:val="24"/>
                <w:highlight w:val="none"/>
              </w:rPr>
              <w:fldChar w:fldCharType="end"/>
            </w:r>
            <w:r>
              <w:rPr>
                <w:rFonts w:hint="eastAsia"/>
                <w:color w:val="auto"/>
                <w:sz w:val="24"/>
                <w:highlight w:val="none"/>
                <w:lang w:eastAsia="zh-CN"/>
              </w:rPr>
              <w:t>，</w:t>
            </w:r>
            <w:r>
              <w:rPr>
                <w:color w:val="auto"/>
                <w:sz w:val="24"/>
                <w:highlight w:val="none"/>
              </w:rPr>
              <w:t>项目</w:t>
            </w:r>
            <w:r>
              <w:rPr>
                <w:rFonts w:hint="eastAsia"/>
                <w:color w:val="auto"/>
                <w:sz w:val="24"/>
                <w:highlight w:val="none"/>
              </w:rPr>
              <w:t>厂界</w:t>
            </w:r>
            <w:r>
              <w:rPr>
                <w:color w:val="auto"/>
                <w:sz w:val="24"/>
                <w:highlight w:val="none"/>
              </w:rPr>
              <w:t>昼间声级范围</w:t>
            </w:r>
            <w:r>
              <w:rPr>
                <w:rFonts w:hint="eastAsia"/>
                <w:color w:val="auto"/>
                <w:sz w:val="24"/>
                <w:highlight w:val="none"/>
                <w:lang w:val="en-US" w:eastAsia="zh-CN"/>
              </w:rPr>
              <w:t>为47~50</w:t>
            </w:r>
            <w:r>
              <w:rPr>
                <w:color w:val="auto"/>
                <w:highlight w:val="none"/>
                <w:lang w:val="en-US" w:eastAsia="zh-CN"/>
              </w:rPr>
              <w:t>dB</w:t>
            </w:r>
            <w:r>
              <w:rPr>
                <w:rFonts w:hint="eastAsia"/>
                <w:color w:val="auto"/>
                <w:highlight w:val="none"/>
                <w:lang w:val="en-US" w:eastAsia="zh-CN"/>
              </w:rPr>
              <w:t>（A）</w:t>
            </w:r>
            <w:r>
              <w:rPr>
                <w:rFonts w:hint="eastAsia"/>
                <w:color w:val="auto"/>
                <w:sz w:val="24"/>
                <w:highlight w:val="none"/>
                <w:lang w:eastAsia="zh-CN"/>
              </w:rPr>
              <w:t>；</w:t>
            </w:r>
            <w:r>
              <w:rPr>
                <w:rFonts w:hint="eastAsia"/>
                <w:color w:val="auto"/>
                <w:sz w:val="24"/>
                <w:highlight w:val="none"/>
                <w:lang w:val="en-US" w:eastAsia="zh-CN"/>
              </w:rPr>
              <w:t>根据建设单位提供原始数据可知，</w:t>
            </w:r>
            <w:r>
              <w:rPr>
                <w:rFonts w:hint="eastAsia"/>
                <w:color w:val="auto"/>
                <w:highlight w:val="none"/>
                <w:lang w:val="en-US" w:eastAsia="zh-CN"/>
              </w:rPr>
              <w:t>夜间噪声范围在41.5~42.4</w:t>
            </w:r>
            <w:r>
              <w:rPr>
                <w:color w:val="auto"/>
                <w:highlight w:val="none"/>
                <w:lang w:val="en-US" w:eastAsia="zh-CN"/>
              </w:rPr>
              <w:t>dB</w:t>
            </w:r>
            <w:r>
              <w:rPr>
                <w:rFonts w:hint="eastAsia"/>
                <w:color w:val="auto"/>
                <w:highlight w:val="none"/>
                <w:lang w:val="en-US" w:eastAsia="zh-CN"/>
              </w:rPr>
              <w:t>（A），根据生态环境部“关于噪声结果保留位数的回复”修约至个位数后，</w:t>
            </w:r>
            <w:r>
              <w:rPr>
                <w:color w:val="auto"/>
                <w:sz w:val="24"/>
                <w:highlight w:val="none"/>
              </w:rPr>
              <w:t>夜间声级</w:t>
            </w:r>
            <w:r>
              <w:rPr>
                <w:rFonts w:hint="eastAsia"/>
                <w:color w:val="auto"/>
                <w:sz w:val="24"/>
                <w:highlight w:val="none"/>
                <w:lang w:val="en-US" w:eastAsia="zh-CN"/>
              </w:rPr>
              <w:t>均</w:t>
            </w:r>
            <w:r>
              <w:rPr>
                <w:color w:val="auto"/>
                <w:sz w:val="24"/>
                <w:highlight w:val="none"/>
              </w:rPr>
              <w:t>为</w:t>
            </w:r>
            <w:r>
              <w:rPr>
                <w:rFonts w:hint="eastAsia"/>
                <w:color w:val="auto"/>
                <w:sz w:val="24"/>
                <w:highlight w:val="none"/>
                <w:shd w:val="clear"/>
                <w:lang w:val="en-US" w:eastAsia="zh-CN"/>
              </w:rPr>
              <w:t>42</w:t>
            </w:r>
            <w:r>
              <w:rPr>
                <w:color w:val="auto"/>
                <w:highlight w:val="none"/>
                <w:lang w:val="en-US" w:eastAsia="zh-CN"/>
              </w:rPr>
              <w:t>dB</w:t>
            </w:r>
            <w:r>
              <w:rPr>
                <w:rFonts w:hint="eastAsia"/>
                <w:color w:val="auto"/>
                <w:highlight w:val="none"/>
                <w:lang w:val="en-US" w:eastAsia="zh-CN"/>
              </w:rPr>
              <w:t>（A）</w:t>
            </w:r>
            <w:r>
              <w:rPr>
                <w:color w:val="auto"/>
                <w:sz w:val="24"/>
                <w:highlight w:val="none"/>
              </w:rPr>
              <w:t>，满足《声环境质量标准》（GB</w:t>
            </w:r>
            <w:r>
              <w:rPr>
                <w:rFonts w:hint="eastAsia"/>
                <w:color w:val="auto"/>
                <w:sz w:val="24"/>
                <w:highlight w:val="none"/>
                <w:lang w:val="en-US" w:eastAsia="zh-CN"/>
              </w:rPr>
              <w:t xml:space="preserve"> </w:t>
            </w:r>
            <w:r>
              <w:rPr>
                <w:color w:val="auto"/>
                <w:sz w:val="24"/>
                <w:highlight w:val="none"/>
              </w:rPr>
              <w:t>3096-2008）中</w:t>
            </w:r>
            <w:r>
              <w:rPr>
                <w:rFonts w:hint="eastAsia"/>
                <w:color w:val="auto"/>
                <w:sz w:val="24"/>
                <w:highlight w:val="none"/>
                <w:lang w:val="en-US" w:eastAsia="zh-CN"/>
              </w:rPr>
              <w:t>3</w:t>
            </w:r>
            <w:r>
              <w:rPr>
                <w:color w:val="auto"/>
                <w:sz w:val="24"/>
                <w:highlight w:val="none"/>
              </w:rPr>
              <w:t>类区标准限值</w:t>
            </w:r>
            <w:r>
              <w:rPr>
                <w:rFonts w:hint="eastAsia"/>
                <w:color w:val="auto"/>
                <w:sz w:val="24"/>
                <w:highlight w:val="none"/>
              </w:rPr>
              <w:t>，</w:t>
            </w:r>
            <w:r>
              <w:rPr>
                <w:color w:val="auto"/>
                <w:sz w:val="24"/>
                <w:highlight w:val="none"/>
              </w:rPr>
              <w:t>声环境质量现状良好。</w:t>
            </w:r>
          </w:p>
          <w:p w14:paraId="6C19D063">
            <w:pPr>
              <w:pStyle w:val="7"/>
              <w:bidi w:val="0"/>
              <w:rPr>
                <w:color w:val="auto"/>
                <w:highlight w:val="none"/>
              </w:rPr>
            </w:pPr>
            <w:bookmarkStart w:id="40" w:name="_Ref2803"/>
            <w:r>
              <w:rPr>
                <w:color w:val="auto"/>
                <w:highlight w:val="none"/>
              </w:rPr>
              <w:t>表3-</w:t>
            </w:r>
            <w:r>
              <w:rPr>
                <w:color w:val="auto"/>
                <w:highlight w:val="none"/>
              </w:rPr>
              <w:fldChar w:fldCharType="begin"/>
            </w:r>
            <w:r>
              <w:rPr>
                <w:color w:val="auto"/>
                <w:highlight w:val="none"/>
              </w:rPr>
              <w:instrText xml:space="preserve"> SEQ 表3- \* ARABIC </w:instrText>
            </w:r>
            <w:r>
              <w:rPr>
                <w:color w:val="auto"/>
                <w:highlight w:val="none"/>
              </w:rPr>
              <w:fldChar w:fldCharType="separate"/>
            </w:r>
            <w:r>
              <w:rPr>
                <w:color w:val="auto"/>
                <w:highlight w:val="none"/>
              </w:rPr>
              <w:t>6</w:t>
            </w:r>
            <w:r>
              <w:rPr>
                <w:color w:val="auto"/>
                <w:highlight w:val="none"/>
              </w:rPr>
              <w:fldChar w:fldCharType="end"/>
            </w:r>
            <w:bookmarkEnd w:id="40"/>
            <w:r>
              <w:rPr>
                <w:color w:val="auto"/>
                <w:highlight w:val="none"/>
              </w:rPr>
              <w:t xml:space="preserve">  声环境质量现状监测结果 单位：</w:t>
            </w:r>
            <w:r>
              <w:rPr>
                <w:color w:val="auto"/>
                <w:highlight w:val="none"/>
                <w:lang w:val="en-US" w:eastAsia="zh-CN"/>
              </w:rPr>
              <w:t>dB</w:t>
            </w:r>
            <w:r>
              <w:rPr>
                <w:rFonts w:hint="eastAsia"/>
                <w:color w:val="auto"/>
                <w:highlight w:val="none"/>
                <w:lang w:val="en-US" w:eastAsia="zh-CN"/>
              </w:rPr>
              <w:t>（A）</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0"/>
              <w:gridCol w:w="771"/>
              <w:gridCol w:w="1313"/>
              <w:gridCol w:w="1262"/>
              <w:gridCol w:w="926"/>
              <w:gridCol w:w="1336"/>
              <w:gridCol w:w="926"/>
              <w:gridCol w:w="1151"/>
            </w:tblGrid>
            <w:tr w14:paraId="3DE5D2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1" w:type="pct"/>
                  <w:tcBorders>
                    <w:tl2br w:val="nil"/>
                    <w:tr2bl w:val="nil"/>
                  </w:tcBorders>
                  <w:noWrap w:val="0"/>
                  <w:vAlign w:val="center"/>
                </w:tcPr>
                <w:p w14:paraId="4B1BE1FA">
                  <w:pPr>
                    <w:pStyle w:val="40"/>
                    <w:bidi w:val="0"/>
                    <w:rPr>
                      <w:color w:val="auto"/>
                      <w:highlight w:val="none"/>
                    </w:rPr>
                  </w:pPr>
                  <w:r>
                    <w:rPr>
                      <w:color w:val="auto"/>
                      <w:highlight w:val="none"/>
                    </w:rPr>
                    <w:t>编号</w:t>
                  </w:r>
                </w:p>
              </w:tc>
              <w:tc>
                <w:tcPr>
                  <w:tcW w:w="461" w:type="pct"/>
                  <w:tcBorders>
                    <w:tl2br w:val="nil"/>
                    <w:tr2bl w:val="nil"/>
                  </w:tcBorders>
                  <w:noWrap w:val="0"/>
                  <w:vAlign w:val="center"/>
                </w:tcPr>
                <w:p w14:paraId="505712A4">
                  <w:pPr>
                    <w:pStyle w:val="40"/>
                    <w:bidi w:val="0"/>
                    <w:rPr>
                      <w:color w:val="auto"/>
                      <w:highlight w:val="none"/>
                    </w:rPr>
                  </w:pPr>
                  <w:r>
                    <w:rPr>
                      <w:color w:val="auto"/>
                      <w:highlight w:val="none"/>
                    </w:rPr>
                    <w:t>类别</w:t>
                  </w:r>
                </w:p>
              </w:tc>
              <w:tc>
                <w:tcPr>
                  <w:tcW w:w="785" w:type="pct"/>
                  <w:tcBorders>
                    <w:tl2br w:val="nil"/>
                    <w:tr2bl w:val="nil"/>
                  </w:tcBorders>
                  <w:noWrap w:val="0"/>
                  <w:vAlign w:val="center"/>
                </w:tcPr>
                <w:p w14:paraId="329C520A">
                  <w:pPr>
                    <w:pStyle w:val="40"/>
                    <w:bidi w:val="0"/>
                    <w:rPr>
                      <w:color w:val="auto"/>
                      <w:highlight w:val="none"/>
                    </w:rPr>
                  </w:pPr>
                  <w:r>
                    <w:rPr>
                      <w:color w:val="auto"/>
                      <w:highlight w:val="none"/>
                    </w:rPr>
                    <w:t>监测点位</w:t>
                  </w:r>
                </w:p>
              </w:tc>
              <w:tc>
                <w:tcPr>
                  <w:tcW w:w="755" w:type="pct"/>
                  <w:tcBorders>
                    <w:tl2br w:val="nil"/>
                    <w:tr2bl w:val="nil"/>
                  </w:tcBorders>
                  <w:noWrap w:val="0"/>
                  <w:vAlign w:val="center"/>
                </w:tcPr>
                <w:p w14:paraId="0EA93941">
                  <w:pPr>
                    <w:pStyle w:val="40"/>
                    <w:bidi w:val="0"/>
                    <w:rPr>
                      <w:color w:val="auto"/>
                      <w:highlight w:val="none"/>
                    </w:rPr>
                  </w:pPr>
                  <w:r>
                    <w:rPr>
                      <w:color w:val="auto"/>
                      <w:highlight w:val="none"/>
                    </w:rPr>
                    <w:t>昼间（L</w:t>
                  </w:r>
                  <w:r>
                    <w:rPr>
                      <w:color w:val="auto"/>
                      <w:highlight w:val="none"/>
                      <w:vertAlign w:val="subscript"/>
                    </w:rPr>
                    <w:t>eq</w:t>
                  </w:r>
                  <w:r>
                    <w:rPr>
                      <w:color w:val="auto"/>
                      <w:highlight w:val="none"/>
                    </w:rPr>
                    <w:t>）</w:t>
                  </w:r>
                </w:p>
              </w:tc>
              <w:tc>
                <w:tcPr>
                  <w:tcW w:w="554" w:type="pct"/>
                  <w:tcBorders>
                    <w:tl2br w:val="nil"/>
                    <w:tr2bl w:val="nil"/>
                  </w:tcBorders>
                  <w:noWrap w:val="0"/>
                  <w:vAlign w:val="center"/>
                </w:tcPr>
                <w:p w14:paraId="4C2B2B82">
                  <w:pPr>
                    <w:pStyle w:val="40"/>
                    <w:bidi w:val="0"/>
                    <w:rPr>
                      <w:color w:val="auto"/>
                      <w:highlight w:val="none"/>
                    </w:rPr>
                  </w:pPr>
                  <w:r>
                    <w:rPr>
                      <w:color w:val="auto"/>
                      <w:highlight w:val="none"/>
                    </w:rPr>
                    <w:t>标准值</w:t>
                  </w:r>
                </w:p>
              </w:tc>
              <w:tc>
                <w:tcPr>
                  <w:tcW w:w="799" w:type="pct"/>
                  <w:tcBorders>
                    <w:tl2br w:val="nil"/>
                    <w:tr2bl w:val="nil"/>
                  </w:tcBorders>
                  <w:noWrap w:val="0"/>
                  <w:vAlign w:val="center"/>
                </w:tcPr>
                <w:p w14:paraId="5205DD53">
                  <w:pPr>
                    <w:pStyle w:val="40"/>
                    <w:bidi w:val="0"/>
                    <w:rPr>
                      <w:color w:val="auto"/>
                      <w:highlight w:val="none"/>
                    </w:rPr>
                  </w:pPr>
                  <w:r>
                    <w:rPr>
                      <w:color w:val="auto"/>
                      <w:highlight w:val="none"/>
                    </w:rPr>
                    <w:t>夜间（L</w:t>
                  </w:r>
                  <w:r>
                    <w:rPr>
                      <w:color w:val="auto"/>
                      <w:highlight w:val="none"/>
                      <w:vertAlign w:val="subscript"/>
                    </w:rPr>
                    <w:t>eq</w:t>
                  </w:r>
                  <w:r>
                    <w:rPr>
                      <w:color w:val="auto"/>
                      <w:highlight w:val="none"/>
                    </w:rPr>
                    <w:t>）</w:t>
                  </w:r>
                </w:p>
              </w:tc>
              <w:tc>
                <w:tcPr>
                  <w:tcW w:w="554" w:type="pct"/>
                  <w:tcBorders>
                    <w:tl2br w:val="nil"/>
                    <w:tr2bl w:val="nil"/>
                  </w:tcBorders>
                  <w:noWrap w:val="0"/>
                  <w:vAlign w:val="center"/>
                </w:tcPr>
                <w:p w14:paraId="64F2E8E7">
                  <w:pPr>
                    <w:pStyle w:val="40"/>
                    <w:bidi w:val="0"/>
                    <w:rPr>
                      <w:color w:val="auto"/>
                      <w:highlight w:val="none"/>
                    </w:rPr>
                  </w:pPr>
                  <w:r>
                    <w:rPr>
                      <w:color w:val="auto"/>
                      <w:highlight w:val="none"/>
                    </w:rPr>
                    <w:t>标准值</w:t>
                  </w:r>
                </w:p>
              </w:tc>
              <w:tc>
                <w:tcPr>
                  <w:tcW w:w="688" w:type="pct"/>
                  <w:tcBorders>
                    <w:tl2br w:val="nil"/>
                    <w:tr2bl w:val="nil"/>
                  </w:tcBorders>
                  <w:noWrap w:val="0"/>
                  <w:vAlign w:val="center"/>
                </w:tcPr>
                <w:p w14:paraId="4955E8E6">
                  <w:pPr>
                    <w:pStyle w:val="40"/>
                    <w:bidi w:val="0"/>
                    <w:rPr>
                      <w:color w:val="auto"/>
                      <w:highlight w:val="none"/>
                    </w:rPr>
                  </w:pPr>
                  <w:r>
                    <w:rPr>
                      <w:color w:val="auto"/>
                      <w:highlight w:val="none"/>
                    </w:rPr>
                    <w:t>评价结果</w:t>
                  </w:r>
                </w:p>
              </w:tc>
            </w:tr>
            <w:tr w14:paraId="16B2EC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1" w:type="pct"/>
                  <w:tcBorders>
                    <w:tl2br w:val="nil"/>
                    <w:tr2bl w:val="nil"/>
                  </w:tcBorders>
                  <w:noWrap w:val="0"/>
                  <w:vAlign w:val="center"/>
                </w:tcPr>
                <w:p w14:paraId="63ED2065">
                  <w:pPr>
                    <w:pStyle w:val="40"/>
                    <w:bidi w:val="0"/>
                    <w:rPr>
                      <w:color w:val="auto"/>
                      <w:highlight w:val="none"/>
                    </w:rPr>
                  </w:pPr>
                  <w:r>
                    <w:rPr>
                      <w:color w:val="auto"/>
                      <w:highlight w:val="none"/>
                    </w:rPr>
                    <w:t>1#</w:t>
                  </w:r>
                </w:p>
              </w:tc>
              <w:tc>
                <w:tcPr>
                  <w:tcW w:w="461" w:type="pct"/>
                  <w:vMerge w:val="restart"/>
                  <w:tcBorders>
                    <w:tl2br w:val="nil"/>
                    <w:tr2bl w:val="nil"/>
                  </w:tcBorders>
                  <w:noWrap w:val="0"/>
                  <w:vAlign w:val="center"/>
                </w:tcPr>
                <w:p w14:paraId="6DBCC051">
                  <w:pPr>
                    <w:pStyle w:val="40"/>
                    <w:bidi w:val="0"/>
                    <w:rPr>
                      <w:rFonts w:hint="eastAsia" w:eastAsia="宋体"/>
                      <w:color w:val="auto"/>
                      <w:highlight w:val="none"/>
                      <w:lang w:eastAsia="zh-CN"/>
                    </w:rPr>
                  </w:pPr>
                  <w:r>
                    <w:rPr>
                      <w:color w:val="auto"/>
                      <w:highlight w:val="none"/>
                    </w:rPr>
                    <w:t>L</w:t>
                  </w:r>
                  <w:r>
                    <w:rPr>
                      <w:color w:val="auto"/>
                      <w:highlight w:val="none"/>
                      <w:vertAlign w:val="subscript"/>
                    </w:rPr>
                    <w:t>e</w:t>
                  </w:r>
                  <w:r>
                    <w:rPr>
                      <w:rFonts w:hint="eastAsia"/>
                      <w:color w:val="auto"/>
                      <w:highlight w:val="none"/>
                      <w:vertAlign w:val="subscript"/>
                      <w:lang w:val="en-US" w:eastAsia="zh-CN"/>
                    </w:rPr>
                    <w:t>q</w:t>
                  </w:r>
                </w:p>
              </w:tc>
              <w:tc>
                <w:tcPr>
                  <w:tcW w:w="785" w:type="pct"/>
                  <w:tcBorders>
                    <w:tl2br w:val="nil"/>
                    <w:tr2bl w:val="nil"/>
                  </w:tcBorders>
                  <w:noWrap w:val="0"/>
                  <w:vAlign w:val="center"/>
                </w:tcPr>
                <w:p w14:paraId="04EF63D9">
                  <w:pPr>
                    <w:pStyle w:val="40"/>
                    <w:bidi w:val="0"/>
                    <w:rPr>
                      <w:color w:val="auto"/>
                      <w:highlight w:val="none"/>
                    </w:rPr>
                  </w:pPr>
                  <w:r>
                    <w:rPr>
                      <w:rFonts w:hint="eastAsia"/>
                      <w:color w:val="auto"/>
                      <w:highlight w:val="none"/>
                      <w:lang w:val="en-US" w:eastAsia="zh-CN"/>
                    </w:rPr>
                    <w:t>东</w:t>
                  </w:r>
                </w:p>
              </w:tc>
              <w:tc>
                <w:tcPr>
                  <w:tcW w:w="755" w:type="pct"/>
                  <w:tcBorders>
                    <w:tl2br w:val="nil"/>
                    <w:tr2bl w:val="nil"/>
                  </w:tcBorders>
                  <w:shd w:val="clear" w:color="auto" w:fill="auto"/>
                  <w:noWrap w:val="0"/>
                  <w:vAlign w:val="center"/>
                </w:tcPr>
                <w:p w14:paraId="18D8257D">
                  <w:pPr>
                    <w:pStyle w:val="40"/>
                    <w:bidi w:val="0"/>
                    <w:rPr>
                      <w:rFonts w:hint="default" w:eastAsia="宋体"/>
                      <w:color w:val="auto"/>
                      <w:highlight w:val="none"/>
                      <w:lang w:val="en-US" w:eastAsia="zh-CN"/>
                    </w:rPr>
                  </w:pPr>
                  <w:r>
                    <w:rPr>
                      <w:rFonts w:hint="eastAsia"/>
                      <w:color w:val="auto"/>
                      <w:highlight w:val="none"/>
                      <w:lang w:val="en-US" w:eastAsia="zh-CN"/>
                    </w:rPr>
                    <w:t>49</w:t>
                  </w:r>
                </w:p>
              </w:tc>
              <w:tc>
                <w:tcPr>
                  <w:tcW w:w="554" w:type="pct"/>
                  <w:vMerge w:val="restart"/>
                  <w:tcBorders>
                    <w:tl2br w:val="nil"/>
                    <w:tr2bl w:val="nil"/>
                  </w:tcBorders>
                  <w:noWrap w:val="0"/>
                  <w:vAlign w:val="center"/>
                </w:tcPr>
                <w:p w14:paraId="1F8D0C9D">
                  <w:pPr>
                    <w:pStyle w:val="40"/>
                    <w:bidi w:val="0"/>
                    <w:rPr>
                      <w:rFonts w:hint="default" w:eastAsia="宋体"/>
                      <w:color w:val="auto"/>
                      <w:highlight w:val="none"/>
                      <w:lang w:val="en-US" w:eastAsia="zh-CN"/>
                    </w:rPr>
                  </w:pPr>
                  <w:r>
                    <w:rPr>
                      <w:rFonts w:hint="eastAsia"/>
                      <w:color w:val="auto"/>
                      <w:highlight w:val="none"/>
                      <w:lang w:val="en-US" w:eastAsia="zh-CN"/>
                    </w:rPr>
                    <w:t>65</w:t>
                  </w:r>
                </w:p>
              </w:tc>
              <w:tc>
                <w:tcPr>
                  <w:tcW w:w="799" w:type="pct"/>
                  <w:tcBorders>
                    <w:tl2br w:val="nil"/>
                    <w:tr2bl w:val="nil"/>
                  </w:tcBorders>
                  <w:shd w:val="clear" w:color="auto" w:fill="auto"/>
                  <w:noWrap w:val="0"/>
                  <w:vAlign w:val="center"/>
                </w:tcPr>
                <w:p w14:paraId="721638B0">
                  <w:pPr>
                    <w:pStyle w:val="40"/>
                    <w:bidi w:val="0"/>
                    <w:rPr>
                      <w:rFonts w:hint="default" w:eastAsia="宋体"/>
                      <w:color w:val="auto"/>
                      <w:highlight w:val="none"/>
                      <w:lang w:val="en-US" w:eastAsia="zh-CN"/>
                    </w:rPr>
                  </w:pPr>
                  <w:r>
                    <w:rPr>
                      <w:rFonts w:hint="eastAsia"/>
                      <w:color w:val="auto"/>
                      <w:highlight w:val="none"/>
                      <w:lang w:val="en-US" w:eastAsia="zh-CN"/>
                    </w:rPr>
                    <w:t>42</w:t>
                  </w:r>
                </w:p>
              </w:tc>
              <w:tc>
                <w:tcPr>
                  <w:tcW w:w="554" w:type="pct"/>
                  <w:vMerge w:val="restart"/>
                  <w:tcBorders>
                    <w:tl2br w:val="nil"/>
                    <w:tr2bl w:val="nil"/>
                  </w:tcBorders>
                  <w:noWrap w:val="0"/>
                  <w:vAlign w:val="center"/>
                </w:tcPr>
                <w:p w14:paraId="67DB3C63">
                  <w:pPr>
                    <w:pStyle w:val="40"/>
                    <w:bidi w:val="0"/>
                    <w:rPr>
                      <w:rFonts w:hint="default" w:eastAsia="宋体"/>
                      <w:color w:val="auto"/>
                      <w:highlight w:val="none"/>
                      <w:lang w:val="en-US" w:eastAsia="zh-CN"/>
                    </w:rPr>
                  </w:pPr>
                  <w:r>
                    <w:rPr>
                      <w:rFonts w:hint="eastAsia"/>
                      <w:color w:val="auto"/>
                      <w:highlight w:val="none"/>
                      <w:lang w:val="en-US" w:eastAsia="zh-CN"/>
                    </w:rPr>
                    <w:t>55</w:t>
                  </w:r>
                </w:p>
              </w:tc>
              <w:tc>
                <w:tcPr>
                  <w:tcW w:w="688" w:type="pct"/>
                  <w:tcBorders>
                    <w:tl2br w:val="nil"/>
                    <w:tr2bl w:val="nil"/>
                  </w:tcBorders>
                  <w:noWrap w:val="0"/>
                  <w:vAlign w:val="center"/>
                </w:tcPr>
                <w:p w14:paraId="0E57BA7B">
                  <w:pPr>
                    <w:pStyle w:val="40"/>
                    <w:bidi w:val="0"/>
                    <w:rPr>
                      <w:color w:val="auto"/>
                      <w:highlight w:val="none"/>
                    </w:rPr>
                  </w:pPr>
                  <w:r>
                    <w:rPr>
                      <w:color w:val="auto"/>
                      <w:highlight w:val="none"/>
                    </w:rPr>
                    <w:t>达标</w:t>
                  </w:r>
                </w:p>
              </w:tc>
            </w:tr>
            <w:tr w14:paraId="0E4527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1" w:type="pct"/>
                  <w:tcBorders>
                    <w:tl2br w:val="nil"/>
                    <w:tr2bl w:val="nil"/>
                  </w:tcBorders>
                  <w:noWrap w:val="0"/>
                  <w:vAlign w:val="center"/>
                </w:tcPr>
                <w:p w14:paraId="177D4608">
                  <w:pPr>
                    <w:pStyle w:val="40"/>
                    <w:bidi w:val="0"/>
                    <w:rPr>
                      <w:color w:val="auto"/>
                      <w:highlight w:val="none"/>
                    </w:rPr>
                  </w:pPr>
                  <w:r>
                    <w:rPr>
                      <w:color w:val="auto"/>
                      <w:highlight w:val="none"/>
                    </w:rPr>
                    <w:t>2#</w:t>
                  </w:r>
                </w:p>
              </w:tc>
              <w:tc>
                <w:tcPr>
                  <w:tcW w:w="461" w:type="pct"/>
                  <w:vMerge w:val="continue"/>
                  <w:tcBorders>
                    <w:tl2br w:val="nil"/>
                    <w:tr2bl w:val="nil"/>
                  </w:tcBorders>
                  <w:noWrap w:val="0"/>
                  <w:vAlign w:val="center"/>
                </w:tcPr>
                <w:p w14:paraId="79792130">
                  <w:pPr>
                    <w:pStyle w:val="40"/>
                    <w:bidi w:val="0"/>
                    <w:rPr>
                      <w:color w:val="auto"/>
                      <w:highlight w:val="none"/>
                    </w:rPr>
                  </w:pPr>
                </w:p>
              </w:tc>
              <w:tc>
                <w:tcPr>
                  <w:tcW w:w="785" w:type="pct"/>
                  <w:tcBorders>
                    <w:tl2br w:val="nil"/>
                    <w:tr2bl w:val="nil"/>
                  </w:tcBorders>
                  <w:noWrap w:val="0"/>
                  <w:vAlign w:val="center"/>
                </w:tcPr>
                <w:p w14:paraId="2AC37761">
                  <w:pPr>
                    <w:pStyle w:val="40"/>
                    <w:bidi w:val="0"/>
                    <w:rPr>
                      <w:color w:val="auto"/>
                      <w:highlight w:val="none"/>
                    </w:rPr>
                  </w:pPr>
                  <w:r>
                    <w:rPr>
                      <w:rFonts w:hint="eastAsia"/>
                      <w:color w:val="auto"/>
                      <w:highlight w:val="none"/>
                      <w:lang w:val="en-US" w:eastAsia="zh-CN"/>
                    </w:rPr>
                    <w:t>南</w:t>
                  </w:r>
                </w:p>
              </w:tc>
              <w:tc>
                <w:tcPr>
                  <w:tcW w:w="755" w:type="pct"/>
                  <w:tcBorders>
                    <w:tl2br w:val="nil"/>
                    <w:tr2bl w:val="nil"/>
                  </w:tcBorders>
                  <w:shd w:val="clear" w:color="auto" w:fill="auto"/>
                  <w:noWrap w:val="0"/>
                  <w:vAlign w:val="center"/>
                </w:tcPr>
                <w:p w14:paraId="205A3394">
                  <w:pPr>
                    <w:pStyle w:val="40"/>
                    <w:bidi w:val="0"/>
                    <w:rPr>
                      <w:rFonts w:hint="default" w:eastAsia="宋体"/>
                      <w:color w:val="auto"/>
                      <w:highlight w:val="none"/>
                      <w:lang w:val="en-US" w:eastAsia="zh-CN"/>
                    </w:rPr>
                  </w:pPr>
                  <w:r>
                    <w:rPr>
                      <w:rFonts w:hint="eastAsia"/>
                      <w:color w:val="auto"/>
                      <w:highlight w:val="none"/>
                      <w:lang w:val="en-US" w:eastAsia="zh-CN"/>
                    </w:rPr>
                    <w:t>50</w:t>
                  </w:r>
                </w:p>
              </w:tc>
              <w:tc>
                <w:tcPr>
                  <w:tcW w:w="554" w:type="pct"/>
                  <w:vMerge w:val="continue"/>
                  <w:tcBorders>
                    <w:tl2br w:val="nil"/>
                    <w:tr2bl w:val="nil"/>
                  </w:tcBorders>
                  <w:noWrap w:val="0"/>
                  <w:vAlign w:val="center"/>
                </w:tcPr>
                <w:p w14:paraId="0FF4FC03">
                  <w:pPr>
                    <w:pStyle w:val="40"/>
                    <w:bidi w:val="0"/>
                    <w:rPr>
                      <w:color w:val="auto"/>
                      <w:highlight w:val="none"/>
                    </w:rPr>
                  </w:pPr>
                </w:p>
              </w:tc>
              <w:tc>
                <w:tcPr>
                  <w:tcW w:w="799" w:type="pct"/>
                  <w:tcBorders>
                    <w:tl2br w:val="nil"/>
                    <w:tr2bl w:val="nil"/>
                  </w:tcBorders>
                  <w:shd w:val="clear" w:color="auto" w:fill="auto"/>
                  <w:noWrap w:val="0"/>
                  <w:vAlign w:val="center"/>
                </w:tcPr>
                <w:p w14:paraId="31939603">
                  <w:pPr>
                    <w:pStyle w:val="40"/>
                    <w:bidi w:val="0"/>
                    <w:rPr>
                      <w:rFonts w:hint="default" w:eastAsia="宋体"/>
                      <w:color w:val="auto"/>
                      <w:highlight w:val="none"/>
                      <w:lang w:val="en-US" w:eastAsia="zh-CN"/>
                    </w:rPr>
                  </w:pPr>
                  <w:r>
                    <w:rPr>
                      <w:rFonts w:hint="eastAsia"/>
                      <w:color w:val="auto"/>
                      <w:highlight w:val="none"/>
                      <w:lang w:val="en-US" w:eastAsia="zh-CN"/>
                    </w:rPr>
                    <w:t>42</w:t>
                  </w:r>
                </w:p>
              </w:tc>
              <w:tc>
                <w:tcPr>
                  <w:tcW w:w="554" w:type="pct"/>
                  <w:vMerge w:val="continue"/>
                  <w:tcBorders>
                    <w:tl2br w:val="nil"/>
                    <w:tr2bl w:val="nil"/>
                  </w:tcBorders>
                  <w:noWrap w:val="0"/>
                  <w:vAlign w:val="center"/>
                </w:tcPr>
                <w:p w14:paraId="28B203A8">
                  <w:pPr>
                    <w:pStyle w:val="40"/>
                    <w:bidi w:val="0"/>
                    <w:rPr>
                      <w:color w:val="auto"/>
                      <w:highlight w:val="none"/>
                    </w:rPr>
                  </w:pPr>
                </w:p>
              </w:tc>
              <w:tc>
                <w:tcPr>
                  <w:tcW w:w="688" w:type="pct"/>
                  <w:tcBorders>
                    <w:tl2br w:val="nil"/>
                    <w:tr2bl w:val="nil"/>
                  </w:tcBorders>
                  <w:noWrap w:val="0"/>
                  <w:vAlign w:val="center"/>
                </w:tcPr>
                <w:p w14:paraId="27B94A11">
                  <w:pPr>
                    <w:pStyle w:val="40"/>
                    <w:bidi w:val="0"/>
                    <w:rPr>
                      <w:color w:val="auto"/>
                      <w:highlight w:val="none"/>
                    </w:rPr>
                  </w:pPr>
                  <w:r>
                    <w:rPr>
                      <w:color w:val="auto"/>
                      <w:highlight w:val="none"/>
                    </w:rPr>
                    <w:t>达标</w:t>
                  </w:r>
                </w:p>
              </w:tc>
            </w:tr>
            <w:tr w14:paraId="70B41E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1" w:type="pct"/>
                  <w:tcBorders>
                    <w:tl2br w:val="nil"/>
                    <w:tr2bl w:val="nil"/>
                  </w:tcBorders>
                  <w:noWrap w:val="0"/>
                  <w:vAlign w:val="center"/>
                </w:tcPr>
                <w:p w14:paraId="20F18A39">
                  <w:pPr>
                    <w:pStyle w:val="40"/>
                    <w:bidi w:val="0"/>
                    <w:rPr>
                      <w:color w:val="auto"/>
                      <w:highlight w:val="none"/>
                    </w:rPr>
                  </w:pPr>
                  <w:r>
                    <w:rPr>
                      <w:color w:val="auto"/>
                      <w:highlight w:val="none"/>
                    </w:rPr>
                    <w:t>3#</w:t>
                  </w:r>
                </w:p>
              </w:tc>
              <w:tc>
                <w:tcPr>
                  <w:tcW w:w="461" w:type="pct"/>
                  <w:vMerge w:val="continue"/>
                  <w:tcBorders>
                    <w:tl2br w:val="nil"/>
                    <w:tr2bl w:val="nil"/>
                  </w:tcBorders>
                  <w:noWrap w:val="0"/>
                  <w:vAlign w:val="center"/>
                </w:tcPr>
                <w:p w14:paraId="01622C18">
                  <w:pPr>
                    <w:pStyle w:val="40"/>
                    <w:bidi w:val="0"/>
                    <w:rPr>
                      <w:color w:val="auto"/>
                      <w:highlight w:val="none"/>
                    </w:rPr>
                  </w:pPr>
                </w:p>
              </w:tc>
              <w:tc>
                <w:tcPr>
                  <w:tcW w:w="785" w:type="pct"/>
                  <w:tcBorders>
                    <w:tl2br w:val="nil"/>
                    <w:tr2bl w:val="nil"/>
                  </w:tcBorders>
                  <w:noWrap w:val="0"/>
                  <w:vAlign w:val="center"/>
                </w:tcPr>
                <w:p w14:paraId="35AA737B">
                  <w:pPr>
                    <w:pStyle w:val="40"/>
                    <w:bidi w:val="0"/>
                    <w:rPr>
                      <w:color w:val="auto"/>
                      <w:highlight w:val="none"/>
                    </w:rPr>
                  </w:pPr>
                  <w:r>
                    <w:rPr>
                      <w:rFonts w:hint="eastAsia"/>
                      <w:color w:val="auto"/>
                      <w:highlight w:val="none"/>
                      <w:lang w:val="en-US" w:eastAsia="zh-CN"/>
                    </w:rPr>
                    <w:t>西</w:t>
                  </w:r>
                </w:p>
              </w:tc>
              <w:tc>
                <w:tcPr>
                  <w:tcW w:w="755" w:type="pct"/>
                  <w:tcBorders>
                    <w:tl2br w:val="nil"/>
                    <w:tr2bl w:val="nil"/>
                  </w:tcBorders>
                  <w:shd w:val="clear" w:color="auto" w:fill="auto"/>
                  <w:noWrap w:val="0"/>
                  <w:vAlign w:val="center"/>
                </w:tcPr>
                <w:p w14:paraId="7F4F1516">
                  <w:pPr>
                    <w:pStyle w:val="40"/>
                    <w:bidi w:val="0"/>
                    <w:rPr>
                      <w:rFonts w:hint="default" w:eastAsia="宋体"/>
                      <w:color w:val="auto"/>
                      <w:highlight w:val="none"/>
                      <w:lang w:val="en-US" w:eastAsia="zh-CN"/>
                    </w:rPr>
                  </w:pPr>
                  <w:r>
                    <w:rPr>
                      <w:rFonts w:hint="eastAsia"/>
                      <w:color w:val="auto"/>
                      <w:highlight w:val="none"/>
                      <w:lang w:val="en-US" w:eastAsia="zh-CN"/>
                    </w:rPr>
                    <w:t>47</w:t>
                  </w:r>
                </w:p>
              </w:tc>
              <w:tc>
                <w:tcPr>
                  <w:tcW w:w="554" w:type="pct"/>
                  <w:vMerge w:val="continue"/>
                  <w:tcBorders>
                    <w:tl2br w:val="nil"/>
                    <w:tr2bl w:val="nil"/>
                  </w:tcBorders>
                  <w:noWrap w:val="0"/>
                  <w:vAlign w:val="center"/>
                </w:tcPr>
                <w:p w14:paraId="38232F14">
                  <w:pPr>
                    <w:pStyle w:val="40"/>
                    <w:bidi w:val="0"/>
                    <w:rPr>
                      <w:color w:val="auto"/>
                      <w:highlight w:val="none"/>
                    </w:rPr>
                  </w:pPr>
                </w:p>
              </w:tc>
              <w:tc>
                <w:tcPr>
                  <w:tcW w:w="799" w:type="pct"/>
                  <w:tcBorders>
                    <w:tl2br w:val="nil"/>
                    <w:tr2bl w:val="nil"/>
                  </w:tcBorders>
                  <w:shd w:val="clear" w:color="auto" w:fill="auto"/>
                  <w:noWrap w:val="0"/>
                  <w:vAlign w:val="center"/>
                </w:tcPr>
                <w:p w14:paraId="1437D3A5">
                  <w:pPr>
                    <w:pStyle w:val="40"/>
                    <w:bidi w:val="0"/>
                    <w:rPr>
                      <w:rFonts w:hint="default" w:eastAsia="宋体"/>
                      <w:color w:val="auto"/>
                      <w:highlight w:val="none"/>
                      <w:lang w:val="en-US" w:eastAsia="zh-CN"/>
                    </w:rPr>
                  </w:pPr>
                  <w:r>
                    <w:rPr>
                      <w:rFonts w:hint="eastAsia"/>
                      <w:color w:val="auto"/>
                      <w:highlight w:val="none"/>
                      <w:lang w:val="en-US" w:eastAsia="zh-CN"/>
                    </w:rPr>
                    <w:t>42</w:t>
                  </w:r>
                </w:p>
              </w:tc>
              <w:tc>
                <w:tcPr>
                  <w:tcW w:w="554" w:type="pct"/>
                  <w:vMerge w:val="continue"/>
                  <w:tcBorders>
                    <w:tl2br w:val="nil"/>
                    <w:tr2bl w:val="nil"/>
                  </w:tcBorders>
                  <w:noWrap w:val="0"/>
                  <w:vAlign w:val="center"/>
                </w:tcPr>
                <w:p w14:paraId="48CA21B8">
                  <w:pPr>
                    <w:pStyle w:val="40"/>
                    <w:bidi w:val="0"/>
                    <w:rPr>
                      <w:color w:val="auto"/>
                      <w:highlight w:val="none"/>
                    </w:rPr>
                  </w:pPr>
                </w:p>
              </w:tc>
              <w:tc>
                <w:tcPr>
                  <w:tcW w:w="688" w:type="pct"/>
                  <w:tcBorders>
                    <w:tl2br w:val="nil"/>
                    <w:tr2bl w:val="nil"/>
                  </w:tcBorders>
                  <w:noWrap w:val="0"/>
                  <w:vAlign w:val="center"/>
                </w:tcPr>
                <w:p w14:paraId="0CA7DADF">
                  <w:pPr>
                    <w:pStyle w:val="40"/>
                    <w:bidi w:val="0"/>
                    <w:rPr>
                      <w:color w:val="auto"/>
                      <w:highlight w:val="none"/>
                    </w:rPr>
                  </w:pPr>
                  <w:r>
                    <w:rPr>
                      <w:color w:val="auto"/>
                      <w:highlight w:val="none"/>
                    </w:rPr>
                    <w:t>达标</w:t>
                  </w:r>
                </w:p>
              </w:tc>
            </w:tr>
            <w:tr w14:paraId="7BCDD4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1" w:type="pct"/>
                  <w:tcBorders>
                    <w:tl2br w:val="nil"/>
                    <w:tr2bl w:val="nil"/>
                  </w:tcBorders>
                  <w:noWrap w:val="0"/>
                  <w:vAlign w:val="center"/>
                </w:tcPr>
                <w:p w14:paraId="2E075D8E">
                  <w:pPr>
                    <w:pStyle w:val="40"/>
                    <w:bidi w:val="0"/>
                    <w:rPr>
                      <w:color w:val="auto"/>
                      <w:highlight w:val="none"/>
                    </w:rPr>
                  </w:pPr>
                  <w:r>
                    <w:rPr>
                      <w:color w:val="auto"/>
                      <w:highlight w:val="none"/>
                    </w:rPr>
                    <w:t>4#</w:t>
                  </w:r>
                </w:p>
              </w:tc>
              <w:tc>
                <w:tcPr>
                  <w:tcW w:w="461" w:type="pct"/>
                  <w:vMerge w:val="continue"/>
                  <w:tcBorders>
                    <w:tl2br w:val="nil"/>
                    <w:tr2bl w:val="nil"/>
                  </w:tcBorders>
                  <w:noWrap w:val="0"/>
                  <w:vAlign w:val="center"/>
                </w:tcPr>
                <w:p w14:paraId="23A7077F">
                  <w:pPr>
                    <w:pStyle w:val="40"/>
                    <w:bidi w:val="0"/>
                    <w:rPr>
                      <w:color w:val="auto"/>
                      <w:highlight w:val="none"/>
                    </w:rPr>
                  </w:pPr>
                </w:p>
              </w:tc>
              <w:tc>
                <w:tcPr>
                  <w:tcW w:w="785" w:type="pct"/>
                  <w:tcBorders>
                    <w:tl2br w:val="nil"/>
                    <w:tr2bl w:val="nil"/>
                  </w:tcBorders>
                  <w:noWrap w:val="0"/>
                  <w:vAlign w:val="center"/>
                </w:tcPr>
                <w:p w14:paraId="0CD31DEC">
                  <w:pPr>
                    <w:pStyle w:val="40"/>
                    <w:bidi w:val="0"/>
                    <w:rPr>
                      <w:color w:val="auto"/>
                      <w:highlight w:val="none"/>
                    </w:rPr>
                  </w:pPr>
                  <w:r>
                    <w:rPr>
                      <w:rFonts w:hint="eastAsia"/>
                      <w:color w:val="auto"/>
                      <w:highlight w:val="none"/>
                      <w:lang w:val="en-US" w:eastAsia="zh-CN"/>
                    </w:rPr>
                    <w:t>西北</w:t>
                  </w:r>
                </w:p>
              </w:tc>
              <w:tc>
                <w:tcPr>
                  <w:tcW w:w="755" w:type="pct"/>
                  <w:tcBorders>
                    <w:tl2br w:val="nil"/>
                    <w:tr2bl w:val="nil"/>
                  </w:tcBorders>
                  <w:shd w:val="clear" w:color="auto" w:fill="auto"/>
                  <w:noWrap w:val="0"/>
                  <w:vAlign w:val="center"/>
                </w:tcPr>
                <w:p w14:paraId="2554C50D">
                  <w:pPr>
                    <w:pStyle w:val="40"/>
                    <w:bidi w:val="0"/>
                    <w:rPr>
                      <w:rFonts w:hint="default" w:eastAsia="宋体"/>
                      <w:color w:val="auto"/>
                      <w:highlight w:val="none"/>
                      <w:lang w:val="en-US" w:eastAsia="zh-CN"/>
                    </w:rPr>
                  </w:pPr>
                  <w:r>
                    <w:rPr>
                      <w:rFonts w:hint="eastAsia"/>
                      <w:color w:val="auto"/>
                      <w:highlight w:val="none"/>
                      <w:lang w:val="en-US" w:eastAsia="zh-CN"/>
                    </w:rPr>
                    <w:t>49</w:t>
                  </w:r>
                </w:p>
              </w:tc>
              <w:tc>
                <w:tcPr>
                  <w:tcW w:w="554" w:type="pct"/>
                  <w:vMerge w:val="continue"/>
                  <w:tcBorders>
                    <w:tl2br w:val="nil"/>
                    <w:tr2bl w:val="nil"/>
                  </w:tcBorders>
                  <w:noWrap w:val="0"/>
                  <w:vAlign w:val="center"/>
                </w:tcPr>
                <w:p w14:paraId="59A640CF">
                  <w:pPr>
                    <w:pStyle w:val="40"/>
                    <w:bidi w:val="0"/>
                    <w:rPr>
                      <w:color w:val="auto"/>
                      <w:highlight w:val="none"/>
                    </w:rPr>
                  </w:pPr>
                </w:p>
              </w:tc>
              <w:tc>
                <w:tcPr>
                  <w:tcW w:w="799" w:type="pct"/>
                  <w:tcBorders>
                    <w:tl2br w:val="nil"/>
                    <w:tr2bl w:val="nil"/>
                  </w:tcBorders>
                  <w:shd w:val="clear" w:color="auto" w:fill="auto"/>
                  <w:noWrap w:val="0"/>
                  <w:vAlign w:val="center"/>
                </w:tcPr>
                <w:p w14:paraId="4031A35C">
                  <w:pPr>
                    <w:pStyle w:val="40"/>
                    <w:bidi w:val="0"/>
                    <w:rPr>
                      <w:rFonts w:hint="default" w:eastAsia="宋体"/>
                      <w:color w:val="auto"/>
                      <w:highlight w:val="none"/>
                      <w:lang w:val="en-US" w:eastAsia="zh-CN"/>
                    </w:rPr>
                  </w:pPr>
                  <w:r>
                    <w:rPr>
                      <w:rFonts w:hint="eastAsia"/>
                      <w:color w:val="auto"/>
                      <w:highlight w:val="none"/>
                      <w:lang w:val="en-US" w:eastAsia="zh-CN"/>
                    </w:rPr>
                    <w:t>42</w:t>
                  </w:r>
                </w:p>
              </w:tc>
              <w:tc>
                <w:tcPr>
                  <w:tcW w:w="554" w:type="pct"/>
                  <w:vMerge w:val="continue"/>
                  <w:tcBorders>
                    <w:tl2br w:val="nil"/>
                    <w:tr2bl w:val="nil"/>
                  </w:tcBorders>
                  <w:noWrap w:val="0"/>
                  <w:vAlign w:val="center"/>
                </w:tcPr>
                <w:p w14:paraId="0CAC5DC7">
                  <w:pPr>
                    <w:pStyle w:val="40"/>
                    <w:bidi w:val="0"/>
                    <w:rPr>
                      <w:color w:val="auto"/>
                      <w:highlight w:val="none"/>
                    </w:rPr>
                  </w:pPr>
                </w:p>
              </w:tc>
              <w:tc>
                <w:tcPr>
                  <w:tcW w:w="688" w:type="pct"/>
                  <w:tcBorders>
                    <w:tl2br w:val="nil"/>
                    <w:tr2bl w:val="nil"/>
                  </w:tcBorders>
                  <w:noWrap w:val="0"/>
                  <w:vAlign w:val="center"/>
                </w:tcPr>
                <w:p w14:paraId="45EB2711">
                  <w:pPr>
                    <w:pStyle w:val="40"/>
                    <w:bidi w:val="0"/>
                    <w:rPr>
                      <w:color w:val="auto"/>
                      <w:highlight w:val="none"/>
                    </w:rPr>
                  </w:pPr>
                  <w:r>
                    <w:rPr>
                      <w:color w:val="auto"/>
                      <w:highlight w:val="none"/>
                    </w:rPr>
                    <w:t>达标</w:t>
                  </w:r>
                </w:p>
              </w:tc>
            </w:tr>
            <w:tr w14:paraId="46E10E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1" w:type="pct"/>
                  <w:tcBorders>
                    <w:tl2br w:val="nil"/>
                    <w:tr2bl w:val="nil"/>
                  </w:tcBorders>
                  <w:noWrap w:val="0"/>
                  <w:vAlign w:val="center"/>
                </w:tcPr>
                <w:p w14:paraId="6DAF8278">
                  <w:pPr>
                    <w:pStyle w:val="40"/>
                    <w:bidi w:val="0"/>
                    <w:rPr>
                      <w:color w:val="auto"/>
                      <w:highlight w:val="none"/>
                    </w:rPr>
                  </w:pPr>
                  <w:r>
                    <w:rPr>
                      <w:rFonts w:hint="eastAsia"/>
                      <w:color w:val="auto"/>
                      <w:highlight w:val="none"/>
                    </w:rPr>
                    <w:t>5</w:t>
                  </w:r>
                  <w:r>
                    <w:rPr>
                      <w:color w:val="auto"/>
                      <w:highlight w:val="none"/>
                    </w:rPr>
                    <w:t>#</w:t>
                  </w:r>
                </w:p>
              </w:tc>
              <w:tc>
                <w:tcPr>
                  <w:tcW w:w="461" w:type="pct"/>
                  <w:vMerge w:val="continue"/>
                  <w:tcBorders>
                    <w:tl2br w:val="nil"/>
                    <w:tr2bl w:val="nil"/>
                  </w:tcBorders>
                  <w:noWrap w:val="0"/>
                  <w:vAlign w:val="center"/>
                </w:tcPr>
                <w:p w14:paraId="4E89D492">
                  <w:pPr>
                    <w:pStyle w:val="40"/>
                    <w:bidi w:val="0"/>
                    <w:rPr>
                      <w:color w:val="auto"/>
                      <w:highlight w:val="none"/>
                    </w:rPr>
                  </w:pPr>
                </w:p>
              </w:tc>
              <w:tc>
                <w:tcPr>
                  <w:tcW w:w="785" w:type="pct"/>
                  <w:tcBorders>
                    <w:tl2br w:val="nil"/>
                    <w:tr2bl w:val="nil"/>
                  </w:tcBorders>
                  <w:noWrap w:val="0"/>
                  <w:vAlign w:val="center"/>
                </w:tcPr>
                <w:p w14:paraId="24FEFD46">
                  <w:pPr>
                    <w:pStyle w:val="40"/>
                    <w:bidi w:val="0"/>
                    <w:rPr>
                      <w:color w:val="auto"/>
                      <w:highlight w:val="none"/>
                    </w:rPr>
                  </w:pPr>
                  <w:r>
                    <w:rPr>
                      <w:rFonts w:hint="eastAsia"/>
                      <w:color w:val="auto"/>
                      <w:highlight w:val="none"/>
                      <w:lang w:val="en-US" w:eastAsia="zh-CN"/>
                    </w:rPr>
                    <w:t>北</w:t>
                  </w:r>
                </w:p>
              </w:tc>
              <w:tc>
                <w:tcPr>
                  <w:tcW w:w="755" w:type="pct"/>
                  <w:tcBorders>
                    <w:tl2br w:val="nil"/>
                    <w:tr2bl w:val="nil"/>
                  </w:tcBorders>
                  <w:shd w:val="clear" w:color="auto" w:fill="auto"/>
                  <w:noWrap w:val="0"/>
                  <w:vAlign w:val="center"/>
                </w:tcPr>
                <w:p w14:paraId="2ED5BE6C">
                  <w:pPr>
                    <w:pStyle w:val="40"/>
                    <w:bidi w:val="0"/>
                    <w:rPr>
                      <w:rFonts w:hint="default" w:eastAsia="宋体"/>
                      <w:color w:val="auto"/>
                      <w:highlight w:val="none"/>
                      <w:lang w:val="en-US" w:eastAsia="zh-CN"/>
                    </w:rPr>
                  </w:pPr>
                  <w:r>
                    <w:rPr>
                      <w:rFonts w:hint="eastAsia"/>
                      <w:color w:val="auto"/>
                      <w:highlight w:val="none"/>
                      <w:lang w:val="en-US" w:eastAsia="zh-CN"/>
                    </w:rPr>
                    <w:t>47</w:t>
                  </w:r>
                </w:p>
              </w:tc>
              <w:tc>
                <w:tcPr>
                  <w:tcW w:w="554" w:type="pct"/>
                  <w:vMerge w:val="continue"/>
                  <w:tcBorders>
                    <w:tl2br w:val="nil"/>
                    <w:tr2bl w:val="nil"/>
                  </w:tcBorders>
                  <w:noWrap w:val="0"/>
                  <w:vAlign w:val="center"/>
                </w:tcPr>
                <w:p w14:paraId="0FA26E25">
                  <w:pPr>
                    <w:pStyle w:val="40"/>
                    <w:bidi w:val="0"/>
                    <w:rPr>
                      <w:color w:val="auto"/>
                      <w:highlight w:val="none"/>
                    </w:rPr>
                  </w:pPr>
                </w:p>
              </w:tc>
              <w:tc>
                <w:tcPr>
                  <w:tcW w:w="799" w:type="pct"/>
                  <w:tcBorders>
                    <w:tl2br w:val="nil"/>
                    <w:tr2bl w:val="nil"/>
                  </w:tcBorders>
                  <w:shd w:val="clear" w:color="auto" w:fill="auto"/>
                  <w:noWrap w:val="0"/>
                  <w:vAlign w:val="center"/>
                </w:tcPr>
                <w:p w14:paraId="5F792C67">
                  <w:pPr>
                    <w:pStyle w:val="40"/>
                    <w:bidi w:val="0"/>
                    <w:rPr>
                      <w:rFonts w:hint="default" w:eastAsia="宋体"/>
                      <w:color w:val="auto"/>
                      <w:highlight w:val="none"/>
                      <w:lang w:val="en-US" w:eastAsia="zh-CN"/>
                    </w:rPr>
                  </w:pPr>
                  <w:r>
                    <w:rPr>
                      <w:rFonts w:hint="eastAsia"/>
                      <w:color w:val="auto"/>
                      <w:highlight w:val="none"/>
                      <w:lang w:val="en-US" w:eastAsia="zh-CN"/>
                    </w:rPr>
                    <w:t>42</w:t>
                  </w:r>
                </w:p>
              </w:tc>
              <w:tc>
                <w:tcPr>
                  <w:tcW w:w="554" w:type="pct"/>
                  <w:vMerge w:val="continue"/>
                  <w:tcBorders>
                    <w:tl2br w:val="nil"/>
                    <w:tr2bl w:val="nil"/>
                  </w:tcBorders>
                  <w:noWrap w:val="0"/>
                  <w:vAlign w:val="center"/>
                </w:tcPr>
                <w:p w14:paraId="0B0A6827">
                  <w:pPr>
                    <w:pStyle w:val="40"/>
                    <w:bidi w:val="0"/>
                    <w:rPr>
                      <w:color w:val="auto"/>
                      <w:highlight w:val="none"/>
                    </w:rPr>
                  </w:pPr>
                </w:p>
              </w:tc>
              <w:tc>
                <w:tcPr>
                  <w:tcW w:w="688" w:type="pct"/>
                  <w:tcBorders>
                    <w:tl2br w:val="nil"/>
                    <w:tr2bl w:val="nil"/>
                  </w:tcBorders>
                  <w:noWrap w:val="0"/>
                  <w:vAlign w:val="center"/>
                </w:tcPr>
                <w:p w14:paraId="342269BC">
                  <w:pPr>
                    <w:pStyle w:val="40"/>
                    <w:bidi w:val="0"/>
                    <w:rPr>
                      <w:rFonts w:hint="eastAsia"/>
                      <w:color w:val="auto"/>
                      <w:highlight w:val="none"/>
                    </w:rPr>
                  </w:pPr>
                  <w:r>
                    <w:rPr>
                      <w:rFonts w:hint="eastAsia"/>
                      <w:color w:val="auto"/>
                      <w:highlight w:val="none"/>
                    </w:rPr>
                    <w:t>达标</w:t>
                  </w:r>
                </w:p>
              </w:tc>
            </w:tr>
          </w:tbl>
          <w:p w14:paraId="3B6D654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b/>
                <w:bCs/>
                <w:color w:val="auto"/>
                <w:sz w:val="24"/>
                <w:highlight w:val="none"/>
              </w:rPr>
            </w:pPr>
          </w:p>
        </w:tc>
      </w:tr>
      <w:tr w14:paraId="51121A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86" w:hRule="atLeast"/>
          <w:jc w:val="center"/>
        </w:trPr>
        <w:tc>
          <w:tcPr>
            <w:tcW w:w="251" w:type="pct"/>
            <w:noWrap w:val="0"/>
            <w:vAlign w:val="center"/>
          </w:tcPr>
          <w:p w14:paraId="6119BE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环境保护目标</w:t>
            </w:r>
          </w:p>
        </w:tc>
        <w:tc>
          <w:tcPr>
            <w:tcW w:w="4748" w:type="pct"/>
            <w:noWrap w:val="0"/>
            <w:vAlign w:val="center"/>
          </w:tcPr>
          <w:p w14:paraId="4C6F698C">
            <w:pPr>
              <w:spacing w:line="360" w:lineRule="auto"/>
              <w:ind w:firstLine="480" w:firstLineChars="200"/>
              <w:rPr>
                <w:b/>
                <w:bCs/>
                <w:color w:val="auto"/>
                <w:sz w:val="24"/>
                <w:highlight w:val="none"/>
              </w:rPr>
            </w:pPr>
            <w:r>
              <w:rPr>
                <w:color w:val="auto"/>
                <w:sz w:val="24"/>
                <w:highlight w:val="none"/>
              </w:rPr>
              <w:t>本项目评价范围内无自然保护区、风景名胜区、饮用水源保护区等需特殊保护的区域。</w:t>
            </w:r>
            <w:r>
              <w:rPr>
                <w:rFonts w:hint="eastAsia"/>
                <w:color w:val="auto"/>
                <w:sz w:val="24"/>
                <w:highlight w:val="none"/>
              </w:rPr>
              <w:t>项目</w:t>
            </w:r>
            <w:r>
              <w:rPr>
                <w:color w:val="auto"/>
                <w:sz w:val="24"/>
                <w:highlight w:val="none"/>
              </w:rPr>
              <w:t>环境敏感保护目标</w:t>
            </w:r>
            <w:r>
              <w:rPr>
                <w:rFonts w:hint="eastAsia"/>
                <w:color w:val="auto"/>
                <w:sz w:val="24"/>
                <w:highlight w:val="none"/>
              </w:rPr>
              <w:t>概况</w:t>
            </w:r>
            <w:r>
              <w:rPr>
                <w:color w:val="auto"/>
                <w:sz w:val="24"/>
                <w:highlight w:val="none"/>
              </w:rPr>
              <w:t>见</w:t>
            </w:r>
            <w:r>
              <w:rPr>
                <w:color w:val="auto"/>
                <w:sz w:val="24"/>
                <w:highlight w:val="none"/>
              </w:rPr>
              <w:fldChar w:fldCharType="begin"/>
            </w:r>
            <w:r>
              <w:rPr>
                <w:color w:val="auto"/>
                <w:sz w:val="24"/>
                <w:highlight w:val="none"/>
              </w:rPr>
              <w:instrText xml:space="preserve"> REF _Ref2059 \h </w:instrText>
            </w:r>
            <w:r>
              <w:rPr>
                <w:color w:val="auto"/>
                <w:sz w:val="24"/>
                <w:highlight w:val="none"/>
              </w:rPr>
              <w:fldChar w:fldCharType="separate"/>
            </w:r>
            <w:r>
              <w:rPr>
                <w:color w:val="auto"/>
                <w:highlight w:val="none"/>
              </w:rPr>
              <w:t>表3-7</w:t>
            </w:r>
            <w:r>
              <w:rPr>
                <w:color w:val="auto"/>
                <w:sz w:val="24"/>
                <w:highlight w:val="none"/>
              </w:rPr>
              <w:fldChar w:fldCharType="end"/>
            </w:r>
            <w:r>
              <w:rPr>
                <w:rFonts w:hint="eastAsia"/>
                <w:color w:val="auto"/>
                <w:sz w:val="24"/>
                <w:highlight w:val="none"/>
              </w:rPr>
              <w:t>和</w:t>
            </w:r>
            <w:r>
              <w:rPr>
                <w:rFonts w:hint="eastAsia"/>
                <w:color w:val="auto"/>
                <w:sz w:val="24"/>
                <w:highlight w:val="none"/>
                <w:lang w:val="en-US" w:eastAsia="zh-CN"/>
              </w:rPr>
              <w:t>附图7</w:t>
            </w:r>
            <w:r>
              <w:rPr>
                <w:rFonts w:hint="eastAsia"/>
                <w:color w:val="auto"/>
                <w:sz w:val="24"/>
                <w:highlight w:val="none"/>
              </w:rPr>
              <w:t>所示</w:t>
            </w:r>
            <w:r>
              <w:rPr>
                <w:color w:val="auto"/>
                <w:sz w:val="24"/>
                <w:highlight w:val="none"/>
              </w:rPr>
              <w:t>。</w:t>
            </w:r>
          </w:p>
          <w:p w14:paraId="0A1FF02B">
            <w:pPr>
              <w:pStyle w:val="7"/>
              <w:rPr>
                <w:color w:val="auto"/>
                <w:highlight w:val="none"/>
              </w:rPr>
            </w:pPr>
            <w:bookmarkStart w:id="41" w:name="_Ref2059"/>
            <w:r>
              <w:rPr>
                <w:color w:val="auto"/>
                <w:highlight w:val="none"/>
              </w:rPr>
              <w:t>表3-</w:t>
            </w:r>
            <w:r>
              <w:rPr>
                <w:color w:val="auto"/>
                <w:highlight w:val="none"/>
              </w:rPr>
              <w:fldChar w:fldCharType="begin"/>
            </w:r>
            <w:r>
              <w:rPr>
                <w:color w:val="auto"/>
                <w:highlight w:val="none"/>
              </w:rPr>
              <w:instrText xml:space="preserve"> SEQ 表3- \* ARABIC </w:instrText>
            </w:r>
            <w:r>
              <w:rPr>
                <w:color w:val="auto"/>
                <w:highlight w:val="none"/>
              </w:rPr>
              <w:fldChar w:fldCharType="separate"/>
            </w:r>
            <w:r>
              <w:rPr>
                <w:color w:val="auto"/>
                <w:highlight w:val="none"/>
              </w:rPr>
              <w:t>7</w:t>
            </w:r>
            <w:r>
              <w:rPr>
                <w:color w:val="auto"/>
                <w:highlight w:val="none"/>
              </w:rPr>
              <w:fldChar w:fldCharType="end"/>
            </w:r>
            <w:bookmarkEnd w:id="41"/>
            <w:r>
              <w:rPr>
                <w:rFonts w:hint="eastAsia"/>
                <w:color w:val="auto"/>
                <w:highlight w:val="none"/>
                <w:lang w:val="en-US" w:eastAsia="zh-CN"/>
              </w:rPr>
              <w:t xml:space="preserve">  环境敏感</w:t>
            </w:r>
            <w:r>
              <w:rPr>
                <w:color w:val="auto"/>
                <w:highlight w:val="none"/>
              </w:rPr>
              <w:t>保护目标概况</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700"/>
              <w:gridCol w:w="747"/>
              <w:gridCol w:w="704"/>
              <w:gridCol w:w="819"/>
              <w:gridCol w:w="737"/>
              <w:gridCol w:w="680"/>
              <w:gridCol w:w="751"/>
              <w:gridCol w:w="657"/>
              <w:gridCol w:w="2563"/>
            </w:tblGrid>
            <w:tr w14:paraId="238A80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418" w:type="pct"/>
                  <w:vMerge w:val="restart"/>
                  <w:tcBorders>
                    <w:tl2br w:val="nil"/>
                    <w:tr2bl w:val="nil"/>
                  </w:tcBorders>
                  <w:noWrap w:val="0"/>
                  <w:vAlign w:val="center"/>
                </w:tcPr>
                <w:p w14:paraId="3259DADF">
                  <w:pPr>
                    <w:pStyle w:val="40"/>
                    <w:bidi w:val="0"/>
                    <w:rPr>
                      <w:color w:val="auto"/>
                      <w:highlight w:val="none"/>
                    </w:rPr>
                  </w:pPr>
                  <w:r>
                    <w:rPr>
                      <w:color w:val="auto"/>
                      <w:highlight w:val="none"/>
                    </w:rPr>
                    <w:t>环境</w:t>
                  </w:r>
                </w:p>
                <w:p w14:paraId="30D573CE">
                  <w:pPr>
                    <w:pStyle w:val="40"/>
                    <w:bidi w:val="0"/>
                    <w:rPr>
                      <w:color w:val="auto"/>
                      <w:highlight w:val="none"/>
                    </w:rPr>
                  </w:pPr>
                  <w:r>
                    <w:rPr>
                      <w:color w:val="auto"/>
                      <w:highlight w:val="none"/>
                    </w:rPr>
                    <w:t>要素</w:t>
                  </w:r>
                </w:p>
              </w:tc>
              <w:tc>
                <w:tcPr>
                  <w:tcW w:w="446" w:type="pct"/>
                  <w:vMerge w:val="restart"/>
                  <w:tcBorders>
                    <w:tl2br w:val="nil"/>
                    <w:tr2bl w:val="nil"/>
                  </w:tcBorders>
                  <w:noWrap w:val="0"/>
                  <w:vAlign w:val="center"/>
                </w:tcPr>
                <w:p w14:paraId="13B0330C">
                  <w:pPr>
                    <w:pStyle w:val="40"/>
                    <w:bidi w:val="0"/>
                    <w:rPr>
                      <w:rFonts w:hint="eastAsia"/>
                      <w:color w:val="auto"/>
                      <w:highlight w:val="none"/>
                    </w:rPr>
                  </w:pPr>
                  <w:r>
                    <w:rPr>
                      <w:rFonts w:hint="eastAsia"/>
                      <w:color w:val="auto"/>
                      <w:highlight w:val="none"/>
                    </w:rPr>
                    <w:t>保护</w:t>
                  </w:r>
                </w:p>
                <w:p w14:paraId="10E288F6">
                  <w:pPr>
                    <w:pStyle w:val="40"/>
                    <w:bidi w:val="0"/>
                    <w:rPr>
                      <w:color w:val="auto"/>
                      <w:highlight w:val="none"/>
                    </w:rPr>
                  </w:pPr>
                  <w:r>
                    <w:rPr>
                      <w:rFonts w:hint="eastAsia"/>
                      <w:color w:val="auto"/>
                      <w:highlight w:val="none"/>
                    </w:rPr>
                    <w:t>目标</w:t>
                  </w:r>
                </w:p>
              </w:tc>
              <w:tc>
                <w:tcPr>
                  <w:tcW w:w="911" w:type="pct"/>
                  <w:gridSpan w:val="2"/>
                  <w:tcBorders>
                    <w:tl2br w:val="nil"/>
                    <w:tr2bl w:val="nil"/>
                  </w:tcBorders>
                  <w:noWrap w:val="0"/>
                  <w:vAlign w:val="center"/>
                </w:tcPr>
                <w:p w14:paraId="5EBE1219">
                  <w:pPr>
                    <w:pStyle w:val="40"/>
                    <w:bidi w:val="0"/>
                    <w:rPr>
                      <w:color w:val="auto"/>
                      <w:highlight w:val="none"/>
                    </w:rPr>
                  </w:pPr>
                  <w:r>
                    <w:rPr>
                      <w:color w:val="auto"/>
                      <w:highlight w:val="none"/>
                    </w:rPr>
                    <w:t>坐标</w:t>
                  </w:r>
                </w:p>
              </w:tc>
              <w:tc>
                <w:tcPr>
                  <w:tcW w:w="440" w:type="pct"/>
                  <w:vMerge w:val="restart"/>
                  <w:tcBorders>
                    <w:tl2br w:val="nil"/>
                    <w:tr2bl w:val="nil"/>
                  </w:tcBorders>
                  <w:noWrap w:val="0"/>
                  <w:vAlign w:val="center"/>
                </w:tcPr>
                <w:p w14:paraId="457B0DCD">
                  <w:pPr>
                    <w:pStyle w:val="40"/>
                    <w:bidi w:val="0"/>
                    <w:rPr>
                      <w:color w:val="auto"/>
                      <w:highlight w:val="none"/>
                    </w:rPr>
                  </w:pPr>
                  <w:r>
                    <w:rPr>
                      <w:color w:val="auto"/>
                      <w:highlight w:val="none"/>
                    </w:rPr>
                    <w:t>保护</w:t>
                  </w:r>
                </w:p>
                <w:p w14:paraId="6879881C">
                  <w:pPr>
                    <w:pStyle w:val="40"/>
                    <w:bidi w:val="0"/>
                    <w:rPr>
                      <w:color w:val="auto"/>
                      <w:highlight w:val="none"/>
                    </w:rPr>
                  </w:pPr>
                  <w:r>
                    <w:rPr>
                      <w:color w:val="auto"/>
                      <w:highlight w:val="none"/>
                    </w:rPr>
                    <w:t>对象</w:t>
                  </w:r>
                </w:p>
              </w:tc>
              <w:tc>
                <w:tcPr>
                  <w:tcW w:w="856" w:type="pct"/>
                  <w:gridSpan w:val="2"/>
                  <w:tcBorders>
                    <w:tl2br w:val="nil"/>
                    <w:tr2bl w:val="nil"/>
                  </w:tcBorders>
                  <w:noWrap w:val="0"/>
                  <w:vAlign w:val="center"/>
                </w:tcPr>
                <w:p w14:paraId="35C85911">
                  <w:pPr>
                    <w:pStyle w:val="40"/>
                    <w:bidi w:val="0"/>
                    <w:rPr>
                      <w:color w:val="auto"/>
                      <w:highlight w:val="none"/>
                    </w:rPr>
                  </w:pPr>
                  <w:r>
                    <w:rPr>
                      <w:color w:val="auto"/>
                      <w:highlight w:val="none"/>
                    </w:rPr>
                    <w:t>相对厂址位置</w:t>
                  </w:r>
                </w:p>
              </w:tc>
              <w:tc>
                <w:tcPr>
                  <w:tcW w:w="393" w:type="pct"/>
                  <w:vMerge w:val="restart"/>
                  <w:tcBorders>
                    <w:tl2br w:val="nil"/>
                    <w:tr2bl w:val="nil"/>
                  </w:tcBorders>
                  <w:noWrap w:val="0"/>
                  <w:vAlign w:val="center"/>
                </w:tcPr>
                <w:p w14:paraId="7B1E5EE0">
                  <w:pPr>
                    <w:pStyle w:val="40"/>
                    <w:bidi w:val="0"/>
                    <w:rPr>
                      <w:color w:val="auto"/>
                      <w:highlight w:val="none"/>
                    </w:rPr>
                  </w:pPr>
                  <w:r>
                    <w:rPr>
                      <w:color w:val="auto"/>
                      <w:highlight w:val="none"/>
                    </w:rPr>
                    <w:t>保护</w:t>
                  </w:r>
                </w:p>
                <w:p w14:paraId="487D088A">
                  <w:pPr>
                    <w:pStyle w:val="40"/>
                    <w:bidi w:val="0"/>
                    <w:rPr>
                      <w:color w:val="auto"/>
                      <w:highlight w:val="none"/>
                    </w:rPr>
                  </w:pPr>
                  <w:r>
                    <w:rPr>
                      <w:color w:val="auto"/>
                      <w:highlight w:val="none"/>
                    </w:rPr>
                    <w:t>内容</w:t>
                  </w:r>
                </w:p>
              </w:tc>
              <w:tc>
                <w:tcPr>
                  <w:tcW w:w="1533" w:type="pct"/>
                  <w:vMerge w:val="restart"/>
                  <w:tcBorders>
                    <w:tl2br w:val="nil"/>
                    <w:tr2bl w:val="nil"/>
                  </w:tcBorders>
                  <w:noWrap w:val="0"/>
                  <w:vAlign w:val="center"/>
                </w:tcPr>
                <w:p w14:paraId="2CC43AAA">
                  <w:pPr>
                    <w:pStyle w:val="40"/>
                    <w:bidi w:val="0"/>
                    <w:rPr>
                      <w:color w:val="auto"/>
                      <w:highlight w:val="none"/>
                    </w:rPr>
                  </w:pPr>
                  <w:r>
                    <w:rPr>
                      <w:color w:val="auto"/>
                      <w:highlight w:val="none"/>
                    </w:rPr>
                    <w:t>保护目标或保护对策</w:t>
                  </w:r>
                </w:p>
              </w:tc>
            </w:tr>
            <w:tr w14:paraId="07B6FB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418" w:type="pct"/>
                  <w:vMerge w:val="continue"/>
                  <w:tcBorders>
                    <w:tl2br w:val="nil"/>
                    <w:tr2bl w:val="nil"/>
                  </w:tcBorders>
                  <w:noWrap w:val="0"/>
                  <w:vAlign w:val="center"/>
                </w:tcPr>
                <w:p w14:paraId="477A510B">
                  <w:pPr>
                    <w:pStyle w:val="40"/>
                    <w:bidi w:val="0"/>
                    <w:rPr>
                      <w:color w:val="auto"/>
                      <w:highlight w:val="none"/>
                    </w:rPr>
                  </w:pPr>
                </w:p>
              </w:tc>
              <w:tc>
                <w:tcPr>
                  <w:tcW w:w="446" w:type="pct"/>
                  <w:vMerge w:val="continue"/>
                  <w:tcBorders>
                    <w:tl2br w:val="nil"/>
                    <w:tr2bl w:val="nil"/>
                  </w:tcBorders>
                  <w:noWrap w:val="0"/>
                  <w:vAlign w:val="center"/>
                </w:tcPr>
                <w:p w14:paraId="39D566D2">
                  <w:pPr>
                    <w:pStyle w:val="40"/>
                    <w:bidi w:val="0"/>
                    <w:rPr>
                      <w:rFonts w:hint="eastAsia"/>
                      <w:color w:val="auto"/>
                      <w:highlight w:val="none"/>
                    </w:rPr>
                  </w:pPr>
                </w:p>
              </w:tc>
              <w:tc>
                <w:tcPr>
                  <w:tcW w:w="421" w:type="pct"/>
                  <w:tcBorders>
                    <w:tl2br w:val="nil"/>
                    <w:tr2bl w:val="nil"/>
                  </w:tcBorders>
                  <w:noWrap w:val="0"/>
                  <w:vAlign w:val="center"/>
                </w:tcPr>
                <w:p w14:paraId="49E7CFA1">
                  <w:pPr>
                    <w:pStyle w:val="40"/>
                    <w:bidi w:val="0"/>
                    <w:rPr>
                      <w:rFonts w:hint="eastAsia" w:eastAsia="宋体"/>
                      <w:color w:val="auto"/>
                      <w:highlight w:val="none"/>
                      <w:lang w:eastAsia="zh-CN"/>
                    </w:rPr>
                  </w:pPr>
                  <w:r>
                    <w:rPr>
                      <w:rFonts w:hint="eastAsia"/>
                      <w:color w:val="auto"/>
                      <w:highlight w:val="none"/>
                      <w:lang w:val="en-US" w:eastAsia="zh-CN"/>
                    </w:rPr>
                    <w:t>X</w:t>
                  </w:r>
                </w:p>
              </w:tc>
              <w:tc>
                <w:tcPr>
                  <w:tcW w:w="489" w:type="pct"/>
                  <w:tcBorders>
                    <w:tl2br w:val="nil"/>
                    <w:tr2bl w:val="nil"/>
                  </w:tcBorders>
                  <w:noWrap w:val="0"/>
                  <w:vAlign w:val="center"/>
                </w:tcPr>
                <w:p w14:paraId="2D35A896">
                  <w:pPr>
                    <w:pStyle w:val="40"/>
                    <w:bidi w:val="0"/>
                    <w:rPr>
                      <w:rFonts w:hint="eastAsia" w:eastAsia="宋体"/>
                      <w:color w:val="auto"/>
                      <w:highlight w:val="none"/>
                      <w:lang w:eastAsia="zh-CN"/>
                    </w:rPr>
                  </w:pPr>
                  <w:r>
                    <w:rPr>
                      <w:rFonts w:hint="eastAsia"/>
                      <w:color w:val="auto"/>
                      <w:highlight w:val="none"/>
                      <w:lang w:val="en-US" w:eastAsia="zh-CN"/>
                    </w:rPr>
                    <w:t>Y</w:t>
                  </w:r>
                </w:p>
              </w:tc>
              <w:tc>
                <w:tcPr>
                  <w:tcW w:w="440" w:type="pct"/>
                  <w:vMerge w:val="continue"/>
                  <w:tcBorders>
                    <w:tl2br w:val="nil"/>
                    <w:tr2bl w:val="nil"/>
                  </w:tcBorders>
                  <w:noWrap w:val="0"/>
                  <w:vAlign w:val="center"/>
                </w:tcPr>
                <w:p w14:paraId="10DB7AFA">
                  <w:pPr>
                    <w:pStyle w:val="40"/>
                    <w:bidi w:val="0"/>
                    <w:rPr>
                      <w:color w:val="auto"/>
                      <w:highlight w:val="none"/>
                    </w:rPr>
                  </w:pPr>
                </w:p>
              </w:tc>
              <w:tc>
                <w:tcPr>
                  <w:tcW w:w="406" w:type="pct"/>
                  <w:tcBorders>
                    <w:tl2br w:val="nil"/>
                    <w:tr2bl w:val="nil"/>
                  </w:tcBorders>
                  <w:noWrap w:val="0"/>
                  <w:vAlign w:val="center"/>
                </w:tcPr>
                <w:p w14:paraId="0CB5C980">
                  <w:pPr>
                    <w:pStyle w:val="40"/>
                    <w:bidi w:val="0"/>
                    <w:rPr>
                      <w:color w:val="auto"/>
                      <w:highlight w:val="none"/>
                    </w:rPr>
                  </w:pPr>
                  <w:r>
                    <w:rPr>
                      <w:color w:val="auto"/>
                      <w:highlight w:val="none"/>
                    </w:rPr>
                    <w:t>方位</w:t>
                  </w:r>
                </w:p>
              </w:tc>
              <w:tc>
                <w:tcPr>
                  <w:tcW w:w="449" w:type="pct"/>
                  <w:tcBorders>
                    <w:tl2br w:val="nil"/>
                    <w:tr2bl w:val="nil"/>
                  </w:tcBorders>
                  <w:noWrap w:val="0"/>
                  <w:vAlign w:val="center"/>
                </w:tcPr>
                <w:p w14:paraId="56658128">
                  <w:pPr>
                    <w:pStyle w:val="40"/>
                    <w:bidi w:val="0"/>
                    <w:rPr>
                      <w:rFonts w:hint="eastAsia"/>
                      <w:color w:val="auto"/>
                      <w:highlight w:val="none"/>
                      <w:lang w:val="en-US" w:eastAsia="zh-CN"/>
                    </w:rPr>
                  </w:pPr>
                  <w:r>
                    <w:rPr>
                      <w:color w:val="auto"/>
                      <w:highlight w:val="none"/>
                    </w:rPr>
                    <w:t>距离</w:t>
                  </w:r>
                  <w:r>
                    <w:rPr>
                      <w:rFonts w:hint="eastAsia"/>
                      <w:color w:val="auto"/>
                      <w:highlight w:val="none"/>
                      <w:lang w:val="en-US" w:eastAsia="zh-CN"/>
                    </w:rPr>
                    <w:t>/</w:t>
                  </w:r>
                  <w:r>
                    <w:rPr>
                      <w:color w:val="auto"/>
                      <w:highlight w:val="none"/>
                    </w:rPr>
                    <w:t>m</w:t>
                  </w:r>
                </w:p>
              </w:tc>
              <w:tc>
                <w:tcPr>
                  <w:tcW w:w="393" w:type="pct"/>
                  <w:vMerge w:val="continue"/>
                  <w:tcBorders>
                    <w:tl2br w:val="nil"/>
                    <w:tr2bl w:val="nil"/>
                  </w:tcBorders>
                  <w:noWrap w:val="0"/>
                  <w:vAlign w:val="center"/>
                </w:tcPr>
                <w:p w14:paraId="580D8B69">
                  <w:pPr>
                    <w:pStyle w:val="40"/>
                    <w:bidi w:val="0"/>
                    <w:rPr>
                      <w:color w:val="auto"/>
                      <w:highlight w:val="none"/>
                    </w:rPr>
                  </w:pPr>
                </w:p>
              </w:tc>
              <w:tc>
                <w:tcPr>
                  <w:tcW w:w="1533" w:type="pct"/>
                  <w:vMerge w:val="continue"/>
                  <w:tcBorders>
                    <w:tl2br w:val="nil"/>
                    <w:tr2bl w:val="nil"/>
                  </w:tcBorders>
                  <w:noWrap w:val="0"/>
                  <w:vAlign w:val="center"/>
                </w:tcPr>
                <w:p w14:paraId="1ECB6EA0">
                  <w:pPr>
                    <w:pStyle w:val="40"/>
                    <w:bidi w:val="0"/>
                    <w:rPr>
                      <w:color w:val="auto"/>
                      <w:highlight w:val="none"/>
                    </w:rPr>
                  </w:pPr>
                </w:p>
              </w:tc>
            </w:tr>
            <w:tr w14:paraId="376BAE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418" w:type="pct"/>
                  <w:tcBorders>
                    <w:tl2br w:val="nil"/>
                    <w:tr2bl w:val="nil"/>
                  </w:tcBorders>
                  <w:noWrap w:val="0"/>
                  <w:vAlign w:val="center"/>
                </w:tcPr>
                <w:p w14:paraId="472760AF">
                  <w:pPr>
                    <w:pStyle w:val="40"/>
                    <w:bidi w:val="0"/>
                    <w:rPr>
                      <w:color w:val="auto"/>
                      <w:highlight w:val="none"/>
                    </w:rPr>
                  </w:pPr>
                  <w:r>
                    <w:rPr>
                      <w:color w:val="auto"/>
                      <w:highlight w:val="none"/>
                    </w:rPr>
                    <w:t>环境</w:t>
                  </w:r>
                </w:p>
                <w:p w14:paraId="166522F7">
                  <w:pPr>
                    <w:pStyle w:val="40"/>
                    <w:bidi w:val="0"/>
                    <w:rPr>
                      <w:color w:val="auto"/>
                      <w:highlight w:val="none"/>
                    </w:rPr>
                  </w:pPr>
                  <w:r>
                    <w:rPr>
                      <w:color w:val="auto"/>
                      <w:highlight w:val="none"/>
                    </w:rPr>
                    <w:t>空气</w:t>
                  </w:r>
                </w:p>
              </w:tc>
              <w:tc>
                <w:tcPr>
                  <w:tcW w:w="446" w:type="pct"/>
                  <w:tcBorders>
                    <w:tl2br w:val="nil"/>
                    <w:tr2bl w:val="nil"/>
                  </w:tcBorders>
                  <w:noWrap w:val="0"/>
                  <w:vAlign w:val="center"/>
                </w:tcPr>
                <w:p w14:paraId="3FC6C10C">
                  <w:pPr>
                    <w:pStyle w:val="40"/>
                    <w:bidi w:val="0"/>
                    <w:rPr>
                      <w:rFonts w:hint="eastAsia"/>
                      <w:color w:val="auto"/>
                      <w:highlight w:val="none"/>
                      <w:lang w:eastAsia="zh-CN"/>
                    </w:rPr>
                  </w:pPr>
                  <w:r>
                    <w:rPr>
                      <w:rFonts w:hint="eastAsia"/>
                      <w:color w:val="auto"/>
                      <w:highlight w:val="none"/>
                      <w:lang w:val="en-US" w:eastAsia="zh-CN"/>
                    </w:rPr>
                    <w:t>水地湾</w:t>
                  </w:r>
                </w:p>
              </w:tc>
              <w:tc>
                <w:tcPr>
                  <w:tcW w:w="421" w:type="pct"/>
                  <w:tcBorders>
                    <w:tl2br w:val="nil"/>
                    <w:tr2bl w:val="nil"/>
                  </w:tcBorders>
                  <w:noWrap w:val="0"/>
                  <w:vAlign w:val="center"/>
                </w:tcPr>
                <w:p w14:paraId="2DDBB42D">
                  <w:pPr>
                    <w:pStyle w:val="40"/>
                    <w:bidi w:val="0"/>
                    <w:rPr>
                      <w:color w:val="auto"/>
                      <w:highlight w:val="none"/>
                    </w:rPr>
                  </w:pPr>
                  <w:r>
                    <w:rPr>
                      <w:rFonts w:hint="eastAsia"/>
                      <w:color w:val="auto"/>
                      <w:highlight w:val="none"/>
                    </w:rPr>
                    <w:t>506766</w:t>
                  </w:r>
                </w:p>
              </w:tc>
              <w:tc>
                <w:tcPr>
                  <w:tcW w:w="489" w:type="pct"/>
                  <w:tcBorders>
                    <w:tl2br w:val="nil"/>
                    <w:tr2bl w:val="nil"/>
                  </w:tcBorders>
                  <w:noWrap w:val="0"/>
                  <w:vAlign w:val="center"/>
                </w:tcPr>
                <w:p w14:paraId="4C83D128">
                  <w:pPr>
                    <w:pStyle w:val="40"/>
                    <w:bidi w:val="0"/>
                    <w:rPr>
                      <w:color w:val="auto"/>
                      <w:highlight w:val="none"/>
                    </w:rPr>
                  </w:pPr>
                  <w:r>
                    <w:rPr>
                      <w:rFonts w:hint="eastAsia"/>
                      <w:color w:val="auto"/>
                      <w:highlight w:val="none"/>
                    </w:rPr>
                    <w:t>4343693</w:t>
                  </w:r>
                </w:p>
              </w:tc>
              <w:tc>
                <w:tcPr>
                  <w:tcW w:w="440" w:type="pct"/>
                  <w:tcBorders>
                    <w:tl2br w:val="nil"/>
                    <w:tr2bl w:val="nil"/>
                  </w:tcBorders>
                  <w:noWrap w:val="0"/>
                  <w:vAlign w:val="center"/>
                </w:tcPr>
                <w:p w14:paraId="2FF72D3B">
                  <w:pPr>
                    <w:pStyle w:val="40"/>
                    <w:bidi w:val="0"/>
                    <w:rPr>
                      <w:rFonts w:hint="default" w:eastAsia="宋体"/>
                      <w:color w:val="auto"/>
                      <w:highlight w:val="none"/>
                      <w:lang w:val="en-US" w:eastAsia="zh-CN"/>
                    </w:rPr>
                  </w:pPr>
                  <w:r>
                    <w:rPr>
                      <w:color w:val="auto"/>
                      <w:highlight w:val="none"/>
                    </w:rPr>
                    <w:t>居住区</w:t>
                  </w:r>
                  <w:r>
                    <w:rPr>
                      <w:rFonts w:hint="eastAsia"/>
                      <w:color w:val="auto"/>
                      <w:highlight w:val="none"/>
                      <w:lang w:eastAsia="zh-CN"/>
                    </w:rPr>
                    <w:t>（</w:t>
                  </w:r>
                  <w:r>
                    <w:rPr>
                      <w:rFonts w:hint="eastAsia"/>
                      <w:color w:val="auto"/>
                      <w:highlight w:val="none"/>
                      <w:lang w:val="en-US" w:eastAsia="zh-CN"/>
                    </w:rPr>
                    <w:t>约27户）</w:t>
                  </w:r>
                </w:p>
              </w:tc>
              <w:tc>
                <w:tcPr>
                  <w:tcW w:w="406" w:type="pct"/>
                  <w:tcBorders>
                    <w:tl2br w:val="nil"/>
                    <w:tr2bl w:val="nil"/>
                  </w:tcBorders>
                  <w:noWrap w:val="0"/>
                  <w:vAlign w:val="center"/>
                </w:tcPr>
                <w:p w14:paraId="7FF3644E">
                  <w:pPr>
                    <w:pStyle w:val="40"/>
                    <w:bidi w:val="0"/>
                    <w:rPr>
                      <w:rFonts w:hint="default"/>
                      <w:color w:val="auto"/>
                      <w:highlight w:val="none"/>
                      <w:lang w:val="en-US" w:eastAsia="zh-CN"/>
                    </w:rPr>
                  </w:pPr>
                  <w:r>
                    <w:rPr>
                      <w:rFonts w:hint="eastAsia"/>
                      <w:color w:val="auto"/>
                      <w:highlight w:val="none"/>
                      <w:lang w:val="en-US" w:eastAsia="zh-CN"/>
                    </w:rPr>
                    <w:t>SW</w:t>
                  </w:r>
                </w:p>
              </w:tc>
              <w:tc>
                <w:tcPr>
                  <w:tcW w:w="449" w:type="pct"/>
                  <w:tcBorders>
                    <w:tl2br w:val="nil"/>
                    <w:tr2bl w:val="nil"/>
                  </w:tcBorders>
                  <w:noWrap w:val="0"/>
                  <w:vAlign w:val="center"/>
                </w:tcPr>
                <w:p w14:paraId="4F203234">
                  <w:pPr>
                    <w:pStyle w:val="40"/>
                    <w:bidi w:val="0"/>
                    <w:rPr>
                      <w:rFonts w:hint="default"/>
                      <w:color w:val="auto"/>
                      <w:highlight w:val="none"/>
                      <w:lang w:val="en-US" w:eastAsia="zh-CN"/>
                    </w:rPr>
                  </w:pPr>
                  <w:r>
                    <w:rPr>
                      <w:rFonts w:hint="eastAsia"/>
                      <w:color w:val="auto"/>
                      <w:highlight w:val="none"/>
                      <w:lang w:val="en-US" w:eastAsia="zh-CN"/>
                    </w:rPr>
                    <w:t>390</w:t>
                  </w:r>
                </w:p>
              </w:tc>
              <w:tc>
                <w:tcPr>
                  <w:tcW w:w="393" w:type="pct"/>
                  <w:tcBorders>
                    <w:tl2br w:val="nil"/>
                    <w:tr2bl w:val="nil"/>
                  </w:tcBorders>
                  <w:noWrap w:val="0"/>
                  <w:vAlign w:val="center"/>
                </w:tcPr>
                <w:p w14:paraId="3AD1E050">
                  <w:pPr>
                    <w:pStyle w:val="40"/>
                    <w:bidi w:val="0"/>
                    <w:rPr>
                      <w:color w:val="auto"/>
                      <w:highlight w:val="none"/>
                    </w:rPr>
                  </w:pPr>
                  <w:r>
                    <w:rPr>
                      <w:color w:val="auto"/>
                      <w:highlight w:val="none"/>
                    </w:rPr>
                    <w:t>人群</w:t>
                  </w:r>
                </w:p>
                <w:p w14:paraId="5C77244B">
                  <w:pPr>
                    <w:pStyle w:val="40"/>
                    <w:bidi w:val="0"/>
                    <w:rPr>
                      <w:color w:val="auto"/>
                      <w:highlight w:val="none"/>
                    </w:rPr>
                  </w:pPr>
                  <w:r>
                    <w:rPr>
                      <w:color w:val="auto"/>
                      <w:highlight w:val="none"/>
                    </w:rPr>
                    <w:t>健康</w:t>
                  </w:r>
                </w:p>
              </w:tc>
              <w:tc>
                <w:tcPr>
                  <w:tcW w:w="1533" w:type="pct"/>
                  <w:tcBorders>
                    <w:tl2br w:val="nil"/>
                    <w:tr2bl w:val="nil"/>
                  </w:tcBorders>
                  <w:noWrap w:val="0"/>
                  <w:vAlign w:val="center"/>
                </w:tcPr>
                <w:p w14:paraId="7C920BF6">
                  <w:pPr>
                    <w:pStyle w:val="40"/>
                    <w:bidi w:val="0"/>
                    <w:rPr>
                      <w:color w:val="auto"/>
                      <w:highlight w:val="none"/>
                      <w:lang w:val="en-US" w:eastAsia="zh-CN"/>
                    </w:rPr>
                  </w:pPr>
                  <w:r>
                    <w:rPr>
                      <w:color w:val="auto"/>
                      <w:highlight w:val="none"/>
                      <w:lang w:val="en-US" w:eastAsia="zh-CN"/>
                    </w:rPr>
                    <w:t>《环境空气质量标准》</w:t>
                  </w:r>
                  <w:r>
                    <w:rPr>
                      <w:rFonts w:hint="eastAsia"/>
                      <w:color w:val="auto"/>
                      <w:highlight w:val="none"/>
                      <w:lang w:val="en-US" w:eastAsia="zh-CN"/>
                    </w:rPr>
                    <w:t>（</w:t>
                  </w:r>
                  <w:r>
                    <w:rPr>
                      <w:color w:val="auto"/>
                      <w:highlight w:val="none"/>
                      <w:lang w:val="en-US" w:eastAsia="zh-CN"/>
                    </w:rPr>
                    <w:t>GB</w:t>
                  </w:r>
                  <w:r>
                    <w:rPr>
                      <w:rFonts w:hint="eastAsia"/>
                      <w:color w:val="auto"/>
                      <w:highlight w:val="none"/>
                      <w:lang w:val="en-US" w:eastAsia="zh-CN"/>
                    </w:rPr>
                    <w:t xml:space="preserve"> </w:t>
                  </w:r>
                  <w:r>
                    <w:rPr>
                      <w:color w:val="auto"/>
                      <w:highlight w:val="none"/>
                      <w:lang w:val="en-US" w:eastAsia="zh-CN"/>
                    </w:rPr>
                    <w:t>3095-2012</w:t>
                  </w:r>
                  <w:r>
                    <w:rPr>
                      <w:rFonts w:hint="eastAsia"/>
                      <w:color w:val="auto"/>
                      <w:highlight w:val="none"/>
                      <w:lang w:val="en-US" w:eastAsia="zh-CN"/>
                    </w:rPr>
                    <w:t>）</w:t>
                  </w:r>
                  <w:r>
                    <w:rPr>
                      <w:color w:val="auto"/>
                      <w:highlight w:val="none"/>
                      <w:lang w:val="en-US" w:eastAsia="zh-CN"/>
                    </w:rPr>
                    <w:t>二级标准</w:t>
                  </w:r>
                </w:p>
              </w:tc>
            </w:tr>
            <w:tr w14:paraId="367D49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418" w:type="pct"/>
                  <w:tcBorders>
                    <w:tl2br w:val="nil"/>
                    <w:tr2bl w:val="nil"/>
                  </w:tcBorders>
                  <w:noWrap w:val="0"/>
                  <w:vAlign w:val="center"/>
                </w:tcPr>
                <w:p w14:paraId="4FC70E93">
                  <w:pPr>
                    <w:pStyle w:val="40"/>
                    <w:bidi w:val="0"/>
                    <w:rPr>
                      <w:color w:val="auto"/>
                      <w:highlight w:val="none"/>
                    </w:rPr>
                  </w:pPr>
                  <w:r>
                    <w:rPr>
                      <w:color w:val="auto"/>
                      <w:highlight w:val="none"/>
                    </w:rPr>
                    <w:t>地表水</w:t>
                  </w:r>
                </w:p>
              </w:tc>
              <w:tc>
                <w:tcPr>
                  <w:tcW w:w="446" w:type="pct"/>
                  <w:tcBorders>
                    <w:tl2br w:val="nil"/>
                    <w:tr2bl w:val="nil"/>
                  </w:tcBorders>
                  <w:noWrap w:val="0"/>
                  <w:vAlign w:val="center"/>
                </w:tcPr>
                <w:p w14:paraId="72A64DCF">
                  <w:pPr>
                    <w:pStyle w:val="40"/>
                    <w:bidi w:val="0"/>
                    <w:rPr>
                      <w:rFonts w:hint="eastAsia"/>
                      <w:color w:val="auto"/>
                      <w:highlight w:val="none"/>
                      <w:lang w:eastAsia="zh-CN"/>
                    </w:rPr>
                  </w:pPr>
                  <w:r>
                    <w:rPr>
                      <w:rFonts w:hint="eastAsia"/>
                      <w:color w:val="auto"/>
                      <w:highlight w:val="none"/>
                      <w:lang w:val="en-US" w:eastAsia="zh-CN"/>
                    </w:rPr>
                    <w:t>清水川</w:t>
                  </w:r>
                </w:p>
              </w:tc>
              <w:tc>
                <w:tcPr>
                  <w:tcW w:w="421" w:type="pct"/>
                  <w:tcBorders>
                    <w:tl2br w:val="nil"/>
                    <w:tr2bl w:val="nil"/>
                  </w:tcBorders>
                  <w:noWrap w:val="0"/>
                  <w:vAlign w:val="center"/>
                </w:tcPr>
                <w:p w14:paraId="237259C2">
                  <w:pPr>
                    <w:pStyle w:val="40"/>
                    <w:bidi w:val="0"/>
                    <w:rPr>
                      <w:rFonts w:hint="eastAsia"/>
                      <w:color w:val="auto"/>
                      <w:highlight w:val="none"/>
                    </w:rPr>
                  </w:pPr>
                  <w:r>
                    <w:rPr>
                      <w:rFonts w:hint="eastAsia"/>
                      <w:color w:val="auto"/>
                      <w:highlight w:val="none"/>
                    </w:rPr>
                    <w:t>/</w:t>
                  </w:r>
                </w:p>
              </w:tc>
              <w:tc>
                <w:tcPr>
                  <w:tcW w:w="489" w:type="pct"/>
                  <w:tcBorders>
                    <w:tl2br w:val="nil"/>
                    <w:tr2bl w:val="nil"/>
                  </w:tcBorders>
                  <w:noWrap w:val="0"/>
                  <w:vAlign w:val="center"/>
                </w:tcPr>
                <w:p w14:paraId="6BFA6C9C">
                  <w:pPr>
                    <w:pStyle w:val="40"/>
                    <w:bidi w:val="0"/>
                    <w:rPr>
                      <w:rFonts w:hint="eastAsia"/>
                      <w:color w:val="auto"/>
                      <w:highlight w:val="none"/>
                    </w:rPr>
                  </w:pPr>
                  <w:r>
                    <w:rPr>
                      <w:rFonts w:hint="eastAsia"/>
                      <w:color w:val="auto"/>
                      <w:highlight w:val="none"/>
                    </w:rPr>
                    <w:t>/</w:t>
                  </w:r>
                </w:p>
              </w:tc>
              <w:tc>
                <w:tcPr>
                  <w:tcW w:w="440" w:type="pct"/>
                  <w:tcBorders>
                    <w:tl2br w:val="nil"/>
                    <w:tr2bl w:val="nil"/>
                  </w:tcBorders>
                  <w:noWrap w:val="0"/>
                  <w:vAlign w:val="center"/>
                </w:tcPr>
                <w:p w14:paraId="5249A2E4">
                  <w:pPr>
                    <w:pStyle w:val="40"/>
                    <w:bidi w:val="0"/>
                    <w:rPr>
                      <w:rFonts w:hint="eastAsia"/>
                      <w:color w:val="auto"/>
                      <w:highlight w:val="none"/>
                    </w:rPr>
                  </w:pPr>
                  <w:r>
                    <w:rPr>
                      <w:rFonts w:hint="eastAsia"/>
                      <w:color w:val="auto"/>
                      <w:highlight w:val="none"/>
                    </w:rPr>
                    <w:t>水体</w:t>
                  </w:r>
                </w:p>
              </w:tc>
              <w:tc>
                <w:tcPr>
                  <w:tcW w:w="406" w:type="pct"/>
                  <w:tcBorders>
                    <w:tl2br w:val="nil"/>
                    <w:tr2bl w:val="nil"/>
                  </w:tcBorders>
                  <w:noWrap w:val="0"/>
                  <w:vAlign w:val="center"/>
                </w:tcPr>
                <w:p w14:paraId="76B3A776">
                  <w:pPr>
                    <w:pStyle w:val="40"/>
                    <w:bidi w:val="0"/>
                    <w:rPr>
                      <w:rFonts w:hint="eastAsia"/>
                      <w:color w:val="auto"/>
                      <w:highlight w:val="none"/>
                      <w:lang w:eastAsia="zh-CN"/>
                    </w:rPr>
                  </w:pPr>
                  <w:r>
                    <w:rPr>
                      <w:rFonts w:hint="eastAsia"/>
                      <w:color w:val="auto"/>
                      <w:highlight w:val="none"/>
                      <w:lang w:val="en-US" w:eastAsia="zh-CN"/>
                    </w:rPr>
                    <w:t>W</w:t>
                  </w:r>
                </w:p>
              </w:tc>
              <w:tc>
                <w:tcPr>
                  <w:tcW w:w="449" w:type="pct"/>
                  <w:tcBorders>
                    <w:tl2br w:val="nil"/>
                    <w:tr2bl w:val="nil"/>
                  </w:tcBorders>
                  <w:noWrap w:val="0"/>
                  <w:vAlign w:val="center"/>
                </w:tcPr>
                <w:p w14:paraId="3AC96931">
                  <w:pPr>
                    <w:pStyle w:val="40"/>
                    <w:bidi w:val="0"/>
                    <w:rPr>
                      <w:rFonts w:hint="default"/>
                      <w:color w:val="auto"/>
                      <w:highlight w:val="none"/>
                      <w:lang w:val="en-US" w:eastAsia="zh-CN"/>
                    </w:rPr>
                  </w:pPr>
                  <w:r>
                    <w:rPr>
                      <w:rFonts w:hint="eastAsia"/>
                      <w:color w:val="auto"/>
                      <w:highlight w:val="none"/>
                      <w:lang w:val="en-US" w:eastAsia="zh-CN"/>
                    </w:rPr>
                    <w:t>80</w:t>
                  </w:r>
                </w:p>
              </w:tc>
              <w:tc>
                <w:tcPr>
                  <w:tcW w:w="393" w:type="pct"/>
                  <w:tcBorders>
                    <w:tl2br w:val="nil"/>
                    <w:tr2bl w:val="nil"/>
                  </w:tcBorders>
                  <w:noWrap w:val="0"/>
                  <w:vAlign w:val="center"/>
                </w:tcPr>
                <w:p w14:paraId="71950AD9">
                  <w:pPr>
                    <w:pStyle w:val="40"/>
                    <w:bidi w:val="0"/>
                    <w:rPr>
                      <w:rFonts w:hint="eastAsia"/>
                      <w:color w:val="auto"/>
                      <w:highlight w:val="none"/>
                    </w:rPr>
                  </w:pPr>
                  <w:r>
                    <w:rPr>
                      <w:rFonts w:hint="eastAsia"/>
                      <w:color w:val="auto"/>
                      <w:highlight w:val="none"/>
                    </w:rPr>
                    <w:t>水质</w:t>
                  </w:r>
                </w:p>
              </w:tc>
              <w:tc>
                <w:tcPr>
                  <w:tcW w:w="1533" w:type="pct"/>
                  <w:tcBorders>
                    <w:tl2br w:val="nil"/>
                    <w:tr2bl w:val="nil"/>
                  </w:tcBorders>
                  <w:noWrap w:val="0"/>
                  <w:vAlign w:val="center"/>
                </w:tcPr>
                <w:p w14:paraId="34A7F81C">
                  <w:pPr>
                    <w:pStyle w:val="40"/>
                    <w:bidi w:val="0"/>
                    <w:rPr>
                      <w:color w:val="auto"/>
                      <w:highlight w:val="none"/>
                    </w:rPr>
                  </w:pPr>
                  <w:r>
                    <w:rPr>
                      <w:rFonts w:hint="eastAsia"/>
                      <w:color w:val="auto"/>
                      <w:highlight w:val="none"/>
                    </w:rPr>
                    <w:t>《地表水环境质量标准》（GB3838-2002）</w:t>
                  </w:r>
                  <w:r>
                    <w:rPr>
                      <w:rFonts w:hint="default" w:ascii="Times New Roman" w:hAnsi="Times New Roman" w:cs="Times New Roman"/>
                      <w:color w:val="auto"/>
                      <w:highlight w:val="none"/>
                    </w:rPr>
                    <w:t>Ⅲ</w:t>
                  </w:r>
                  <w:r>
                    <w:rPr>
                      <w:rFonts w:hint="eastAsia"/>
                      <w:color w:val="auto"/>
                      <w:highlight w:val="none"/>
                    </w:rPr>
                    <w:t>类标准</w:t>
                  </w:r>
                </w:p>
              </w:tc>
            </w:tr>
            <w:tr w14:paraId="1AD9DB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418" w:type="pct"/>
                  <w:tcBorders>
                    <w:tl2br w:val="nil"/>
                    <w:tr2bl w:val="nil"/>
                  </w:tcBorders>
                  <w:noWrap w:val="0"/>
                  <w:vAlign w:val="center"/>
                </w:tcPr>
                <w:p w14:paraId="15239D16">
                  <w:pPr>
                    <w:pStyle w:val="40"/>
                    <w:bidi w:val="0"/>
                    <w:rPr>
                      <w:rFonts w:hint="eastAsia" w:eastAsia="宋体"/>
                      <w:color w:val="auto"/>
                      <w:highlight w:val="none"/>
                      <w:lang w:val="en-US" w:eastAsia="zh-CN"/>
                    </w:rPr>
                  </w:pPr>
                  <w:r>
                    <w:rPr>
                      <w:rFonts w:hint="eastAsia"/>
                      <w:color w:val="auto"/>
                      <w:highlight w:val="none"/>
                      <w:lang w:val="en-US" w:eastAsia="zh-CN"/>
                    </w:rPr>
                    <w:t>声环境</w:t>
                  </w:r>
                </w:p>
              </w:tc>
              <w:tc>
                <w:tcPr>
                  <w:tcW w:w="4581" w:type="pct"/>
                  <w:gridSpan w:val="8"/>
                  <w:tcBorders>
                    <w:tl2br w:val="nil"/>
                    <w:tr2bl w:val="nil"/>
                  </w:tcBorders>
                  <w:noWrap w:val="0"/>
                  <w:vAlign w:val="center"/>
                </w:tcPr>
                <w:p w14:paraId="451F13C2">
                  <w:pPr>
                    <w:pStyle w:val="40"/>
                    <w:bidi w:val="0"/>
                    <w:rPr>
                      <w:rFonts w:hint="eastAsia"/>
                      <w:color w:val="auto"/>
                      <w:highlight w:val="none"/>
                    </w:rPr>
                  </w:pPr>
                  <w:r>
                    <w:rPr>
                      <w:rFonts w:hint="eastAsia"/>
                      <w:color w:val="auto"/>
                      <w:highlight w:val="none"/>
                    </w:rPr>
                    <w:t>厂界外50</w:t>
                  </w:r>
                  <w:r>
                    <w:rPr>
                      <w:rFonts w:hint="eastAsia"/>
                      <w:color w:val="auto"/>
                      <w:highlight w:val="none"/>
                      <w:lang w:val="en-US" w:eastAsia="zh-CN"/>
                    </w:rPr>
                    <w:t>m</w:t>
                  </w:r>
                  <w:r>
                    <w:rPr>
                      <w:rFonts w:hint="eastAsia"/>
                      <w:color w:val="auto"/>
                      <w:highlight w:val="none"/>
                    </w:rPr>
                    <w:t>范围内无声环境保护目标。</w:t>
                  </w:r>
                </w:p>
              </w:tc>
            </w:tr>
            <w:tr w14:paraId="31E039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418" w:type="pct"/>
                  <w:tcBorders>
                    <w:tl2br w:val="nil"/>
                    <w:tr2bl w:val="nil"/>
                  </w:tcBorders>
                  <w:noWrap w:val="0"/>
                  <w:vAlign w:val="center"/>
                </w:tcPr>
                <w:p w14:paraId="5CD50D43">
                  <w:pPr>
                    <w:pStyle w:val="40"/>
                    <w:bidi w:val="0"/>
                    <w:rPr>
                      <w:color w:val="auto"/>
                      <w:highlight w:val="none"/>
                    </w:rPr>
                  </w:pPr>
                  <w:r>
                    <w:rPr>
                      <w:color w:val="auto"/>
                      <w:highlight w:val="none"/>
                    </w:rPr>
                    <w:t>地下水</w:t>
                  </w:r>
                </w:p>
              </w:tc>
              <w:tc>
                <w:tcPr>
                  <w:tcW w:w="4581" w:type="pct"/>
                  <w:gridSpan w:val="8"/>
                  <w:tcBorders>
                    <w:tl2br w:val="nil"/>
                    <w:tr2bl w:val="nil"/>
                  </w:tcBorders>
                  <w:noWrap w:val="0"/>
                  <w:vAlign w:val="center"/>
                </w:tcPr>
                <w:p w14:paraId="154EB425">
                  <w:pPr>
                    <w:pStyle w:val="40"/>
                    <w:bidi w:val="0"/>
                    <w:rPr>
                      <w:color w:val="auto"/>
                      <w:highlight w:val="none"/>
                    </w:rPr>
                  </w:pPr>
                  <w:r>
                    <w:rPr>
                      <w:color w:val="auto"/>
                      <w:spacing w:val="-6"/>
                      <w:sz w:val="21"/>
                      <w:highlight w:val="none"/>
                    </w:rPr>
                    <w:t>厂界外500m范围内无集中式饮用水水源地和热水、矿泉水、温泉等特殊地</w:t>
                  </w:r>
                  <w:r>
                    <w:rPr>
                      <w:rFonts w:hint="eastAsia"/>
                      <w:color w:val="auto"/>
                      <w:spacing w:val="-6"/>
                      <w:sz w:val="21"/>
                      <w:highlight w:val="none"/>
                    </w:rPr>
                    <w:t>下</w:t>
                  </w:r>
                  <w:r>
                    <w:rPr>
                      <w:color w:val="auto"/>
                      <w:spacing w:val="-6"/>
                      <w:sz w:val="21"/>
                      <w:highlight w:val="none"/>
                    </w:rPr>
                    <w:t>水资源</w:t>
                  </w:r>
                </w:p>
              </w:tc>
            </w:tr>
            <w:tr w14:paraId="1F5294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418" w:type="pct"/>
                  <w:tcBorders>
                    <w:tl2br w:val="nil"/>
                    <w:tr2bl w:val="nil"/>
                  </w:tcBorders>
                  <w:noWrap w:val="0"/>
                  <w:vAlign w:val="center"/>
                </w:tcPr>
                <w:p w14:paraId="35B15439">
                  <w:pPr>
                    <w:pStyle w:val="40"/>
                    <w:bidi w:val="0"/>
                    <w:rPr>
                      <w:color w:val="auto"/>
                      <w:highlight w:val="none"/>
                    </w:rPr>
                  </w:pPr>
                  <w:r>
                    <w:rPr>
                      <w:color w:val="auto"/>
                      <w:highlight w:val="none"/>
                    </w:rPr>
                    <w:t>生态</w:t>
                  </w:r>
                </w:p>
                <w:p w14:paraId="44573508">
                  <w:pPr>
                    <w:pStyle w:val="40"/>
                    <w:bidi w:val="0"/>
                    <w:rPr>
                      <w:color w:val="auto"/>
                      <w:highlight w:val="none"/>
                    </w:rPr>
                  </w:pPr>
                  <w:r>
                    <w:rPr>
                      <w:color w:val="auto"/>
                      <w:highlight w:val="none"/>
                    </w:rPr>
                    <w:t>环境</w:t>
                  </w:r>
                </w:p>
              </w:tc>
              <w:tc>
                <w:tcPr>
                  <w:tcW w:w="4581" w:type="pct"/>
                  <w:gridSpan w:val="8"/>
                  <w:tcBorders>
                    <w:tl2br w:val="nil"/>
                    <w:tr2bl w:val="nil"/>
                  </w:tcBorders>
                  <w:noWrap w:val="0"/>
                  <w:vAlign w:val="center"/>
                </w:tcPr>
                <w:p w14:paraId="66CAD13D">
                  <w:pPr>
                    <w:pStyle w:val="40"/>
                    <w:bidi w:val="0"/>
                    <w:rPr>
                      <w:color w:val="auto"/>
                      <w:highlight w:val="none"/>
                      <w:lang w:val="en-US" w:eastAsia="zh-CN"/>
                    </w:rPr>
                  </w:pPr>
                  <w:r>
                    <w:rPr>
                      <w:rFonts w:hint="eastAsia"/>
                      <w:color w:val="auto"/>
                      <w:highlight w:val="none"/>
                      <w:lang w:val="en-US" w:eastAsia="zh-CN"/>
                    </w:rPr>
                    <w:t>本项目用地为清水川工业园区内的一处空地，</w:t>
                  </w:r>
                  <w:r>
                    <w:rPr>
                      <w:rFonts w:hint="eastAsia"/>
                      <w:color w:val="auto"/>
                      <w:highlight w:val="none"/>
                    </w:rPr>
                    <w:t>西侧80m为清水川省级重要湿地，施工期运</w:t>
                  </w:r>
                  <w:r>
                    <w:rPr>
                      <w:rFonts w:hint="eastAsia"/>
                      <w:color w:val="auto"/>
                      <w:highlight w:val="none"/>
                      <w:lang w:val="en-US" w:eastAsia="zh-CN"/>
                    </w:rPr>
                    <w:t>营</w:t>
                  </w:r>
                  <w:r>
                    <w:rPr>
                      <w:rFonts w:hint="eastAsia"/>
                      <w:color w:val="auto"/>
                      <w:highlight w:val="none"/>
                    </w:rPr>
                    <w:t>期应严格落实《中华人民共和国湿地保护法》、《陕西省湿地保护条例》中的有关规定</w:t>
                  </w:r>
                </w:p>
              </w:tc>
            </w:tr>
          </w:tbl>
          <w:p w14:paraId="5F6CD3D1">
            <w:pPr>
              <w:adjustRightInd w:val="0"/>
              <w:snapToGrid w:val="0"/>
              <w:ind w:left="0" w:leftChars="0" w:firstLine="0" w:firstLineChars="0"/>
              <w:jc w:val="both"/>
              <w:rPr>
                <w:rFonts w:ascii="宋体" w:hAnsi="宋体" w:cs="宋体"/>
                <w:color w:val="auto"/>
                <w:kern w:val="0"/>
                <w:sz w:val="24"/>
                <w:szCs w:val="24"/>
                <w:highlight w:val="none"/>
              </w:rPr>
            </w:pPr>
          </w:p>
        </w:tc>
      </w:tr>
      <w:tr w14:paraId="5BD52D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tcMar>
              <w:left w:w="28" w:type="dxa"/>
              <w:right w:w="28" w:type="dxa"/>
            </w:tcMar>
            <w:vAlign w:val="center"/>
          </w:tcPr>
          <w:p w14:paraId="1E55BC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污染物排放控制标准</w:t>
            </w:r>
          </w:p>
        </w:tc>
        <w:tc>
          <w:tcPr>
            <w:tcW w:w="4748" w:type="pct"/>
            <w:noWrap w:val="0"/>
            <w:vAlign w:val="center"/>
          </w:tcPr>
          <w:p w14:paraId="16030679">
            <w:pPr>
              <w:pStyle w:val="41"/>
              <w:bidi w:val="0"/>
              <w:rPr>
                <w:rFonts w:hint="eastAsia"/>
                <w:color w:val="auto"/>
                <w:highlight w:val="none"/>
              </w:rPr>
            </w:pPr>
            <w:r>
              <w:rPr>
                <w:rFonts w:hint="eastAsia"/>
                <w:color w:val="auto"/>
                <w:highlight w:val="none"/>
                <w:lang w:val="en-US" w:eastAsia="zh-CN"/>
              </w:rPr>
              <w:t>1、</w:t>
            </w:r>
            <w:r>
              <w:rPr>
                <w:rFonts w:hint="eastAsia"/>
                <w:color w:val="auto"/>
                <w:highlight w:val="none"/>
              </w:rPr>
              <w:t>大气污染物</w:t>
            </w:r>
          </w:p>
          <w:p w14:paraId="1214A1E0">
            <w:pPr>
              <w:bidi w:val="0"/>
              <w:rPr>
                <w:rFonts w:hint="default"/>
                <w:color w:val="auto"/>
                <w:highlight w:val="none"/>
                <w:lang w:val="en-US"/>
              </w:rPr>
            </w:pPr>
            <w:r>
              <w:rPr>
                <w:rFonts w:hint="eastAsia"/>
                <w:color w:val="auto"/>
                <w:highlight w:val="none"/>
                <w:lang w:val="en-US" w:eastAsia="zh-CN"/>
              </w:rPr>
              <w:t>施工期施工扬尘执行《施工场界扬尘排放限值》（DB 61/1078-2017），见</w:t>
            </w:r>
            <w:r>
              <w:rPr>
                <w:rFonts w:hint="eastAsia"/>
                <w:color w:val="auto"/>
                <w:highlight w:val="none"/>
                <w:lang w:val="en-US" w:eastAsia="zh-CN"/>
              </w:rPr>
              <w:fldChar w:fldCharType="begin"/>
            </w:r>
            <w:r>
              <w:rPr>
                <w:rFonts w:hint="eastAsia"/>
                <w:color w:val="auto"/>
                <w:highlight w:val="none"/>
                <w:lang w:val="en-US" w:eastAsia="zh-CN"/>
              </w:rPr>
              <w:instrText xml:space="preserve"> REF _Ref3019 \h </w:instrText>
            </w:r>
            <w:r>
              <w:rPr>
                <w:rFonts w:hint="eastAsia"/>
                <w:color w:val="auto"/>
                <w:highlight w:val="none"/>
                <w:lang w:val="en-US" w:eastAsia="zh-CN"/>
              </w:rPr>
              <w:fldChar w:fldCharType="separate"/>
            </w:r>
            <w:r>
              <w:rPr>
                <w:color w:val="auto"/>
                <w:highlight w:val="none"/>
              </w:rPr>
              <w:t>表3-8</w:t>
            </w:r>
            <w:r>
              <w:rPr>
                <w:rFonts w:hint="eastAsia"/>
                <w:color w:val="auto"/>
                <w:highlight w:val="none"/>
                <w:lang w:val="en-US" w:eastAsia="zh-CN"/>
              </w:rPr>
              <w:fldChar w:fldCharType="end"/>
            </w:r>
            <w:r>
              <w:rPr>
                <w:rFonts w:hint="eastAsia"/>
                <w:color w:val="auto"/>
                <w:highlight w:val="none"/>
                <w:lang w:val="en-US" w:eastAsia="zh-CN"/>
              </w:rPr>
              <w:t>；运营期蒸压硅酸盐骨料生产车间有组织废气排放参照执行《水泥工业大气污染物排放标准》（GB 4915-2013），见</w:t>
            </w:r>
            <w:r>
              <w:rPr>
                <w:rFonts w:hint="eastAsia"/>
                <w:color w:val="auto"/>
                <w:highlight w:val="none"/>
                <w:lang w:val="en-US" w:eastAsia="zh-CN"/>
              </w:rPr>
              <w:fldChar w:fldCharType="begin"/>
            </w:r>
            <w:r>
              <w:rPr>
                <w:rFonts w:hint="eastAsia"/>
                <w:color w:val="auto"/>
                <w:highlight w:val="none"/>
                <w:lang w:val="en-US" w:eastAsia="zh-CN"/>
              </w:rPr>
              <w:instrText xml:space="preserve"> REF _Ref3130 \h </w:instrText>
            </w:r>
            <w:r>
              <w:rPr>
                <w:rFonts w:hint="eastAsia"/>
                <w:color w:val="auto"/>
                <w:highlight w:val="none"/>
                <w:lang w:val="en-US" w:eastAsia="zh-CN"/>
              </w:rPr>
              <w:fldChar w:fldCharType="separate"/>
            </w:r>
            <w:r>
              <w:rPr>
                <w:color w:val="auto"/>
                <w:highlight w:val="none"/>
              </w:rPr>
              <w:t>表3-9</w:t>
            </w:r>
            <w:r>
              <w:rPr>
                <w:rFonts w:hint="eastAsia"/>
                <w:color w:val="auto"/>
                <w:highlight w:val="none"/>
                <w:lang w:val="en-US" w:eastAsia="zh-CN"/>
              </w:rPr>
              <w:fldChar w:fldCharType="end"/>
            </w:r>
            <w:r>
              <w:rPr>
                <w:rFonts w:hint="eastAsia"/>
                <w:color w:val="auto"/>
                <w:highlight w:val="none"/>
                <w:lang w:val="en-US" w:eastAsia="zh-CN"/>
              </w:rPr>
              <w:t>；运营期厂界无组织废气排放执行《水泥工业大气污染物排放标准》（GB 4915-2013），见</w:t>
            </w:r>
            <w:r>
              <w:rPr>
                <w:rFonts w:hint="eastAsia"/>
                <w:color w:val="auto"/>
                <w:highlight w:val="none"/>
                <w:lang w:val="en-US" w:eastAsia="zh-CN"/>
              </w:rPr>
              <w:fldChar w:fldCharType="begin"/>
            </w:r>
            <w:r>
              <w:rPr>
                <w:rFonts w:hint="eastAsia"/>
                <w:color w:val="auto"/>
                <w:highlight w:val="none"/>
                <w:lang w:val="en-US" w:eastAsia="zh-CN"/>
              </w:rPr>
              <w:instrText xml:space="preserve"> REF _Ref3208 \h </w:instrText>
            </w:r>
            <w:r>
              <w:rPr>
                <w:rFonts w:hint="eastAsia"/>
                <w:color w:val="auto"/>
                <w:highlight w:val="none"/>
                <w:lang w:val="en-US" w:eastAsia="zh-CN"/>
              </w:rPr>
              <w:fldChar w:fldCharType="separate"/>
            </w:r>
            <w:r>
              <w:rPr>
                <w:color w:val="auto"/>
                <w:highlight w:val="none"/>
              </w:rPr>
              <w:t>表3-10</w:t>
            </w:r>
            <w:r>
              <w:rPr>
                <w:rFonts w:hint="eastAsia"/>
                <w:color w:val="auto"/>
                <w:highlight w:val="none"/>
                <w:lang w:val="en-US" w:eastAsia="zh-CN"/>
              </w:rPr>
              <w:fldChar w:fldCharType="end"/>
            </w:r>
            <w:r>
              <w:rPr>
                <w:rFonts w:hint="eastAsia"/>
                <w:color w:val="auto"/>
                <w:highlight w:val="none"/>
                <w:lang w:val="en-US" w:eastAsia="zh-CN"/>
              </w:rPr>
              <w:t>；</w:t>
            </w:r>
            <w:r>
              <w:rPr>
                <w:rFonts w:hint="eastAsia"/>
                <w:color w:val="auto"/>
                <w:sz w:val="24"/>
                <w:highlight w:val="none"/>
                <w:lang w:val="en-US" w:eastAsia="zh-CN"/>
              </w:rPr>
              <w:t>运营期</w:t>
            </w:r>
            <w:r>
              <w:rPr>
                <w:color w:val="auto"/>
                <w:spacing w:val="-6"/>
                <w:sz w:val="24"/>
                <w:highlight w:val="none"/>
              </w:rPr>
              <w:t>锅炉</w:t>
            </w:r>
            <w:r>
              <w:rPr>
                <w:rFonts w:hint="eastAsia"/>
                <w:color w:val="auto"/>
                <w:spacing w:val="-6"/>
                <w:sz w:val="24"/>
                <w:highlight w:val="none"/>
              </w:rPr>
              <w:t>废气</w:t>
            </w:r>
            <w:r>
              <w:rPr>
                <w:color w:val="auto"/>
                <w:spacing w:val="-6"/>
                <w:sz w:val="24"/>
                <w:highlight w:val="none"/>
              </w:rPr>
              <w:t>执行《锅炉大气污染物排放标准》（DB</w:t>
            </w:r>
            <w:r>
              <w:rPr>
                <w:rFonts w:hint="eastAsia"/>
                <w:color w:val="auto"/>
                <w:spacing w:val="-6"/>
                <w:sz w:val="24"/>
                <w:highlight w:val="none"/>
                <w:lang w:val="en-US" w:eastAsia="zh-CN"/>
              </w:rPr>
              <w:t xml:space="preserve"> </w:t>
            </w:r>
            <w:r>
              <w:rPr>
                <w:color w:val="auto"/>
                <w:spacing w:val="-6"/>
                <w:sz w:val="24"/>
                <w:highlight w:val="none"/>
              </w:rPr>
              <w:t>61/1226-2018）表5</w:t>
            </w:r>
            <w:r>
              <w:rPr>
                <w:rFonts w:hint="eastAsia"/>
                <w:color w:val="auto"/>
                <w:spacing w:val="-6"/>
                <w:sz w:val="24"/>
                <w:highlight w:val="none"/>
              </w:rPr>
              <w:t>中的生物质</w:t>
            </w:r>
            <w:r>
              <w:rPr>
                <w:color w:val="auto"/>
                <w:spacing w:val="-6"/>
                <w:sz w:val="24"/>
                <w:highlight w:val="none"/>
              </w:rPr>
              <w:t>锅炉标准</w:t>
            </w:r>
            <w:r>
              <w:rPr>
                <w:rFonts w:hint="eastAsia"/>
                <w:color w:val="auto"/>
                <w:spacing w:val="-6"/>
                <w:sz w:val="24"/>
                <w:highlight w:val="none"/>
                <w:lang w:eastAsia="zh-CN"/>
              </w:rPr>
              <w:t>，烟气黑度执行《锅炉大气污染物排放标准》（GB 13271-2014），</w:t>
            </w:r>
            <w:r>
              <w:rPr>
                <w:rFonts w:hint="eastAsia"/>
                <w:color w:val="auto"/>
                <w:spacing w:val="-6"/>
                <w:sz w:val="24"/>
                <w:highlight w:val="none"/>
                <w:lang w:val="en-US" w:eastAsia="zh-CN"/>
              </w:rPr>
              <w:t>见</w:t>
            </w:r>
            <w:r>
              <w:rPr>
                <w:rFonts w:hint="eastAsia"/>
                <w:color w:val="auto"/>
                <w:spacing w:val="-6"/>
                <w:sz w:val="24"/>
                <w:highlight w:val="none"/>
                <w:lang w:val="en-US" w:eastAsia="zh-CN"/>
              </w:rPr>
              <w:fldChar w:fldCharType="begin"/>
            </w:r>
            <w:r>
              <w:rPr>
                <w:rFonts w:hint="eastAsia"/>
                <w:color w:val="auto"/>
                <w:spacing w:val="-6"/>
                <w:sz w:val="24"/>
                <w:highlight w:val="none"/>
                <w:lang w:val="en-US" w:eastAsia="zh-CN"/>
              </w:rPr>
              <w:instrText xml:space="preserve"> REF _Ref3765 \h </w:instrText>
            </w:r>
            <w:r>
              <w:rPr>
                <w:rFonts w:hint="eastAsia"/>
                <w:color w:val="auto"/>
                <w:spacing w:val="-6"/>
                <w:sz w:val="24"/>
                <w:highlight w:val="none"/>
                <w:lang w:val="en-US" w:eastAsia="zh-CN"/>
              </w:rPr>
              <w:fldChar w:fldCharType="separate"/>
            </w:r>
            <w:r>
              <w:rPr>
                <w:color w:val="auto"/>
                <w:highlight w:val="none"/>
              </w:rPr>
              <w:t>表3-11</w:t>
            </w:r>
            <w:r>
              <w:rPr>
                <w:rFonts w:hint="eastAsia"/>
                <w:color w:val="auto"/>
                <w:spacing w:val="-6"/>
                <w:sz w:val="24"/>
                <w:highlight w:val="none"/>
                <w:lang w:val="en-US" w:eastAsia="zh-CN"/>
              </w:rPr>
              <w:fldChar w:fldCharType="end"/>
            </w:r>
            <w:r>
              <w:rPr>
                <w:rFonts w:hint="eastAsia"/>
                <w:color w:val="auto"/>
                <w:spacing w:val="-6"/>
                <w:sz w:val="24"/>
                <w:highlight w:val="none"/>
                <w:lang w:val="en-US" w:eastAsia="zh-CN"/>
              </w:rPr>
              <w:t>；</w:t>
            </w:r>
            <w:r>
              <w:rPr>
                <w:rFonts w:hint="eastAsia"/>
                <w:color w:val="auto"/>
                <w:highlight w:val="none"/>
                <w:lang w:eastAsia="zh-CN"/>
              </w:rPr>
              <w:t>装载车等非道路移动机械用柴油</w:t>
            </w:r>
            <w:r>
              <w:rPr>
                <w:rFonts w:hint="eastAsia"/>
                <w:color w:val="auto"/>
                <w:highlight w:val="none"/>
                <w:lang w:val="en-US" w:eastAsia="zh-CN"/>
              </w:rPr>
              <w:t>污染物排放限值执行</w:t>
            </w:r>
            <w:r>
              <w:rPr>
                <w:rFonts w:hint="default"/>
                <w:color w:val="auto"/>
                <w:highlight w:val="none"/>
                <w:lang w:val="en-US" w:eastAsia="zh-CN"/>
              </w:rPr>
              <w:t>《非道路移动机械用柴油机排气污染物排放限值及测量方法》（中国第三、第四阶段）</w:t>
            </w:r>
            <w:r>
              <w:rPr>
                <w:rFonts w:hint="eastAsia"/>
                <w:color w:val="auto"/>
                <w:highlight w:val="none"/>
                <w:lang w:val="en-US" w:eastAsia="zh-CN"/>
              </w:rPr>
              <w:t>及修改单</w:t>
            </w:r>
            <w:r>
              <w:rPr>
                <w:rFonts w:hint="default"/>
                <w:color w:val="auto"/>
                <w:highlight w:val="none"/>
                <w:lang w:val="en-US" w:eastAsia="zh-CN"/>
              </w:rPr>
              <w:t>（GB</w:t>
            </w:r>
            <w:r>
              <w:rPr>
                <w:rFonts w:hint="eastAsia"/>
                <w:color w:val="auto"/>
                <w:highlight w:val="none"/>
                <w:lang w:val="en-US" w:eastAsia="zh-CN"/>
              </w:rPr>
              <w:t xml:space="preserve"> </w:t>
            </w:r>
            <w:r>
              <w:rPr>
                <w:rFonts w:hint="default"/>
                <w:color w:val="auto"/>
                <w:highlight w:val="none"/>
                <w:lang w:val="en-US" w:eastAsia="zh-CN"/>
              </w:rPr>
              <w:t>20891-2014）</w:t>
            </w:r>
            <w:r>
              <w:rPr>
                <w:rFonts w:hint="eastAsia"/>
                <w:color w:val="auto"/>
                <w:highlight w:val="none"/>
                <w:lang w:val="en-US" w:eastAsia="zh-CN"/>
              </w:rPr>
              <w:t>标准，见</w:t>
            </w:r>
            <w:r>
              <w:rPr>
                <w:rFonts w:hint="eastAsia"/>
                <w:color w:val="auto"/>
                <w:highlight w:val="none"/>
                <w:lang w:val="en-US" w:eastAsia="zh-CN"/>
              </w:rPr>
              <w:fldChar w:fldCharType="begin"/>
            </w:r>
            <w:r>
              <w:rPr>
                <w:rFonts w:hint="eastAsia"/>
                <w:color w:val="auto"/>
                <w:highlight w:val="none"/>
                <w:lang w:val="en-US" w:eastAsia="zh-CN"/>
              </w:rPr>
              <w:instrText xml:space="preserve"> REF _Ref4000 \h </w:instrText>
            </w:r>
            <w:r>
              <w:rPr>
                <w:rFonts w:hint="eastAsia"/>
                <w:color w:val="auto"/>
                <w:highlight w:val="none"/>
                <w:lang w:val="en-US" w:eastAsia="zh-CN"/>
              </w:rPr>
              <w:fldChar w:fldCharType="separate"/>
            </w:r>
            <w:r>
              <w:rPr>
                <w:color w:val="auto"/>
                <w:highlight w:val="none"/>
              </w:rPr>
              <w:t>表3-12</w:t>
            </w:r>
            <w:r>
              <w:rPr>
                <w:rFonts w:hint="eastAsia"/>
                <w:color w:val="auto"/>
                <w:highlight w:val="none"/>
                <w:lang w:val="en-US" w:eastAsia="zh-CN"/>
              </w:rPr>
              <w:fldChar w:fldCharType="end"/>
            </w:r>
            <w:bookmarkStart w:id="42" w:name="_Ref3019"/>
            <w:r>
              <w:rPr>
                <w:rFonts w:hint="eastAsia"/>
                <w:color w:val="auto"/>
                <w:highlight w:val="none"/>
                <w:lang w:val="en-US" w:eastAsia="zh-CN"/>
              </w:rPr>
              <w:t>；</w:t>
            </w:r>
            <w:r>
              <w:rPr>
                <w:rFonts w:hint="eastAsia"/>
                <w:color w:val="auto"/>
                <w:highlight w:val="none"/>
                <w:lang w:eastAsia="zh-CN"/>
              </w:rPr>
              <w:t>装载车等</w:t>
            </w:r>
            <w:r>
              <w:rPr>
                <w:rFonts w:hint="eastAsia"/>
                <w:color w:val="auto"/>
                <w:highlight w:val="none"/>
                <w:lang w:val="en-US" w:eastAsia="zh-CN"/>
              </w:rPr>
              <w:t>非道路移动柴油机械排气的不透光法烟度（光吸收系数）和林格曼黑度级数执行《非道路柴油移动机械排气烟度限值及测量方法》（GB 36886-2018）标准，见</w:t>
            </w:r>
            <w:r>
              <w:rPr>
                <w:rFonts w:hint="eastAsia"/>
                <w:color w:val="auto"/>
                <w:highlight w:val="none"/>
                <w:lang w:val="en-US" w:eastAsia="zh-CN"/>
              </w:rPr>
              <w:fldChar w:fldCharType="begin"/>
            </w:r>
            <w:r>
              <w:rPr>
                <w:rFonts w:hint="eastAsia"/>
                <w:color w:val="auto"/>
                <w:highlight w:val="none"/>
                <w:lang w:val="en-US" w:eastAsia="zh-CN"/>
              </w:rPr>
              <w:instrText xml:space="preserve"> REF _Ref24864 \h </w:instrText>
            </w:r>
            <w:r>
              <w:rPr>
                <w:rFonts w:hint="eastAsia"/>
                <w:color w:val="auto"/>
                <w:highlight w:val="none"/>
                <w:lang w:val="en-US" w:eastAsia="zh-CN"/>
              </w:rPr>
              <w:fldChar w:fldCharType="separate"/>
            </w:r>
            <w:r>
              <w:rPr>
                <w:color w:val="auto"/>
                <w:highlight w:val="none"/>
              </w:rPr>
              <w:t>表3-13</w:t>
            </w:r>
            <w:r>
              <w:rPr>
                <w:rFonts w:hint="eastAsia"/>
                <w:color w:val="auto"/>
                <w:highlight w:val="none"/>
                <w:lang w:val="en-US" w:eastAsia="zh-CN"/>
              </w:rPr>
              <w:fldChar w:fldCharType="end"/>
            </w:r>
            <w:r>
              <w:rPr>
                <w:rFonts w:hint="eastAsia"/>
                <w:color w:val="auto"/>
                <w:highlight w:val="none"/>
                <w:lang w:val="en-US" w:eastAsia="zh-CN"/>
              </w:rPr>
              <w:t>。</w:t>
            </w:r>
          </w:p>
          <w:p w14:paraId="4D92391C">
            <w:pPr>
              <w:pStyle w:val="7"/>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color w:val="auto"/>
                <w:highlight w:val="none"/>
              </w:rPr>
              <w:t>表3-</w:t>
            </w:r>
            <w:r>
              <w:rPr>
                <w:color w:val="auto"/>
                <w:highlight w:val="none"/>
              </w:rPr>
              <w:fldChar w:fldCharType="begin"/>
            </w:r>
            <w:r>
              <w:rPr>
                <w:color w:val="auto"/>
                <w:highlight w:val="none"/>
              </w:rPr>
              <w:instrText xml:space="preserve"> SEQ 表3- \* ARABIC </w:instrText>
            </w:r>
            <w:r>
              <w:rPr>
                <w:color w:val="auto"/>
                <w:highlight w:val="none"/>
              </w:rPr>
              <w:fldChar w:fldCharType="separate"/>
            </w:r>
            <w:r>
              <w:rPr>
                <w:color w:val="auto"/>
                <w:highlight w:val="none"/>
              </w:rPr>
              <w:t>8</w:t>
            </w:r>
            <w:r>
              <w:rPr>
                <w:color w:val="auto"/>
                <w:highlight w:val="none"/>
              </w:rPr>
              <w:fldChar w:fldCharType="end"/>
            </w:r>
            <w:bookmarkEnd w:id="42"/>
            <w:r>
              <w:rPr>
                <w:rFonts w:hint="eastAsia"/>
                <w:color w:val="auto"/>
                <w:highlight w:val="none"/>
              </w:rPr>
              <w:t xml:space="preserve">  《施工场界扬尘排放限值》（DB</w:t>
            </w:r>
            <w:r>
              <w:rPr>
                <w:rFonts w:hint="eastAsia"/>
                <w:color w:val="auto"/>
                <w:highlight w:val="none"/>
                <w:lang w:val="en-US" w:eastAsia="zh-CN"/>
              </w:rPr>
              <w:t xml:space="preserve"> </w:t>
            </w:r>
            <w:r>
              <w:rPr>
                <w:rFonts w:hint="eastAsia"/>
                <w:color w:val="auto"/>
                <w:highlight w:val="none"/>
              </w:rPr>
              <w:t>61/1078-2017） 单位：mg/m</w:t>
            </w:r>
            <w:r>
              <w:rPr>
                <w:rFonts w:hint="eastAsia"/>
                <w:color w:val="auto"/>
                <w:highlight w:val="none"/>
                <w:vertAlign w:val="superscript"/>
              </w:rPr>
              <w:t>3</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127"/>
              <w:gridCol w:w="1153"/>
              <w:gridCol w:w="3266"/>
              <w:gridCol w:w="2122"/>
            </w:tblGrid>
            <w:tr w14:paraId="3317DA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1" w:type="pct"/>
                  <w:tcBorders>
                    <w:tl2br w:val="nil"/>
                    <w:tr2bl w:val="nil"/>
                  </w:tcBorders>
                  <w:noWrap w:val="0"/>
                  <w:vAlign w:val="center"/>
                </w:tcPr>
                <w:p w14:paraId="0943CF4A">
                  <w:pPr>
                    <w:pStyle w:val="40"/>
                    <w:bidi w:val="0"/>
                    <w:rPr>
                      <w:rFonts w:hint="default"/>
                      <w:color w:val="auto"/>
                      <w:highlight w:val="none"/>
                    </w:rPr>
                  </w:pPr>
                  <w:r>
                    <w:rPr>
                      <w:rFonts w:hint="default"/>
                      <w:color w:val="auto"/>
                      <w:highlight w:val="none"/>
                    </w:rPr>
                    <w:t>序号</w:t>
                  </w:r>
                </w:p>
              </w:tc>
              <w:tc>
                <w:tcPr>
                  <w:tcW w:w="674" w:type="pct"/>
                  <w:tcBorders>
                    <w:tl2br w:val="nil"/>
                    <w:tr2bl w:val="nil"/>
                  </w:tcBorders>
                  <w:noWrap w:val="0"/>
                  <w:vAlign w:val="center"/>
                </w:tcPr>
                <w:p w14:paraId="76596F29">
                  <w:pPr>
                    <w:pStyle w:val="40"/>
                    <w:bidi w:val="0"/>
                    <w:rPr>
                      <w:rFonts w:hint="default"/>
                      <w:color w:val="auto"/>
                      <w:highlight w:val="none"/>
                    </w:rPr>
                  </w:pPr>
                  <w:r>
                    <w:rPr>
                      <w:rFonts w:hint="default"/>
                      <w:color w:val="auto"/>
                      <w:highlight w:val="none"/>
                    </w:rPr>
                    <w:t>污染物</w:t>
                  </w:r>
                </w:p>
              </w:tc>
              <w:tc>
                <w:tcPr>
                  <w:tcW w:w="690" w:type="pct"/>
                  <w:tcBorders>
                    <w:tl2br w:val="nil"/>
                    <w:tr2bl w:val="nil"/>
                  </w:tcBorders>
                  <w:noWrap w:val="0"/>
                  <w:vAlign w:val="center"/>
                </w:tcPr>
                <w:p w14:paraId="6D6C9FFC">
                  <w:pPr>
                    <w:pStyle w:val="40"/>
                    <w:bidi w:val="0"/>
                    <w:rPr>
                      <w:rFonts w:hint="default"/>
                      <w:color w:val="auto"/>
                      <w:highlight w:val="none"/>
                    </w:rPr>
                  </w:pPr>
                  <w:r>
                    <w:rPr>
                      <w:rFonts w:hint="default"/>
                      <w:color w:val="auto"/>
                      <w:highlight w:val="none"/>
                    </w:rPr>
                    <w:t>监控点</w:t>
                  </w:r>
                </w:p>
              </w:tc>
              <w:tc>
                <w:tcPr>
                  <w:tcW w:w="1954" w:type="pct"/>
                  <w:tcBorders>
                    <w:tl2br w:val="nil"/>
                    <w:tr2bl w:val="nil"/>
                  </w:tcBorders>
                  <w:noWrap w:val="0"/>
                  <w:vAlign w:val="center"/>
                </w:tcPr>
                <w:p w14:paraId="2E6C90EA">
                  <w:pPr>
                    <w:pStyle w:val="40"/>
                    <w:bidi w:val="0"/>
                    <w:rPr>
                      <w:rFonts w:hint="default"/>
                      <w:color w:val="auto"/>
                      <w:highlight w:val="none"/>
                    </w:rPr>
                  </w:pPr>
                  <w:r>
                    <w:rPr>
                      <w:rFonts w:hint="default"/>
                      <w:color w:val="auto"/>
                      <w:highlight w:val="none"/>
                    </w:rPr>
                    <w:t>施工阶段</w:t>
                  </w:r>
                </w:p>
              </w:tc>
              <w:tc>
                <w:tcPr>
                  <w:tcW w:w="1269" w:type="pct"/>
                  <w:tcBorders>
                    <w:tl2br w:val="nil"/>
                    <w:tr2bl w:val="nil"/>
                  </w:tcBorders>
                  <w:noWrap w:val="0"/>
                  <w:vAlign w:val="center"/>
                </w:tcPr>
                <w:p w14:paraId="20F2DF1F">
                  <w:pPr>
                    <w:pStyle w:val="40"/>
                    <w:bidi w:val="0"/>
                    <w:rPr>
                      <w:rFonts w:hint="default"/>
                      <w:color w:val="auto"/>
                      <w:highlight w:val="none"/>
                    </w:rPr>
                  </w:pPr>
                  <w:r>
                    <w:rPr>
                      <w:rFonts w:hint="default"/>
                      <w:color w:val="auto"/>
                      <w:highlight w:val="none"/>
                    </w:rPr>
                    <w:t>小时平均浓度限值</w:t>
                  </w:r>
                </w:p>
              </w:tc>
            </w:tr>
            <w:tr w14:paraId="243BAC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1" w:type="pct"/>
                  <w:tcBorders>
                    <w:tl2br w:val="nil"/>
                    <w:tr2bl w:val="nil"/>
                  </w:tcBorders>
                  <w:noWrap w:val="0"/>
                  <w:vAlign w:val="center"/>
                </w:tcPr>
                <w:p w14:paraId="2144332A">
                  <w:pPr>
                    <w:pStyle w:val="40"/>
                    <w:bidi w:val="0"/>
                    <w:rPr>
                      <w:rFonts w:hint="default"/>
                      <w:color w:val="auto"/>
                      <w:highlight w:val="none"/>
                    </w:rPr>
                  </w:pPr>
                  <w:r>
                    <w:rPr>
                      <w:rFonts w:hint="default"/>
                      <w:color w:val="auto"/>
                      <w:highlight w:val="none"/>
                    </w:rPr>
                    <w:t>1</w:t>
                  </w:r>
                </w:p>
              </w:tc>
              <w:tc>
                <w:tcPr>
                  <w:tcW w:w="674" w:type="pct"/>
                  <w:vMerge w:val="restart"/>
                  <w:tcBorders>
                    <w:tl2br w:val="nil"/>
                    <w:tr2bl w:val="nil"/>
                  </w:tcBorders>
                  <w:noWrap w:val="0"/>
                  <w:vAlign w:val="center"/>
                </w:tcPr>
                <w:p w14:paraId="3982BE1C">
                  <w:pPr>
                    <w:pStyle w:val="40"/>
                    <w:bidi w:val="0"/>
                    <w:rPr>
                      <w:rFonts w:hint="default"/>
                      <w:color w:val="auto"/>
                      <w:highlight w:val="none"/>
                    </w:rPr>
                  </w:pPr>
                  <w:r>
                    <w:rPr>
                      <w:rFonts w:hint="default"/>
                      <w:color w:val="auto"/>
                      <w:highlight w:val="none"/>
                    </w:rPr>
                    <w:t>施工扬尘</w:t>
                  </w:r>
                </w:p>
              </w:tc>
              <w:tc>
                <w:tcPr>
                  <w:tcW w:w="690" w:type="pct"/>
                  <w:vMerge w:val="restart"/>
                  <w:tcBorders>
                    <w:tl2br w:val="nil"/>
                    <w:tr2bl w:val="nil"/>
                  </w:tcBorders>
                  <w:noWrap w:val="0"/>
                  <w:vAlign w:val="center"/>
                </w:tcPr>
                <w:p w14:paraId="2FB45A20">
                  <w:pPr>
                    <w:pStyle w:val="40"/>
                    <w:bidi w:val="0"/>
                    <w:rPr>
                      <w:rFonts w:hint="default"/>
                      <w:color w:val="auto"/>
                      <w:highlight w:val="none"/>
                    </w:rPr>
                  </w:pPr>
                  <w:r>
                    <w:rPr>
                      <w:rFonts w:hint="default"/>
                      <w:color w:val="auto"/>
                      <w:highlight w:val="none"/>
                    </w:rPr>
                    <w:t>周界外浓度最高点</w:t>
                  </w:r>
                </w:p>
              </w:tc>
              <w:tc>
                <w:tcPr>
                  <w:tcW w:w="1954" w:type="pct"/>
                  <w:tcBorders>
                    <w:tl2br w:val="nil"/>
                    <w:tr2bl w:val="nil"/>
                  </w:tcBorders>
                  <w:noWrap w:val="0"/>
                  <w:vAlign w:val="center"/>
                </w:tcPr>
                <w:p w14:paraId="4A1CCD5A">
                  <w:pPr>
                    <w:pStyle w:val="40"/>
                    <w:bidi w:val="0"/>
                    <w:rPr>
                      <w:rFonts w:hint="default"/>
                      <w:color w:val="auto"/>
                      <w:highlight w:val="none"/>
                    </w:rPr>
                  </w:pPr>
                  <w:r>
                    <w:rPr>
                      <w:rFonts w:hint="default"/>
                      <w:color w:val="auto"/>
                      <w:highlight w:val="none"/>
                    </w:rPr>
                    <w:t>拆除、土方及地基处理工程</w:t>
                  </w:r>
                </w:p>
              </w:tc>
              <w:tc>
                <w:tcPr>
                  <w:tcW w:w="1269" w:type="pct"/>
                  <w:tcBorders>
                    <w:tl2br w:val="nil"/>
                    <w:tr2bl w:val="nil"/>
                  </w:tcBorders>
                  <w:noWrap w:val="0"/>
                  <w:vAlign w:val="center"/>
                </w:tcPr>
                <w:p w14:paraId="130E983D">
                  <w:pPr>
                    <w:pStyle w:val="40"/>
                    <w:bidi w:val="0"/>
                    <w:rPr>
                      <w:rFonts w:hint="default"/>
                      <w:color w:val="auto"/>
                      <w:highlight w:val="none"/>
                    </w:rPr>
                  </w:pPr>
                  <w:r>
                    <w:rPr>
                      <w:rFonts w:hint="default"/>
                      <w:color w:val="auto"/>
                      <w:highlight w:val="none"/>
                    </w:rPr>
                    <w:t>≤0.8</w:t>
                  </w:r>
                </w:p>
              </w:tc>
            </w:tr>
            <w:tr w14:paraId="473AAE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1" w:type="pct"/>
                  <w:tcBorders>
                    <w:tl2br w:val="nil"/>
                    <w:tr2bl w:val="nil"/>
                  </w:tcBorders>
                  <w:noWrap w:val="0"/>
                  <w:vAlign w:val="center"/>
                </w:tcPr>
                <w:p w14:paraId="70BD0197">
                  <w:pPr>
                    <w:pStyle w:val="40"/>
                    <w:bidi w:val="0"/>
                    <w:rPr>
                      <w:rFonts w:hint="default"/>
                      <w:color w:val="auto"/>
                      <w:highlight w:val="none"/>
                    </w:rPr>
                  </w:pPr>
                  <w:r>
                    <w:rPr>
                      <w:rFonts w:hint="default"/>
                      <w:color w:val="auto"/>
                      <w:highlight w:val="none"/>
                    </w:rPr>
                    <w:t>2</w:t>
                  </w:r>
                </w:p>
              </w:tc>
              <w:tc>
                <w:tcPr>
                  <w:tcW w:w="674" w:type="pct"/>
                  <w:vMerge w:val="continue"/>
                  <w:tcBorders>
                    <w:tl2br w:val="nil"/>
                    <w:tr2bl w:val="nil"/>
                  </w:tcBorders>
                  <w:noWrap w:val="0"/>
                  <w:vAlign w:val="center"/>
                </w:tcPr>
                <w:p w14:paraId="361F316D">
                  <w:pPr>
                    <w:pStyle w:val="40"/>
                    <w:bidi w:val="0"/>
                    <w:rPr>
                      <w:rFonts w:hint="default"/>
                      <w:color w:val="auto"/>
                      <w:highlight w:val="none"/>
                    </w:rPr>
                  </w:pPr>
                </w:p>
              </w:tc>
              <w:tc>
                <w:tcPr>
                  <w:tcW w:w="690" w:type="pct"/>
                  <w:vMerge w:val="continue"/>
                  <w:tcBorders>
                    <w:tl2br w:val="nil"/>
                    <w:tr2bl w:val="nil"/>
                  </w:tcBorders>
                  <w:noWrap w:val="0"/>
                  <w:vAlign w:val="center"/>
                </w:tcPr>
                <w:p w14:paraId="26760BA5">
                  <w:pPr>
                    <w:pStyle w:val="40"/>
                    <w:bidi w:val="0"/>
                    <w:rPr>
                      <w:rFonts w:hint="default"/>
                      <w:color w:val="auto"/>
                      <w:highlight w:val="none"/>
                    </w:rPr>
                  </w:pPr>
                </w:p>
              </w:tc>
              <w:tc>
                <w:tcPr>
                  <w:tcW w:w="1954" w:type="pct"/>
                  <w:tcBorders>
                    <w:tl2br w:val="nil"/>
                    <w:tr2bl w:val="nil"/>
                  </w:tcBorders>
                  <w:noWrap w:val="0"/>
                  <w:vAlign w:val="center"/>
                </w:tcPr>
                <w:p w14:paraId="70AD9C6D">
                  <w:pPr>
                    <w:pStyle w:val="40"/>
                    <w:bidi w:val="0"/>
                    <w:rPr>
                      <w:rFonts w:hint="default"/>
                      <w:color w:val="auto"/>
                      <w:highlight w:val="none"/>
                    </w:rPr>
                  </w:pPr>
                  <w:r>
                    <w:rPr>
                      <w:rFonts w:hint="default"/>
                      <w:color w:val="auto"/>
                      <w:highlight w:val="none"/>
                    </w:rPr>
                    <w:t>基础、主体结构及装饰工程</w:t>
                  </w:r>
                </w:p>
              </w:tc>
              <w:tc>
                <w:tcPr>
                  <w:tcW w:w="1269" w:type="pct"/>
                  <w:tcBorders>
                    <w:tl2br w:val="nil"/>
                    <w:tr2bl w:val="nil"/>
                  </w:tcBorders>
                  <w:noWrap w:val="0"/>
                  <w:vAlign w:val="center"/>
                </w:tcPr>
                <w:p w14:paraId="02B32B42">
                  <w:pPr>
                    <w:pStyle w:val="40"/>
                    <w:bidi w:val="0"/>
                    <w:rPr>
                      <w:rFonts w:hint="default"/>
                      <w:color w:val="auto"/>
                      <w:highlight w:val="none"/>
                    </w:rPr>
                  </w:pPr>
                  <w:r>
                    <w:rPr>
                      <w:rFonts w:hint="default"/>
                      <w:color w:val="auto"/>
                      <w:highlight w:val="none"/>
                    </w:rPr>
                    <w:t>≤0.7</w:t>
                  </w:r>
                </w:p>
              </w:tc>
            </w:tr>
          </w:tbl>
          <w:p w14:paraId="6F288A98">
            <w:pPr>
              <w:pStyle w:val="7"/>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color w:val="auto"/>
                <w:highlight w:val="none"/>
                <w:lang w:val="en-US"/>
              </w:rPr>
            </w:pPr>
            <w:bookmarkStart w:id="43" w:name="_Ref3130"/>
            <w:r>
              <w:rPr>
                <w:color w:val="auto"/>
                <w:highlight w:val="none"/>
              </w:rPr>
              <w:t>表3-</w:t>
            </w:r>
            <w:r>
              <w:rPr>
                <w:color w:val="auto"/>
                <w:highlight w:val="none"/>
              </w:rPr>
              <w:fldChar w:fldCharType="begin"/>
            </w:r>
            <w:r>
              <w:rPr>
                <w:color w:val="auto"/>
                <w:highlight w:val="none"/>
              </w:rPr>
              <w:instrText xml:space="preserve"> SEQ 表3- \* ARABIC </w:instrText>
            </w:r>
            <w:r>
              <w:rPr>
                <w:color w:val="auto"/>
                <w:highlight w:val="none"/>
              </w:rPr>
              <w:fldChar w:fldCharType="separate"/>
            </w:r>
            <w:r>
              <w:rPr>
                <w:color w:val="auto"/>
                <w:highlight w:val="none"/>
              </w:rPr>
              <w:t>9</w:t>
            </w:r>
            <w:r>
              <w:rPr>
                <w:color w:val="auto"/>
                <w:highlight w:val="none"/>
              </w:rPr>
              <w:fldChar w:fldCharType="end"/>
            </w:r>
            <w:bookmarkEnd w:id="43"/>
            <w:r>
              <w:rPr>
                <w:rFonts w:hint="eastAsia"/>
                <w:color w:val="auto"/>
                <w:highlight w:val="none"/>
              </w:rPr>
              <w:t xml:space="preserve">  </w:t>
            </w:r>
            <w:r>
              <w:rPr>
                <w:rFonts w:hint="eastAsia"/>
                <w:color w:val="auto"/>
                <w:highlight w:val="none"/>
                <w:lang w:eastAsia="zh-CN"/>
              </w:rPr>
              <w:t>《</w:t>
            </w:r>
            <w:r>
              <w:rPr>
                <w:rFonts w:hint="eastAsia"/>
                <w:color w:val="auto"/>
                <w:highlight w:val="none"/>
              </w:rPr>
              <w:t>水泥工业大气污染物排放执行标准</w:t>
            </w:r>
            <w:r>
              <w:rPr>
                <w:rFonts w:hint="eastAsia"/>
                <w:color w:val="auto"/>
                <w:highlight w:val="none"/>
                <w:lang w:eastAsia="zh-CN"/>
              </w:rPr>
              <w:t>》</w:t>
            </w:r>
            <w:r>
              <w:rPr>
                <w:rFonts w:hint="eastAsia"/>
                <w:color w:val="auto"/>
                <w:highlight w:val="none"/>
                <w:lang w:val="en-US" w:eastAsia="zh-CN"/>
              </w:rPr>
              <w:t xml:space="preserve">（GB 4915-2013） </w:t>
            </w:r>
            <w:r>
              <w:rPr>
                <w:rFonts w:hint="eastAsia"/>
                <w:color w:val="auto"/>
                <w:highlight w:val="none"/>
              </w:rPr>
              <w:t>单位：mg/m</w:t>
            </w:r>
            <w:r>
              <w:rPr>
                <w:rFonts w:hint="eastAsia"/>
                <w:color w:val="auto"/>
                <w:highlight w:val="none"/>
                <w:vertAlign w:val="superscript"/>
              </w:rPr>
              <w:t>3</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00"/>
              <w:gridCol w:w="2796"/>
              <w:gridCol w:w="948"/>
              <w:gridCol w:w="2114"/>
            </w:tblGrid>
            <w:tr w14:paraId="01F826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95" w:type="pct"/>
                  <w:tcBorders>
                    <w:tl2br w:val="nil"/>
                    <w:tr2bl w:val="nil"/>
                  </w:tcBorders>
                  <w:noWrap w:val="0"/>
                  <w:vAlign w:val="center"/>
                </w:tcPr>
                <w:p w14:paraId="7C21946A">
                  <w:pPr>
                    <w:pStyle w:val="40"/>
                    <w:bidi w:val="0"/>
                    <w:rPr>
                      <w:rFonts w:hint="default"/>
                      <w:color w:val="auto"/>
                      <w:highlight w:val="none"/>
                    </w:rPr>
                  </w:pPr>
                  <w:r>
                    <w:rPr>
                      <w:rFonts w:hint="default"/>
                      <w:color w:val="auto"/>
                      <w:highlight w:val="none"/>
                    </w:rPr>
                    <w:t>生产过程</w:t>
                  </w:r>
                </w:p>
              </w:tc>
              <w:tc>
                <w:tcPr>
                  <w:tcW w:w="1672" w:type="pct"/>
                  <w:tcBorders>
                    <w:tl2br w:val="nil"/>
                    <w:tr2bl w:val="nil"/>
                  </w:tcBorders>
                  <w:noWrap w:val="0"/>
                  <w:vAlign w:val="center"/>
                </w:tcPr>
                <w:p w14:paraId="4117C721">
                  <w:pPr>
                    <w:pStyle w:val="40"/>
                    <w:bidi w:val="0"/>
                    <w:rPr>
                      <w:rFonts w:hint="default"/>
                      <w:color w:val="auto"/>
                      <w:highlight w:val="none"/>
                    </w:rPr>
                  </w:pPr>
                  <w:r>
                    <w:rPr>
                      <w:rFonts w:hint="default"/>
                      <w:color w:val="auto"/>
                      <w:highlight w:val="none"/>
                    </w:rPr>
                    <w:t>生产设备</w:t>
                  </w:r>
                </w:p>
              </w:tc>
              <w:tc>
                <w:tcPr>
                  <w:tcW w:w="567" w:type="pct"/>
                  <w:tcBorders>
                    <w:tl2br w:val="nil"/>
                    <w:tr2bl w:val="nil"/>
                  </w:tcBorders>
                  <w:noWrap w:val="0"/>
                  <w:vAlign w:val="center"/>
                </w:tcPr>
                <w:p w14:paraId="50F84524">
                  <w:pPr>
                    <w:pStyle w:val="40"/>
                    <w:bidi w:val="0"/>
                    <w:rPr>
                      <w:rFonts w:hint="default"/>
                      <w:color w:val="auto"/>
                      <w:highlight w:val="none"/>
                    </w:rPr>
                  </w:pPr>
                  <w:r>
                    <w:rPr>
                      <w:rFonts w:hint="default"/>
                      <w:color w:val="auto"/>
                      <w:highlight w:val="none"/>
                    </w:rPr>
                    <w:t>污染物</w:t>
                  </w:r>
                </w:p>
              </w:tc>
              <w:tc>
                <w:tcPr>
                  <w:tcW w:w="1264" w:type="pct"/>
                  <w:tcBorders>
                    <w:tl2br w:val="nil"/>
                    <w:tr2bl w:val="nil"/>
                  </w:tcBorders>
                  <w:noWrap w:val="0"/>
                  <w:vAlign w:val="center"/>
                </w:tcPr>
                <w:p w14:paraId="78BB6763">
                  <w:pPr>
                    <w:pStyle w:val="40"/>
                    <w:bidi w:val="0"/>
                    <w:rPr>
                      <w:rFonts w:hint="default"/>
                      <w:color w:val="auto"/>
                      <w:highlight w:val="none"/>
                    </w:rPr>
                  </w:pPr>
                  <w:r>
                    <w:rPr>
                      <w:rFonts w:hint="default"/>
                      <w:color w:val="auto"/>
                      <w:highlight w:val="none"/>
                    </w:rPr>
                    <w:t>排放标准（mg/m</w:t>
                  </w:r>
                  <w:r>
                    <w:rPr>
                      <w:rFonts w:hint="default"/>
                      <w:color w:val="auto"/>
                      <w:highlight w:val="none"/>
                      <w:vertAlign w:val="superscript"/>
                    </w:rPr>
                    <w:t>3</w:t>
                  </w:r>
                  <w:r>
                    <w:rPr>
                      <w:rFonts w:hint="default"/>
                      <w:color w:val="auto"/>
                      <w:highlight w:val="none"/>
                    </w:rPr>
                    <w:t>）</w:t>
                  </w:r>
                </w:p>
              </w:tc>
            </w:tr>
            <w:tr w14:paraId="298FBF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95" w:type="pct"/>
                  <w:tcBorders>
                    <w:tl2br w:val="nil"/>
                    <w:tr2bl w:val="nil"/>
                  </w:tcBorders>
                  <w:noWrap w:val="0"/>
                  <w:vAlign w:val="center"/>
                </w:tcPr>
                <w:p w14:paraId="1B2750EA">
                  <w:pPr>
                    <w:pStyle w:val="40"/>
                    <w:bidi w:val="0"/>
                    <w:rPr>
                      <w:rFonts w:hint="default"/>
                      <w:color w:val="auto"/>
                      <w:highlight w:val="none"/>
                    </w:rPr>
                  </w:pPr>
                  <w:r>
                    <w:rPr>
                      <w:rFonts w:hint="default"/>
                      <w:color w:val="auto"/>
                      <w:highlight w:val="none"/>
                    </w:rPr>
                    <w:t>散装水泥中转站及水泥制品生产</w:t>
                  </w:r>
                </w:p>
              </w:tc>
              <w:tc>
                <w:tcPr>
                  <w:tcW w:w="1672" w:type="pct"/>
                  <w:tcBorders>
                    <w:tl2br w:val="nil"/>
                    <w:tr2bl w:val="nil"/>
                  </w:tcBorders>
                  <w:noWrap w:val="0"/>
                  <w:vAlign w:val="center"/>
                </w:tcPr>
                <w:p w14:paraId="161A6087">
                  <w:pPr>
                    <w:pStyle w:val="40"/>
                    <w:bidi w:val="0"/>
                    <w:rPr>
                      <w:rFonts w:hint="default"/>
                      <w:color w:val="auto"/>
                      <w:highlight w:val="none"/>
                    </w:rPr>
                  </w:pPr>
                  <w:r>
                    <w:rPr>
                      <w:rFonts w:hint="default"/>
                      <w:color w:val="auto"/>
                      <w:highlight w:val="none"/>
                    </w:rPr>
                    <w:t>水泥仓及其他通风生产设备的颗粒物</w:t>
                  </w:r>
                </w:p>
              </w:tc>
              <w:tc>
                <w:tcPr>
                  <w:tcW w:w="567" w:type="pct"/>
                  <w:tcBorders>
                    <w:tl2br w:val="nil"/>
                    <w:tr2bl w:val="nil"/>
                  </w:tcBorders>
                  <w:noWrap w:val="0"/>
                  <w:vAlign w:val="center"/>
                </w:tcPr>
                <w:p w14:paraId="6F8D33CF">
                  <w:pPr>
                    <w:pStyle w:val="40"/>
                    <w:bidi w:val="0"/>
                    <w:rPr>
                      <w:rFonts w:hint="default"/>
                      <w:color w:val="auto"/>
                      <w:highlight w:val="none"/>
                    </w:rPr>
                  </w:pPr>
                  <w:r>
                    <w:rPr>
                      <w:rFonts w:hint="default"/>
                      <w:color w:val="auto"/>
                      <w:highlight w:val="none"/>
                    </w:rPr>
                    <w:t>颗粒物</w:t>
                  </w:r>
                </w:p>
              </w:tc>
              <w:tc>
                <w:tcPr>
                  <w:tcW w:w="1264" w:type="pct"/>
                  <w:tcBorders>
                    <w:tl2br w:val="nil"/>
                    <w:tr2bl w:val="nil"/>
                  </w:tcBorders>
                  <w:noWrap w:val="0"/>
                  <w:vAlign w:val="center"/>
                </w:tcPr>
                <w:p w14:paraId="22BC342C">
                  <w:pPr>
                    <w:pStyle w:val="40"/>
                    <w:bidi w:val="0"/>
                    <w:rPr>
                      <w:rFonts w:hint="default"/>
                      <w:color w:val="auto"/>
                      <w:highlight w:val="none"/>
                    </w:rPr>
                  </w:pPr>
                  <w:r>
                    <w:rPr>
                      <w:rFonts w:hint="default"/>
                      <w:color w:val="auto"/>
                      <w:highlight w:val="none"/>
                    </w:rPr>
                    <w:t>20</w:t>
                  </w:r>
                </w:p>
              </w:tc>
            </w:tr>
          </w:tbl>
          <w:p w14:paraId="4161ED1C">
            <w:pPr>
              <w:pStyle w:val="7"/>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color w:val="auto"/>
                <w:highlight w:val="none"/>
              </w:rPr>
            </w:pPr>
            <w:bookmarkStart w:id="44" w:name="_Ref3208"/>
            <w:r>
              <w:rPr>
                <w:color w:val="auto"/>
                <w:highlight w:val="none"/>
              </w:rPr>
              <w:t>表3-</w:t>
            </w:r>
            <w:r>
              <w:rPr>
                <w:color w:val="auto"/>
                <w:highlight w:val="none"/>
              </w:rPr>
              <w:fldChar w:fldCharType="begin"/>
            </w:r>
            <w:r>
              <w:rPr>
                <w:color w:val="auto"/>
                <w:highlight w:val="none"/>
              </w:rPr>
              <w:instrText xml:space="preserve"> SEQ 表3- \* ARABIC </w:instrText>
            </w:r>
            <w:r>
              <w:rPr>
                <w:color w:val="auto"/>
                <w:highlight w:val="none"/>
              </w:rPr>
              <w:fldChar w:fldCharType="separate"/>
            </w:r>
            <w:r>
              <w:rPr>
                <w:color w:val="auto"/>
                <w:highlight w:val="none"/>
              </w:rPr>
              <w:t>10</w:t>
            </w:r>
            <w:r>
              <w:rPr>
                <w:color w:val="auto"/>
                <w:highlight w:val="none"/>
              </w:rPr>
              <w:fldChar w:fldCharType="end"/>
            </w:r>
            <w:bookmarkEnd w:id="44"/>
            <w:r>
              <w:rPr>
                <w:rFonts w:hint="eastAsia"/>
                <w:color w:val="auto"/>
                <w:highlight w:val="none"/>
              </w:rPr>
              <w:t xml:space="preserve"> </w:t>
            </w:r>
            <w:r>
              <w:rPr>
                <w:rFonts w:hint="eastAsia"/>
                <w:color w:val="auto"/>
                <w:highlight w:val="none"/>
                <w:lang w:eastAsia="zh-CN"/>
              </w:rPr>
              <w:t>《</w:t>
            </w:r>
            <w:r>
              <w:rPr>
                <w:rFonts w:hint="eastAsia"/>
                <w:color w:val="auto"/>
                <w:highlight w:val="none"/>
              </w:rPr>
              <w:t>水泥工业大气污染物排放执行标准</w:t>
            </w:r>
            <w:r>
              <w:rPr>
                <w:rFonts w:hint="eastAsia"/>
                <w:color w:val="auto"/>
                <w:highlight w:val="none"/>
                <w:lang w:eastAsia="zh-CN"/>
              </w:rPr>
              <w:t>》</w:t>
            </w:r>
            <w:r>
              <w:rPr>
                <w:rFonts w:hint="eastAsia"/>
                <w:color w:val="auto"/>
                <w:highlight w:val="none"/>
              </w:rPr>
              <w:t>（GB</w:t>
            </w:r>
            <w:r>
              <w:rPr>
                <w:rFonts w:hint="eastAsia"/>
                <w:color w:val="auto"/>
                <w:highlight w:val="none"/>
                <w:lang w:val="en-US" w:eastAsia="zh-CN"/>
              </w:rPr>
              <w:t xml:space="preserve"> </w:t>
            </w:r>
            <w:r>
              <w:rPr>
                <w:rFonts w:hint="eastAsia"/>
                <w:color w:val="auto"/>
                <w:highlight w:val="none"/>
              </w:rPr>
              <w:t>4915-2013）</w:t>
            </w:r>
            <w:r>
              <w:rPr>
                <w:rFonts w:hint="eastAsia"/>
                <w:color w:val="auto"/>
                <w:highlight w:val="none"/>
                <w:lang w:val="en-US" w:eastAsia="zh-CN"/>
              </w:rPr>
              <w:t xml:space="preserve"> </w:t>
            </w:r>
            <w:r>
              <w:rPr>
                <w:rFonts w:hint="eastAsia"/>
                <w:color w:val="auto"/>
                <w:highlight w:val="none"/>
              </w:rPr>
              <w:t>单位：mg/m</w:t>
            </w:r>
            <w:r>
              <w:rPr>
                <w:rFonts w:hint="eastAsia"/>
                <w:color w:val="auto"/>
                <w:highlight w:val="none"/>
                <w:vertAlign w:val="superscript"/>
              </w:rPr>
              <w:t>3</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7" w:type="dxa"/>
                <w:bottom w:w="0" w:type="dxa"/>
                <w:right w:w="107" w:type="dxa"/>
              </w:tblCellMar>
            </w:tblPr>
            <w:tblGrid>
              <w:gridCol w:w="2515"/>
              <w:gridCol w:w="1033"/>
              <w:gridCol w:w="4806"/>
            </w:tblGrid>
            <w:tr w14:paraId="579194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7" w:type="dxa"/>
                  <w:bottom w:w="0" w:type="dxa"/>
                  <w:right w:w="107" w:type="dxa"/>
                </w:tblCellMar>
              </w:tblPrEx>
              <w:trPr>
                <w:cantSplit/>
                <w:trHeight w:val="283" w:hRule="atLeast"/>
                <w:jc w:val="center"/>
              </w:trPr>
              <w:tc>
                <w:tcPr>
                  <w:tcW w:w="1505" w:type="pct"/>
                  <w:tcBorders>
                    <w:tl2br w:val="nil"/>
                    <w:tr2bl w:val="nil"/>
                  </w:tcBorders>
                  <w:noWrap w:val="0"/>
                  <w:vAlign w:val="center"/>
                </w:tcPr>
                <w:p w14:paraId="07572036">
                  <w:pPr>
                    <w:pStyle w:val="40"/>
                    <w:bidi w:val="0"/>
                    <w:rPr>
                      <w:rFonts w:hint="default"/>
                      <w:color w:val="auto"/>
                      <w:highlight w:val="none"/>
                    </w:rPr>
                  </w:pPr>
                  <w:r>
                    <w:rPr>
                      <w:rFonts w:hint="default"/>
                      <w:color w:val="auto"/>
                      <w:highlight w:val="none"/>
                    </w:rPr>
                    <w:t>污染物项目</w:t>
                  </w:r>
                </w:p>
              </w:tc>
              <w:tc>
                <w:tcPr>
                  <w:tcW w:w="618" w:type="pct"/>
                  <w:tcBorders>
                    <w:tl2br w:val="nil"/>
                    <w:tr2bl w:val="nil"/>
                  </w:tcBorders>
                  <w:noWrap w:val="0"/>
                  <w:vAlign w:val="center"/>
                </w:tcPr>
                <w:p w14:paraId="1DBC92FE">
                  <w:pPr>
                    <w:pStyle w:val="40"/>
                    <w:bidi w:val="0"/>
                    <w:rPr>
                      <w:rFonts w:hint="default"/>
                      <w:color w:val="auto"/>
                      <w:highlight w:val="none"/>
                    </w:rPr>
                  </w:pPr>
                  <w:r>
                    <w:rPr>
                      <w:rFonts w:hint="default"/>
                      <w:color w:val="auto"/>
                      <w:highlight w:val="none"/>
                    </w:rPr>
                    <w:t>颗粒物</w:t>
                  </w:r>
                </w:p>
              </w:tc>
              <w:tc>
                <w:tcPr>
                  <w:tcW w:w="2876" w:type="pct"/>
                  <w:tcBorders>
                    <w:tl2br w:val="nil"/>
                    <w:tr2bl w:val="nil"/>
                  </w:tcBorders>
                  <w:noWrap w:val="0"/>
                  <w:vAlign w:val="center"/>
                </w:tcPr>
                <w:p w14:paraId="625F8C02">
                  <w:pPr>
                    <w:pStyle w:val="40"/>
                    <w:bidi w:val="0"/>
                    <w:rPr>
                      <w:rFonts w:hint="default"/>
                      <w:color w:val="auto"/>
                      <w:highlight w:val="none"/>
                    </w:rPr>
                  </w:pPr>
                  <w:r>
                    <w:rPr>
                      <w:rFonts w:hint="default"/>
                      <w:color w:val="auto"/>
                      <w:highlight w:val="none"/>
                    </w:rPr>
                    <w:t>限值含义</w:t>
                  </w:r>
                </w:p>
              </w:tc>
            </w:tr>
            <w:tr w14:paraId="5B9915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7" w:type="dxa"/>
                  <w:bottom w:w="0" w:type="dxa"/>
                  <w:right w:w="107" w:type="dxa"/>
                </w:tblCellMar>
              </w:tblPrEx>
              <w:trPr>
                <w:cantSplit/>
                <w:trHeight w:val="283" w:hRule="atLeast"/>
                <w:jc w:val="center"/>
              </w:trPr>
              <w:tc>
                <w:tcPr>
                  <w:tcW w:w="1505" w:type="pct"/>
                  <w:tcBorders>
                    <w:tl2br w:val="nil"/>
                    <w:tr2bl w:val="nil"/>
                  </w:tcBorders>
                  <w:noWrap w:val="0"/>
                  <w:vAlign w:val="center"/>
                </w:tcPr>
                <w:p w14:paraId="46B66BF7">
                  <w:pPr>
                    <w:pStyle w:val="40"/>
                    <w:bidi w:val="0"/>
                    <w:rPr>
                      <w:rFonts w:hint="default"/>
                      <w:color w:val="auto"/>
                      <w:highlight w:val="none"/>
                    </w:rPr>
                  </w:pPr>
                  <w:r>
                    <w:rPr>
                      <w:rFonts w:hint="default"/>
                      <w:color w:val="auto"/>
                      <w:highlight w:val="none"/>
                    </w:rPr>
                    <w:t>浓度限值（mg/m</w:t>
                  </w:r>
                  <w:r>
                    <w:rPr>
                      <w:rFonts w:hint="default"/>
                      <w:color w:val="auto"/>
                      <w:highlight w:val="none"/>
                      <w:vertAlign w:val="superscript"/>
                    </w:rPr>
                    <w:t>3</w:t>
                  </w:r>
                  <w:r>
                    <w:rPr>
                      <w:rFonts w:hint="default"/>
                      <w:color w:val="auto"/>
                      <w:highlight w:val="none"/>
                    </w:rPr>
                    <w:t>）</w:t>
                  </w:r>
                </w:p>
              </w:tc>
              <w:tc>
                <w:tcPr>
                  <w:tcW w:w="618" w:type="pct"/>
                  <w:tcBorders>
                    <w:tl2br w:val="nil"/>
                    <w:tr2bl w:val="nil"/>
                  </w:tcBorders>
                  <w:noWrap w:val="0"/>
                  <w:vAlign w:val="center"/>
                </w:tcPr>
                <w:p w14:paraId="5464913E">
                  <w:pPr>
                    <w:pStyle w:val="40"/>
                    <w:bidi w:val="0"/>
                    <w:rPr>
                      <w:rFonts w:hint="default"/>
                      <w:color w:val="auto"/>
                      <w:highlight w:val="none"/>
                    </w:rPr>
                  </w:pPr>
                  <w:r>
                    <w:rPr>
                      <w:rFonts w:hint="default"/>
                      <w:color w:val="auto"/>
                      <w:highlight w:val="none"/>
                    </w:rPr>
                    <w:t>0.5</w:t>
                  </w:r>
                </w:p>
              </w:tc>
              <w:tc>
                <w:tcPr>
                  <w:tcW w:w="2876" w:type="pct"/>
                  <w:tcBorders>
                    <w:tl2br w:val="nil"/>
                    <w:tr2bl w:val="nil"/>
                  </w:tcBorders>
                  <w:noWrap w:val="0"/>
                  <w:vAlign w:val="center"/>
                </w:tcPr>
                <w:p w14:paraId="1F082221">
                  <w:pPr>
                    <w:pStyle w:val="40"/>
                    <w:bidi w:val="0"/>
                    <w:rPr>
                      <w:rFonts w:hint="default"/>
                      <w:color w:val="auto"/>
                      <w:highlight w:val="none"/>
                    </w:rPr>
                  </w:pPr>
                  <w:r>
                    <w:rPr>
                      <w:rFonts w:hint="default"/>
                      <w:color w:val="auto"/>
                      <w:highlight w:val="none"/>
                    </w:rPr>
                    <w:t>监控点与参照点TSP</w:t>
                  </w:r>
                  <w:r>
                    <w:rPr>
                      <w:rFonts w:hint="eastAsia"/>
                      <w:color w:val="auto"/>
                      <w:highlight w:val="none"/>
                      <w:lang w:val="en-US" w:eastAsia="zh-CN"/>
                    </w:rPr>
                    <w:t xml:space="preserve"> </w:t>
                  </w:r>
                  <w:r>
                    <w:rPr>
                      <w:rFonts w:hint="default"/>
                      <w:color w:val="auto"/>
                      <w:highlight w:val="none"/>
                    </w:rPr>
                    <w:t>1小时浓度值的差值</w:t>
                  </w:r>
                </w:p>
              </w:tc>
            </w:tr>
          </w:tbl>
          <w:p w14:paraId="228B2361">
            <w:pPr>
              <w:pStyle w:val="7"/>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cs="Times New Roman"/>
                <w:b/>
                <w:color w:val="auto"/>
                <w:highlight w:val="none"/>
                <w:lang w:val="zh-CN" w:bidi="ar"/>
              </w:rPr>
            </w:pPr>
            <w:bookmarkStart w:id="45" w:name="_Ref3765"/>
            <w:bookmarkStart w:id="46" w:name="_Ref21053"/>
            <w:r>
              <w:rPr>
                <w:rFonts w:hint="default" w:ascii="Times New Roman" w:hAnsi="Times New Roman" w:cs="Times New Roman"/>
                <w:color w:val="auto"/>
                <w:highlight w:val="none"/>
              </w:rPr>
              <w:t>表3-</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SEQ 表3- \* ARABIC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11</w:t>
            </w:r>
            <w:r>
              <w:rPr>
                <w:rFonts w:hint="default" w:ascii="Times New Roman" w:hAnsi="Times New Roman" w:cs="Times New Roman"/>
                <w:color w:val="auto"/>
                <w:highlight w:val="none"/>
              </w:rPr>
              <w:fldChar w:fldCharType="end"/>
            </w:r>
            <w:bookmarkEnd w:id="45"/>
            <w:r>
              <w:rPr>
                <w:rFonts w:hint="default" w:ascii="Times New Roman" w:hAnsi="Times New Roman" w:cs="Times New Roman"/>
                <w:b/>
                <w:color w:val="auto"/>
                <w:highlight w:val="none"/>
                <w:lang w:val="en-US" w:eastAsia="zh-CN" w:bidi="ar"/>
              </w:rPr>
              <w:t xml:space="preserve">  《锅炉大气污染物排放标准》（DB 61/1226-2018</w:t>
            </w:r>
            <w:r>
              <w:rPr>
                <w:rFonts w:hint="eastAsia" w:ascii="Times New Roman" w:hAnsi="Times New Roman" w:cs="Times New Roman"/>
                <w:b/>
                <w:color w:val="auto"/>
                <w:highlight w:val="none"/>
                <w:lang w:val="en-US" w:eastAsia="zh-CN" w:bidi="ar"/>
              </w:rPr>
              <w:t>、</w:t>
            </w:r>
            <w:r>
              <w:rPr>
                <w:rFonts w:hint="default" w:ascii="Times New Roman" w:hAnsi="Times New Roman" w:cs="Times New Roman"/>
                <w:b/>
                <w:color w:val="auto"/>
                <w:highlight w:val="none"/>
                <w:lang w:val="en-US" w:eastAsia="zh-CN" w:bidi="ar"/>
              </w:rPr>
              <w:t>GB 13271-2014）</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单位：mg/m</w:t>
            </w:r>
            <w:r>
              <w:rPr>
                <w:rFonts w:hint="default" w:ascii="Times New Roman" w:hAnsi="Times New Roman" w:cs="Times New Roman"/>
                <w:color w:val="auto"/>
                <w:highlight w:val="none"/>
                <w:vertAlign w:val="superscript"/>
              </w:rPr>
              <w:t>3</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53"/>
              <w:gridCol w:w="4104"/>
            </w:tblGrid>
            <w:tr w14:paraId="1B2498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00" w:type="pct"/>
                  <w:gridSpan w:val="2"/>
                  <w:tcBorders>
                    <w:tl2br w:val="nil"/>
                    <w:tr2bl w:val="nil"/>
                  </w:tcBorders>
                  <w:noWrap w:val="0"/>
                  <w:vAlign w:val="center"/>
                </w:tcPr>
                <w:p w14:paraId="04019841">
                  <w:pPr>
                    <w:pStyle w:val="40"/>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有组织排放限值</w:t>
                  </w:r>
                </w:p>
              </w:tc>
            </w:tr>
            <w:tr w14:paraId="54EE0B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545" w:type="pct"/>
                  <w:tcBorders>
                    <w:tl2br w:val="nil"/>
                    <w:tr2bl w:val="nil"/>
                  </w:tcBorders>
                  <w:noWrap w:val="0"/>
                  <w:vAlign w:val="center"/>
                </w:tcPr>
                <w:p w14:paraId="7A544624">
                  <w:pPr>
                    <w:pStyle w:val="40"/>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污染因子</w:t>
                  </w:r>
                </w:p>
              </w:tc>
              <w:tc>
                <w:tcPr>
                  <w:tcW w:w="2455" w:type="pct"/>
                  <w:tcBorders>
                    <w:tl2br w:val="nil"/>
                    <w:tr2bl w:val="nil"/>
                  </w:tcBorders>
                  <w:noWrap w:val="0"/>
                  <w:vAlign w:val="center"/>
                </w:tcPr>
                <w:p w14:paraId="644408C2">
                  <w:pPr>
                    <w:pStyle w:val="40"/>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最高允许排放浓度（mg/m</w:t>
                  </w:r>
                  <w:r>
                    <w:rPr>
                      <w:rFonts w:hint="default" w:ascii="Times New Roman" w:hAnsi="Times New Roman" w:cs="Times New Roman"/>
                      <w:color w:val="auto"/>
                      <w:highlight w:val="none"/>
                      <w:vertAlign w:val="superscript"/>
                      <w:lang w:val="zh-CN"/>
                    </w:rPr>
                    <w:t>3</w:t>
                  </w:r>
                  <w:r>
                    <w:rPr>
                      <w:rFonts w:hint="default" w:ascii="Times New Roman" w:hAnsi="Times New Roman" w:cs="Times New Roman"/>
                      <w:color w:val="auto"/>
                      <w:highlight w:val="none"/>
                      <w:lang w:val="zh-CN"/>
                    </w:rPr>
                    <w:t>）</w:t>
                  </w:r>
                </w:p>
              </w:tc>
            </w:tr>
            <w:tr w14:paraId="306477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545" w:type="pct"/>
                  <w:tcBorders>
                    <w:tl2br w:val="nil"/>
                    <w:tr2bl w:val="nil"/>
                  </w:tcBorders>
                  <w:noWrap w:val="0"/>
                  <w:vAlign w:val="center"/>
                </w:tcPr>
                <w:p w14:paraId="48D7A900">
                  <w:pPr>
                    <w:pStyle w:val="40"/>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颗粒物</w:t>
                  </w:r>
                </w:p>
              </w:tc>
              <w:tc>
                <w:tcPr>
                  <w:tcW w:w="2455" w:type="pct"/>
                  <w:tcBorders>
                    <w:tl2br w:val="nil"/>
                    <w:tr2bl w:val="nil"/>
                  </w:tcBorders>
                  <w:noWrap w:val="0"/>
                  <w:vAlign w:val="center"/>
                </w:tcPr>
                <w:p w14:paraId="6209CF49">
                  <w:pPr>
                    <w:pStyle w:val="4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20</w:t>
                  </w:r>
                </w:p>
              </w:tc>
            </w:tr>
            <w:tr w14:paraId="2CCE90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545" w:type="pct"/>
                  <w:tcBorders>
                    <w:tl2br w:val="nil"/>
                    <w:tr2bl w:val="nil"/>
                  </w:tcBorders>
                  <w:noWrap w:val="0"/>
                  <w:vAlign w:val="center"/>
                </w:tcPr>
                <w:p w14:paraId="07B2E56A">
                  <w:pPr>
                    <w:pStyle w:val="40"/>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二氧化硫</w:t>
                  </w:r>
                </w:p>
              </w:tc>
              <w:tc>
                <w:tcPr>
                  <w:tcW w:w="2455" w:type="pct"/>
                  <w:tcBorders>
                    <w:tl2br w:val="nil"/>
                    <w:tr2bl w:val="nil"/>
                  </w:tcBorders>
                  <w:noWrap w:val="0"/>
                  <w:vAlign w:val="center"/>
                </w:tcPr>
                <w:p w14:paraId="541F90C0">
                  <w:pPr>
                    <w:pStyle w:val="4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35</w:t>
                  </w:r>
                </w:p>
              </w:tc>
            </w:tr>
            <w:tr w14:paraId="66EB6F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545" w:type="pct"/>
                  <w:tcBorders>
                    <w:tl2br w:val="nil"/>
                    <w:tr2bl w:val="nil"/>
                  </w:tcBorders>
                  <w:noWrap w:val="0"/>
                  <w:vAlign w:val="center"/>
                </w:tcPr>
                <w:p w14:paraId="0341D2DC">
                  <w:pPr>
                    <w:pStyle w:val="40"/>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氮氧化物</w:t>
                  </w:r>
                </w:p>
              </w:tc>
              <w:tc>
                <w:tcPr>
                  <w:tcW w:w="2455" w:type="pct"/>
                  <w:tcBorders>
                    <w:tl2br w:val="nil"/>
                    <w:tr2bl w:val="nil"/>
                  </w:tcBorders>
                  <w:noWrap w:val="0"/>
                  <w:vAlign w:val="center"/>
                </w:tcPr>
                <w:p w14:paraId="79BE353A">
                  <w:pPr>
                    <w:pStyle w:val="4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150</w:t>
                  </w:r>
                </w:p>
              </w:tc>
            </w:tr>
            <w:tr w14:paraId="3C9096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545" w:type="pct"/>
                  <w:tcBorders>
                    <w:tl2br w:val="nil"/>
                    <w:tr2bl w:val="nil"/>
                  </w:tcBorders>
                  <w:noWrap w:val="0"/>
                  <w:vAlign w:val="center"/>
                </w:tcPr>
                <w:p w14:paraId="6954BDED">
                  <w:pPr>
                    <w:pStyle w:val="40"/>
                    <w:bidi w:val="0"/>
                    <w:rPr>
                      <w:rFonts w:hint="default" w:ascii="Times New Roman" w:hAnsi="Times New Roman" w:cs="Times New Roman"/>
                      <w:color w:val="auto"/>
                      <w:highlight w:val="none"/>
                      <w:lang w:val="zh-CN"/>
                    </w:rPr>
                  </w:pPr>
                  <w:bookmarkStart w:id="47" w:name="_Ref4000"/>
                  <w:r>
                    <w:rPr>
                      <w:rFonts w:hint="default" w:ascii="Times New Roman" w:hAnsi="Times New Roman" w:cs="Times New Roman"/>
                      <w:color w:val="auto"/>
                      <w:highlight w:val="none"/>
                      <w:lang w:val="zh-CN"/>
                    </w:rPr>
                    <w:t>烟气黑度（林格曼黑度，级）</w:t>
                  </w:r>
                </w:p>
              </w:tc>
              <w:tc>
                <w:tcPr>
                  <w:tcW w:w="2455" w:type="pct"/>
                  <w:tcBorders>
                    <w:tl2br w:val="nil"/>
                    <w:tr2bl w:val="nil"/>
                  </w:tcBorders>
                  <w:noWrap w:val="0"/>
                  <w:vAlign w:val="center"/>
                </w:tcPr>
                <w:p w14:paraId="710CD9E4">
                  <w:pPr>
                    <w:pStyle w:val="4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w:t>
                  </w:r>
                </w:p>
              </w:tc>
            </w:tr>
          </w:tbl>
          <w:p w14:paraId="27C09E74">
            <w:pPr>
              <w:pStyle w:val="7"/>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color w:val="auto"/>
                <w:highlight w:val="none"/>
                <w:lang w:val="en-US" w:eastAsia="zh-CN"/>
              </w:rPr>
            </w:pPr>
            <w:r>
              <w:rPr>
                <w:color w:val="auto"/>
                <w:highlight w:val="none"/>
              </w:rPr>
              <w:t>表3-</w:t>
            </w:r>
            <w:r>
              <w:rPr>
                <w:color w:val="auto"/>
                <w:highlight w:val="none"/>
              </w:rPr>
              <w:fldChar w:fldCharType="begin"/>
            </w:r>
            <w:r>
              <w:rPr>
                <w:color w:val="auto"/>
                <w:highlight w:val="none"/>
              </w:rPr>
              <w:instrText xml:space="preserve"> SEQ 表3- \* ARABIC </w:instrText>
            </w:r>
            <w:r>
              <w:rPr>
                <w:color w:val="auto"/>
                <w:highlight w:val="none"/>
              </w:rPr>
              <w:fldChar w:fldCharType="separate"/>
            </w:r>
            <w:r>
              <w:rPr>
                <w:color w:val="auto"/>
                <w:highlight w:val="none"/>
              </w:rPr>
              <w:t>12</w:t>
            </w:r>
            <w:r>
              <w:rPr>
                <w:color w:val="auto"/>
                <w:highlight w:val="none"/>
              </w:rPr>
              <w:fldChar w:fldCharType="end"/>
            </w:r>
            <w:bookmarkEnd w:id="46"/>
            <w:bookmarkEnd w:id="47"/>
            <w:r>
              <w:rPr>
                <w:rFonts w:hint="eastAsia"/>
                <w:color w:val="auto"/>
                <w:highlight w:val="none"/>
                <w:lang w:val="en-US" w:eastAsia="zh-CN"/>
              </w:rPr>
              <w:t xml:space="preserve">  </w:t>
            </w:r>
            <w:r>
              <w:rPr>
                <w:rFonts w:hint="default"/>
                <w:color w:val="auto"/>
                <w:highlight w:val="none"/>
                <w:lang w:val="en-US" w:eastAsia="zh-CN"/>
              </w:rPr>
              <w:t>《非道路移动机械用柴油机排气污染物排放限值及测量方法》</w:t>
            </w:r>
          </w:p>
          <w:p w14:paraId="6A2E1672">
            <w:pPr>
              <w:pStyle w:val="7"/>
              <w:keepNext w:val="0"/>
              <w:keepLines w:val="0"/>
              <w:pageBreakBefore w:val="0"/>
              <w:widowControl w:val="0"/>
              <w:kinsoku/>
              <w:wordWrap/>
              <w:overflowPunct/>
              <w:topLinePunct w:val="0"/>
              <w:autoSpaceDE/>
              <w:autoSpaceDN/>
              <w:bidi w:val="0"/>
              <w:adjustRightInd/>
              <w:snapToGrid/>
              <w:textAlignment w:val="auto"/>
              <w:rPr>
                <w:rFonts w:hint="default"/>
                <w:color w:val="auto"/>
                <w:highlight w:val="none"/>
                <w:lang w:val="en-US" w:eastAsia="zh-CN"/>
              </w:rPr>
            </w:pPr>
            <w:r>
              <w:rPr>
                <w:rFonts w:hint="default"/>
                <w:color w:val="auto"/>
                <w:highlight w:val="none"/>
                <w:lang w:val="en-US" w:eastAsia="zh-CN"/>
              </w:rPr>
              <w:t>（中国第三、第四阶段）（GB</w:t>
            </w:r>
            <w:r>
              <w:rPr>
                <w:rFonts w:hint="eastAsia"/>
                <w:color w:val="auto"/>
                <w:highlight w:val="none"/>
                <w:lang w:val="en-US" w:eastAsia="zh-CN"/>
              </w:rPr>
              <w:t xml:space="preserve"> </w:t>
            </w:r>
            <w:r>
              <w:rPr>
                <w:rFonts w:hint="default"/>
                <w:color w:val="auto"/>
                <w:highlight w:val="none"/>
                <w:lang w:val="en-US" w:eastAsia="zh-CN"/>
              </w:rPr>
              <w:t>20891-2014）</w:t>
            </w:r>
            <w:r>
              <w:rPr>
                <w:rFonts w:hint="eastAsia"/>
                <w:color w:val="auto"/>
                <w:highlight w:val="none"/>
                <w:lang w:val="en-US" w:eastAsia="zh-CN"/>
              </w:rPr>
              <w:t xml:space="preserve"> 单位：</w:t>
            </w:r>
            <w:r>
              <w:rPr>
                <w:rFonts w:hint="default"/>
                <w:color w:val="auto"/>
                <w:highlight w:val="none"/>
                <w:lang w:val="en-US" w:eastAsia="zh-CN"/>
              </w:rPr>
              <w:t>g/kW·h</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7" w:type="dxa"/>
                <w:bottom w:w="0" w:type="dxa"/>
                <w:right w:w="107" w:type="dxa"/>
              </w:tblCellMar>
            </w:tblPr>
            <w:tblGrid>
              <w:gridCol w:w="634"/>
              <w:gridCol w:w="1912"/>
              <w:gridCol w:w="623"/>
              <w:gridCol w:w="623"/>
              <w:gridCol w:w="1073"/>
              <w:gridCol w:w="1004"/>
              <w:gridCol w:w="739"/>
              <w:gridCol w:w="946"/>
              <w:gridCol w:w="804"/>
            </w:tblGrid>
            <w:tr w14:paraId="30474E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7" w:type="dxa"/>
                  <w:bottom w:w="0" w:type="dxa"/>
                  <w:right w:w="107" w:type="dxa"/>
                </w:tblCellMar>
              </w:tblPrEx>
              <w:trPr>
                <w:cantSplit/>
                <w:trHeight w:val="283" w:hRule="atLeast"/>
                <w:jc w:val="center"/>
              </w:trPr>
              <w:tc>
                <w:tcPr>
                  <w:tcW w:w="379" w:type="pct"/>
                  <w:tcBorders>
                    <w:tl2br w:val="nil"/>
                    <w:tr2bl w:val="nil"/>
                  </w:tcBorders>
                  <w:noWrap w:val="0"/>
                  <w:vAlign w:val="center"/>
                </w:tcPr>
                <w:p w14:paraId="223A7807">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阶段</w:t>
                  </w:r>
                </w:p>
              </w:tc>
              <w:tc>
                <w:tcPr>
                  <w:tcW w:w="1143" w:type="pct"/>
                  <w:tcBorders>
                    <w:tl2br w:val="nil"/>
                    <w:tr2bl w:val="nil"/>
                  </w:tcBorders>
                  <w:noWrap w:val="0"/>
                  <w:vAlign w:val="center"/>
                </w:tcPr>
                <w:p w14:paraId="6110D3AD">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额定净功率（</w:t>
                  </w:r>
                  <w:r>
                    <w:rPr>
                      <w:rFonts w:hint="default" w:ascii="Times New Roman" w:hAnsi="Times New Roman" w:cs="Times New Roman"/>
                      <w:color w:val="auto"/>
                      <w:highlight w:val="none"/>
                      <w:lang w:val="en-US" w:eastAsia="zh-CN"/>
                    </w:rPr>
                    <w:t>P</w:t>
                  </w:r>
                  <w:r>
                    <w:rPr>
                      <w:rFonts w:hint="default" w:ascii="Times New Roman" w:hAnsi="Times New Roman" w:cs="Times New Roman"/>
                      <w:color w:val="auto"/>
                      <w:highlight w:val="none"/>
                      <w:vertAlign w:val="subscript"/>
                      <w:lang w:val="en-US" w:eastAsia="zh-CN"/>
                    </w:rPr>
                    <w:t>max</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kW）</w:t>
                  </w:r>
                </w:p>
              </w:tc>
              <w:tc>
                <w:tcPr>
                  <w:tcW w:w="372" w:type="pct"/>
                  <w:tcBorders>
                    <w:tl2br w:val="nil"/>
                    <w:tr2bl w:val="nil"/>
                  </w:tcBorders>
                  <w:noWrap w:val="0"/>
                  <w:vAlign w:val="center"/>
                </w:tcPr>
                <w:p w14:paraId="28230E92">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CO</w:t>
                  </w:r>
                </w:p>
              </w:tc>
              <w:tc>
                <w:tcPr>
                  <w:tcW w:w="372" w:type="pct"/>
                  <w:tcBorders>
                    <w:tl2br w:val="nil"/>
                    <w:tr2bl w:val="nil"/>
                  </w:tcBorders>
                  <w:noWrap w:val="0"/>
                  <w:vAlign w:val="center"/>
                </w:tcPr>
                <w:p w14:paraId="18ABFB49">
                  <w:pPr>
                    <w:pStyle w:val="4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HC</w:t>
                  </w:r>
                </w:p>
              </w:tc>
              <w:tc>
                <w:tcPr>
                  <w:tcW w:w="641" w:type="pct"/>
                  <w:tcBorders>
                    <w:tl2br w:val="nil"/>
                    <w:tr2bl w:val="nil"/>
                  </w:tcBorders>
                  <w:noWrap w:val="0"/>
                  <w:vAlign w:val="center"/>
                </w:tcPr>
                <w:p w14:paraId="714611EB">
                  <w:pPr>
                    <w:pStyle w:val="4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NO</w:t>
                  </w:r>
                  <w:r>
                    <w:rPr>
                      <w:rFonts w:hint="default" w:ascii="Times New Roman" w:hAnsi="Times New Roman" w:cs="Times New Roman"/>
                      <w:color w:val="auto"/>
                      <w:highlight w:val="none"/>
                      <w:vertAlign w:val="subscript"/>
                    </w:rPr>
                    <w:t>x</w:t>
                  </w:r>
                </w:p>
              </w:tc>
              <w:tc>
                <w:tcPr>
                  <w:tcW w:w="600" w:type="pct"/>
                  <w:tcBorders>
                    <w:tl2br w:val="nil"/>
                    <w:tr2bl w:val="nil"/>
                  </w:tcBorders>
                  <w:noWrap w:val="0"/>
                  <w:vAlign w:val="center"/>
                </w:tcPr>
                <w:p w14:paraId="6FB3B1F5">
                  <w:pPr>
                    <w:pStyle w:val="4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HC+NO</w:t>
                  </w:r>
                  <w:r>
                    <w:rPr>
                      <w:rFonts w:hint="default" w:ascii="Times New Roman" w:hAnsi="Times New Roman" w:cs="Times New Roman"/>
                      <w:color w:val="auto"/>
                      <w:highlight w:val="none"/>
                      <w:vertAlign w:val="subscript"/>
                    </w:rPr>
                    <w:t>x</w:t>
                  </w:r>
                </w:p>
              </w:tc>
              <w:tc>
                <w:tcPr>
                  <w:tcW w:w="442" w:type="pct"/>
                  <w:tcBorders>
                    <w:tl2br w:val="nil"/>
                    <w:tr2bl w:val="nil"/>
                  </w:tcBorders>
                  <w:noWrap w:val="0"/>
                  <w:vAlign w:val="center"/>
                </w:tcPr>
                <w:p w14:paraId="51E540E9">
                  <w:pPr>
                    <w:pStyle w:val="4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PM</w:t>
                  </w:r>
                </w:p>
              </w:tc>
              <w:tc>
                <w:tcPr>
                  <w:tcW w:w="565" w:type="pct"/>
                  <w:tcBorders>
                    <w:tl2br w:val="nil"/>
                    <w:tr2bl w:val="nil"/>
                  </w:tcBorders>
                  <w:noWrap w:val="0"/>
                  <w:vAlign w:val="center"/>
                </w:tcPr>
                <w:p w14:paraId="047346AD">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NH</w:t>
                  </w:r>
                  <w:r>
                    <w:rPr>
                      <w:rFonts w:hint="default" w:ascii="Times New Roman" w:hAnsi="Times New Roman" w:cs="Times New Roman"/>
                      <w:color w:val="auto"/>
                      <w:highlight w:val="none"/>
                      <w:vertAlign w:val="subscript"/>
                      <w:lang w:val="en-US" w:eastAsia="zh-CN"/>
                    </w:rPr>
                    <w:t>3</w:t>
                  </w:r>
                  <w:r>
                    <w:rPr>
                      <w:rFonts w:hint="default" w:ascii="Times New Roman" w:hAnsi="Times New Roman" w:cs="Times New Roman"/>
                      <w:color w:val="auto"/>
                      <w:highlight w:val="none"/>
                      <w:lang w:val="en-US" w:eastAsia="zh-CN"/>
                    </w:rPr>
                    <w:t>（ppm）</w:t>
                  </w:r>
                </w:p>
              </w:tc>
              <w:tc>
                <w:tcPr>
                  <w:tcW w:w="480" w:type="pct"/>
                  <w:tcBorders>
                    <w:tl2br w:val="nil"/>
                    <w:tr2bl w:val="nil"/>
                  </w:tcBorders>
                  <w:noWrap w:val="0"/>
                  <w:vAlign w:val="center"/>
                </w:tcPr>
                <w:p w14:paraId="333FC1D9">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PN</w:t>
                  </w:r>
                </w:p>
              </w:tc>
            </w:tr>
            <w:tr w14:paraId="02C3EA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7" w:type="dxa"/>
                  <w:bottom w:w="0" w:type="dxa"/>
                  <w:right w:w="107" w:type="dxa"/>
                </w:tblCellMar>
              </w:tblPrEx>
              <w:trPr>
                <w:cantSplit/>
                <w:trHeight w:val="283" w:hRule="atLeast"/>
                <w:jc w:val="center"/>
              </w:trPr>
              <w:tc>
                <w:tcPr>
                  <w:tcW w:w="379" w:type="pct"/>
                  <w:vMerge w:val="restart"/>
                  <w:tcBorders>
                    <w:tl2br w:val="nil"/>
                    <w:tr2bl w:val="nil"/>
                  </w:tcBorders>
                  <w:noWrap w:val="0"/>
                  <w:vAlign w:val="center"/>
                </w:tcPr>
                <w:p w14:paraId="702E6953">
                  <w:pPr>
                    <w:pStyle w:val="4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第三阶段</w:t>
                  </w:r>
                </w:p>
              </w:tc>
              <w:tc>
                <w:tcPr>
                  <w:tcW w:w="1143" w:type="pct"/>
                  <w:tcBorders>
                    <w:tl2br w:val="nil"/>
                    <w:tr2bl w:val="nil"/>
                  </w:tcBorders>
                  <w:noWrap w:val="0"/>
                  <w:vAlign w:val="center"/>
                </w:tcPr>
                <w:p w14:paraId="5CB5C024">
                  <w:pPr>
                    <w:pStyle w:val="4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P</w:t>
                  </w:r>
                  <w:r>
                    <w:rPr>
                      <w:rFonts w:hint="default" w:ascii="Times New Roman" w:hAnsi="Times New Roman" w:cs="Times New Roman"/>
                      <w:color w:val="auto"/>
                      <w:highlight w:val="none"/>
                      <w:vertAlign w:val="subscript"/>
                    </w:rPr>
                    <w:t>max</w:t>
                  </w:r>
                  <w:r>
                    <w:rPr>
                      <w:rFonts w:hint="default" w:ascii="Times New Roman" w:hAnsi="Times New Roman" w:cs="Times New Roman"/>
                      <w:color w:val="auto"/>
                      <w:highlight w:val="none"/>
                    </w:rPr>
                    <w:t>＞560</w:t>
                  </w:r>
                </w:p>
              </w:tc>
              <w:tc>
                <w:tcPr>
                  <w:tcW w:w="372" w:type="pct"/>
                  <w:tcBorders>
                    <w:tl2br w:val="nil"/>
                    <w:tr2bl w:val="nil"/>
                  </w:tcBorders>
                  <w:noWrap w:val="0"/>
                  <w:vAlign w:val="center"/>
                </w:tcPr>
                <w:p w14:paraId="2CA3546B">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3.5</w:t>
                  </w:r>
                </w:p>
              </w:tc>
              <w:tc>
                <w:tcPr>
                  <w:tcW w:w="372" w:type="pct"/>
                  <w:tcBorders>
                    <w:tl2br w:val="nil"/>
                    <w:tr2bl w:val="nil"/>
                  </w:tcBorders>
                  <w:noWrap w:val="0"/>
                  <w:vAlign w:val="center"/>
                </w:tcPr>
                <w:p w14:paraId="146BD583">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641" w:type="pct"/>
                  <w:tcBorders>
                    <w:tl2br w:val="nil"/>
                    <w:tr2bl w:val="nil"/>
                  </w:tcBorders>
                  <w:noWrap w:val="0"/>
                  <w:vAlign w:val="center"/>
                </w:tcPr>
                <w:p w14:paraId="59EA9E92">
                  <w:pPr>
                    <w:pStyle w:val="4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600" w:type="pct"/>
                  <w:tcBorders>
                    <w:tl2br w:val="nil"/>
                    <w:tr2bl w:val="nil"/>
                  </w:tcBorders>
                  <w:noWrap w:val="0"/>
                  <w:vAlign w:val="center"/>
                </w:tcPr>
                <w:p w14:paraId="08E7617F">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6.4</w:t>
                  </w:r>
                </w:p>
              </w:tc>
              <w:tc>
                <w:tcPr>
                  <w:tcW w:w="442" w:type="pct"/>
                  <w:tcBorders>
                    <w:tl2br w:val="nil"/>
                    <w:tr2bl w:val="nil"/>
                  </w:tcBorders>
                  <w:noWrap w:val="0"/>
                  <w:vAlign w:val="center"/>
                </w:tcPr>
                <w:p w14:paraId="6AD55747">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0.20</w:t>
                  </w:r>
                </w:p>
              </w:tc>
              <w:tc>
                <w:tcPr>
                  <w:tcW w:w="565" w:type="pct"/>
                  <w:tcBorders>
                    <w:tl2br w:val="nil"/>
                    <w:tr2bl w:val="nil"/>
                  </w:tcBorders>
                  <w:noWrap w:val="0"/>
                  <w:vAlign w:val="center"/>
                </w:tcPr>
                <w:p w14:paraId="30F45BD5">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480" w:type="pct"/>
                  <w:tcBorders>
                    <w:tl2br w:val="nil"/>
                    <w:tr2bl w:val="nil"/>
                  </w:tcBorders>
                  <w:noWrap w:val="0"/>
                  <w:vAlign w:val="center"/>
                </w:tcPr>
                <w:p w14:paraId="34414D25">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r>
            <w:tr w14:paraId="425D48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7" w:type="dxa"/>
                  <w:bottom w:w="0" w:type="dxa"/>
                  <w:right w:w="107" w:type="dxa"/>
                </w:tblCellMar>
              </w:tblPrEx>
              <w:trPr>
                <w:cantSplit/>
                <w:trHeight w:val="283" w:hRule="atLeast"/>
                <w:jc w:val="center"/>
              </w:trPr>
              <w:tc>
                <w:tcPr>
                  <w:tcW w:w="379" w:type="pct"/>
                  <w:vMerge w:val="continue"/>
                  <w:tcBorders>
                    <w:tl2br w:val="nil"/>
                    <w:tr2bl w:val="nil"/>
                  </w:tcBorders>
                  <w:noWrap w:val="0"/>
                  <w:vAlign w:val="center"/>
                </w:tcPr>
                <w:p w14:paraId="44321BFD">
                  <w:pPr>
                    <w:pStyle w:val="40"/>
                    <w:bidi w:val="0"/>
                    <w:rPr>
                      <w:rFonts w:hint="default" w:ascii="Times New Roman" w:hAnsi="Times New Roman" w:cs="Times New Roman"/>
                      <w:color w:val="auto"/>
                      <w:highlight w:val="none"/>
                    </w:rPr>
                  </w:pPr>
                </w:p>
              </w:tc>
              <w:tc>
                <w:tcPr>
                  <w:tcW w:w="1143" w:type="pct"/>
                  <w:tcBorders>
                    <w:tl2br w:val="nil"/>
                    <w:tr2bl w:val="nil"/>
                  </w:tcBorders>
                  <w:noWrap w:val="0"/>
                  <w:vAlign w:val="center"/>
                </w:tcPr>
                <w:p w14:paraId="1AAA21E1">
                  <w:pPr>
                    <w:pStyle w:val="4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130≤P</w:t>
                  </w:r>
                  <w:r>
                    <w:rPr>
                      <w:rFonts w:hint="default" w:ascii="Times New Roman" w:hAnsi="Times New Roman" w:cs="Times New Roman"/>
                      <w:color w:val="auto"/>
                      <w:highlight w:val="none"/>
                      <w:vertAlign w:val="subscript"/>
                    </w:rPr>
                    <w:t>max</w:t>
                  </w:r>
                  <w:r>
                    <w:rPr>
                      <w:rFonts w:hint="default" w:ascii="Times New Roman" w:hAnsi="Times New Roman" w:cs="Times New Roman"/>
                      <w:color w:val="auto"/>
                      <w:highlight w:val="none"/>
                    </w:rPr>
                    <w:t>≤560</w:t>
                  </w:r>
                </w:p>
              </w:tc>
              <w:tc>
                <w:tcPr>
                  <w:tcW w:w="372" w:type="pct"/>
                  <w:tcBorders>
                    <w:tl2br w:val="nil"/>
                    <w:tr2bl w:val="nil"/>
                  </w:tcBorders>
                  <w:noWrap w:val="0"/>
                  <w:vAlign w:val="center"/>
                </w:tcPr>
                <w:p w14:paraId="265692DB">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3.5</w:t>
                  </w:r>
                </w:p>
              </w:tc>
              <w:tc>
                <w:tcPr>
                  <w:tcW w:w="372" w:type="pct"/>
                  <w:tcBorders>
                    <w:tl2br w:val="nil"/>
                    <w:tr2bl w:val="nil"/>
                  </w:tcBorders>
                  <w:noWrap w:val="0"/>
                  <w:vAlign w:val="center"/>
                </w:tcPr>
                <w:p w14:paraId="74482735">
                  <w:pPr>
                    <w:pStyle w:val="4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641" w:type="pct"/>
                  <w:tcBorders>
                    <w:tl2br w:val="nil"/>
                    <w:tr2bl w:val="nil"/>
                  </w:tcBorders>
                  <w:noWrap w:val="0"/>
                  <w:vAlign w:val="center"/>
                </w:tcPr>
                <w:p w14:paraId="298B52C4">
                  <w:pPr>
                    <w:pStyle w:val="4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600" w:type="pct"/>
                  <w:tcBorders>
                    <w:tl2br w:val="nil"/>
                    <w:tr2bl w:val="nil"/>
                  </w:tcBorders>
                  <w:noWrap w:val="0"/>
                  <w:vAlign w:val="center"/>
                </w:tcPr>
                <w:p w14:paraId="31A1AF35">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4.0</w:t>
                  </w:r>
                </w:p>
              </w:tc>
              <w:tc>
                <w:tcPr>
                  <w:tcW w:w="442" w:type="pct"/>
                  <w:tcBorders>
                    <w:tl2br w:val="nil"/>
                    <w:tr2bl w:val="nil"/>
                  </w:tcBorders>
                  <w:noWrap w:val="0"/>
                  <w:vAlign w:val="center"/>
                </w:tcPr>
                <w:p w14:paraId="608B5640">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0.20</w:t>
                  </w:r>
                </w:p>
              </w:tc>
              <w:tc>
                <w:tcPr>
                  <w:tcW w:w="565" w:type="pct"/>
                  <w:tcBorders>
                    <w:tl2br w:val="nil"/>
                    <w:tr2bl w:val="nil"/>
                  </w:tcBorders>
                  <w:noWrap w:val="0"/>
                  <w:vAlign w:val="center"/>
                </w:tcPr>
                <w:p w14:paraId="24B4261C">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480" w:type="pct"/>
                  <w:tcBorders>
                    <w:tl2br w:val="nil"/>
                    <w:tr2bl w:val="nil"/>
                  </w:tcBorders>
                  <w:noWrap w:val="0"/>
                  <w:vAlign w:val="center"/>
                </w:tcPr>
                <w:p w14:paraId="72A30570">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r>
            <w:tr w14:paraId="2A141A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7" w:type="dxa"/>
                  <w:bottom w:w="0" w:type="dxa"/>
                  <w:right w:w="107" w:type="dxa"/>
                </w:tblCellMar>
              </w:tblPrEx>
              <w:trPr>
                <w:cantSplit/>
                <w:trHeight w:val="283" w:hRule="atLeast"/>
                <w:jc w:val="center"/>
              </w:trPr>
              <w:tc>
                <w:tcPr>
                  <w:tcW w:w="379" w:type="pct"/>
                  <w:vMerge w:val="continue"/>
                  <w:tcBorders>
                    <w:tl2br w:val="nil"/>
                    <w:tr2bl w:val="nil"/>
                  </w:tcBorders>
                  <w:noWrap w:val="0"/>
                  <w:vAlign w:val="center"/>
                </w:tcPr>
                <w:p w14:paraId="1C5E80B2">
                  <w:pPr>
                    <w:pStyle w:val="40"/>
                    <w:bidi w:val="0"/>
                    <w:rPr>
                      <w:rFonts w:hint="default" w:ascii="Times New Roman" w:hAnsi="Times New Roman" w:cs="Times New Roman"/>
                      <w:color w:val="auto"/>
                      <w:highlight w:val="none"/>
                    </w:rPr>
                  </w:pPr>
                </w:p>
              </w:tc>
              <w:tc>
                <w:tcPr>
                  <w:tcW w:w="1143" w:type="pct"/>
                  <w:tcBorders>
                    <w:tl2br w:val="nil"/>
                    <w:tr2bl w:val="nil"/>
                  </w:tcBorders>
                  <w:noWrap w:val="0"/>
                  <w:vAlign w:val="center"/>
                </w:tcPr>
                <w:p w14:paraId="42535F7D">
                  <w:pPr>
                    <w:pStyle w:val="4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75≤P</w:t>
                  </w:r>
                  <w:r>
                    <w:rPr>
                      <w:rFonts w:hint="default" w:ascii="Times New Roman" w:hAnsi="Times New Roman" w:cs="Times New Roman"/>
                      <w:color w:val="auto"/>
                      <w:highlight w:val="none"/>
                      <w:vertAlign w:val="subscript"/>
                    </w:rPr>
                    <w:t>max</w:t>
                  </w:r>
                  <w:r>
                    <w:rPr>
                      <w:rFonts w:hint="default" w:ascii="Times New Roman" w:hAnsi="Times New Roman" w:cs="Times New Roman"/>
                      <w:color w:val="auto"/>
                      <w:highlight w:val="none"/>
                    </w:rPr>
                    <w:t>＜130</w:t>
                  </w:r>
                </w:p>
              </w:tc>
              <w:tc>
                <w:tcPr>
                  <w:tcW w:w="372" w:type="pct"/>
                  <w:tcBorders>
                    <w:tl2br w:val="nil"/>
                    <w:tr2bl w:val="nil"/>
                  </w:tcBorders>
                  <w:noWrap w:val="0"/>
                  <w:vAlign w:val="center"/>
                </w:tcPr>
                <w:p w14:paraId="144BE886">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5.0</w:t>
                  </w:r>
                </w:p>
              </w:tc>
              <w:tc>
                <w:tcPr>
                  <w:tcW w:w="372" w:type="pct"/>
                  <w:tcBorders>
                    <w:tl2br w:val="nil"/>
                    <w:tr2bl w:val="nil"/>
                  </w:tcBorders>
                  <w:noWrap w:val="0"/>
                  <w:vAlign w:val="center"/>
                </w:tcPr>
                <w:p w14:paraId="3C7BAA6C">
                  <w:pPr>
                    <w:pStyle w:val="4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641" w:type="pct"/>
                  <w:tcBorders>
                    <w:tl2br w:val="nil"/>
                    <w:tr2bl w:val="nil"/>
                  </w:tcBorders>
                  <w:noWrap w:val="0"/>
                  <w:vAlign w:val="center"/>
                </w:tcPr>
                <w:p w14:paraId="4CE66083">
                  <w:pPr>
                    <w:pStyle w:val="4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600" w:type="pct"/>
                  <w:tcBorders>
                    <w:tl2br w:val="nil"/>
                    <w:tr2bl w:val="nil"/>
                  </w:tcBorders>
                  <w:noWrap w:val="0"/>
                  <w:vAlign w:val="center"/>
                </w:tcPr>
                <w:p w14:paraId="650B5150">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4.0</w:t>
                  </w:r>
                </w:p>
              </w:tc>
              <w:tc>
                <w:tcPr>
                  <w:tcW w:w="442" w:type="pct"/>
                  <w:tcBorders>
                    <w:tl2br w:val="nil"/>
                    <w:tr2bl w:val="nil"/>
                  </w:tcBorders>
                  <w:noWrap w:val="0"/>
                  <w:vAlign w:val="center"/>
                </w:tcPr>
                <w:p w14:paraId="6D10515B">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0.30</w:t>
                  </w:r>
                </w:p>
              </w:tc>
              <w:tc>
                <w:tcPr>
                  <w:tcW w:w="565" w:type="pct"/>
                  <w:tcBorders>
                    <w:tl2br w:val="nil"/>
                    <w:tr2bl w:val="nil"/>
                  </w:tcBorders>
                  <w:noWrap w:val="0"/>
                  <w:vAlign w:val="center"/>
                </w:tcPr>
                <w:p w14:paraId="04436DA9">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480" w:type="pct"/>
                  <w:tcBorders>
                    <w:tl2br w:val="nil"/>
                    <w:tr2bl w:val="nil"/>
                  </w:tcBorders>
                  <w:noWrap w:val="0"/>
                  <w:vAlign w:val="center"/>
                </w:tcPr>
                <w:p w14:paraId="6D926F80">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r>
            <w:tr w14:paraId="2427E8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7" w:type="dxa"/>
                  <w:bottom w:w="0" w:type="dxa"/>
                  <w:right w:w="107" w:type="dxa"/>
                </w:tblCellMar>
              </w:tblPrEx>
              <w:trPr>
                <w:cantSplit/>
                <w:trHeight w:val="283" w:hRule="atLeast"/>
                <w:jc w:val="center"/>
              </w:trPr>
              <w:tc>
                <w:tcPr>
                  <w:tcW w:w="379" w:type="pct"/>
                  <w:vMerge w:val="continue"/>
                  <w:tcBorders>
                    <w:tl2br w:val="nil"/>
                    <w:tr2bl w:val="nil"/>
                  </w:tcBorders>
                  <w:noWrap w:val="0"/>
                  <w:vAlign w:val="center"/>
                </w:tcPr>
                <w:p w14:paraId="20190613">
                  <w:pPr>
                    <w:pStyle w:val="40"/>
                    <w:bidi w:val="0"/>
                    <w:rPr>
                      <w:rFonts w:hint="default" w:ascii="Times New Roman" w:hAnsi="Times New Roman" w:cs="Times New Roman"/>
                      <w:color w:val="auto"/>
                      <w:highlight w:val="none"/>
                    </w:rPr>
                  </w:pPr>
                </w:p>
              </w:tc>
              <w:tc>
                <w:tcPr>
                  <w:tcW w:w="1143" w:type="pct"/>
                  <w:tcBorders>
                    <w:tl2br w:val="nil"/>
                    <w:tr2bl w:val="nil"/>
                  </w:tcBorders>
                  <w:noWrap w:val="0"/>
                  <w:vAlign w:val="center"/>
                </w:tcPr>
                <w:p w14:paraId="054F913F">
                  <w:pPr>
                    <w:pStyle w:val="4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7≤P</w:t>
                  </w:r>
                  <w:r>
                    <w:rPr>
                      <w:rFonts w:hint="default" w:ascii="Times New Roman" w:hAnsi="Times New Roman" w:cs="Times New Roman"/>
                      <w:color w:val="auto"/>
                      <w:highlight w:val="none"/>
                      <w:vertAlign w:val="subscript"/>
                    </w:rPr>
                    <w:t>max</w:t>
                  </w:r>
                  <w:r>
                    <w:rPr>
                      <w:rFonts w:hint="default" w:ascii="Times New Roman" w:hAnsi="Times New Roman" w:cs="Times New Roman"/>
                      <w:color w:val="auto"/>
                      <w:highlight w:val="none"/>
                    </w:rPr>
                    <w:t>＜75</w:t>
                  </w:r>
                </w:p>
              </w:tc>
              <w:tc>
                <w:tcPr>
                  <w:tcW w:w="372" w:type="pct"/>
                  <w:tcBorders>
                    <w:tl2br w:val="nil"/>
                    <w:tr2bl w:val="nil"/>
                  </w:tcBorders>
                  <w:noWrap w:val="0"/>
                  <w:vAlign w:val="center"/>
                </w:tcPr>
                <w:p w14:paraId="0EC5257B">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5.0</w:t>
                  </w:r>
                </w:p>
              </w:tc>
              <w:tc>
                <w:tcPr>
                  <w:tcW w:w="372" w:type="pct"/>
                  <w:tcBorders>
                    <w:tl2br w:val="nil"/>
                    <w:tr2bl w:val="nil"/>
                  </w:tcBorders>
                  <w:noWrap w:val="0"/>
                  <w:vAlign w:val="center"/>
                </w:tcPr>
                <w:p w14:paraId="1654734D">
                  <w:pPr>
                    <w:pStyle w:val="4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641" w:type="pct"/>
                  <w:tcBorders>
                    <w:tl2br w:val="nil"/>
                    <w:tr2bl w:val="nil"/>
                  </w:tcBorders>
                  <w:noWrap w:val="0"/>
                  <w:vAlign w:val="center"/>
                </w:tcPr>
                <w:p w14:paraId="2775887D">
                  <w:pPr>
                    <w:pStyle w:val="4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600" w:type="pct"/>
                  <w:tcBorders>
                    <w:tl2br w:val="nil"/>
                    <w:tr2bl w:val="nil"/>
                  </w:tcBorders>
                  <w:noWrap w:val="0"/>
                  <w:vAlign w:val="center"/>
                </w:tcPr>
                <w:p w14:paraId="330452D9">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4.7</w:t>
                  </w:r>
                </w:p>
              </w:tc>
              <w:tc>
                <w:tcPr>
                  <w:tcW w:w="442" w:type="pct"/>
                  <w:tcBorders>
                    <w:tl2br w:val="nil"/>
                    <w:tr2bl w:val="nil"/>
                  </w:tcBorders>
                  <w:noWrap w:val="0"/>
                  <w:vAlign w:val="center"/>
                </w:tcPr>
                <w:p w14:paraId="4745935B">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0.40</w:t>
                  </w:r>
                </w:p>
              </w:tc>
              <w:tc>
                <w:tcPr>
                  <w:tcW w:w="565" w:type="pct"/>
                  <w:tcBorders>
                    <w:tl2br w:val="nil"/>
                    <w:tr2bl w:val="nil"/>
                  </w:tcBorders>
                  <w:noWrap w:val="0"/>
                  <w:vAlign w:val="center"/>
                </w:tcPr>
                <w:p w14:paraId="4FF38681">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480" w:type="pct"/>
                  <w:tcBorders>
                    <w:tl2br w:val="nil"/>
                    <w:tr2bl w:val="nil"/>
                  </w:tcBorders>
                  <w:noWrap w:val="0"/>
                  <w:vAlign w:val="center"/>
                </w:tcPr>
                <w:p w14:paraId="35B01753">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r>
            <w:tr w14:paraId="2DCB5C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7" w:type="dxa"/>
                  <w:bottom w:w="0" w:type="dxa"/>
                  <w:right w:w="107" w:type="dxa"/>
                </w:tblCellMar>
              </w:tblPrEx>
              <w:trPr>
                <w:cantSplit/>
                <w:trHeight w:val="283" w:hRule="atLeast"/>
                <w:jc w:val="center"/>
              </w:trPr>
              <w:tc>
                <w:tcPr>
                  <w:tcW w:w="379" w:type="pct"/>
                  <w:vMerge w:val="continue"/>
                  <w:tcBorders>
                    <w:tl2br w:val="nil"/>
                    <w:tr2bl w:val="nil"/>
                  </w:tcBorders>
                  <w:noWrap w:val="0"/>
                  <w:vAlign w:val="center"/>
                </w:tcPr>
                <w:p w14:paraId="64FA4094">
                  <w:pPr>
                    <w:pStyle w:val="40"/>
                    <w:bidi w:val="0"/>
                    <w:rPr>
                      <w:rFonts w:hint="default" w:ascii="Times New Roman" w:hAnsi="Times New Roman" w:cs="Times New Roman"/>
                      <w:color w:val="auto"/>
                      <w:highlight w:val="none"/>
                    </w:rPr>
                  </w:pPr>
                </w:p>
              </w:tc>
              <w:tc>
                <w:tcPr>
                  <w:tcW w:w="1143" w:type="pct"/>
                  <w:tcBorders>
                    <w:tl2br w:val="nil"/>
                    <w:tr2bl w:val="nil"/>
                  </w:tcBorders>
                  <w:noWrap w:val="0"/>
                  <w:vAlign w:val="center"/>
                </w:tcPr>
                <w:p w14:paraId="6A016708">
                  <w:pPr>
                    <w:pStyle w:val="4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P</w:t>
                  </w:r>
                  <w:r>
                    <w:rPr>
                      <w:rFonts w:hint="default" w:ascii="Times New Roman" w:hAnsi="Times New Roman" w:cs="Times New Roman"/>
                      <w:color w:val="auto"/>
                      <w:highlight w:val="none"/>
                      <w:vertAlign w:val="subscript"/>
                    </w:rPr>
                    <w:t>max</w:t>
                  </w:r>
                  <w:r>
                    <w:rPr>
                      <w:rFonts w:hint="default" w:ascii="Times New Roman" w:hAnsi="Times New Roman" w:cs="Times New Roman"/>
                      <w:color w:val="auto"/>
                      <w:highlight w:val="none"/>
                    </w:rPr>
                    <w:t>＜37</w:t>
                  </w:r>
                </w:p>
              </w:tc>
              <w:tc>
                <w:tcPr>
                  <w:tcW w:w="372" w:type="pct"/>
                  <w:tcBorders>
                    <w:tl2br w:val="nil"/>
                    <w:tr2bl w:val="nil"/>
                  </w:tcBorders>
                  <w:noWrap w:val="0"/>
                  <w:vAlign w:val="center"/>
                </w:tcPr>
                <w:p w14:paraId="5A3F278F">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5.5</w:t>
                  </w:r>
                </w:p>
              </w:tc>
              <w:tc>
                <w:tcPr>
                  <w:tcW w:w="372" w:type="pct"/>
                  <w:tcBorders>
                    <w:tl2br w:val="nil"/>
                    <w:tr2bl w:val="nil"/>
                  </w:tcBorders>
                  <w:noWrap w:val="0"/>
                  <w:vAlign w:val="center"/>
                </w:tcPr>
                <w:p w14:paraId="55199DAB">
                  <w:pPr>
                    <w:pStyle w:val="4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641" w:type="pct"/>
                  <w:tcBorders>
                    <w:tl2br w:val="nil"/>
                    <w:tr2bl w:val="nil"/>
                  </w:tcBorders>
                  <w:noWrap w:val="0"/>
                  <w:vAlign w:val="center"/>
                </w:tcPr>
                <w:p w14:paraId="761903E4">
                  <w:pPr>
                    <w:pStyle w:val="4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600" w:type="pct"/>
                  <w:tcBorders>
                    <w:tl2br w:val="nil"/>
                    <w:tr2bl w:val="nil"/>
                  </w:tcBorders>
                  <w:noWrap w:val="0"/>
                  <w:vAlign w:val="center"/>
                </w:tcPr>
                <w:p w14:paraId="570DA8FF">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7.5</w:t>
                  </w:r>
                </w:p>
              </w:tc>
              <w:tc>
                <w:tcPr>
                  <w:tcW w:w="442" w:type="pct"/>
                  <w:tcBorders>
                    <w:tl2br w:val="nil"/>
                    <w:tr2bl w:val="nil"/>
                  </w:tcBorders>
                  <w:noWrap w:val="0"/>
                  <w:vAlign w:val="center"/>
                </w:tcPr>
                <w:p w14:paraId="7E5ED5E9">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0.60</w:t>
                  </w:r>
                </w:p>
              </w:tc>
              <w:tc>
                <w:tcPr>
                  <w:tcW w:w="565" w:type="pct"/>
                  <w:tcBorders>
                    <w:tl2br w:val="nil"/>
                    <w:tr2bl w:val="nil"/>
                  </w:tcBorders>
                  <w:noWrap w:val="0"/>
                  <w:vAlign w:val="center"/>
                </w:tcPr>
                <w:p w14:paraId="12AEBD3C">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480" w:type="pct"/>
                  <w:tcBorders>
                    <w:tl2br w:val="nil"/>
                    <w:tr2bl w:val="nil"/>
                  </w:tcBorders>
                  <w:noWrap w:val="0"/>
                  <w:vAlign w:val="center"/>
                </w:tcPr>
                <w:p w14:paraId="75139BDD">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r>
            <w:tr w14:paraId="3B8364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7" w:type="dxa"/>
                  <w:bottom w:w="0" w:type="dxa"/>
                  <w:right w:w="107" w:type="dxa"/>
                </w:tblCellMar>
              </w:tblPrEx>
              <w:trPr>
                <w:cantSplit/>
                <w:trHeight w:val="283" w:hRule="atLeast"/>
                <w:jc w:val="center"/>
              </w:trPr>
              <w:tc>
                <w:tcPr>
                  <w:tcW w:w="379" w:type="pct"/>
                  <w:vMerge w:val="restart"/>
                  <w:tcBorders>
                    <w:tl2br w:val="nil"/>
                    <w:tr2bl w:val="nil"/>
                  </w:tcBorders>
                  <w:noWrap w:val="0"/>
                  <w:vAlign w:val="center"/>
                </w:tcPr>
                <w:p w14:paraId="217C4FF7">
                  <w:pPr>
                    <w:pStyle w:val="4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第四阶段</w:t>
                  </w:r>
                </w:p>
              </w:tc>
              <w:tc>
                <w:tcPr>
                  <w:tcW w:w="1143" w:type="pct"/>
                  <w:tcBorders>
                    <w:tl2br w:val="nil"/>
                    <w:tr2bl w:val="nil"/>
                  </w:tcBorders>
                  <w:noWrap w:val="0"/>
                  <w:vAlign w:val="center"/>
                </w:tcPr>
                <w:p w14:paraId="08889172">
                  <w:pPr>
                    <w:pStyle w:val="4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P</w:t>
                  </w:r>
                  <w:r>
                    <w:rPr>
                      <w:rFonts w:hint="default" w:ascii="Times New Roman" w:hAnsi="Times New Roman" w:cs="Times New Roman"/>
                      <w:color w:val="auto"/>
                      <w:highlight w:val="none"/>
                      <w:vertAlign w:val="subscript"/>
                    </w:rPr>
                    <w:t>max</w:t>
                  </w:r>
                  <w:r>
                    <w:rPr>
                      <w:rFonts w:hint="default" w:ascii="Times New Roman" w:hAnsi="Times New Roman" w:cs="Times New Roman"/>
                      <w:color w:val="auto"/>
                      <w:highlight w:val="none"/>
                    </w:rPr>
                    <w:t>＞560</w:t>
                  </w:r>
                </w:p>
              </w:tc>
              <w:tc>
                <w:tcPr>
                  <w:tcW w:w="372" w:type="pct"/>
                  <w:tcBorders>
                    <w:tl2br w:val="nil"/>
                    <w:tr2bl w:val="nil"/>
                  </w:tcBorders>
                  <w:noWrap w:val="0"/>
                  <w:vAlign w:val="center"/>
                </w:tcPr>
                <w:p w14:paraId="409AFA41">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3.5</w:t>
                  </w:r>
                </w:p>
              </w:tc>
              <w:tc>
                <w:tcPr>
                  <w:tcW w:w="372" w:type="pct"/>
                  <w:tcBorders>
                    <w:tl2br w:val="nil"/>
                    <w:tr2bl w:val="nil"/>
                  </w:tcBorders>
                  <w:noWrap w:val="0"/>
                  <w:vAlign w:val="center"/>
                </w:tcPr>
                <w:p w14:paraId="0F84F0C0">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0.40</w:t>
                  </w:r>
                </w:p>
              </w:tc>
              <w:tc>
                <w:tcPr>
                  <w:tcW w:w="641" w:type="pct"/>
                  <w:tcBorders>
                    <w:tl2br w:val="nil"/>
                    <w:tr2bl w:val="nil"/>
                  </w:tcBorders>
                  <w:noWrap w:val="0"/>
                  <w:vAlign w:val="center"/>
                </w:tcPr>
                <w:p w14:paraId="71D8F63D">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3.5，0.67</w:t>
                  </w:r>
                  <w:r>
                    <w:rPr>
                      <w:rFonts w:hint="default" w:ascii="Times New Roman" w:hAnsi="Times New Roman" w:cs="Times New Roman"/>
                      <w:color w:val="auto"/>
                      <w:highlight w:val="none"/>
                      <w:vertAlign w:val="superscript"/>
                      <w:lang w:val="en-US" w:eastAsia="zh-CN"/>
                    </w:rPr>
                    <w:t>a</w:t>
                  </w:r>
                </w:p>
              </w:tc>
              <w:tc>
                <w:tcPr>
                  <w:tcW w:w="600" w:type="pct"/>
                  <w:tcBorders>
                    <w:tl2br w:val="nil"/>
                    <w:tr2bl w:val="nil"/>
                  </w:tcBorders>
                  <w:noWrap w:val="0"/>
                  <w:vAlign w:val="center"/>
                </w:tcPr>
                <w:p w14:paraId="6AD86D6B">
                  <w:pPr>
                    <w:pStyle w:val="4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442" w:type="pct"/>
                  <w:tcBorders>
                    <w:tl2br w:val="nil"/>
                    <w:tr2bl w:val="nil"/>
                  </w:tcBorders>
                  <w:noWrap w:val="0"/>
                  <w:vAlign w:val="center"/>
                </w:tcPr>
                <w:p w14:paraId="3677B799">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0.10</w:t>
                  </w:r>
                </w:p>
              </w:tc>
              <w:tc>
                <w:tcPr>
                  <w:tcW w:w="565" w:type="pct"/>
                  <w:vMerge w:val="restart"/>
                  <w:tcBorders>
                    <w:tl2br w:val="nil"/>
                    <w:tr2bl w:val="nil"/>
                  </w:tcBorders>
                  <w:noWrap w:val="0"/>
                  <w:vAlign w:val="center"/>
                </w:tcPr>
                <w:p w14:paraId="018C6DF0">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25</w:t>
                  </w:r>
                  <w:r>
                    <w:rPr>
                      <w:rFonts w:hint="default" w:ascii="Times New Roman" w:hAnsi="Times New Roman" w:cs="Times New Roman"/>
                      <w:color w:val="auto"/>
                      <w:highlight w:val="none"/>
                      <w:vertAlign w:val="superscript"/>
                      <w:lang w:val="en-US" w:eastAsia="zh-CN"/>
                    </w:rPr>
                    <w:t>b</w:t>
                  </w:r>
                </w:p>
              </w:tc>
              <w:tc>
                <w:tcPr>
                  <w:tcW w:w="480" w:type="pct"/>
                  <w:tcBorders>
                    <w:tl2br w:val="nil"/>
                    <w:tr2bl w:val="nil"/>
                  </w:tcBorders>
                  <w:noWrap w:val="0"/>
                  <w:vAlign w:val="center"/>
                </w:tcPr>
                <w:p w14:paraId="537B3FA0">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r>
            <w:tr w14:paraId="738025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7" w:type="dxa"/>
                  <w:bottom w:w="0" w:type="dxa"/>
                  <w:right w:w="107" w:type="dxa"/>
                </w:tblCellMar>
              </w:tblPrEx>
              <w:trPr>
                <w:cantSplit/>
                <w:trHeight w:val="283" w:hRule="atLeast"/>
                <w:jc w:val="center"/>
              </w:trPr>
              <w:tc>
                <w:tcPr>
                  <w:tcW w:w="379" w:type="pct"/>
                  <w:vMerge w:val="continue"/>
                  <w:tcBorders>
                    <w:tl2br w:val="nil"/>
                    <w:tr2bl w:val="nil"/>
                  </w:tcBorders>
                  <w:noWrap w:val="0"/>
                  <w:vAlign w:val="center"/>
                </w:tcPr>
                <w:p w14:paraId="0F7993C5">
                  <w:pPr>
                    <w:pStyle w:val="40"/>
                    <w:bidi w:val="0"/>
                    <w:rPr>
                      <w:rFonts w:hint="default" w:ascii="Times New Roman" w:hAnsi="Times New Roman" w:cs="Times New Roman"/>
                      <w:color w:val="auto"/>
                      <w:highlight w:val="none"/>
                    </w:rPr>
                  </w:pPr>
                </w:p>
              </w:tc>
              <w:tc>
                <w:tcPr>
                  <w:tcW w:w="1143" w:type="pct"/>
                  <w:tcBorders>
                    <w:tl2br w:val="nil"/>
                    <w:tr2bl w:val="nil"/>
                  </w:tcBorders>
                  <w:noWrap w:val="0"/>
                  <w:vAlign w:val="center"/>
                </w:tcPr>
                <w:p w14:paraId="3C99316E">
                  <w:pPr>
                    <w:pStyle w:val="4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130≤P</w:t>
                  </w:r>
                  <w:r>
                    <w:rPr>
                      <w:rFonts w:hint="default" w:ascii="Times New Roman" w:hAnsi="Times New Roman" w:cs="Times New Roman"/>
                      <w:color w:val="auto"/>
                      <w:highlight w:val="none"/>
                      <w:vertAlign w:val="subscript"/>
                    </w:rPr>
                    <w:t>max</w:t>
                  </w:r>
                  <w:r>
                    <w:rPr>
                      <w:rFonts w:hint="default" w:ascii="Times New Roman" w:hAnsi="Times New Roman" w:cs="Times New Roman"/>
                      <w:color w:val="auto"/>
                      <w:highlight w:val="none"/>
                    </w:rPr>
                    <w:t>≤560</w:t>
                  </w:r>
                </w:p>
              </w:tc>
              <w:tc>
                <w:tcPr>
                  <w:tcW w:w="372" w:type="pct"/>
                  <w:tcBorders>
                    <w:tl2br w:val="nil"/>
                    <w:tr2bl w:val="nil"/>
                  </w:tcBorders>
                  <w:noWrap w:val="0"/>
                  <w:vAlign w:val="center"/>
                </w:tcPr>
                <w:p w14:paraId="6717F1A4">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3.5</w:t>
                  </w:r>
                </w:p>
              </w:tc>
              <w:tc>
                <w:tcPr>
                  <w:tcW w:w="372" w:type="pct"/>
                  <w:tcBorders>
                    <w:tl2br w:val="nil"/>
                    <w:tr2bl w:val="nil"/>
                  </w:tcBorders>
                  <w:noWrap w:val="0"/>
                  <w:vAlign w:val="center"/>
                </w:tcPr>
                <w:p w14:paraId="791153DD">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0.19</w:t>
                  </w:r>
                </w:p>
              </w:tc>
              <w:tc>
                <w:tcPr>
                  <w:tcW w:w="641" w:type="pct"/>
                  <w:tcBorders>
                    <w:tl2br w:val="nil"/>
                    <w:tr2bl w:val="nil"/>
                  </w:tcBorders>
                  <w:noWrap w:val="0"/>
                  <w:vAlign w:val="center"/>
                </w:tcPr>
                <w:p w14:paraId="641BDEA6">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2.0</w:t>
                  </w:r>
                </w:p>
              </w:tc>
              <w:tc>
                <w:tcPr>
                  <w:tcW w:w="600" w:type="pct"/>
                  <w:tcBorders>
                    <w:tl2br w:val="nil"/>
                    <w:tr2bl w:val="nil"/>
                  </w:tcBorders>
                  <w:noWrap w:val="0"/>
                  <w:vAlign w:val="center"/>
                </w:tcPr>
                <w:p w14:paraId="52234DA8">
                  <w:pPr>
                    <w:pStyle w:val="4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442" w:type="pct"/>
                  <w:tcBorders>
                    <w:tl2br w:val="nil"/>
                    <w:tr2bl w:val="nil"/>
                  </w:tcBorders>
                  <w:noWrap w:val="0"/>
                  <w:vAlign w:val="center"/>
                </w:tcPr>
                <w:p w14:paraId="0B676546">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0.025</w:t>
                  </w:r>
                </w:p>
              </w:tc>
              <w:tc>
                <w:tcPr>
                  <w:tcW w:w="565" w:type="pct"/>
                  <w:vMerge w:val="continue"/>
                  <w:tcBorders>
                    <w:tl2br w:val="nil"/>
                    <w:tr2bl w:val="nil"/>
                  </w:tcBorders>
                  <w:noWrap w:val="0"/>
                  <w:vAlign w:val="center"/>
                </w:tcPr>
                <w:p w14:paraId="52C8A4FB">
                  <w:pPr>
                    <w:pStyle w:val="40"/>
                    <w:bidi w:val="0"/>
                    <w:rPr>
                      <w:rFonts w:hint="default" w:ascii="Times New Roman" w:hAnsi="Times New Roman" w:cs="Times New Roman"/>
                      <w:color w:val="auto"/>
                      <w:highlight w:val="none"/>
                      <w:lang w:val="en-US" w:eastAsia="zh-CN"/>
                    </w:rPr>
                  </w:pPr>
                </w:p>
              </w:tc>
              <w:tc>
                <w:tcPr>
                  <w:tcW w:w="480" w:type="pct"/>
                  <w:tcBorders>
                    <w:tl2br w:val="nil"/>
                    <w:tr2bl w:val="nil"/>
                  </w:tcBorders>
                  <w:noWrap w:val="0"/>
                  <w:vAlign w:val="center"/>
                </w:tcPr>
                <w:p w14:paraId="00318CC2">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r>
            <w:tr w14:paraId="38E235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7" w:type="dxa"/>
                  <w:bottom w:w="0" w:type="dxa"/>
                  <w:right w:w="107" w:type="dxa"/>
                </w:tblCellMar>
              </w:tblPrEx>
              <w:trPr>
                <w:cantSplit/>
                <w:trHeight w:val="283" w:hRule="atLeast"/>
                <w:jc w:val="center"/>
              </w:trPr>
              <w:tc>
                <w:tcPr>
                  <w:tcW w:w="379" w:type="pct"/>
                  <w:vMerge w:val="continue"/>
                  <w:tcBorders>
                    <w:tl2br w:val="nil"/>
                    <w:tr2bl w:val="nil"/>
                  </w:tcBorders>
                  <w:noWrap w:val="0"/>
                  <w:vAlign w:val="center"/>
                </w:tcPr>
                <w:p w14:paraId="08983A19">
                  <w:pPr>
                    <w:pStyle w:val="40"/>
                    <w:bidi w:val="0"/>
                    <w:rPr>
                      <w:rFonts w:hint="default" w:ascii="Times New Roman" w:hAnsi="Times New Roman" w:cs="Times New Roman"/>
                      <w:color w:val="auto"/>
                      <w:highlight w:val="none"/>
                    </w:rPr>
                  </w:pPr>
                </w:p>
              </w:tc>
              <w:tc>
                <w:tcPr>
                  <w:tcW w:w="1143" w:type="pct"/>
                  <w:tcBorders>
                    <w:tl2br w:val="nil"/>
                    <w:tr2bl w:val="nil"/>
                  </w:tcBorders>
                  <w:noWrap w:val="0"/>
                  <w:vAlign w:val="center"/>
                </w:tcPr>
                <w:p w14:paraId="1345A26D">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56</w:t>
                  </w:r>
                  <w:r>
                    <w:rPr>
                      <w:rFonts w:hint="default" w:ascii="Times New Roman" w:hAnsi="Times New Roman" w:cs="Times New Roman"/>
                      <w:color w:val="auto"/>
                      <w:highlight w:val="none"/>
                    </w:rPr>
                    <w:t>≤P</w:t>
                  </w:r>
                  <w:r>
                    <w:rPr>
                      <w:rFonts w:hint="default" w:ascii="Times New Roman" w:hAnsi="Times New Roman" w:cs="Times New Roman"/>
                      <w:color w:val="auto"/>
                      <w:highlight w:val="none"/>
                      <w:vertAlign w:val="subscript"/>
                    </w:rPr>
                    <w:t>max</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130</w:t>
                  </w:r>
                </w:p>
              </w:tc>
              <w:tc>
                <w:tcPr>
                  <w:tcW w:w="372" w:type="pct"/>
                  <w:tcBorders>
                    <w:tl2br w:val="nil"/>
                    <w:tr2bl w:val="nil"/>
                  </w:tcBorders>
                  <w:noWrap w:val="0"/>
                  <w:vAlign w:val="center"/>
                </w:tcPr>
                <w:p w14:paraId="57E17C88">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5.0</w:t>
                  </w:r>
                </w:p>
              </w:tc>
              <w:tc>
                <w:tcPr>
                  <w:tcW w:w="372" w:type="pct"/>
                  <w:tcBorders>
                    <w:tl2br w:val="nil"/>
                    <w:tr2bl w:val="nil"/>
                  </w:tcBorders>
                  <w:noWrap w:val="0"/>
                  <w:vAlign w:val="center"/>
                </w:tcPr>
                <w:p w14:paraId="2B068B83">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0.19</w:t>
                  </w:r>
                </w:p>
              </w:tc>
              <w:tc>
                <w:tcPr>
                  <w:tcW w:w="641" w:type="pct"/>
                  <w:tcBorders>
                    <w:tl2br w:val="nil"/>
                    <w:tr2bl w:val="nil"/>
                  </w:tcBorders>
                  <w:noWrap w:val="0"/>
                  <w:vAlign w:val="center"/>
                </w:tcPr>
                <w:p w14:paraId="3F24D5C7">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3.3</w:t>
                  </w:r>
                </w:p>
              </w:tc>
              <w:tc>
                <w:tcPr>
                  <w:tcW w:w="600" w:type="pct"/>
                  <w:tcBorders>
                    <w:tl2br w:val="nil"/>
                    <w:tr2bl w:val="nil"/>
                  </w:tcBorders>
                  <w:noWrap w:val="0"/>
                  <w:vAlign w:val="center"/>
                </w:tcPr>
                <w:p w14:paraId="3A01E788">
                  <w:pPr>
                    <w:pStyle w:val="4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442" w:type="pct"/>
                  <w:tcBorders>
                    <w:tl2br w:val="nil"/>
                    <w:tr2bl w:val="nil"/>
                  </w:tcBorders>
                  <w:noWrap w:val="0"/>
                  <w:vAlign w:val="center"/>
                </w:tcPr>
                <w:p w14:paraId="24FECACD">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0.025</w:t>
                  </w:r>
                </w:p>
              </w:tc>
              <w:tc>
                <w:tcPr>
                  <w:tcW w:w="565" w:type="pct"/>
                  <w:vMerge w:val="continue"/>
                  <w:tcBorders>
                    <w:tl2br w:val="nil"/>
                    <w:tr2bl w:val="nil"/>
                  </w:tcBorders>
                  <w:noWrap w:val="0"/>
                  <w:vAlign w:val="center"/>
                </w:tcPr>
                <w:p w14:paraId="117B9D2C">
                  <w:pPr>
                    <w:pStyle w:val="40"/>
                    <w:bidi w:val="0"/>
                    <w:rPr>
                      <w:rFonts w:hint="default" w:ascii="Times New Roman" w:hAnsi="Times New Roman" w:cs="Times New Roman"/>
                      <w:color w:val="auto"/>
                      <w:highlight w:val="none"/>
                      <w:lang w:val="en-US" w:eastAsia="zh-CN"/>
                    </w:rPr>
                  </w:pPr>
                </w:p>
              </w:tc>
              <w:tc>
                <w:tcPr>
                  <w:tcW w:w="480" w:type="pct"/>
                  <w:vMerge w:val="restart"/>
                  <w:tcBorders>
                    <w:tl2br w:val="nil"/>
                    <w:tr2bl w:val="nil"/>
                  </w:tcBorders>
                  <w:noWrap w:val="0"/>
                  <w:vAlign w:val="center"/>
                </w:tcPr>
                <w:p w14:paraId="7787882B">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5×10</w:t>
                  </w:r>
                  <w:r>
                    <w:rPr>
                      <w:rFonts w:hint="default" w:ascii="Times New Roman" w:hAnsi="Times New Roman" w:cs="Times New Roman"/>
                      <w:color w:val="auto"/>
                      <w:highlight w:val="none"/>
                      <w:vertAlign w:val="superscript"/>
                      <w:lang w:val="en-US" w:eastAsia="zh-CN"/>
                    </w:rPr>
                    <w:t>12</w:t>
                  </w:r>
                </w:p>
              </w:tc>
            </w:tr>
            <w:tr w14:paraId="72215B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7" w:type="dxa"/>
                  <w:bottom w:w="0" w:type="dxa"/>
                  <w:right w:w="107" w:type="dxa"/>
                </w:tblCellMar>
              </w:tblPrEx>
              <w:trPr>
                <w:cantSplit/>
                <w:trHeight w:val="283" w:hRule="atLeast"/>
                <w:jc w:val="center"/>
              </w:trPr>
              <w:tc>
                <w:tcPr>
                  <w:tcW w:w="379" w:type="pct"/>
                  <w:vMerge w:val="continue"/>
                  <w:tcBorders>
                    <w:tl2br w:val="nil"/>
                    <w:tr2bl w:val="nil"/>
                  </w:tcBorders>
                  <w:noWrap w:val="0"/>
                  <w:vAlign w:val="center"/>
                </w:tcPr>
                <w:p w14:paraId="59310A27">
                  <w:pPr>
                    <w:pStyle w:val="40"/>
                    <w:bidi w:val="0"/>
                    <w:rPr>
                      <w:rFonts w:hint="default" w:ascii="Times New Roman" w:hAnsi="Times New Roman" w:cs="Times New Roman"/>
                      <w:color w:val="auto"/>
                      <w:highlight w:val="none"/>
                    </w:rPr>
                  </w:pPr>
                </w:p>
              </w:tc>
              <w:tc>
                <w:tcPr>
                  <w:tcW w:w="1143" w:type="pct"/>
                  <w:tcBorders>
                    <w:tl2br w:val="nil"/>
                    <w:tr2bl w:val="nil"/>
                  </w:tcBorders>
                  <w:noWrap w:val="0"/>
                  <w:vAlign w:val="center"/>
                </w:tcPr>
                <w:p w14:paraId="0DD02052">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37</w:t>
                  </w:r>
                  <w:r>
                    <w:rPr>
                      <w:rFonts w:hint="default" w:ascii="Times New Roman" w:hAnsi="Times New Roman" w:cs="Times New Roman"/>
                      <w:color w:val="auto"/>
                      <w:highlight w:val="none"/>
                    </w:rPr>
                    <w:t>≤P</w:t>
                  </w:r>
                  <w:r>
                    <w:rPr>
                      <w:rFonts w:hint="default" w:ascii="Times New Roman" w:hAnsi="Times New Roman" w:cs="Times New Roman"/>
                      <w:color w:val="auto"/>
                      <w:highlight w:val="none"/>
                      <w:vertAlign w:val="subscript"/>
                    </w:rPr>
                    <w:t>max</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56</w:t>
                  </w:r>
                </w:p>
              </w:tc>
              <w:tc>
                <w:tcPr>
                  <w:tcW w:w="372" w:type="pct"/>
                  <w:tcBorders>
                    <w:tl2br w:val="nil"/>
                    <w:tr2bl w:val="nil"/>
                  </w:tcBorders>
                  <w:noWrap w:val="0"/>
                  <w:vAlign w:val="center"/>
                </w:tcPr>
                <w:p w14:paraId="787C18A0">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5.0</w:t>
                  </w:r>
                </w:p>
              </w:tc>
              <w:tc>
                <w:tcPr>
                  <w:tcW w:w="372" w:type="pct"/>
                  <w:tcBorders>
                    <w:tl2br w:val="nil"/>
                    <w:tr2bl w:val="nil"/>
                  </w:tcBorders>
                  <w:noWrap w:val="0"/>
                  <w:vAlign w:val="center"/>
                </w:tcPr>
                <w:p w14:paraId="427AEA2A">
                  <w:pPr>
                    <w:pStyle w:val="4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641" w:type="pct"/>
                  <w:tcBorders>
                    <w:tl2br w:val="nil"/>
                    <w:tr2bl w:val="nil"/>
                  </w:tcBorders>
                  <w:noWrap w:val="0"/>
                  <w:vAlign w:val="center"/>
                </w:tcPr>
                <w:p w14:paraId="4AC6D832">
                  <w:pPr>
                    <w:pStyle w:val="4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600" w:type="pct"/>
                  <w:tcBorders>
                    <w:tl2br w:val="nil"/>
                    <w:tr2bl w:val="nil"/>
                  </w:tcBorders>
                  <w:noWrap w:val="0"/>
                  <w:vAlign w:val="center"/>
                </w:tcPr>
                <w:p w14:paraId="3BCA6786">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4.7</w:t>
                  </w:r>
                </w:p>
              </w:tc>
              <w:tc>
                <w:tcPr>
                  <w:tcW w:w="442" w:type="pct"/>
                  <w:tcBorders>
                    <w:tl2br w:val="nil"/>
                    <w:tr2bl w:val="nil"/>
                  </w:tcBorders>
                  <w:noWrap w:val="0"/>
                  <w:vAlign w:val="center"/>
                </w:tcPr>
                <w:p w14:paraId="54933108">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0.025</w:t>
                  </w:r>
                </w:p>
              </w:tc>
              <w:tc>
                <w:tcPr>
                  <w:tcW w:w="565" w:type="pct"/>
                  <w:vMerge w:val="continue"/>
                  <w:tcBorders>
                    <w:tl2br w:val="nil"/>
                    <w:tr2bl w:val="nil"/>
                  </w:tcBorders>
                  <w:noWrap w:val="0"/>
                  <w:vAlign w:val="center"/>
                </w:tcPr>
                <w:p w14:paraId="16301326">
                  <w:pPr>
                    <w:pStyle w:val="40"/>
                    <w:bidi w:val="0"/>
                    <w:rPr>
                      <w:rFonts w:hint="default" w:ascii="Times New Roman" w:hAnsi="Times New Roman" w:cs="Times New Roman"/>
                      <w:color w:val="auto"/>
                      <w:highlight w:val="none"/>
                      <w:lang w:val="en-US" w:eastAsia="zh-CN"/>
                    </w:rPr>
                  </w:pPr>
                </w:p>
              </w:tc>
              <w:tc>
                <w:tcPr>
                  <w:tcW w:w="480" w:type="pct"/>
                  <w:vMerge w:val="continue"/>
                  <w:tcBorders>
                    <w:tl2br w:val="nil"/>
                    <w:tr2bl w:val="nil"/>
                  </w:tcBorders>
                  <w:noWrap w:val="0"/>
                  <w:vAlign w:val="center"/>
                </w:tcPr>
                <w:p w14:paraId="11530F86">
                  <w:pPr>
                    <w:pStyle w:val="40"/>
                    <w:bidi w:val="0"/>
                    <w:rPr>
                      <w:rFonts w:hint="default" w:ascii="Times New Roman" w:hAnsi="Times New Roman" w:cs="Times New Roman"/>
                      <w:color w:val="auto"/>
                      <w:highlight w:val="none"/>
                      <w:lang w:val="en-US" w:eastAsia="zh-CN"/>
                    </w:rPr>
                  </w:pPr>
                </w:p>
              </w:tc>
            </w:tr>
            <w:tr w14:paraId="6C3496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7" w:type="dxa"/>
                  <w:bottom w:w="0" w:type="dxa"/>
                  <w:right w:w="107" w:type="dxa"/>
                </w:tblCellMar>
              </w:tblPrEx>
              <w:trPr>
                <w:cantSplit/>
                <w:trHeight w:val="283" w:hRule="atLeast"/>
                <w:jc w:val="center"/>
              </w:trPr>
              <w:tc>
                <w:tcPr>
                  <w:tcW w:w="379" w:type="pct"/>
                  <w:vMerge w:val="continue"/>
                  <w:tcBorders>
                    <w:tl2br w:val="nil"/>
                    <w:tr2bl w:val="nil"/>
                  </w:tcBorders>
                  <w:noWrap w:val="0"/>
                  <w:vAlign w:val="center"/>
                </w:tcPr>
                <w:p w14:paraId="42641AF9">
                  <w:pPr>
                    <w:pStyle w:val="40"/>
                    <w:bidi w:val="0"/>
                    <w:rPr>
                      <w:rFonts w:hint="default" w:ascii="Times New Roman" w:hAnsi="Times New Roman" w:cs="Times New Roman"/>
                      <w:color w:val="auto"/>
                      <w:highlight w:val="none"/>
                    </w:rPr>
                  </w:pPr>
                </w:p>
              </w:tc>
              <w:tc>
                <w:tcPr>
                  <w:tcW w:w="1143" w:type="pct"/>
                  <w:tcBorders>
                    <w:tl2br w:val="nil"/>
                    <w:tr2bl w:val="nil"/>
                  </w:tcBorders>
                  <w:noWrap w:val="0"/>
                  <w:vAlign w:val="center"/>
                </w:tcPr>
                <w:p w14:paraId="1F88853D">
                  <w:pPr>
                    <w:pStyle w:val="40"/>
                    <w:bidi w:val="0"/>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rPr>
                    <w:t>P</w:t>
                  </w:r>
                  <w:r>
                    <w:rPr>
                      <w:rFonts w:hint="default" w:ascii="Times New Roman" w:hAnsi="Times New Roman" w:cs="Times New Roman"/>
                      <w:color w:val="auto"/>
                      <w:highlight w:val="none"/>
                      <w:vertAlign w:val="subscript"/>
                    </w:rPr>
                    <w:t>max</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37</w:t>
                  </w:r>
                </w:p>
              </w:tc>
              <w:tc>
                <w:tcPr>
                  <w:tcW w:w="372" w:type="pct"/>
                  <w:tcBorders>
                    <w:tl2br w:val="nil"/>
                    <w:tr2bl w:val="nil"/>
                  </w:tcBorders>
                  <w:noWrap w:val="0"/>
                  <w:vAlign w:val="center"/>
                </w:tcPr>
                <w:p w14:paraId="51C96516">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5.5</w:t>
                  </w:r>
                </w:p>
              </w:tc>
              <w:tc>
                <w:tcPr>
                  <w:tcW w:w="372" w:type="pct"/>
                  <w:tcBorders>
                    <w:tl2br w:val="nil"/>
                    <w:tr2bl w:val="nil"/>
                  </w:tcBorders>
                  <w:noWrap w:val="0"/>
                  <w:vAlign w:val="center"/>
                </w:tcPr>
                <w:p w14:paraId="0C7C0470">
                  <w:pPr>
                    <w:pStyle w:val="4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641" w:type="pct"/>
                  <w:tcBorders>
                    <w:tl2br w:val="nil"/>
                    <w:tr2bl w:val="nil"/>
                  </w:tcBorders>
                  <w:noWrap w:val="0"/>
                  <w:vAlign w:val="center"/>
                </w:tcPr>
                <w:p w14:paraId="1344A696">
                  <w:pPr>
                    <w:pStyle w:val="4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600" w:type="pct"/>
                  <w:tcBorders>
                    <w:tl2br w:val="nil"/>
                    <w:tr2bl w:val="nil"/>
                  </w:tcBorders>
                  <w:noWrap w:val="0"/>
                  <w:vAlign w:val="center"/>
                </w:tcPr>
                <w:p w14:paraId="5CDF2949">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7.5</w:t>
                  </w:r>
                </w:p>
              </w:tc>
              <w:tc>
                <w:tcPr>
                  <w:tcW w:w="442" w:type="pct"/>
                  <w:tcBorders>
                    <w:tl2br w:val="nil"/>
                    <w:tr2bl w:val="nil"/>
                  </w:tcBorders>
                  <w:noWrap w:val="0"/>
                  <w:vAlign w:val="center"/>
                </w:tcPr>
                <w:p w14:paraId="5B335F0E">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0.60</w:t>
                  </w:r>
                </w:p>
              </w:tc>
              <w:tc>
                <w:tcPr>
                  <w:tcW w:w="565" w:type="pct"/>
                  <w:vMerge w:val="continue"/>
                  <w:tcBorders>
                    <w:tl2br w:val="nil"/>
                    <w:tr2bl w:val="nil"/>
                  </w:tcBorders>
                  <w:noWrap w:val="0"/>
                  <w:vAlign w:val="center"/>
                </w:tcPr>
                <w:p w14:paraId="7E80CE41">
                  <w:pPr>
                    <w:pStyle w:val="40"/>
                    <w:bidi w:val="0"/>
                    <w:rPr>
                      <w:rFonts w:hint="default" w:ascii="Times New Roman" w:hAnsi="Times New Roman" w:cs="Times New Roman"/>
                      <w:color w:val="auto"/>
                      <w:highlight w:val="none"/>
                      <w:lang w:val="en-US" w:eastAsia="zh-CN"/>
                    </w:rPr>
                  </w:pPr>
                </w:p>
              </w:tc>
              <w:tc>
                <w:tcPr>
                  <w:tcW w:w="480" w:type="pct"/>
                  <w:tcBorders>
                    <w:tl2br w:val="nil"/>
                    <w:tr2bl w:val="nil"/>
                  </w:tcBorders>
                  <w:noWrap w:val="0"/>
                  <w:vAlign w:val="center"/>
                </w:tcPr>
                <w:p w14:paraId="3801C66E">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r>
            <w:tr w14:paraId="0BCBF2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7" w:type="dxa"/>
                  <w:bottom w:w="0" w:type="dxa"/>
                  <w:right w:w="107" w:type="dxa"/>
                </w:tblCellMar>
              </w:tblPrEx>
              <w:trPr>
                <w:cantSplit/>
                <w:trHeight w:val="283" w:hRule="atLeast"/>
                <w:jc w:val="center"/>
              </w:trPr>
              <w:tc>
                <w:tcPr>
                  <w:tcW w:w="5000" w:type="pct"/>
                  <w:gridSpan w:val="9"/>
                  <w:tcBorders>
                    <w:tl2br w:val="nil"/>
                    <w:tr2bl w:val="nil"/>
                  </w:tcBorders>
                  <w:noWrap w:val="0"/>
                  <w:vAlign w:val="center"/>
                </w:tcPr>
                <w:p w14:paraId="228B0694">
                  <w:pPr>
                    <w:pStyle w:val="40"/>
                    <w:bidi w:val="0"/>
                    <w:ind w:leftChars="3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vertAlign w:val="superscript"/>
                      <w:lang w:val="en-US" w:eastAsia="zh-CN"/>
                    </w:rPr>
                    <w:t>a</w:t>
                  </w:r>
                  <w:r>
                    <w:rPr>
                      <w:rFonts w:hint="default" w:ascii="Times New Roman" w:hAnsi="Times New Roman" w:cs="Times New Roman"/>
                      <w:color w:val="auto"/>
                      <w:highlight w:val="none"/>
                      <w:lang w:val="en-US" w:eastAsia="zh-CN"/>
                    </w:rPr>
                    <w:t>适应于可移动式发电机组用</w:t>
                  </w:r>
                  <w:r>
                    <w:rPr>
                      <w:rFonts w:hint="default" w:ascii="Times New Roman" w:hAnsi="Times New Roman" w:cs="Times New Roman"/>
                      <w:color w:val="auto"/>
                      <w:highlight w:val="none"/>
                    </w:rPr>
                    <w:t>P</w:t>
                  </w:r>
                  <w:r>
                    <w:rPr>
                      <w:rFonts w:hint="default" w:ascii="Times New Roman" w:hAnsi="Times New Roman" w:cs="Times New Roman"/>
                      <w:color w:val="auto"/>
                      <w:highlight w:val="none"/>
                      <w:vertAlign w:val="subscript"/>
                    </w:rPr>
                    <w:t>max</w:t>
                  </w:r>
                  <w:r>
                    <w:rPr>
                      <w:rFonts w:hint="default" w:ascii="Times New Roman" w:hAnsi="Times New Roman" w:cs="Times New Roman"/>
                      <w:color w:val="auto"/>
                      <w:highlight w:val="none"/>
                    </w:rPr>
                    <w:t>＞900kW的柴油机</w:t>
                  </w:r>
                </w:p>
                <w:p w14:paraId="2EE9058C">
                  <w:pPr>
                    <w:pStyle w:val="40"/>
                    <w:bidi w:val="0"/>
                    <w:ind w:leftChars="300"/>
                    <w:jc w:val="both"/>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vertAlign w:val="superscript"/>
                      <w:lang w:val="en-US" w:eastAsia="zh-CN"/>
                    </w:rPr>
                    <w:t>b</w:t>
                  </w:r>
                  <w:r>
                    <w:rPr>
                      <w:rFonts w:hint="default" w:ascii="Times New Roman" w:hAnsi="Times New Roman" w:cs="Times New Roman"/>
                      <w:color w:val="auto"/>
                      <w:highlight w:val="none"/>
                      <w:lang w:val="en-US" w:eastAsia="zh-CN"/>
                    </w:rPr>
                    <w:t>适用于使用反应剂的柴油机</w:t>
                  </w:r>
                </w:p>
              </w:tc>
            </w:tr>
          </w:tbl>
          <w:p w14:paraId="770A1C08">
            <w:pPr>
              <w:pStyle w:val="7"/>
              <w:keepNext w:val="0"/>
              <w:keepLines w:val="0"/>
              <w:pageBreakBefore w:val="0"/>
              <w:widowControl w:val="0"/>
              <w:kinsoku/>
              <w:wordWrap/>
              <w:overflowPunct/>
              <w:topLinePunct w:val="0"/>
              <w:autoSpaceDE/>
              <w:autoSpaceDN/>
              <w:bidi w:val="0"/>
              <w:adjustRightInd/>
              <w:snapToGrid/>
              <w:spacing w:before="157" w:beforeLines="50"/>
              <w:textAlignment w:val="auto"/>
              <w:rPr>
                <w:color w:val="auto"/>
                <w:highlight w:val="none"/>
              </w:rPr>
            </w:pPr>
            <w:bookmarkStart w:id="48" w:name="_Ref24864"/>
          </w:p>
          <w:p w14:paraId="0F4F3D02">
            <w:pPr>
              <w:pStyle w:val="7"/>
              <w:keepNext w:val="0"/>
              <w:keepLines w:val="0"/>
              <w:pageBreakBefore w:val="0"/>
              <w:widowControl w:val="0"/>
              <w:kinsoku/>
              <w:wordWrap/>
              <w:overflowPunct/>
              <w:topLinePunct w:val="0"/>
              <w:autoSpaceDE/>
              <w:autoSpaceDN/>
              <w:bidi w:val="0"/>
              <w:adjustRightInd/>
              <w:snapToGrid/>
              <w:spacing w:before="157" w:beforeLines="50"/>
              <w:textAlignment w:val="auto"/>
              <w:rPr>
                <w:color w:val="auto"/>
                <w:highlight w:val="none"/>
              </w:rPr>
            </w:pPr>
          </w:p>
          <w:p w14:paraId="1DE4DBDF">
            <w:pPr>
              <w:pStyle w:val="7"/>
              <w:keepNext w:val="0"/>
              <w:keepLines w:val="0"/>
              <w:pageBreakBefore w:val="0"/>
              <w:widowControl w:val="0"/>
              <w:kinsoku/>
              <w:wordWrap/>
              <w:overflowPunct/>
              <w:topLinePunct w:val="0"/>
              <w:autoSpaceDE/>
              <w:autoSpaceDN/>
              <w:bidi w:val="0"/>
              <w:adjustRightInd/>
              <w:snapToGrid/>
              <w:spacing w:before="157" w:beforeLines="50"/>
              <w:textAlignment w:val="auto"/>
              <w:rPr>
                <w:color w:val="auto"/>
                <w:highlight w:val="none"/>
              </w:rPr>
            </w:pPr>
          </w:p>
          <w:p w14:paraId="2379E6CA">
            <w:pPr>
              <w:pStyle w:val="7"/>
              <w:keepNext w:val="0"/>
              <w:keepLines w:val="0"/>
              <w:pageBreakBefore w:val="0"/>
              <w:widowControl w:val="0"/>
              <w:kinsoku/>
              <w:wordWrap/>
              <w:overflowPunct/>
              <w:topLinePunct w:val="0"/>
              <w:autoSpaceDE/>
              <w:autoSpaceDN/>
              <w:bidi w:val="0"/>
              <w:adjustRightInd/>
              <w:snapToGrid/>
              <w:spacing w:before="157" w:beforeLines="50"/>
              <w:textAlignment w:val="auto"/>
              <w:rPr>
                <w:color w:val="auto"/>
                <w:highlight w:val="none"/>
              </w:rPr>
            </w:pPr>
          </w:p>
          <w:p w14:paraId="79699609">
            <w:pPr>
              <w:pStyle w:val="7"/>
              <w:keepNext w:val="0"/>
              <w:keepLines w:val="0"/>
              <w:pageBreakBefore w:val="0"/>
              <w:widowControl w:val="0"/>
              <w:kinsoku/>
              <w:wordWrap/>
              <w:overflowPunct/>
              <w:topLinePunct w:val="0"/>
              <w:autoSpaceDE/>
              <w:autoSpaceDN/>
              <w:bidi w:val="0"/>
              <w:adjustRightInd/>
              <w:snapToGrid/>
              <w:spacing w:before="157" w:beforeLines="50"/>
              <w:textAlignment w:val="auto"/>
              <w:rPr>
                <w:color w:val="auto"/>
                <w:highlight w:val="none"/>
              </w:rPr>
            </w:pPr>
          </w:p>
          <w:p w14:paraId="68252229">
            <w:pPr>
              <w:pStyle w:val="7"/>
              <w:keepNext w:val="0"/>
              <w:keepLines w:val="0"/>
              <w:pageBreakBefore w:val="0"/>
              <w:widowControl w:val="0"/>
              <w:kinsoku/>
              <w:wordWrap/>
              <w:overflowPunct/>
              <w:topLinePunct w:val="0"/>
              <w:autoSpaceDE/>
              <w:autoSpaceDN/>
              <w:bidi w:val="0"/>
              <w:adjustRightInd/>
              <w:snapToGrid/>
              <w:textAlignment w:val="auto"/>
              <w:rPr>
                <w:rFonts w:hint="default"/>
                <w:color w:val="auto"/>
                <w:highlight w:val="none"/>
                <w:lang w:val="en-US" w:eastAsia="zh-CN"/>
              </w:rPr>
            </w:pPr>
            <w:r>
              <w:rPr>
                <w:color w:val="auto"/>
                <w:highlight w:val="none"/>
              </w:rPr>
              <w:t>表3-</w:t>
            </w:r>
            <w:r>
              <w:rPr>
                <w:color w:val="auto"/>
                <w:highlight w:val="none"/>
              </w:rPr>
              <w:fldChar w:fldCharType="begin"/>
            </w:r>
            <w:r>
              <w:rPr>
                <w:color w:val="auto"/>
                <w:highlight w:val="none"/>
              </w:rPr>
              <w:instrText xml:space="preserve"> SEQ 表3- \* ARABIC </w:instrText>
            </w:r>
            <w:r>
              <w:rPr>
                <w:color w:val="auto"/>
                <w:highlight w:val="none"/>
              </w:rPr>
              <w:fldChar w:fldCharType="separate"/>
            </w:r>
            <w:r>
              <w:rPr>
                <w:color w:val="auto"/>
                <w:highlight w:val="none"/>
              </w:rPr>
              <w:t>13</w:t>
            </w:r>
            <w:r>
              <w:rPr>
                <w:color w:val="auto"/>
                <w:highlight w:val="none"/>
              </w:rPr>
              <w:fldChar w:fldCharType="end"/>
            </w:r>
            <w:bookmarkEnd w:id="48"/>
            <w:r>
              <w:rPr>
                <w:rFonts w:hint="eastAsia"/>
                <w:color w:val="auto"/>
                <w:highlight w:val="none"/>
                <w:lang w:val="en-US" w:eastAsia="zh-CN"/>
              </w:rPr>
              <w:t xml:space="preserve">  《非道路柴油移动机械排气烟度限值及测量方法》（GB 36886-2018） 单位：m</w:t>
            </w:r>
            <w:r>
              <w:rPr>
                <w:rFonts w:hint="eastAsia"/>
                <w:color w:val="auto"/>
                <w:highlight w:val="none"/>
                <w:vertAlign w:val="superscript"/>
                <w:lang w:val="en-US" w:eastAsia="zh-CN"/>
              </w:rPr>
              <w:t>-1</w:t>
            </w:r>
          </w:p>
          <w:tbl>
            <w:tblPr>
              <w:tblStyle w:val="25"/>
              <w:tblW w:w="8387"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64"/>
              <w:gridCol w:w="2459"/>
              <w:gridCol w:w="2459"/>
              <w:gridCol w:w="1805"/>
            </w:tblGrid>
            <w:tr w14:paraId="721B98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64" w:type="dxa"/>
                  <w:tcBorders>
                    <w:tl2br w:val="nil"/>
                    <w:tr2bl w:val="nil"/>
                  </w:tcBorders>
                  <w:vAlign w:val="center"/>
                </w:tcPr>
                <w:p w14:paraId="2A565D44">
                  <w:pPr>
                    <w:pStyle w:val="40"/>
                    <w:bidi w:val="0"/>
                    <w:rPr>
                      <w:rFonts w:hint="default"/>
                      <w:color w:val="auto"/>
                      <w:highlight w:val="none"/>
                      <w:lang w:val="en-US" w:eastAsia="zh-CN"/>
                    </w:rPr>
                  </w:pPr>
                  <w:r>
                    <w:rPr>
                      <w:rFonts w:hint="eastAsia"/>
                      <w:color w:val="auto"/>
                      <w:highlight w:val="none"/>
                      <w:lang w:val="en-US" w:eastAsia="zh-CN"/>
                    </w:rPr>
                    <w:t>类别</w:t>
                  </w:r>
                </w:p>
              </w:tc>
              <w:tc>
                <w:tcPr>
                  <w:tcW w:w="2459" w:type="dxa"/>
                  <w:tcBorders>
                    <w:tl2br w:val="nil"/>
                    <w:tr2bl w:val="nil"/>
                  </w:tcBorders>
                  <w:vAlign w:val="center"/>
                </w:tcPr>
                <w:p w14:paraId="2261FED5">
                  <w:pPr>
                    <w:pStyle w:val="40"/>
                    <w:bidi w:val="0"/>
                    <w:rPr>
                      <w:rFonts w:hint="default"/>
                      <w:color w:val="auto"/>
                      <w:highlight w:val="none"/>
                      <w:lang w:val="en-US" w:eastAsia="zh-CN"/>
                    </w:rPr>
                  </w:pPr>
                  <w:r>
                    <w:rPr>
                      <w:rFonts w:hint="eastAsia"/>
                      <w:color w:val="auto"/>
                      <w:highlight w:val="none"/>
                      <w:lang w:val="en-US" w:eastAsia="zh-CN"/>
                    </w:rPr>
                    <w:t>额定净功率（</w:t>
                  </w:r>
                  <w:r>
                    <w:rPr>
                      <w:rFonts w:hint="eastAsia"/>
                      <w:i/>
                      <w:iCs/>
                      <w:color w:val="auto"/>
                      <w:highlight w:val="none"/>
                      <w:lang w:val="en-US" w:eastAsia="zh-CN"/>
                    </w:rPr>
                    <w:t>P</w:t>
                  </w:r>
                  <w:r>
                    <w:rPr>
                      <w:rFonts w:hint="eastAsia"/>
                      <w:color w:val="auto"/>
                      <w:highlight w:val="none"/>
                      <w:vertAlign w:val="subscript"/>
                      <w:lang w:val="en-US" w:eastAsia="zh-CN"/>
                    </w:rPr>
                    <w:t>max</w:t>
                  </w:r>
                  <w:r>
                    <w:rPr>
                      <w:rFonts w:hint="eastAsia"/>
                      <w:color w:val="auto"/>
                      <w:highlight w:val="none"/>
                      <w:lang w:val="en-US" w:eastAsia="zh-CN"/>
                    </w:rPr>
                    <w:t>）/kW</w:t>
                  </w:r>
                </w:p>
              </w:tc>
              <w:tc>
                <w:tcPr>
                  <w:tcW w:w="2459" w:type="dxa"/>
                  <w:tcBorders>
                    <w:tl2br w:val="nil"/>
                    <w:tr2bl w:val="nil"/>
                  </w:tcBorders>
                  <w:vAlign w:val="center"/>
                </w:tcPr>
                <w:p w14:paraId="7E0A36A5">
                  <w:pPr>
                    <w:pStyle w:val="40"/>
                    <w:bidi w:val="0"/>
                    <w:rPr>
                      <w:rFonts w:hint="default"/>
                      <w:color w:val="auto"/>
                      <w:highlight w:val="none"/>
                      <w:lang w:val="en-US" w:eastAsia="zh-CN"/>
                    </w:rPr>
                  </w:pPr>
                  <w:r>
                    <w:rPr>
                      <w:rFonts w:hint="eastAsia"/>
                      <w:color w:val="auto"/>
                      <w:highlight w:val="none"/>
                      <w:lang w:val="en-US" w:eastAsia="zh-CN"/>
                    </w:rPr>
                    <w:t>光吸收系数/m</w:t>
                  </w:r>
                  <w:r>
                    <w:rPr>
                      <w:rFonts w:hint="eastAsia"/>
                      <w:color w:val="auto"/>
                      <w:highlight w:val="none"/>
                      <w:vertAlign w:val="superscript"/>
                      <w:lang w:val="en-US" w:eastAsia="zh-CN"/>
                    </w:rPr>
                    <w:t>-1</w:t>
                  </w:r>
                </w:p>
              </w:tc>
              <w:tc>
                <w:tcPr>
                  <w:tcW w:w="1805" w:type="dxa"/>
                  <w:tcBorders>
                    <w:tl2br w:val="nil"/>
                    <w:tr2bl w:val="nil"/>
                  </w:tcBorders>
                  <w:vAlign w:val="center"/>
                </w:tcPr>
                <w:p w14:paraId="354D97D5">
                  <w:pPr>
                    <w:pStyle w:val="40"/>
                    <w:bidi w:val="0"/>
                    <w:rPr>
                      <w:rFonts w:hint="default"/>
                      <w:color w:val="auto"/>
                      <w:highlight w:val="none"/>
                      <w:lang w:val="en-US" w:eastAsia="zh-CN"/>
                    </w:rPr>
                  </w:pPr>
                  <w:r>
                    <w:rPr>
                      <w:rFonts w:hint="eastAsia"/>
                      <w:color w:val="auto"/>
                      <w:highlight w:val="none"/>
                      <w:lang w:val="en-US" w:eastAsia="zh-CN"/>
                    </w:rPr>
                    <w:t>林格曼黑度级数</w:t>
                  </w:r>
                </w:p>
              </w:tc>
            </w:tr>
            <w:tr w14:paraId="605679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64" w:type="dxa"/>
                  <w:vMerge w:val="restart"/>
                  <w:tcBorders>
                    <w:tl2br w:val="nil"/>
                    <w:tr2bl w:val="nil"/>
                  </w:tcBorders>
                  <w:vAlign w:val="center"/>
                </w:tcPr>
                <w:p w14:paraId="76585688">
                  <w:pPr>
                    <w:pStyle w:val="40"/>
                    <w:bidi w:val="0"/>
                    <w:rPr>
                      <w:rFonts w:hint="default"/>
                      <w:color w:val="auto"/>
                      <w:highlight w:val="none"/>
                      <w:lang w:val="en-US" w:eastAsia="zh-CN"/>
                    </w:rPr>
                  </w:pPr>
                  <w:r>
                    <w:rPr>
                      <w:rFonts w:hint="eastAsia"/>
                      <w:color w:val="auto"/>
                      <w:highlight w:val="none"/>
                      <w:lang w:val="en-US" w:eastAsia="zh-CN"/>
                    </w:rPr>
                    <w:t>I类</w:t>
                  </w:r>
                </w:p>
              </w:tc>
              <w:tc>
                <w:tcPr>
                  <w:tcW w:w="2459" w:type="dxa"/>
                  <w:tcBorders>
                    <w:tl2br w:val="nil"/>
                    <w:tr2bl w:val="nil"/>
                  </w:tcBorders>
                  <w:vAlign w:val="center"/>
                </w:tcPr>
                <w:p w14:paraId="7559C3F9">
                  <w:pPr>
                    <w:pStyle w:val="40"/>
                    <w:bidi w:val="0"/>
                    <w:rPr>
                      <w:rFonts w:hint="default"/>
                      <w:color w:val="auto"/>
                      <w:highlight w:val="none"/>
                      <w:lang w:val="en-US" w:eastAsia="zh-CN"/>
                    </w:rPr>
                  </w:pPr>
                  <w:r>
                    <w:rPr>
                      <w:rFonts w:hint="eastAsia"/>
                      <w:i/>
                      <w:iCs/>
                      <w:color w:val="auto"/>
                      <w:highlight w:val="none"/>
                      <w:lang w:val="en-US" w:eastAsia="zh-CN"/>
                    </w:rPr>
                    <w:t>P</w:t>
                  </w:r>
                  <w:r>
                    <w:rPr>
                      <w:rFonts w:hint="eastAsia"/>
                      <w:color w:val="auto"/>
                      <w:highlight w:val="none"/>
                      <w:vertAlign w:val="subscript"/>
                      <w:lang w:val="en-US" w:eastAsia="zh-CN"/>
                    </w:rPr>
                    <w:t>max</w:t>
                  </w:r>
                  <w:r>
                    <w:rPr>
                      <w:rFonts w:hint="eastAsia"/>
                      <w:color w:val="auto"/>
                      <w:highlight w:val="none"/>
                      <w:vertAlign w:val="baseline"/>
                      <w:lang w:val="en-US" w:eastAsia="zh-CN"/>
                    </w:rPr>
                    <w:t>＜19</w:t>
                  </w:r>
                </w:p>
              </w:tc>
              <w:tc>
                <w:tcPr>
                  <w:tcW w:w="2459" w:type="dxa"/>
                  <w:tcBorders>
                    <w:tl2br w:val="nil"/>
                    <w:tr2bl w:val="nil"/>
                  </w:tcBorders>
                  <w:vAlign w:val="center"/>
                </w:tcPr>
                <w:p w14:paraId="34324115">
                  <w:pPr>
                    <w:pStyle w:val="40"/>
                    <w:bidi w:val="0"/>
                    <w:rPr>
                      <w:rFonts w:hint="default"/>
                      <w:color w:val="auto"/>
                      <w:highlight w:val="none"/>
                      <w:lang w:val="en-US" w:eastAsia="zh-CN"/>
                    </w:rPr>
                  </w:pPr>
                  <w:r>
                    <w:rPr>
                      <w:rFonts w:hint="eastAsia"/>
                      <w:color w:val="auto"/>
                      <w:highlight w:val="none"/>
                      <w:lang w:val="en-US" w:eastAsia="zh-CN"/>
                    </w:rPr>
                    <w:t>3.00</w:t>
                  </w:r>
                </w:p>
              </w:tc>
              <w:tc>
                <w:tcPr>
                  <w:tcW w:w="1805" w:type="dxa"/>
                  <w:vMerge w:val="restart"/>
                  <w:tcBorders>
                    <w:tl2br w:val="nil"/>
                    <w:tr2bl w:val="nil"/>
                  </w:tcBorders>
                  <w:vAlign w:val="center"/>
                </w:tcPr>
                <w:p w14:paraId="32585C39">
                  <w:pPr>
                    <w:pStyle w:val="40"/>
                    <w:bidi w:val="0"/>
                    <w:rPr>
                      <w:rFonts w:hint="default"/>
                      <w:color w:val="auto"/>
                      <w:highlight w:val="none"/>
                      <w:lang w:val="en-US" w:eastAsia="zh-CN"/>
                    </w:rPr>
                  </w:pPr>
                  <w:r>
                    <w:rPr>
                      <w:rFonts w:hint="eastAsia"/>
                      <w:color w:val="auto"/>
                      <w:highlight w:val="none"/>
                      <w:lang w:val="en-US" w:eastAsia="zh-CN"/>
                    </w:rPr>
                    <w:t>1</w:t>
                  </w:r>
                </w:p>
              </w:tc>
            </w:tr>
            <w:tr w14:paraId="74367A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64" w:type="dxa"/>
                  <w:vMerge w:val="continue"/>
                  <w:tcBorders>
                    <w:tl2br w:val="nil"/>
                    <w:tr2bl w:val="nil"/>
                  </w:tcBorders>
                  <w:vAlign w:val="center"/>
                </w:tcPr>
                <w:p w14:paraId="6CCAD2BC">
                  <w:pPr>
                    <w:pStyle w:val="40"/>
                    <w:bidi w:val="0"/>
                    <w:rPr>
                      <w:rFonts w:hint="eastAsia"/>
                      <w:color w:val="auto"/>
                      <w:highlight w:val="none"/>
                      <w:lang w:val="en-US" w:eastAsia="zh-CN"/>
                    </w:rPr>
                  </w:pPr>
                </w:p>
              </w:tc>
              <w:tc>
                <w:tcPr>
                  <w:tcW w:w="2459" w:type="dxa"/>
                  <w:tcBorders>
                    <w:tl2br w:val="nil"/>
                    <w:tr2bl w:val="nil"/>
                  </w:tcBorders>
                  <w:vAlign w:val="center"/>
                </w:tcPr>
                <w:p w14:paraId="71F17750">
                  <w:pPr>
                    <w:pStyle w:val="40"/>
                    <w:bidi w:val="0"/>
                    <w:rPr>
                      <w:rFonts w:hint="default"/>
                      <w:color w:val="auto"/>
                      <w:highlight w:val="none"/>
                      <w:lang w:val="en-US" w:eastAsia="zh-CN"/>
                    </w:rPr>
                  </w:pPr>
                  <w:r>
                    <w:rPr>
                      <w:rFonts w:hint="eastAsia"/>
                      <w:color w:val="auto"/>
                      <w:highlight w:val="none"/>
                      <w:lang w:val="en-US" w:eastAsia="zh-CN"/>
                    </w:rPr>
                    <w:t>19≤</w:t>
                  </w:r>
                  <w:r>
                    <w:rPr>
                      <w:rFonts w:hint="eastAsia"/>
                      <w:i/>
                      <w:iCs/>
                      <w:color w:val="auto"/>
                      <w:highlight w:val="none"/>
                      <w:lang w:val="en-US" w:eastAsia="zh-CN"/>
                    </w:rPr>
                    <w:t>P</w:t>
                  </w:r>
                  <w:r>
                    <w:rPr>
                      <w:rFonts w:hint="eastAsia"/>
                      <w:color w:val="auto"/>
                      <w:highlight w:val="none"/>
                      <w:vertAlign w:val="subscript"/>
                      <w:lang w:val="en-US" w:eastAsia="zh-CN"/>
                    </w:rPr>
                    <w:t>max</w:t>
                  </w:r>
                  <w:r>
                    <w:rPr>
                      <w:rFonts w:hint="eastAsia"/>
                      <w:color w:val="auto"/>
                      <w:highlight w:val="none"/>
                      <w:vertAlign w:val="baseline"/>
                      <w:lang w:val="en-US" w:eastAsia="zh-CN"/>
                    </w:rPr>
                    <w:t>＜37</w:t>
                  </w:r>
                </w:p>
              </w:tc>
              <w:tc>
                <w:tcPr>
                  <w:tcW w:w="2459" w:type="dxa"/>
                  <w:tcBorders>
                    <w:tl2br w:val="nil"/>
                    <w:tr2bl w:val="nil"/>
                  </w:tcBorders>
                  <w:vAlign w:val="center"/>
                </w:tcPr>
                <w:p w14:paraId="36EF1507">
                  <w:pPr>
                    <w:pStyle w:val="40"/>
                    <w:bidi w:val="0"/>
                    <w:rPr>
                      <w:rFonts w:hint="default"/>
                      <w:color w:val="auto"/>
                      <w:highlight w:val="none"/>
                      <w:lang w:val="en-US" w:eastAsia="zh-CN"/>
                    </w:rPr>
                  </w:pPr>
                  <w:r>
                    <w:rPr>
                      <w:rFonts w:hint="eastAsia"/>
                      <w:color w:val="auto"/>
                      <w:highlight w:val="none"/>
                      <w:lang w:val="en-US" w:eastAsia="zh-CN"/>
                    </w:rPr>
                    <w:t>2.00</w:t>
                  </w:r>
                </w:p>
              </w:tc>
              <w:tc>
                <w:tcPr>
                  <w:tcW w:w="1805" w:type="dxa"/>
                  <w:vMerge w:val="continue"/>
                  <w:tcBorders>
                    <w:tl2br w:val="nil"/>
                    <w:tr2bl w:val="nil"/>
                  </w:tcBorders>
                  <w:vAlign w:val="center"/>
                </w:tcPr>
                <w:p w14:paraId="729CE2ED">
                  <w:pPr>
                    <w:pStyle w:val="40"/>
                    <w:bidi w:val="0"/>
                    <w:rPr>
                      <w:rFonts w:hint="eastAsia"/>
                      <w:color w:val="auto"/>
                      <w:highlight w:val="none"/>
                      <w:lang w:val="en-US" w:eastAsia="zh-CN"/>
                    </w:rPr>
                  </w:pPr>
                </w:p>
              </w:tc>
            </w:tr>
            <w:tr w14:paraId="59E219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64" w:type="dxa"/>
                  <w:vMerge w:val="continue"/>
                  <w:tcBorders>
                    <w:tl2br w:val="nil"/>
                    <w:tr2bl w:val="nil"/>
                  </w:tcBorders>
                  <w:vAlign w:val="center"/>
                </w:tcPr>
                <w:p w14:paraId="44E38C1D">
                  <w:pPr>
                    <w:pStyle w:val="40"/>
                    <w:bidi w:val="0"/>
                    <w:rPr>
                      <w:rFonts w:hint="eastAsia"/>
                      <w:color w:val="auto"/>
                      <w:highlight w:val="none"/>
                      <w:lang w:val="en-US" w:eastAsia="zh-CN"/>
                    </w:rPr>
                  </w:pPr>
                </w:p>
              </w:tc>
              <w:tc>
                <w:tcPr>
                  <w:tcW w:w="2459" w:type="dxa"/>
                  <w:tcBorders>
                    <w:tl2br w:val="nil"/>
                    <w:tr2bl w:val="nil"/>
                  </w:tcBorders>
                  <w:vAlign w:val="center"/>
                </w:tcPr>
                <w:p w14:paraId="02B5630B">
                  <w:pPr>
                    <w:pStyle w:val="40"/>
                    <w:bidi w:val="0"/>
                    <w:rPr>
                      <w:rFonts w:hint="default"/>
                      <w:color w:val="auto"/>
                      <w:highlight w:val="none"/>
                      <w:lang w:val="en-US" w:eastAsia="zh-CN"/>
                    </w:rPr>
                  </w:pPr>
                  <w:r>
                    <w:rPr>
                      <w:rFonts w:hint="eastAsia"/>
                      <w:color w:val="auto"/>
                      <w:highlight w:val="none"/>
                      <w:vertAlign w:val="baseline"/>
                      <w:lang w:val="en-US" w:eastAsia="zh-CN"/>
                    </w:rPr>
                    <w:t>37</w:t>
                  </w:r>
                  <w:r>
                    <w:rPr>
                      <w:rFonts w:hint="eastAsia"/>
                      <w:color w:val="auto"/>
                      <w:highlight w:val="none"/>
                      <w:lang w:val="en-US" w:eastAsia="zh-CN"/>
                    </w:rPr>
                    <w:t>≤</w:t>
                  </w:r>
                  <w:r>
                    <w:rPr>
                      <w:rFonts w:hint="eastAsia"/>
                      <w:i/>
                      <w:iCs/>
                      <w:color w:val="auto"/>
                      <w:highlight w:val="none"/>
                      <w:lang w:val="en-US" w:eastAsia="zh-CN"/>
                    </w:rPr>
                    <w:t>P</w:t>
                  </w:r>
                  <w:r>
                    <w:rPr>
                      <w:rFonts w:hint="eastAsia"/>
                      <w:color w:val="auto"/>
                      <w:highlight w:val="none"/>
                      <w:vertAlign w:val="subscript"/>
                      <w:lang w:val="en-US" w:eastAsia="zh-CN"/>
                    </w:rPr>
                    <w:t>max</w:t>
                  </w:r>
                  <w:r>
                    <w:rPr>
                      <w:rFonts w:hint="eastAsia"/>
                      <w:color w:val="auto"/>
                      <w:highlight w:val="none"/>
                      <w:vertAlign w:val="baseline"/>
                      <w:lang w:val="en-US" w:eastAsia="zh-CN"/>
                    </w:rPr>
                    <w:t>＜560</w:t>
                  </w:r>
                </w:p>
              </w:tc>
              <w:tc>
                <w:tcPr>
                  <w:tcW w:w="2459" w:type="dxa"/>
                  <w:tcBorders>
                    <w:tl2br w:val="nil"/>
                    <w:tr2bl w:val="nil"/>
                  </w:tcBorders>
                  <w:vAlign w:val="center"/>
                </w:tcPr>
                <w:p w14:paraId="2D45175D">
                  <w:pPr>
                    <w:pStyle w:val="40"/>
                    <w:bidi w:val="0"/>
                    <w:rPr>
                      <w:rFonts w:hint="default"/>
                      <w:color w:val="auto"/>
                      <w:highlight w:val="none"/>
                      <w:lang w:val="en-US" w:eastAsia="zh-CN"/>
                    </w:rPr>
                  </w:pPr>
                  <w:r>
                    <w:rPr>
                      <w:rFonts w:hint="eastAsia"/>
                      <w:color w:val="auto"/>
                      <w:highlight w:val="none"/>
                      <w:lang w:val="en-US" w:eastAsia="zh-CN"/>
                    </w:rPr>
                    <w:t>1.61</w:t>
                  </w:r>
                </w:p>
              </w:tc>
              <w:tc>
                <w:tcPr>
                  <w:tcW w:w="1805" w:type="dxa"/>
                  <w:vMerge w:val="continue"/>
                  <w:tcBorders>
                    <w:tl2br w:val="nil"/>
                    <w:tr2bl w:val="nil"/>
                  </w:tcBorders>
                  <w:vAlign w:val="center"/>
                </w:tcPr>
                <w:p w14:paraId="4270A3BB">
                  <w:pPr>
                    <w:pStyle w:val="40"/>
                    <w:bidi w:val="0"/>
                    <w:rPr>
                      <w:rFonts w:hint="eastAsia"/>
                      <w:color w:val="auto"/>
                      <w:highlight w:val="none"/>
                      <w:lang w:val="en-US" w:eastAsia="zh-CN"/>
                    </w:rPr>
                  </w:pPr>
                </w:p>
              </w:tc>
            </w:tr>
            <w:tr w14:paraId="41687A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64" w:type="dxa"/>
                  <w:vMerge w:val="restart"/>
                  <w:tcBorders>
                    <w:tl2br w:val="nil"/>
                    <w:tr2bl w:val="nil"/>
                  </w:tcBorders>
                  <w:vAlign w:val="center"/>
                </w:tcPr>
                <w:p w14:paraId="3E4FC5F8">
                  <w:pPr>
                    <w:pStyle w:val="40"/>
                    <w:bidi w:val="0"/>
                    <w:rPr>
                      <w:rFonts w:hint="default"/>
                      <w:color w:val="auto"/>
                      <w:highlight w:val="none"/>
                      <w:lang w:val="en-US" w:eastAsia="zh-CN"/>
                    </w:rPr>
                  </w:pPr>
                  <w:r>
                    <w:rPr>
                      <w:rFonts w:hint="eastAsia"/>
                      <w:color w:val="auto"/>
                      <w:highlight w:val="none"/>
                      <w:lang w:val="en-US" w:eastAsia="zh-CN"/>
                    </w:rPr>
                    <w:t>II类</w:t>
                  </w:r>
                </w:p>
              </w:tc>
              <w:tc>
                <w:tcPr>
                  <w:tcW w:w="2459" w:type="dxa"/>
                  <w:tcBorders>
                    <w:tl2br w:val="nil"/>
                    <w:tr2bl w:val="nil"/>
                  </w:tcBorders>
                  <w:vAlign w:val="center"/>
                </w:tcPr>
                <w:p w14:paraId="79DA9A89">
                  <w:pPr>
                    <w:pStyle w:val="40"/>
                    <w:bidi w:val="0"/>
                    <w:rPr>
                      <w:rFonts w:hint="eastAsia"/>
                      <w:color w:val="auto"/>
                      <w:highlight w:val="none"/>
                      <w:lang w:val="en-US" w:eastAsia="zh-CN"/>
                    </w:rPr>
                  </w:pPr>
                  <w:r>
                    <w:rPr>
                      <w:rFonts w:hint="eastAsia"/>
                      <w:i/>
                      <w:iCs/>
                      <w:color w:val="auto"/>
                      <w:highlight w:val="none"/>
                      <w:lang w:val="en-US" w:eastAsia="zh-CN"/>
                    </w:rPr>
                    <w:t>P</w:t>
                  </w:r>
                  <w:r>
                    <w:rPr>
                      <w:rFonts w:hint="eastAsia"/>
                      <w:color w:val="auto"/>
                      <w:highlight w:val="none"/>
                      <w:vertAlign w:val="subscript"/>
                      <w:lang w:val="en-US" w:eastAsia="zh-CN"/>
                    </w:rPr>
                    <w:t>max</w:t>
                  </w:r>
                  <w:r>
                    <w:rPr>
                      <w:rFonts w:hint="eastAsia"/>
                      <w:color w:val="auto"/>
                      <w:highlight w:val="none"/>
                      <w:vertAlign w:val="baseline"/>
                      <w:lang w:val="en-US" w:eastAsia="zh-CN"/>
                    </w:rPr>
                    <w:t>＜19</w:t>
                  </w:r>
                </w:p>
              </w:tc>
              <w:tc>
                <w:tcPr>
                  <w:tcW w:w="2459" w:type="dxa"/>
                  <w:tcBorders>
                    <w:tl2br w:val="nil"/>
                    <w:tr2bl w:val="nil"/>
                  </w:tcBorders>
                  <w:vAlign w:val="center"/>
                </w:tcPr>
                <w:p w14:paraId="2E76423C">
                  <w:pPr>
                    <w:pStyle w:val="40"/>
                    <w:bidi w:val="0"/>
                    <w:rPr>
                      <w:rFonts w:hint="default"/>
                      <w:color w:val="auto"/>
                      <w:highlight w:val="none"/>
                      <w:lang w:val="en-US" w:eastAsia="zh-CN"/>
                    </w:rPr>
                  </w:pPr>
                  <w:r>
                    <w:rPr>
                      <w:rFonts w:hint="eastAsia"/>
                      <w:color w:val="auto"/>
                      <w:highlight w:val="none"/>
                      <w:lang w:val="en-US" w:eastAsia="zh-CN"/>
                    </w:rPr>
                    <w:t>2.00</w:t>
                  </w:r>
                </w:p>
              </w:tc>
              <w:tc>
                <w:tcPr>
                  <w:tcW w:w="1805" w:type="dxa"/>
                  <w:tcBorders>
                    <w:tl2br w:val="nil"/>
                    <w:tr2bl w:val="nil"/>
                  </w:tcBorders>
                  <w:vAlign w:val="center"/>
                </w:tcPr>
                <w:p w14:paraId="2992FDE0">
                  <w:pPr>
                    <w:pStyle w:val="40"/>
                    <w:bidi w:val="0"/>
                    <w:rPr>
                      <w:rFonts w:hint="default"/>
                      <w:color w:val="auto"/>
                      <w:highlight w:val="none"/>
                      <w:lang w:val="en-US" w:eastAsia="zh-CN"/>
                    </w:rPr>
                  </w:pPr>
                  <w:r>
                    <w:rPr>
                      <w:rFonts w:hint="eastAsia"/>
                      <w:color w:val="auto"/>
                      <w:highlight w:val="none"/>
                      <w:lang w:val="en-US" w:eastAsia="zh-CN"/>
                    </w:rPr>
                    <w:t>1</w:t>
                  </w:r>
                </w:p>
              </w:tc>
            </w:tr>
            <w:tr w14:paraId="6F6175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64" w:type="dxa"/>
                  <w:vMerge w:val="continue"/>
                  <w:tcBorders>
                    <w:tl2br w:val="nil"/>
                    <w:tr2bl w:val="nil"/>
                  </w:tcBorders>
                  <w:vAlign w:val="center"/>
                </w:tcPr>
                <w:p w14:paraId="7A809121">
                  <w:pPr>
                    <w:pStyle w:val="40"/>
                    <w:bidi w:val="0"/>
                    <w:rPr>
                      <w:rFonts w:hint="eastAsia"/>
                      <w:color w:val="auto"/>
                      <w:highlight w:val="none"/>
                      <w:lang w:val="en-US" w:eastAsia="zh-CN"/>
                    </w:rPr>
                  </w:pPr>
                </w:p>
              </w:tc>
              <w:tc>
                <w:tcPr>
                  <w:tcW w:w="2459" w:type="dxa"/>
                  <w:tcBorders>
                    <w:tl2br w:val="nil"/>
                    <w:tr2bl w:val="nil"/>
                  </w:tcBorders>
                  <w:vAlign w:val="center"/>
                </w:tcPr>
                <w:p w14:paraId="536A7755">
                  <w:pPr>
                    <w:pStyle w:val="40"/>
                    <w:bidi w:val="0"/>
                    <w:rPr>
                      <w:rFonts w:hint="eastAsia"/>
                      <w:color w:val="auto"/>
                      <w:highlight w:val="none"/>
                      <w:lang w:val="en-US" w:eastAsia="zh-CN"/>
                    </w:rPr>
                  </w:pPr>
                  <w:r>
                    <w:rPr>
                      <w:rFonts w:hint="eastAsia"/>
                      <w:color w:val="auto"/>
                      <w:highlight w:val="none"/>
                      <w:lang w:val="en-US" w:eastAsia="zh-CN"/>
                    </w:rPr>
                    <w:t>19≤</w:t>
                  </w:r>
                  <w:r>
                    <w:rPr>
                      <w:rFonts w:hint="eastAsia"/>
                      <w:i/>
                      <w:iCs/>
                      <w:color w:val="auto"/>
                      <w:highlight w:val="none"/>
                      <w:lang w:val="en-US" w:eastAsia="zh-CN"/>
                    </w:rPr>
                    <w:t>P</w:t>
                  </w:r>
                  <w:r>
                    <w:rPr>
                      <w:rFonts w:hint="eastAsia"/>
                      <w:color w:val="auto"/>
                      <w:highlight w:val="none"/>
                      <w:vertAlign w:val="subscript"/>
                      <w:lang w:val="en-US" w:eastAsia="zh-CN"/>
                    </w:rPr>
                    <w:t>max</w:t>
                  </w:r>
                  <w:r>
                    <w:rPr>
                      <w:rFonts w:hint="eastAsia"/>
                      <w:color w:val="auto"/>
                      <w:highlight w:val="none"/>
                      <w:vertAlign w:val="baseline"/>
                      <w:lang w:val="en-US" w:eastAsia="zh-CN"/>
                    </w:rPr>
                    <w:t>＜37</w:t>
                  </w:r>
                </w:p>
              </w:tc>
              <w:tc>
                <w:tcPr>
                  <w:tcW w:w="2459" w:type="dxa"/>
                  <w:tcBorders>
                    <w:tl2br w:val="nil"/>
                    <w:tr2bl w:val="nil"/>
                  </w:tcBorders>
                  <w:vAlign w:val="center"/>
                </w:tcPr>
                <w:p w14:paraId="13A8DFEE">
                  <w:pPr>
                    <w:pStyle w:val="40"/>
                    <w:bidi w:val="0"/>
                    <w:rPr>
                      <w:rFonts w:hint="default"/>
                      <w:color w:val="auto"/>
                      <w:highlight w:val="none"/>
                      <w:lang w:val="en-US" w:eastAsia="zh-CN"/>
                    </w:rPr>
                  </w:pPr>
                  <w:r>
                    <w:rPr>
                      <w:rFonts w:hint="eastAsia"/>
                      <w:color w:val="auto"/>
                      <w:highlight w:val="none"/>
                      <w:lang w:val="en-US" w:eastAsia="zh-CN"/>
                    </w:rPr>
                    <w:t>1.00</w:t>
                  </w:r>
                </w:p>
              </w:tc>
              <w:tc>
                <w:tcPr>
                  <w:tcW w:w="1805" w:type="dxa"/>
                  <w:vMerge w:val="restart"/>
                  <w:tcBorders>
                    <w:tl2br w:val="nil"/>
                    <w:tr2bl w:val="nil"/>
                  </w:tcBorders>
                  <w:vAlign w:val="center"/>
                </w:tcPr>
                <w:p w14:paraId="54D3070D">
                  <w:pPr>
                    <w:pStyle w:val="40"/>
                    <w:bidi w:val="0"/>
                    <w:rPr>
                      <w:rFonts w:hint="default"/>
                      <w:color w:val="auto"/>
                      <w:highlight w:val="none"/>
                      <w:lang w:val="en-US" w:eastAsia="zh-CN"/>
                    </w:rPr>
                  </w:pPr>
                  <w:r>
                    <w:rPr>
                      <w:rFonts w:hint="eastAsia"/>
                      <w:color w:val="auto"/>
                      <w:highlight w:val="none"/>
                      <w:lang w:val="en-US" w:eastAsia="zh-CN"/>
                    </w:rPr>
                    <w:t>1</w:t>
                  </w:r>
                </w:p>
              </w:tc>
            </w:tr>
            <w:tr w14:paraId="3EEB53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64" w:type="dxa"/>
                  <w:vMerge w:val="continue"/>
                  <w:tcBorders>
                    <w:tl2br w:val="nil"/>
                    <w:tr2bl w:val="nil"/>
                  </w:tcBorders>
                  <w:vAlign w:val="center"/>
                </w:tcPr>
                <w:p w14:paraId="575DF457">
                  <w:pPr>
                    <w:pStyle w:val="40"/>
                    <w:bidi w:val="0"/>
                    <w:rPr>
                      <w:rFonts w:hint="eastAsia"/>
                      <w:color w:val="auto"/>
                      <w:highlight w:val="none"/>
                      <w:lang w:val="en-US" w:eastAsia="zh-CN"/>
                    </w:rPr>
                  </w:pPr>
                </w:p>
              </w:tc>
              <w:tc>
                <w:tcPr>
                  <w:tcW w:w="2459" w:type="dxa"/>
                  <w:tcBorders>
                    <w:tl2br w:val="nil"/>
                    <w:tr2bl w:val="nil"/>
                  </w:tcBorders>
                  <w:vAlign w:val="center"/>
                </w:tcPr>
                <w:p w14:paraId="4EC517F8">
                  <w:pPr>
                    <w:pStyle w:val="40"/>
                    <w:bidi w:val="0"/>
                    <w:rPr>
                      <w:rFonts w:hint="default"/>
                      <w:color w:val="auto"/>
                      <w:highlight w:val="none"/>
                      <w:lang w:val="en-US" w:eastAsia="zh-CN"/>
                    </w:rPr>
                  </w:pPr>
                  <w:r>
                    <w:rPr>
                      <w:rFonts w:hint="eastAsia"/>
                      <w:i/>
                      <w:iCs/>
                      <w:color w:val="auto"/>
                      <w:highlight w:val="none"/>
                      <w:lang w:val="en-US" w:eastAsia="zh-CN"/>
                    </w:rPr>
                    <w:t>P</w:t>
                  </w:r>
                  <w:r>
                    <w:rPr>
                      <w:rFonts w:hint="eastAsia"/>
                      <w:color w:val="auto"/>
                      <w:highlight w:val="none"/>
                      <w:vertAlign w:val="subscript"/>
                      <w:lang w:val="en-US" w:eastAsia="zh-CN"/>
                    </w:rPr>
                    <w:t>max</w:t>
                  </w:r>
                  <w:r>
                    <w:rPr>
                      <w:rFonts w:hint="eastAsia"/>
                      <w:color w:val="auto"/>
                      <w:highlight w:val="none"/>
                      <w:lang w:val="en-US" w:eastAsia="zh-CN"/>
                    </w:rPr>
                    <w:t>≥37</w:t>
                  </w:r>
                </w:p>
              </w:tc>
              <w:tc>
                <w:tcPr>
                  <w:tcW w:w="2459" w:type="dxa"/>
                  <w:tcBorders>
                    <w:tl2br w:val="nil"/>
                    <w:tr2bl w:val="nil"/>
                  </w:tcBorders>
                  <w:vAlign w:val="center"/>
                </w:tcPr>
                <w:p w14:paraId="42CA7590">
                  <w:pPr>
                    <w:pStyle w:val="40"/>
                    <w:bidi w:val="0"/>
                    <w:rPr>
                      <w:rFonts w:hint="default"/>
                      <w:color w:val="auto"/>
                      <w:highlight w:val="none"/>
                      <w:lang w:val="en-US" w:eastAsia="zh-CN"/>
                    </w:rPr>
                  </w:pPr>
                  <w:r>
                    <w:rPr>
                      <w:rFonts w:hint="eastAsia"/>
                      <w:color w:val="auto"/>
                      <w:highlight w:val="none"/>
                      <w:lang w:val="en-US" w:eastAsia="zh-CN"/>
                    </w:rPr>
                    <w:t>0.80</w:t>
                  </w:r>
                </w:p>
              </w:tc>
              <w:tc>
                <w:tcPr>
                  <w:tcW w:w="1805" w:type="dxa"/>
                  <w:vMerge w:val="continue"/>
                  <w:tcBorders>
                    <w:tl2br w:val="nil"/>
                    <w:tr2bl w:val="nil"/>
                  </w:tcBorders>
                  <w:vAlign w:val="center"/>
                </w:tcPr>
                <w:p w14:paraId="5FC7293F">
                  <w:pPr>
                    <w:pStyle w:val="40"/>
                    <w:bidi w:val="0"/>
                    <w:rPr>
                      <w:rFonts w:hint="eastAsia"/>
                      <w:color w:val="auto"/>
                      <w:highlight w:val="none"/>
                      <w:lang w:val="en-US" w:eastAsia="zh-CN"/>
                    </w:rPr>
                  </w:pPr>
                </w:p>
              </w:tc>
            </w:tr>
            <w:tr w14:paraId="675964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64" w:type="dxa"/>
                  <w:vMerge w:val="restart"/>
                  <w:tcBorders>
                    <w:tl2br w:val="nil"/>
                    <w:tr2bl w:val="nil"/>
                  </w:tcBorders>
                  <w:vAlign w:val="center"/>
                </w:tcPr>
                <w:p w14:paraId="56C5BA65">
                  <w:pPr>
                    <w:pStyle w:val="40"/>
                    <w:bidi w:val="0"/>
                    <w:rPr>
                      <w:rFonts w:hint="default"/>
                      <w:color w:val="auto"/>
                      <w:highlight w:val="none"/>
                      <w:lang w:val="en-US" w:eastAsia="zh-CN"/>
                    </w:rPr>
                  </w:pPr>
                  <w:r>
                    <w:rPr>
                      <w:rFonts w:hint="eastAsia"/>
                      <w:color w:val="auto"/>
                      <w:highlight w:val="none"/>
                      <w:lang w:val="en-US" w:eastAsia="zh-CN"/>
                    </w:rPr>
                    <w:t>III类</w:t>
                  </w:r>
                </w:p>
              </w:tc>
              <w:tc>
                <w:tcPr>
                  <w:tcW w:w="2459" w:type="dxa"/>
                  <w:tcBorders>
                    <w:tl2br w:val="nil"/>
                    <w:tr2bl w:val="nil"/>
                  </w:tcBorders>
                  <w:vAlign w:val="center"/>
                </w:tcPr>
                <w:p w14:paraId="26FF5951">
                  <w:pPr>
                    <w:pStyle w:val="40"/>
                    <w:bidi w:val="0"/>
                    <w:rPr>
                      <w:rFonts w:hint="eastAsia"/>
                      <w:color w:val="auto"/>
                      <w:highlight w:val="none"/>
                      <w:lang w:val="en-US" w:eastAsia="zh-CN"/>
                    </w:rPr>
                  </w:pPr>
                  <w:r>
                    <w:rPr>
                      <w:rFonts w:hint="eastAsia"/>
                      <w:i/>
                      <w:iCs/>
                      <w:color w:val="auto"/>
                      <w:highlight w:val="none"/>
                      <w:lang w:val="en-US" w:eastAsia="zh-CN"/>
                    </w:rPr>
                    <w:t>P</w:t>
                  </w:r>
                  <w:r>
                    <w:rPr>
                      <w:rFonts w:hint="eastAsia"/>
                      <w:color w:val="auto"/>
                      <w:highlight w:val="none"/>
                      <w:vertAlign w:val="subscript"/>
                      <w:lang w:val="en-US" w:eastAsia="zh-CN"/>
                    </w:rPr>
                    <w:t>max</w:t>
                  </w:r>
                  <w:r>
                    <w:rPr>
                      <w:rFonts w:hint="eastAsia"/>
                      <w:color w:val="auto"/>
                      <w:highlight w:val="none"/>
                      <w:lang w:val="en-US" w:eastAsia="zh-CN"/>
                    </w:rPr>
                    <w:t>≥37</w:t>
                  </w:r>
                </w:p>
              </w:tc>
              <w:tc>
                <w:tcPr>
                  <w:tcW w:w="2459" w:type="dxa"/>
                  <w:tcBorders>
                    <w:tl2br w:val="nil"/>
                    <w:tr2bl w:val="nil"/>
                  </w:tcBorders>
                  <w:vAlign w:val="center"/>
                </w:tcPr>
                <w:p w14:paraId="0B1DFDC4">
                  <w:pPr>
                    <w:pStyle w:val="40"/>
                    <w:bidi w:val="0"/>
                    <w:rPr>
                      <w:rFonts w:hint="default"/>
                      <w:color w:val="auto"/>
                      <w:highlight w:val="none"/>
                      <w:lang w:val="en-US" w:eastAsia="zh-CN"/>
                    </w:rPr>
                  </w:pPr>
                  <w:r>
                    <w:rPr>
                      <w:rFonts w:hint="eastAsia"/>
                      <w:color w:val="auto"/>
                      <w:highlight w:val="none"/>
                      <w:lang w:val="en-US" w:eastAsia="zh-CN"/>
                    </w:rPr>
                    <w:t>0.50</w:t>
                  </w:r>
                </w:p>
              </w:tc>
              <w:tc>
                <w:tcPr>
                  <w:tcW w:w="1805" w:type="dxa"/>
                  <w:vMerge w:val="restart"/>
                  <w:tcBorders>
                    <w:tl2br w:val="nil"/>
                    <w:tr2bl w:val="nil"/>
                  </w:tcBorders>
                  <w:vAlign w:val="center"/>
                </w:tcPr>
                <w:p w14:paraId="64750689">
                  <w:pPr>
                    <w:pStyle w:val="40"/>
                    <w:bidi w:val="0"/>
                    <w:rPr>
                      <w:rFonts w:hint="default"/>
                      <w:color w:val="auto"/>
                      <w:highlight w:val="none"/>
                      <w:lang w:val="en-US" w:eastAsia="zh-CN"/>
                    </w:rPr>
                  </w:pPr>
                  <w:r>
                    <w:rPr>
                      <w:rFonts w:hint="eastAsia"/>
                      <w:color w:val="auto"/>
                      <w:highlight w:val="none"/>
                      <w:lang w:val="en-US" w:eastAsia="zh-CN"/>
                    </w:rPr>
                    <w:t>1</w:t>
                  </w:r>
                </w:p>
              </w:tc>
            </w:tr>
            <w:tr w14:paraId="3EE23C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64" w:type="dxa"/>
                  <w:vMerge w:val="continue"/>
                  <w:tcBorders>
                    <w:tl2br w:val="nil"/>
                    <w:tr2bl w:val="nil"/>
                  </w:tcBorders>
                  <w:vAlign w:val="center"/>
                </w:tcPr>
                <w:p w14:paraId="6DD953C7">
                  <w:pPr>
                    <w:pStyle w:val="40"/>
                    <w:bidi w:val="0"/>
                    <w:rPr>
                      <w:rFonts w:hint="eastAsia"/>
                      <w:color w:val="auto"/>
                      <w:highlight w:val="none"/>
                      <w:lang w:val="en-US" w:eastAsia="zh-CN"/>
                    </w:rPr>
                  </w:pPr>
                </w:p>
              </w:tc>
              <w:tc>
                <w:tcPr>
                  <w:tcW w:w="2459" w:type="dxa"/>
                  <w:tcBorders>
                    <w:tl2br w:val="nil"/>
                    <w:tr2bl w:val="nil"/>
                  </w:tcBorders>
                  <w:vAlign w:val="center"/>
                </w:tcPr>
                <w:p w14:paraId="09C2EEA5">
                  <w:pPr>
                    <w:pStyle w:val="40"/>
                    <w:bidi w:val="0"/>
                    <w:rPr>
                      <w:rFonts w:hint="eastAsia"/>
                      <w:color w:val="auto"/>
                      <w:highlight w:val="none"/>
                      <w:lang w:val="en-US" w:eastAsia="zh-CN"/>
                    </w:rPr>
                  </w:pPr>
                  <w:r>
                    <w:rPr>
                      <w:rFonts w:hint="eastAsia"/>
                      <w:i/>
                      <w:iCs/>
                      <w:color w:val="auto"/>
                      <w:highlight w:val="none"/>
                      <w:lang w:val="en-US" w:eastAsia="zh-CN"/>
                    </w:rPr>
                    <w:t>P</w:t>
                  </w:r>
                  <w:r>
                    <w:rPr>
                      <w:rFonts w:hint="eastAsia"/>
                      <w:color w:val="auto"/>
                      <w:highlight w:val="none"/>
                      <w:vertAlign w:val="subscript"/>
                      <w:lang w:val="en-US" w:eastAsia="zh-CN"/>
                    </w:rPr>
                    <w:t>max</w:t>
                  </w:r>
                  <w:r>
                    <w:rPr>
                      <w:rFonts w:hint="eastAsia"/>
                      <w:color w:val="auto"/>
                      <w:highlight w:val="none"/>
                      <w:vertAlign w:val="baseline"/>
                      <w:lang w:val="en-US" w:eastAsia="zh-CN"/>
                    </w:rPr>
                    <w:t>＜37</w:t>
                  </w:r>
                </w:p>
              </w:tc>
              <w:tc>
                <w:tcPr>
                  <w:tcW w:w="2459" w:type="dxa"/>
                  <w:tcBorders>
                    <w:tl2br w:val="nil"/>
                    <w:tr2bl w:val="nil"/>
                  </w:tcBorders>
                  <w:vAlign w:val="center"/>
                </w:tcPr>
                <w:p w14:paraId="0F5C07A8">
                  <w:pPr>
                    <w:pStyle w:val="40"/>
                    <w:bidi w:val="0"/>
                    <w:rPr>
                      <w:rFonts w:hint="default"/>
                      <w:color w:val="auto"/>
                      <w:highlight w:val="none"/>
                      <w:lang w:val="en-US" w:eastAsia="zh-CN"/>
                    </w:rPr>
                  </w:pPr>
                  <w:r>
                    <w:rPr>
                      <w:rFonts w:hint="eastAsia"/>
                      <w:color w:val="auto"/>
                      <w:highlight w:val="none"/>
                      <w:lang w:val="en-US" w:eastAsia="zh-CN"/>
                    </w:rPr>
                    <w:t>0.80</w:t>
                  </w:r>
                </w:p>
              </w:tc>
              <w:tc>
                <w:tcPr>
                  <w:tcW w:w="1805" w:type="dxa"/>
                  <w:vMerge w:val="continue"/>
                  <w:tcBorders>
                    <w:tl2br w:val="nil"/>
                    <w:tr2bl w:val="nil"/>
                  </w:tcBorders>
                  <w:vAlign w:val="center"/>
                </w:tcPr>
                <w:p w14:paraId="1B5CED77">
                  <w:pPr>
                    <w:pStyle w:val="40"/>
                    <w:bidi w:val="0"/>
                    <w:rPr>
                      <w:rFonts w:hint="eastAsia"/>
                      <w:color w:val="auto"/>
                      <w:highlight w:val="none"/>
                      <w:lang w:val="en-US" w:eastAsia="zh-CN"/>
                    </w:rPr>
                  </w:pPr>
                </w:p>
              </w:tc>
            </w:tr>
          </w:tbl>
          <w:p w14:paraId="421B6D63">
            <w:pPr>
              <w:pStyle w:val="41"/>
              <w:keepNext w:val="0"/>
              <w:keepLines w:val="0"/>
              <w:pageBreakBefore w:val="0"/>
              <w:widowControl w:val="0"/>
              <w:kinsoku/>
              <w:wordWrap/>
              <w:overflowPunct/>
              <w:topLinePunct w:val="0"/>
              <w:autoSpaceDE/>
              <w:autoSpaceDN/>
              <w:bidi w:val="0"/>
              <w:adjustRightInd/>
              <w:snapToGrid/>
              <w:textAlignment w:val="auto"/>
              <w:rPr>
                <w:rFonts w:hint="default"/>
                <w:color w:val="auto"/>
                <w:highlight w:val="none"/>
                <w:lang w:val="en-US" w:eastAsia="zh-CN"/>
              </w:rPr>
            </w:pPr>
            <w:r>
              <w:rPr>
                <w:rFonts w:hint="eastAsia"/>
                <w:color w:val="auto"/>
                <w:highlight w:val="none"/>
                <w:lang w:val="en-US" w:eastAsia="zh-CN"/>
              </w:rPr>
              <w:t>2、废水</w:t>
            </w:r>
          </w:p>
          <w:p w14:paraId="64CC6066">
            <w:pPr>
              <w:keepNext w:val="0"/>
              <w:keepLines w:val="0"/>
              <w:pageBreakBefore w:val="0"/>
              <w:widowControl w:val="0"/>
              <w:kinsoku/>
              <w:wordWrap/>
              <w:overflowPunct/>
              <w:topLinePunct w:val="0"/>
              <w:autoSpaceDE/>
              <w:autoSpaceDN/>
              <w:bidi w:val="0"/>
              <w:adjustRightInd/>
              <w:snapToGrid/>
              <w:spacing w:line="360" w:lineRule="auto"/>
              <w:ind w:firstLine="476" w:firstLineChars="200"/>
              <w:textAlignment w:val="auto"/>
              <w:rPr>
                <w:rFonts w:hint="default" w:ascii="Times New Roman" w:hAnsi="Times New Roman" w:eastAsia="宋体" w:cs="Times New Roman"/>
                <w:b w:val="0"/>
                <w:bCs w:val="0"/>
                <w:color w:val="auto"/>
                <w:kern w:val="0"/>
                <w:sz w:val="24"/>
                <w:szCs w:val="24"/>
                <w:highlight w:val="none"/>
                <w:lang w:val="en-US" w:eastAsia="zh-CN" w:bidi="ar-SA"/>
              </w:rPr>
            </w:pPr>
            <w:r>
              <w:rPr>
                <w:rFonts w:hint="eastAsia" w:ascii="Times New Roman" w:hAnsi="Times New Roman" w:cs="Times New Roman"/>
                <w:color w:val="auto"/>
                <w:spacing w:val="-1"/>
                <w:sz w:val="24"/>
                <w:szCs w:val="24"/>
                <w:highlight w:val="none"/>
                <w:lang w:val="en-US" w:eastAsia="zh-CN"/>
              </w:rPr>
              <w:t>项目生产废水</w:t>
            </w:r>
            <w:r>
              <w:rPr>
                <w:rFonts w:ascii="Times New Roman" w:hAnsi="Times New Roman" w:cs="Times New Roman"/>
                <w:color w:val="auto"/>
                <w:spacing w:val="-1"/>
                <w:sz w:val="24"/>
                <w:szCs w:val="24"/>
                <w:highlight w:val="none"/>
              </w:rPr>
              <w:t>综合利用不外排</w:t>
            </w:r>
            <w:r>
              <w:rPr>
                <w:rFonts w:hint="eastAsia" w:ascii="Times New Roman" w:hAnsi="Times New Roman" w:cs="Times New Roman"/>
                <w:color w:val="auto"/>
                <w:spacing w:val="-1"/>
                <w:sz w:val="24"/>
                <w:szCs w:val="24"/>
                <w:highlight w:val="none"/>
                <w:lang w:eastAsia="zh-CN"/>
              </w:rPr>
              <w:t>，</w:t>
            </w:r>
            <w:r>
              <w:rPr>
                <w:rFonts w:hint="eastAsia"/>
                <w:color w:val="auto"/>
                <w:highlight w:val="none"/>
              </w:rPr>
              <w:t>生活污水经沉淀池（</w:t>
            </w:r>
            <w:r>
              <w:rPr>
                <w:rFonts w:hint="eastAsia"/>
                <w:color w:val="auto"/>
                <w:highlight w:val="none"/>
                <w:lang w:val="en-US" w:eastAsia="zh-CN"/>
              </w:rPr>
              <w:t>2</w:t>
            </w:r>
            <w:r>
              <w:rPr>
                <w:rFonts w:hint="eastAsia"/>
                <w:color w:val="auto"/>
                <w:highlight w:val="none"/>
              </w:rPr>
              <w:t>m</w:t>
            </w:r>
            <w:r>
              <w:rPr>
                <w:rFonts w:hint="eastAsia"/>
                <w:color w:val="auto"/>
                <w:highlight w:val="none"/>
                <w:vertAlign w:val="superscript"/>
              </w:rPr>
              <w:t>3</w:t>
            </w:r>
            <w:r>
              <w:rPr>
                <w:rFonts w:hint="eastAsia"/>
                <w:color w:val="auto"/>
                <w:highlight w:val="none"/>
              </w:rPr>
              <w:t>）处理后用于厂区洒水抑尘，不外排</w:t>
            </w:r>
            <w:r>
              <w:rPr>
                <w:rFonts w:hint="eastAsia" w:ascii="Times New Roman" w:hAnsi="Times New Roman" w:eastAsia="宋体" w:cs="Times New Roman"/>
                <w:b w:val="0"/>
                <w:bCs w:val="0"/>
                <w:color w:val="auto"/>
                <w:kern w:val="0"/>
                <w:sz w:val="24"/>
                <w:szCs w:val="24"/>
                <w:highlight w:val="none"/>
                <w:lang w:val="en-US" w:eastAsia="zh-CN" w:bidi="ar-SA"/>
              </w:rPr>
              <w:t>。</w:t>
            </w:r>
          </w:p>
          <w:p w14:paraId="25F17FD4">
            <w:pPr>
              <w:pStyle w:val="41"/>
              <w:bidi w:val="0"/>
              <w:rPr>
                <w:rFonts w:hint="default"/>
                <w:color w:val="auto"/>
                <w:highlight w:val="none"/>
                <w:lang w:val="en-US" w:eastAsia="zh-CN"/>
              </w:rPr>
            </w:pPr>
            <w:r>
              <w:rPr>
                <w:rFonts w:hint="eastAsia"/>
                <w:color w:val="auto"/>
                <w:highlight w:val="none"/>
                <w:lang w:val="en-US" w:eastAsia="zh-CN"/>
              </w:rPr>
              <w:t>3、噪声</w:t>
            </w:r>
          </w:p>
          <w:p w14:paraId="03B1FB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rPr>
            </w:pPr>
            <w:r>
              <w:rPr>
                <w:rFonts w:hint="eastAsia"/>
                <w:color w:val="auto"/>
                <w:highlight w:val="none"/>
              </w:rPr>
              <w:t>施工期噪声执行《建筑施工场界环境噪声排放标准》（GB</w:t>
            </w:r>
            <w:r>
              <w:rPr>
                <w:rFonts w:hint="eastAsia"/>
                <w:color w:val="auto"/>
                <w:highlight w:val="none"/>
                <w:lang w:val="en-US" w:eastAsia="zh-CN"/>
              </w:rPr>
              <w:t xml:space="preserve"> </w:t>
            </w:r>
            <w:r>
              <w:rPr>
                <w:rFonts w:hint="eastAsia"/>
                <w:color w:val="auto"/>
                <w:highlight w:val="none"/>
              </w:rPr>
              <w:t>12523-2011）</w:t>
            </w:r>
            <w:r>
              <w:rPr>
                <w:rFonts w:hint="eastAsia"/>
                <w:color w:val="auto"/>
                <w:highlight w:val="none"/>
                <w:lang w:eastAsia="zh-CN"/>
              </w:rPr>
              <w:t>，</w:t>
            </w:r>
            <w:r>
              <w:rPr>
                <w:rFonts w:hint="eastAsia"/>
                <w:color w:val="auto"/>
                <w:highlight w:val="none"/>
                <w:lang w:val="en-US" w:eastAsia="zh-CN"/>
              </w:rPr>
              <w:t>见</w:t>
            </w:r>
            <w:r>
              <w:rPr>
                <w:rFonts w:hint="eastAsia"/>
                <w:color w:val="auto"/>
                <w:highlight w:val="none"/>
                <w:lang w:val="en-US" w:eastAsia="zh-CN"/>
              </w:rPr>
              <w:fldChar w:fldCharType="begin"/>
            </w:r>
            <w:r>
              <w:rPr>
                <w:rFonts w:hint="eastAsia"/>
                <w:color w:val="auto"/>
                <w:highlight w:val="none"/>
                <w:lang w:val="en-US" w:eastAsia="zh-CN"/>
              </w:rPr>
              <w:instrText xml:space="preserve"> REF _Ref3342 \h </w:instrText>
            </w:r>
            <w:r>
              <w:rPr>
                <w:rFonts w:hint="eastAsia"/>
                <w:color w:val="auto"/>
                <w:highlight w:val="none"/>
                <w:lang w:val="en-US" w:eastAsia="zh-CN"/>
              </w:rPr>
              <w:fldChar w:fldCharType="separate"/>
            </w:r>
            <w:r>
              <w:rPr>
                <w:color w:val="auto"/>
                <w:highlight w:val="none"/>
              </w:rPr>
              <w:t>表3-14</w:t>
            </w:r>
            <w:r>
              <w:rPr>
                <w:rFonts w:hint="eastAsia"/>
                <w:color w:val="auto"/>
                <w:highlight w:val="none"/>
                <w:lang w:val="en-US" w:eastAsia="zh-CN"/>
              </w:rPr>
              <w:fldChar w:fldCharType="end"/>
            </w:r>
            <w:r>
              <w:rPr>
                <w:rFonts w:hint="eastAsia"/>
                <w:color w:val="auto"/>
                <w:highlight w:val="none"/>
                <w:lang w:val="en-US" w:eastAsia="zh-CN"/>
              </w:rPr>
              <w:t>；</w:t>
            </w:r>
            <w:r>
              <w:rPr>
                <w:rFonts w:hint="eastAsia"/>
                <w:color w:val="auto"/>
                <w:highlight w:val="none"/>
              </w:rPr>
              <w:t>运营期噪声排放执行《工业企业厂界环境噪声排放标准》（GB</w:t>
            </w:r>
            <w:r>
              <w:rPr>
                <w:rFonts w:hint="eastAsia"/>
                <w:color w:val="auto"/>
                <w:highlight w:val="none"/>
                <w:lang w:val="en-US" w:eastAsia="zh-CN"/>
              </w:rPr>
              <w:t xml:space="preserve"> </w:t>
            </w:r>
            <w:r>
              <w:rPr>
                <w:rFonts w:hint="eastAsia"/>
                <w:color w:val="auto"/>
                <w:highlight w:val="none"/>
              </w:rPr>
              <w:t>12348-2008）中</w:t>
            </w:r>
            <w:r>
              <w:rPr>
                <w:rFonts w:hint="eastAsia"/>
                <w:color w:val="auto"/>
                <w:highlight w:val="none"/>
                <w:lang w:val="en-US" w:eastAsia="zh-CN"/>
              </w:rPr>
              <w:t>3</w:t>
            </w:r>
            <w:r>
              <w:rPr>
                <w:rFonts w:hint="eastAsia"/>
                <w:color w:val="auto"/>
                <w:highlight w:val="none"/>
              </w:rPr>
              <w:t>类标准，</w:t>
            </w:r>
            <w:r>
              <w:rPr>
                <w:rFonts w:hint="eastAsia"/>
                <w:color w:val="auto"/>
                <w:highlight w:val="none"/>
                <w:lang w:val="en-US" w:eastAsia="zh-CN"/>
              </w:rPr>
              <w:t>见</w:t>
            </w:r>
            <w:r>
              <w:rPr>
                <w:rFonts w:hint="eastAsia"/>
                <w:color w:val="auto"/>
                <w:highlight w:val="none"/>
                <w:lang w:val="en-US" w:eastAsia="zh-CN"/>
              </w:rPr>
              <w:fldChar w:fldCharType="begin"/>
            </w:r>
            <w:r>
              <w:rPr>
                <w:rFonts w:hint="eastAsia"/>
                <w:color w:val="auto"/>
                <w:highlight w:val="none"/>
                <w:lang w:val="en-US" w:eastAsia="zh-CN"/>
              </w:rPr>
              <w:instrText xml:space="preserve"> REF _Ref3355 \h </w:instrText>
            </w:r>
            <w:r>
              <w:rPr>
                <w:rFonts w:hint="eastAsia"/>
                <w:color w:val="auto"/>
                <w:highlight w:val="none"/>
                <w:lang w:val="en-US" w:eastAsia="zh-CN"/>
              </w:rPr>
              <w:fldChar w:fldCharType="separate"/>
            </w:r>
            <w:r>
              <w:rPr>
                <w:color w:val="auto"/>
                <w:highlight w:val="none"/>
              </w:rPr>
              <w:t>表3-15</w:t>
            </w:r>
            <w:r>
              <w:rPr>
                <w:rFonts w:hint="eastAsia"/>
                <w:color w:val="auto"/>
                <w:highlight w:val="none"/>
                <w:lang w:val="en-US" w:eastAsia="zh-CN"/>
              </w:rPr>
              <w:fldChar w:fldCharType="end"/>
            </w:r>
            <w:r>
              <w:rPr>
                <w:rFonts w:hint="eastAsia"/>
                <w:color w:val="auto"/>
                <w:highlight w:val="none"/>
              </w:rPr>
              <w:t>。</w:t>
            </w:r>
          </w:p>
          <w:p w14:paraId="0649AD99">
            <w:pPr>
              <w:pStyle w:val="7"/>
              <w:bidi w:val="0"/>
              <w:rPr>
                <w:rFonts w:hint="eastAsia"/>
                <w:color w:val="auto"/>
                <w:highlight w:val="none"/>
                <w:lang w:val="en-US" w:eastAsia="zh-CN"/>
              </w:rPr>
            </w:pPr>
            <w:bookmarkStart w:id="49" w:name="_Ref3342"/>
            <w:r>
              <w:rPr>
                <w:color w:val="auto"/>
                <w:highlight w:val="none"/>
              </w:rPr>
              <w:t>表3-</w:t>
            </w:r>
            <w:r>
              <w:rPr>
                <w:color w:val="auto"/>
                <w:highlight w:val="none"/>
              </w:rPr>
              <w:fldChar w:fldCharType="begin"/>
            </w:r>
            <w:r>
              <w:rPr>
                <w:color w:val="auto"/>
                <w:highlight w:val="none"/>
              </w:rPr>
              <w:instrText xml:space="preserve"> SEQ 表3- \* ARABIC </w:instrText>
            </w:r>
            <w:r>
              <w:rPr>
                <w:color w:val="auto"/>
                <w:highlight w:val="none"/>
              </w:rPr>
              <w:fldChar w:fldCharType="separate"/>
            </w:r>
            <w:r>
              <w:rPr>
                <w:color w:val="auto"/>
                <w:highlight w:val="none"/>
              </w:rPr>
              <w:t>14</w:t>
            </w:r>
            <w:r>
              <w:rPr>
                <w:color w:val="auto"/>
                <w:highlight w:val="none"/>
              </w:rPr>
              <w:fldChar w:fldCharType="end"/>
            </w:r>
            <w:bookmarkEnd w:id="49"/>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《建筑施工场界环境噪声排放标准》（GB</w:t>
            </w:r>
            <w:r>
              <w:rPr>
                <w:rFonts w:hint="eastAsia"/>
                <w:color w:val="auto"/>
                <w:highlight w:val="none"/>
                <w:lang w:val="en-US" w:eastAsia="zh-CN"/>
              </w:rPr>
              <w:t xml:space="preserve"> </w:t>
            </w:r>
            <w:r>
              <w:rPr>
                <w:rFonts w:hint="eastAsia"/>
                <w:color w:val="auto"/>
                <w:highlight w:val="none"/>
              </w:rPr>
              <w:t>12523-2011）</w:t>
            </w:r>
            <w:r>
              <w:rPr>
                <w:rFonts w:hint="eastAsia"/>
                <w:color w:val="auto"/>
                <w:highlight w:val="none"/>
                <w:lang w:val="en-US" w:eastAsia="zh-CN"/>
              </w:rPr>
              <w:t xml:space="preserve"> </w:t>
            </w:r>
            <w:r>
              <w:rPr>
                <w:rFonts w:hint="eastAsia"/>
                <w:color w:val="auto"/>
                <w:highlight w:val="none"/>
              </w:rPr>
              <w:t>单位：</w:t>
            </w:r>
            <w:r>
              <w:rPr>
                <w:color w:val="auto"/>
                <w:highlight w:val="none"/>
                <w:lang w:val="en-US" w:eastAsia="zh-CN"/>
              </w:rPr>
              <w:t>dB</w:t>
            </w:r>
            <w:r>
              <w:rPr>
                <w:rFonts w:hint="eastAsia"/>
                <w:color w:val="auto"/>
                <w:highlight w:val="none"/>
                <w:lang w:val="en-US" w:eastAsia="zh-CN"/>
              </w:rPr>
              <w:t>（A）</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65"/>
              <w:gridCol w:w="2995"/>
              <w:gridCol w:w="2995"/>
            </w:tblGrid>
            <w:tr w14:paraId="3493C0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15" w:type="pct"/>
                  <w:vMerge w:val="restart"/>
                  <w:tcBorders>
                    <w:tl2br w:val="nil"/>
                    <w:tr2bl w:val="nil"/>
                  </w:tcBorders>
                  <w:noWrap w:val="0"/>
                  <w:vAlign w:val="center"/>
                </w:tcPr>
                <w:p w14:paraId="0F880969">
                  <w:pPr>
                    <w:pStyle w:val="40"/>
                    <w:bidi w:val="0"/>
                    <w:rPr>
                      <w:rFonts w:hint="default"/>
                      <w:color w:val="auto"/>
                      <w:highlight w:val="none"/>
                    </w:rPr>
                  </w:pPr>
                  <w:r>
                    <w:rPr>
                      <w:rFonts w:hint="default"/>
                      <w:color w:val="auto"/>
                      <w:highlight w:val="none"/>
                    </w:rPr>
                    <w:t>施工阶段</w:t>
                  </w:r>
                </w:p>
              </w:tc>
              <w:tc>
                <w:tcPr>
                  <w:tcW w:w="3584" w:type="pct"/>
                  <w:gridSpan w:val="2"/>
                  <w:tcBorders>
                    <w:tl2br w:val="nil"/>
                    <w:tr2bl w:val="nil"/>
                  </w:tcBorders>
                  <w:noWrap w:val="0"/>
                  <w:vAlign w:val="center"/>
                </w:tcPr>
                <w:p w14:paraId="65C2A904">
                  <w:pPr>
                    <w:pStyle w:val="40"/>
                    <w:bidi w:val="0"/>
                    <w:rPr>
                      <w:rFonts w:hint="default"/>
                      <w:color w:val="auto"/>
                      <w:highlight w:val="none"/>
                    </w:rPr>
                  </w:pPr>
                  <w:r>
                    <w:rPr>
                      <w:rFonts w:hint="default"/>
                      <w:color w:val="auto"/>
                      <w:highlight w:val="none"/>
                    </w:rPr>
                    <w:t>噪声限值[</w:t>
                  </w:r>
                  <w:r>
                    <w:rPr>
                      <w:color w:val="auto"/>
                      <w:highlight w:val="none"/>
                      <w:lang w:val="en-US" w:eastAsia="zh-CN"/>
                    </w:rPr>
                    <w:t>dB</w:t>
                  </w:r>
                  <w:r>
                    <w:rPr>
                      <w:rFonts w:hint="eastAsia"/>
                      <w:color w:val="auto"/>
                      <w:highlight w:val="none"/>
                      <w:lang w:val="en-US" w:eastAsia="zh-CN"/>
                    </w:rPr>
                    <w:t>（A）</w:t>
                  </w:r>
                  <w:r>
                    <w:rPr>
                      <w:rFonts w:hint="default"/>
                      <w:color w:val="auto"/>
                      <w:highlight w:val="none"/>
                    </w:rPr>
                    <w:t>]</w:t>
                  </w:r>
                </w:p>
              </w:tc>
            </w:tr>
            <w:tr w14:paraId="0779FD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15" w:type="pct"/>
                  <w:vMerge w:val="continue"/>
                  <w:tcBorders>
                    <w:tl2br w:val="nil"/>
                    <w:tr2bl w:val="nil"/>
                  </w:tcBorders>
                  <w:noWrap w:val="0"/>
                  <w:vAlign w:val="center"/>
                </w:tcPr>
                <w:p w14:paraId="7EC5EC30">
                  <w:pPr>
                    <w:pStyle w:val="40"/>
                    <w:bidi w:val="0"/>
                    <w:rPr>
                      <w:rFonts w:hint="default"/>
                      <w:color w:val="auto"/>
                      <w:highlight w:val="none"/>
                    </w:rPr>
                  </w:pPr>
                </w:p>
              </w:tc>
              <w:tc>
                <w:tcPr>
                  <w:tcW w:w="1792" w:type="pct"/>
                  <w:tcBorders>
                    <w:tl2br w:val="nil"/>
                    <w:tr2bl w:val="nil"/>
                  </w:tcBorders>
                  <w:noWrap w:val="0"/>
                  <w:vAlign w:val="center"/>
                </w:tcPr>
                <w:p w14:paraId="3F72A63E">
                  <w:pPr>
                    <w:pStyle w:val="40"/>
                    <w:bidi w:val="0"/>
                    <w:rPr>
                      <w:rFonts w:hint="default"/>
                      <w:color w:val="auto"/>
                      <w:highlight w:val="none"/>
                    </w:rPr>
                  </w:pPr>
                  <w:r>
                    <w:rPr>
                      <w:rFonts w:hint="default"/>
                      <w:color w:val="auto"/>
                      <w:highlight w:val="none"/>
                    </w:rPr>
                    <w:t>昼间70</w:t>
                  </w:r>
                </w:p>
              </w:tc>
              <w:tc>
                <w:tcPr>
                  <w:tcW w:w="1792" w:type="pct"/>
                  <w:tcBorders>
                    <w:tl2br w:val="nil"/>
                    <w:tr2bl w:val="nil"/>
                  </w:tcBorders>
                  <w:noWrap w:val="0"/>
                  <w:vAlign w:val="center"/>
                </w:tcPr>
                <w:p w14:paraId="4CF4C1AF">
                  <w:pPr>
                    <w:pStyle w:val="40"/>
                    <w:bidi w:val="0"/>
                    <w:rPr>
                      <w:rFonts w:hint="default"/>
                      <w:color w:val="auto"/>
                      <w:highlight w:val="none"/>
                    </w:rPr>
                  </w:pPr>
                  <w:r>
                    <w:rPr>
                      <w:rFonts w:hint="default"/>
                      <w:color w:val="auto"/>
                      <w:highlight w:val="none"/>
                    </w:rPr>
                    <w:t>夜间55</w:t>
                  </w:r>
                </w:p>
              </w:tc>
            </w:tr>
          </w:tbl>
          <w:p w14:paraId="5004FA35">
            <w:pPr>
              <w:pStyle w:val="7"/>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bookmarkStart w:id="50" w:name="_Ref3355"/>
            <w:r>
              <w:rPr>
                <w:color w:val="auto"/>
                <w:highlight w:val="none"/>
              </w:rPr>
              <w:t>表3-</w:t>
            </w:r>
            <w:r>
              <w:rPr>
                <w:color w:val="auto"/>
                <w:highlight w:val="none"/>
              </w:rPr>
              <w:fldChar w:fldCharType="begin"/>
            </w:r>
            <w:r>
              <w:rPr>
                <w:color w:val="auto"/>
                <w:highlight w:val="none"/>
              </w:rPr>
              <w:instrText xml:space="preserve"> SEQ 表3- \* ARABIC </w:instrText>
            </w:r>
            <w:r>
              <w:rPr>
                <w:color w:val="auto"/>
                <w:highlight w:val="none"/>
              </w:rPr>
              <w:fldChar w:fldCharType="separate"/>
            </w:r>
            <w:r>
              <w:rPr>
                <w:color w:val="auto"/>
                <w:highlight w:val="none"/>
              </w:rPr>
              <w:t>15</w:t>
            </w:r>
            <w:r>
              <w:rPr>
                <w:color w:val="auto"/>
                <w:highlight w:val="none"/>
              </w:rPr>
              <w:fldChar w:fldCharType="end"/>
            </w:r>
            <w:bookmarkEnd w:id="50"/>
            <w:r>
              <w:rPr>
                <w:rFonts w:hint="eastAsia"/>
                <w:color w:val="auto"/>
                <w:highlight w:val="none"/>
              </w:rPr>
              <w:t xml:space="preserve">  《工业企业厂界环境噪声排放标准》（GB</w:t>
            </w:r>
            <w:r>
              <w:rPr>
                <w:rFonts w:hint="eastAsia"/>
                <w:color w:val="auto"/>
                <w:highlight w:val="none"/>
                <w:lang w:val="en-US" w:eastAsia="zh-CN"/>
              </w:rPr>
              <w:t xml:space="preserve"> </w:t>
            </w:r>
            <w:r>
              <w:rPr>
                <w:rFonts w:hint="eastAsia"/>
                <w:color w:val="auto"/>
                <w:highlight w:val="none"/>
              </w:rPr>
              <w:t>12348-2008） 单位：</w:t>
            </w:r>
            <w:r>
              <w:rPr>
                <w:color w:val="auto"/>
                <w:highlight w:val="none"/>
                <w:lang w:val="en-US" w:eastAsia="zh-CN"/>
              </w:rPr>
              <w:t>dB</w:t>
            </w:r>
            <w:r>
              <w:rPr>
                <w:rFonts w:hint="eastAsia"/>
                <w:color w:val="auto"/>
                <w:highlight w:val="none"/>
                <w:lang w:val="en-US" w:eastAsia="zh-CN"/>
              </w:rPr>
              <w:t>（A）</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88"/>
              <w:gridCol w:w="2088"/>
              <w:gridCol w:w="2088"/>
              <w:gridCol w:w="2091"/>
            </w:tblGrid>
            <w:tr w14:paraId="32C92C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49" w:type="pct"/>
                  <w:tcBorders>
                    <w:tl2br w:val="nil"/>
                    <w:tr2bl w:val="nil"/>
                  </w:tcBorders>
                  <w:noWrap w:val="0"/>
                  <w:vAlign w:val="center"/>
                </w:tcPr>
                <w:p w14:paraId="2C77E1B3">
                  <w:pPr>
                    <w:pStyle w:val="40"/>
                    <w:bidi w:val="0"/>
                    <w:rPr>
                      <w:rFonts w:hint="default"/>
                      <w:color w:val="auto"/>
                      <w:highlight w:val="none"/>
                    </w:rPr>
                  </w:pPr>
                  <w:r>
                    <w:rPr>
                      <w:rFonts w:hint="default"/>
                      <w:color w:val="auto"/>
                      <w:highlight w:val="none"/>
                    </w:rPr>
                    <w:t>类别</w:t>
                  </w:r>
                </w:p>
              </w:tc>
              <w:tc>
                <w:tcPr>
                  <w:tcW w:w="1249" w:type="pct"/>
                  <w:tcBorders>
                    <w:tl2br w:val="nil"/>
                    <w:tr2bl w:val="nil"/>
                  </w:tcBorders>
                  <w:noWrap w:val="0"/>
                  <w:vAlign w:val="center"/>
                </w:tcPr>
                <w:p w14:paraId="2A0E2496">
                  <w:pPr>
                    <w:pStyle w:val="40"/>
                    <w:bidi w:val="0"/>
                    <w:rPr>
                      <w:rFonts w:hint="default"/>
                      <w:color w:val="auto"/>
                      <w:highlight w:val="none"/>
                    </w:rPr>
                  </w:pPr>
                  <w:r>
                    <w:rPr>
                      <w:rFonts w:hint="default"/>
                      <w:color w:val="auto"/>
                      <w:highlight w:val="none"/>
                    </w:rPr>
                    <w:t>时间</w:t>
                  </w:r>
                </w:p>
              </w:tc>
              <w:tc>
                <w:tcPr>
                  <w:tcW w:w="1249" w:type="pct"/>
                  <w:tcBorders>
                    <w:tl2br w:val="nil"/>
                    <w:tr2bl w:val="nil"/>
                  </w:tcBorders>
                  <w:noWrap w:val="0"/>
                  <w:vAlign w:val="center"/>
                </w:tcPr>
                <w:p w14:paraId="0ED08F88">
                  <w:pPr>
                    <w:pStyle w:val="40"/>
                    <w:bidi w:val="0"/>
                    <w:rPr>
                      <w:rFonts w:hint="default"/>
                      <w:color w:val="auto"/>
                      <w:highlight w:val="none"/>
                    </w:rPr>
                  </w:pPr>
                  <w:r>
                    <w:rPr>
                      <w:rFonts w:hint="default"/>
                      <w:color w:val="auto"/>
                      <w:highlight w:val="none"/>
                    </w:rPr>
                    <w:t>昼间</w:t>
                  </w:r>
                </w:p>
              </w:tc>
              <w:tc>
                <w:tcPr>
                  <w:tcW w:w="1251" w:type="pct"/>
                  <w:tcBorders>
                    <w:tl2br w:val="nil"/>
                    <w:tr2bl w:val="nil"/>
                  </w:tcBorders>
                  <w:noWrap w:val="0"/>
                  <w:vAlign w:val="center"/>
                </w:tcPr>
                <w:p w14:paraId="50EAFCB8">
                  <w:pPr>
                    <w:pStyle w:val="40"/>
                    <w:bidi w:val="0"/>
                    <w:rPr>
                      <w:rFonts w:hint="default"/>
                      <w:color w:val="auto"/>
                      <w:highlight w:val="none"/>
                    </w:rPr>
                  </w:pPr>
                  <w:r>
                    <w:rPr>
                      <w:rFonts w:hint="default"/>
                      <w:color w:val="auto"/>
                      <w:highlight w:val="none"/>
                    </w:rPr>
                    <w:t>夜间</w:t>
                  </w:r>
                </w:p>
              </w:tc>
            </w:tr>
            <w:tr w14:paraId="610C89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49" w:type="pct"/>
                  <w:tcBorders>
                    <w:tl2br w:val="nil"/>
                    <w:tr2bl w:val="nil"/>
                  </w:tcBorders>
                  <w:noWrap w:val="0"/>
                  <w:vAlign w:val="center"/>
                </w:tcPr>
                <w:p w14:paraId="6AC5F461">
                  <w:pPr>
                    <w:pStyle w:val="40"/>
                    <w:bidi w:val="0"/>
                    <w:rPr>
                      <w:rFonts w:hint="eastAsia" w:eastAsia="宋体"/>
                      <w:color w:val="auto"/>
                      <w:highlight w:val="none"/>
                      <w:lang w:eastAsia="zh-CN"/>
                    </w:rPr>
                  </w:pPr>
                  <w:r>
                    <w:rPr>
                      <w:rFonts w:hint="eastAsia"/>
                      <w:color w:val="auto"/>
                      <w:highlight w:val="none"/>
                      <w:lang w:val="en-US" w:eastAsia="zh-CN"/>
                    </w:rPr>
                    <w:t>3</w:t>
                  </w:r>
                </w:p>
              </w:tc>
              <w:tc>
                <w:tcPr>
                  <w:tcW w:w="1249" w:type="pct"/>
                  <w:tcBorders>
                    <w:tl2br w:val="nil"/>
                    <w:tr2bl w:val="nil"/>
                  </w:tcBorders>
                  <w:noWrap w:val="0"/>
                  <w:vAlign w:val="center"/>
                </w:tcPr>
                <w:p w14:paraId="1A18204F">
                  <w:pPr>
                    <w:pStyle w:val="40"/>
                    <w:bidi w:val="0"/>
                    <w:rPr>
                      <w:rFonts w:hint="default"/>
                      <w:color w:val="auto"/>
                      <w:highlight w:val="none"/>
                    </w:rPr>
                  </w:pPr>
                  <w:r>
                    <w:rPr>
                      <w:rFonts w:hint="default"/>
                      <w:color w:val="auto"/>
                      <w:highlight w:val="none"/>
                    </w:rPr>
                    <w:t>标准值[</w:t>
                  </w:r>
                  <w:r>
                    <w:rPr>
                      <w:color w:val="auto"/>
                      <w:highlight w:val="none"/>
                      <w:lang w:val="en-US" w:eastAsia="zh-CN"/>
                    </w:rPr>
                    <w:t>dB</w:t>
                  </w:r>
                  <w:r>
                    <w:rPr>
                      <w:rFonts w:hint="eastAsia"/>
                      <w:color w:val="auto"/>
                      <w:highlight w:val="none"/>
                      <w:lang w:val="en-US" w:eastAsia="zh-CN"/>
                    </w:rPr>
                    <w:t>（A）</w:t>
                  </w:r>
                  <w:r>
                    <w:rPr>
                      <w:rFonts w:hint="default"/>
                      <w:color w:val="auto"/>
                      <w:highlight w:val="none"/>
                    </w:rPr>
                    <w:t>]</w:t>
                  </w:r>
                </w:p>
              </w:tc>
              <w:tc>
                <w:tcPr>
                  <w:tcW w:w="1249" w:type="pct"/>
                  <w:tcBorders>
                    <w:tl2br w:val="nil"/>
                    <w:tr2bl w:val="nil"/>
                  </w:tcBorders>
                  <w:noWrap w:val="0"/>
                  <w:vAlign w:val="center"/>
                </w:tcPr>
                <w:p w14:paraId="6BD6FF2C">
                  <w:pPr>
                    <w:pStyle w:val="40"/>
                    <w:bidi w:val="0"/>
                    <w:rPr>
                      <w:rFonts w:hint="default" w:eastAsia="宋体"/>
                      <w:color w:val="auto"/>
                      <w:highlight w:val="none"/>
                      <w:lang w:val="en-US" w:eastAsia="zh-CN"/>
                    </w:rPr>
                  </w:pPr>
                  <w:r>
                    <w:rPr>
                      <w:rFonts w:hint="eastAsia"/>
                      <w:color w:val="auto"/>
                      <w:highlight w:val="none"/>
                      <w:lang w:val="en-US" w:eastAsia="zh-CN"/>
                    </w:rPr>
                    <w:t>65</w:t>
                  </w:r>
                </w:p>
              </w:tc>
              <w:tc>
                <w:tcPr>
                  <w:tcW w:w="1251" w:type="pct"/>
                  <w:tcBorders>
                    <w:tl2br w:val="nil"/>
                    <w:tr2bl w:val="nil"/>
                  </w:tcBorders>
                  <w:noWrap w:val="0"/>
                  <w:vAlign w:val="center"/>
                </w:tcPr>
                <w:p w14:paraId="5538475C">
                  <w:pPr>
                    <w:pStyle w:val="40"/>
                    <w:bidi w:val="0"/>
                    <w:rPr>
                      <w:rFonts w:hint="default" w:eastAsia="宋体"/>
                      <w:color w:val="auto"/>
                      <w:highlight w:val="none"/>
                      <w:lang w:val="en-US" w:eastAsia="zh-CN"/>
                    </w:rPr>
                  </w:pPr>
                  <w:r>
                    <w:rPr>
                      <w:rFonts w:hint="eastAsia"/>
                      <w:color w:val="auto"/>
                      <w:highlight w:val="none"/>
                      <w:lang w:val="en-US" w:eastAsia="zh-CN"/>
                    </w:rPr>
                    <w:t>55</w:t>
                  </w:r>
                </w:p>
              </w:tc>
            </w:tr>
          </w:tbl>
          <w:p w14:paraId="164D3EEB">
            <w:pPr>
              <w:pStyle w:val="41"/>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color w:val="auto"/>
                <w:highlight w:val="none"/>
                <w:lang w:val="en-US" w:eastAsia="zh-CN"/>
              </w:rPr>
            </w:pPr>
            <w:r>
              <w:rPr>
                <w:rFonts w:hint="eastAsia"/>
                <w:color w:val="auto"/>
                <w:highlight w:val="none"/>
                <w:lang w:val="en-US" w:eastAsia="zh-CN"/>
              </w:rPr>
              <w:t>4、固体废物</w:t>
            </w:r>
          </w:p>
          <w:p w14:paraId="2FE22E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rPr>
            </w:pPr>
            <w:r>
              <w:rPr>
                <w:rFonts w:hint="eastAsia"/>
                <w:color w:val="auto"/>
                <w:highlight w:val="none"/>
              </w:rPr>
              <w:t>一般固体废物执行《一般工业固体废物贮存和填埋污染控制标准》（GB</w:t>
            </w:r>
            <w:r>
              <w:rPr>
                <w:rFonts w:hint="eastAsia"/>
                <w:color w:val="auto"/>
                <w:highlight w:val="none"/>
                <w:lang w:val="en-US" w:eastAsia="zh-CN"/>
              </w:rPr>
              <w:t xml:space="preserve"> </w:t>
            </w:r>
            <w:r>
              <w:rPr>
                <w:rFonts w:hint="eastAsia"/>
                <w:color w:val="auto"/>
                <w:highlight w:val="none"/>
              </w:rPr>
              <w:t>18599-2020）相关规定；危险废物</w:t>
            </w:r>
            <w:r>
              <w:rPr>
                <w:rFonts w:hint="eastAsia"/>
                <w:color w:val="auto"/>
                <w:highlight w:val="none"/>
                <w:lang w:val="en-US" w:eastAsia="zh-CN"/>
              </w:rPr>
              <w:t>暂存</w:t>
            </w:r>
            <w:r>
              <w:rPr>
                <w:rFonts w:hint="eastAsia"/>
                <w:color w:val="auto"/>
                <w:highlight w:val="none"/>
              </w:rPr>
              <w:t>执行《危险废物贮存污染控制标准》（GB</w:t>
            </w:r>
            <w:r>
              <w:rPr>
                <w:rFonts w:hint="eastAsia"/>
                <w:color w:val="auto"/>
                <w:highlight w:val="none"/>
                <w:lang w:val="en-US" w:eastAsia="zh-CN"/>
              </w:rPr>
              <w:t xml:space="preserve"> </w:t>
            </w:r>
            <w:r>
              <w:rPr>
                <w:rFonts w:hint="eastAsia"/>
                <w:color w:val="auto"/>
                <w:highlight w:val="none"/>
              </w:rPr>
              <w:t>18597-2023）中有关规定。</w:t>
            </w:r>
          </w:p>
        </w:tc>
      </w:tr>
      <w:tr w14:paraId="63A80F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5" w:hRule="atLeast"/>
          <w:jc w:val="center"/>
        </w:trPr>
        <w:tc>
          <w:tcPr>
            <w:tcW w:w="251" w:type="pct"/>
            <w:noWrap w:val="0"/>
            <w:vAlign w:val="center"/>
          </w:tcPr>
          <w:p w14:paraId="5E4CB7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总量控制指标</w:t>
            </w:r>
          </w:p>
        </w:tc>
        <w:tc>
          <w:tcPr>
            <w:tcW w:w="4748" w:type="pct"/>
            <w:noWrap w:val="0"/>
            <w:vAlign w:val="center"/>
          </w:tcPr>
          <w:p w14:paraId="4FA74259">
            <w:pPr>
              <w:bidi w:val="0"/>
              <w:rPr>
                <w:rFonts w:hint="eastAsia" w:ascii="宋体" w:hAnsi="宋体" w:eastAsia="宋体" w:cs="宋体"/>
                <w:color w:val="auto"/>
                <w:kern w:val="0"/>
                <w:szCs w:val="24"/>
                <w:highlight w:val="none"/>
                <w:lang w:val="en-US" w:eastAsia="zh-CN"/>
              </w:rPr>
            </w:pPr>
            <w:r>
              <w:rPr>
                <w:rFonts w:hint="eastAsia"/>
                <w:color w:val="auto"/>
                <w:highlight w:val="none"/>
              </w:rPr>
              <w:t>本项目涉及的总量控制指标为</w:t>
            </w:r>
            <w:r>
              <w:rPr>
                <w:rFonts w:hint="eastAsia"/>
                <w:color w:val="auto"/>
                <w:highlight w:val="none"/>
                <w:lang w:val="en-US" w:eastAsia="zh-CN"/>
              </w:rPr>
              <w:t>SO</w:t>
            </w:r>
            <w:r>
              <w:rPr>
                <w:rFonts w:hint="eastAsia"/>
                <w:color w:val="auto"/>
                <w:highlight w:val="none"/>
                <w:vertAlign w:val="subscript"/>
                <w:lang w:val="en-US" w:eastAsia="zh-CN"/>
              </w:rPr>
              <w:t>2</w:t>
            </w:r>
            <w:r>
              <w:rPr>
                <w:rFonts w:hint="eastAsia"/>
                <w:color w:val="auto"/>
                <w:highlight w:val="none"/>
                <w:lang w:val="en-US" w:eastAsia="zh-CN"/>
              </w:rPr>
              <w:t>：3.77</w:t>
            </w:r>
            <w:r>
              <w:rPr>
                <w:rFonts w:hint="eastAsia"/>
                <w:color w:val="auto"/>
                <w:highlight w:val="none"/>
              </w:rPr>
              <w:t>t/a</w:t>
            </w:r>
            <w:r>
              <w:rPr>
                <w:rFonts w:hint="eastAsia"/>
                <w:color w:val="auto"/>
                <w:highlight w:val="none"/>
                <w:lang w:eastAsia="zh-CN"/>
              </w:rPr>
              <w:t>；</w:t>
            </w:r>
            <w:r>
              <w:rPr>
                <w:rFonts w:hint="eastAsia"/>
                <w:color w:val="auto"/>
                <w:highlight w:val="none"/>
              </w:rPr>
              <w:t>NO</w:t>
            </w:r>
            <w:r>
              <w:rPr>
                <w:rFonts w:hint="eastAsia"/>
                <w:color w:val="auto"/>
                <w:highlight w:val="none"/>
                <w:vertAlign w:val="subscript"/>
              </w:rPr>
              <w:t>X</w:t>
            </w:r>
            <w:r>
              <w:rPr>
                <w:rFonts w:hint="eastAsia"/>
                <w:color w:val="auto"/>
                <w:highlight w:val="none"/>
              </w:rPr>
              <w:t>：</w:t>
            </w:r>
            <w:r>
              <w:rPr>
                <w:rFonts w:hint="eastAsia"/>
                <w:color w:val="auto"/>
                <w:highlight w:val="none"/>
                <w:lang w:val="en-US" w:eastAsia="zh-CN"/>
              </w:rPr>
              <w:t>12.97</w:t>
            </w:r>
            <w:r>
              <w:rPr>
                <w:rFonts w:hint="eastAsia"/>
                <w:color w:val="auto"/>
                <w:highlight w:val="none"/>
              </w:rPr>
              <w:t>t/a</w:t>
            </w:r>
            <w:r>
              <w:rPr>
                <w:rFonts w:hint="eastAsia"/>
                <w:color w:val="auto"/>
                <w:highlight w:val="none"/>
                <w:lang w:eastAsia="zh-CN"/>
              </w:rPr>
              <w:t>；</w:t>
            </w:r>
            <w:r>
              <w:rPr>
                <w:rFonts w:hint="eastAsia"/>
                <w:color w:val="auto"/>
                <w:highlight w:val="none"/>
                <w:lang w:val="en-US" w:eastAsia="zh-CN"/>
              </w:rPr>
              <w:t>颗粒物：0.914</w:t>
            </w:r>
            <w:r>
              <w:rPr>
                <w:rFonts w:hint="eastAsia"/>
                <w:color w:val="auto"/>
                <w:highlight w:val="none"/>
              </w:rPr>
              <w:t>t/a</w:t>
            </w:r>
            <w:r>
              <w:rPr>
                <w:rFonts w:hint="eastAsia"/>
                <w:color w:val="auto"/>
                <w:highlight w:val="none"/>
                <w:lang w:eastAsia="zh-CN"/>
              </w:rPr>
              <w:t>；</w:t>
            </w:r>
            <w:r>
              <w:rPr>
                <w:rFonts w:hint="eastAsia"/>
                <w:color w:val="auto"/>
                <w:highlight w:val="none"/>
                <w:lang w:val="en-US" w:eastAsia="zh-CN"/>
              </w:rPr>
              <w:t>挥发性有机物：0</w:t>
            </w:r>
            <w:r>
              <w:rPr>
                <w:rFonts w:hint="eastAsia"/>
                <w:color w:val="auto"/>
                <w:highlight w:val="none"/>
              </w:rPr>
              <w:t>t/a</w:t>
            </w:r>
            <w:r>
              <w:rPr>
                <w:rFonts w:hint="eastAsia"/>
                <w:color w:val="auto"/>
                <w:highlight w:val="none"/>
                <w:lang w:val="en-US" w:eastAsia="zh-CN"/>
              </w:rPr>
              <w:t>。</w:t>
            </w:r>
          </w:p>
        </w:tc>
      </w:tr>
    </w:tbl>
    <w:p w14:paraId="08F45ED0">
      <w:pPr>
        <w:rPr>
          <w:rFonts w:hint="eastAsia"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br w:type="page"/>
      </w:r>
    </w:p>
    <w:p w14:paraId="2E3F2EA8">
      <w:pPr>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四、主要环境影响和保护措施</w:t>
      </w:r>
    </w:p>
    <w:tbl>
      <w:tblPr>
        <w:tblStyle w:val="24"/>
        <w:tblW w:w="881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4"/>
        <w:gridCol w:w="8360"/>
      </w:tblGrid>
      <w:tr w14:paraId="5BE200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656" w:hRule="atLeast"/>
          <w:jc w:val="center"/>
        </w:trPr>
        <w:tc>
          <w:tcPr>
            <w:tcW w:w="454" w:type="dxa"/>
            <w:noWrap w:val="0"/>
            <w:tcMar>
              <w:left w:w="28" w:type="dxa"/>
              <w:right w:w="28" w:type="dxa"/>
            </w:tcMar>
            <w:vAlign w:val="center"/>
          </w:tcPr>
          <w:p w14:paraId="50E0FF45">
            <w:pPr>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cs="宋体"/>
                <w:bCs/>
                <w:color w:val="auto"/>
                <w:kern w:val="2"/>
                <w:sz w:val="24"/>
                <w:szCs w:val="24"/>
                <w:highlight w:val="none"/>
              </w:rPr>
            </w:pPr>
            <w:r>
              <w:rPr>
                <w:rFonts w:hint="eastAsia" w:cs="宋体"/>
                <w:color w:val="auto"/>
                <w:kern w:val="2"/>
                <w:sz w:val="24"/>
                <w:szCs w:val="24"/>
                <w:highlight w:val="none"/>
              </w:rPr>
              <w:t>施工期环境保护措施</w:t>
            </w:r>
          </w:p>
        </w:tc>
        <w:tc>
          <w:tcPr>
            <w:tcW w:w="8360" w:type="dxa"/>
            <w:noWrap w:val="0"/>
            <w:vAlign w:val="center"/>
          </w:tcPr>
          <w:p w14:paraId="2E2DCE8B">
            <w:pPr>
              <w:pStyle w:val="41"/>
              <w:bidi w:val="0"/>
              <w:rPr>
                <w:rFonts w:hint="default"/>
                <w:color w:val="auto"/>
                <w:highlight w:val="none"/>
              </w:rPr>
            </w:pPr>
            <w:r>
              <w:rPr>
                <w:rFonts w:hint="default"/>
                <w:color w:val="auto"/>
                <w:highlight w:val="none"/>
              </w:rPr>
              <w:t>一、施工期大气环境保护措施</w:t>
            </w:r>
          </w:p>
          <w:p w14:paraId="51401518">
            <w:pPr>
              <w:pStyle w:val="8"/>
              <w:rPr>
                <w:color w:val="auto"/>
                <w:highlight w:val="none"/>
              </w:rPr>
            </w:pPr>
            <w:r>
              <w:rPr>
                <w:rFonts w:hint="eastAsia" w:cs="宋体"/>
                <w:color w:val="auto"/>
                <w:sz w:val="24"/>
                <w:highlight w:val="none"/>
                <w:lang w:val="zh-CN" w:bidi="ar"/>
              </w:rPr>
              <w:t>根据</w:t>
            </w:r>
            <w:r>
              <w:rPr>
                <w:color w:val="auto"/>
                <w:spacing w:val="-6"/>
                <w:highlight w:val="none"/>
              </w:rPr>
              <w:t>《榆林市扬尘污染防治条例》</w:t>
            </w:r>
            <w:r>
              <w:rPr>
                <w:rFonts w:hint="eastAsia"/>
                <w:color w:val="auto"/>
                <w:spacing w:val="-6"/>
                <w:highlight w:val="none"/>
              </w:rPr>
              <w:t>、</w:t>
            </w:r>
            <w:r>
              <w:rPr>
                <w:color w:val="auto"/>
                <w:spacing w:val="-6"/>
                <w:highlight w:val="none"/>
              </w:rPr>
              <w:t>《</w:t>
            </w:r>
            <w:r>
              <w:rPr>
                <w:rFonts w:hint="eastAsia"/>
                <w:color w:val="auto"/>
                <w:spacing w:val="-6"/>
                <w:highlight w:val="none"/>
              </w:rPr>
              <w:t>府谷县</w:t>
            </w:r>
            <w:r>
              <w:rPr>
                <w:color w:val="auto"/>
                <w:spacing w:val="-6"/>
                <w:highlight w:val="none"/>
              </w:rPr>
              <w:t>2024年生态环境保护攻坚行动方案》</w:t>
            </w:r>
            <w:r>
              <w:rPr>
                <w:rFonts w:hint="eastAsia" w:ascii="Times New Roman" w:hAnsi="Times New Roman" w:cs="Times New Roman"/>
                <w:b w:val="0"/>
                <w:bCs/>
                <w:color w:val="auto"/>
                <w:spacing w:val="0"/>
                <w:sz w:val="24"/>
                <w:highlight w:val="none"/>
                <w:lang w:val="zh-CN"/>
              </w:rPr>
              <w:t>等文件要求，结合项目施工期特点，本评价提出施工期大气污染防治措施如下：</w:t>
            </w:r>
          </w:p>
          <w:p w14:paraId="126549D3">
            <w:pPr>
              <w:pStyle w:val="41"/>
              <w:numPr>
                <w:ilvl w:val="0"/>
                <w:numId w:val="0"/>
              </w:numPr>
              <w:bidi w:val="0"/>
              <w:ind w:firstLine="482" w:firstLineChars="200"/>
              <w:rPr>
                <w:rFonts w:hint="default"/>
                <w:color w:val="auto"/>
                <w:highlight w:val="none"/>
              </w:rPr>
            </w:pPr>
            <w:r>
              <w:rPr>
                <w:rFonts w:hint="default" w:ascii="Times New Roman" w:hAnsi="Times New Roman" w:eastAsia="宋体" w:cs="Times New Roman"/>
                <w:b/>
                <w:bCs/>
                <w:color w:val="auto"/>
                <w:kern w:val="2"/>
                <w:sz w:val="24"/>
                <w:szCs w:val="24"/>
                <w:highlight w:val="none"/>
                <w:lang w:val="en-US" w:eastAsia="zh-CN" w:bidi="ar-SA"/>
              </w:rPr>
              <w:t>1、</w:t>
            </w:r>
            <w:r>
              <w:rPr>
                <w:rFonts w:hint="default"/>
                <w:color w:val="auto"/>
                <w:highlight w:val="none"/>
              </w:rPr>
              <w:t>扬尘</w:t>
            </w:r>
          </w:p>
          <w:p w14:paraId="55585282">
            <w:pPr>
              <w:pStyle w:val="41"/>
              <w:bidi w:val="0"/>
              <w:rPr>
                <w:rFonts w:hint="default"/>
                <w:color w:val="auto"/>
                <w:highlight w:val="none"/>
                <w:lang w:val="en-US" w:eastAsia="zh-CN"/>
              </w:rPr>
            </w:pPr>
            <w:r>
              <w:rPr>
                <w:rFonts w:hint="eastAsia"/>
                <w:color w:val="auto"/>
                <w:highlight w:val="none"/>
                <w:lang w:eastAsia="zh-CN"/>
              </w:rPr>
              <w:t>（</w:t>
            </w:r>
            <w:r>
              <w:rPr>
                <w:rFonts w:hint="eastAsia"/>
                <w:color w:val="auto"/>
                <w:highlight w:val="none"/>
                <w:lang w:val="en-US" w:eastAsia="zh-CN"/>
              </w:rPr>
              <w:t>1）施工扬尘控制措施</w:t>
            </w:r>
          </w:p>
          <w:p w14:paraId="0106D532">
            <w:pPr>
              <w:bidi w:val="0"/>
              <w:rPr>
                <w:rFonts w:hint="default"/>
                <w:color w:val="auto"/>
                <w:highlight w:val="none"/>
              </w:rPr>
            </w:pPr>
            <w:r>
              <w:rPr>
                <w:rFonts w:hint="default"/>
                <w:color w:val="auto"/>
                <w:highlight w:val="none"/>
              </w:rPr>
              <w:t>为减少施工扬尘对周边环境的影响，施工期采取的具体</w:t>
            </w:r>
            <w:r>
              <w:rPr>
                <w:rFonts w:hint="eastAsia"/>
                <w:color w:val="auto"/>
                <w:highlight w:val="none"/>
                <w:lang w:val="en-US" w:eastAsia="zh-CN"/>
              </w:rPr>
              <w:t>控制</w:t>
            </w:r>
            <w:r>
              <w:rPr>
                <w:rFonts w:hint="default"/>
                <w:color w:val="auto"/>
                <w:highlight w:val="none"/>
              </w:rPr>
              <w:t>措施要求如下：</w:t>
            </w:r>
          </w:p>
          <w:p w14:paraId="14F543A7">
            <w:pPr>
              <w:bidi w:val="0"/>
              <w:rPr>
                <w:rFonts w:hint="default"/>
                <w:color w:val="auto"/>
                <w:highlight w:val="none"/>
              </w:rPr>
            </w:pPr>
            <w:r>
              <w:rPr>
                <w:rFonts w:hint="eastAsia"/>
                <w:color w:val="auto"/>
                <w:highlight w:val="none"/>
                <w:lang w:val="en-US" w:eastAsia="zh-CN"/>
              </w:rPr>
              <w:t>①</w:t>
            </w:r>
            <w:r>
              <w:rPr>
                <w:rFonts w:hint="default"/>
                <w:color w:val="auto"/>
                <w:highlight w:val="none"/>
              </w:rPr>
              <w:t>施工场地做到工地周边围挡、物料裸土覆盖、土方开挖湿法作业、路面硬化、出入车辆清洗、渣土车辆密闭运输</w:t>
            </w:r>
            <w:r>
              <w:rPr>
                <w:rFonts w:hint="eastAsia"/>
                <w:color w:val="auto"/>
                <w:highlight w:val="none"/>
                <w:lang w:eastAsia="zh-CN"/>
              </w:rPr>
              <w:t>“</w:t>
            </w:r>
            <w:r>
              <w:rPr>
                <w:rFonts w:hint="default"/>
                <w:color w:val="auto"/>
                <w:highlight w:val="none"/>
              </w:rPr>
              <w:t>六个百分之百</w:t>
            </w:r>
            <w:r>
              <w:rPr>
                <w:rFonts w:hint="eastAsia"/>
                <w:color w:val="auto"/>
                <w:highlight w:val="none"/>
                <w:lang w:eastAsia="zh-CN"/>
              </w:rPr>
              <w:t>”</w:t>
            </w:r>
            <w:r>
              <w:rPr>
                <w:rFonts w:hint="default"/>
                <w:color w:val="auto"/>
                <w:highlight w:val="none"/>
              </w:rPr>
              <w:t>。地基开挖、桩基施工、渣土运输等施工阶段，采取洒水、覆盖、冲洗等防尘措施；建筑工地四周建设喷淋设施，严控扬尘污染。</w:t>
            </w:r>
          </w:p>
          <w:p w14:paraId="7BB99A74">
            <w:pPr>
              <w:bidi w:val="0"/>
              <w:rPr>
                <w:rFonts w:hint="default"/>
                <w:color w:val="auto"/>
                <w:highlight w:val="none"/>
              </w:rPr>
            </w:pPr>
            <w:r>
              <w:rPr>
                <w:rFonts w:hint="eastAsia"/>
                <w:color w:val="auto"/>
                <w:highlight w:val="none"/>
                <w:lang w:val="en-US" w:eastAsia="zh-CN"/>
              </w:rPr>
              <w:t>②</w:t>
            </w:r>
            <w:r>
              <w:rPr>
                <w:rFonts w:hint="default"/>
                <w:color w:val="auto"/>
                <w:highlight w:val="none"/>
              </w:rPr>
              <w:t>控制道路扬尘污染。加强渣土车运输监管，杜绝超速、超高装载、带泥上路、抛洒泄漏等现象。运输车辆应保持工况良好，采取遮盖、密闭措施；及时清扫散落在路面上的泥土和建筑材料，定时洒水</w:t>
            </w:r>
            <w:r>
              <w:rPr>
                <w:rFonts w:hint="eastAsia"/>
                <w:color w:val="auto"/>
                <w:highlight w:val="none"/>
                <w:lang w:val="en-US" w:eastAsia="zh-CN"/>
              </w:rPr>
              <w:t>抑</w:t>
            </w:r>
            <w:r>
              <w:rPr>
                <w:rFonts w:hint="default"/>
                <w:color w:val="auto"/>
                <w:highlight w:val="none"/>
              </w:rPr>
              <w:t>尘，减少运输扬尘。</w:t>
            </w:r>
          </w:p>
          <w:p w14:paraId="34D3E330">
            <w:pPr>
              <w:bidi w:val="0"/>
              <w:rPr>
                <w:rFonts w:hint="default"/>
                <w:color w:val="auto"/>
                <w:highlight w:val="none"/>
              </w:rPr>
            </w:pPr>
            <w:r>
              <w:rPr>
                <w:rFonts w:hint="eastAsia"/>
                <w:color w:val="auto"/>
                <w:highlight w:val="none"/>
                <w:lang w:val="en-US" w:eastAsia="zh-CN"/>
              </w:rPr>
              <w:t>③</w:t>
            </w:r>
            <w:r>
              <w:rPr>
                <w:rFonts w:hint="default"/>
                <w:color w:val="auto"/>
                <w:highlight w:val="none"/>
              </w:rPr>
              <w:t>施工工地内堆放水泥、灰土、砂石等易产生扬尘污染物料，应当遮盖或者在库房内存放；土方、拆除、铣刨工程作业时应当分段作业，采取洒水压尘措施。</w:t>
            </w:r>
          </w:p>
          <w:p w14:paraId="0F3F80A1">
            <w:pPr>
              <w:bidi w:val="0"/>
              <w:rPr>
                <w:rFonts w:hint="default"/>
                <w:color w:val="auto"/>
                <w:highlight w:val="none"/>
              </w:rPr>
            </w:pPr>
            <w:r>
              <w:rPr>
                <w:rFonts w:hint="eastAsia"/>
                <w:color w:val="auto"/>
                <w:highlight w:val="none"/>
                <w:lang w:val="en-US" w:eastAsia="zh-CN"/>
              </w:rPr>
              <w:t>④</w:t>
            </w:r>
            <w:r>
              <w:rPr>
                <w:rFonts w:hint="default"/>
                <w:color w:val="auto"/>
                <w:highlight w:val="none"/>
              </w:rPr>
              <w:t>严格按照榆林市及府谷县有关控制扬尘污染等规定，强化施工期环境管理，加强全员环保意识宣传和教育，制定合理的施工计划，坚决杜绝粗放式施工现象发生。</w:t>
            </w:r>
          </w:p>
          <w:p w14:paraId="40BBED61">
            <w:pPr>
              <w:bidi w:val="0"/>
              <w:rPr>
                <w:rFonts w:hint="default"/>
                <w:color w:val="auto"/>
                <w:highlight w:val="none"/>
              </w:rPr>
            </w:pPr>
            <w:r>
              <w:rPr>
                <w:rFonts w:hint="eastAsia"/>
                <w:color w:val="auto"/>
                <w:highlight w:val="none"/>
                <w:lang w:val="en-US" w:eastAsia="zh-CN"/>
              </w:rPr>
              <w:t>⑤</w:t>
            </w:r>
            <w:r>
              <w:rPr>
                <w:rFonts w:hint="default"/>
                <w:color w:val="auto"/>
                <w:highlight w:val="none"/>
              </w:rPr>
              <w:t>建筑垃圾要及时运走，以防长期堆放表面干燥而起尘或被雨水冲刷。</w:t>
            </w:r>
          </w:p>
          <w:p w14:paraId="30A6283A">
            <w:pPr>
              <w:bidi w:val="0"/>
              <w:rPr>
                <w:rFonts w:hint="default"/>
                <w:color w:val="auto"/>
                <w:highlight w:val="none"/>
              </w:rPr>
            </w:pPr>
            <w:r>
              <w:rPr>
                <w:rFonts w:hint="eastAsia"/>
                <w:color w:val="auto"/>
                <w:highlight w:val="none"/>
                <w:lang w:val="en-US" w:eastAsia="zh-CN"/>
              </w:rPr>
              <w:t>⑥</w:t>
            </w:r>
            <w:r>
              <w:rPr>
                <w:rFonts w:hint="default"/>
                <w:color w:val="auto"/>
                <w:highlight w:val="none"/>
              </w:rPr>
              <w:t>遇有4级以上大风天气，停止土方施工，并做好遮掩工作，最大限度地减少扬尘；在大风日加大洒水量及洒水次数。</w:t>
            </w:r>
          </w:p>
          <w:p w14:paraId="75B23B1F">
            <w:pPr>
              <w:bidi w:val="0"/>
              <w:rPr>
                <w:rFonts w:hint="eastAsia"/>
                <w:color w:val="auto"/>
                <w:highlight w:val="none"/>
                <w:lang w:val="en-US" w:eastAsia="zh-CN"/>
              </w:rPr>
            </w:pPr>
            <w:r>
              <w:rPr>
                <w:rFonts w:hint="eastAsia"/>
                <w:color w:val="auto"/>
                <w:highlight w:val="none"/>
                <w:lang w:val="en-US" w:eastAsia="zh-CN"/>
              </w:rPr>
              <w:t>在采取上述措施后，项目施工期间对环境空气的影响较小，随施工活动的结束，这些污染也将消失。</w:t>
            </w:r>
          </w:p>
          <w:p w14:paraId="35DE755A">
            <w:pPr>
              <w:pStyle w:val="41"/>
              <w:bidi w:val="0"/>
              <w:rPr>
                <w:color w:val="auto"/>
                <w:highlight w:val="none"/>
              </w:rPr>
            </w:pPr>
            <w:r>
              <w:rPr>
                <w:rFonts w:hint="eastAsia"/>
                <w:color w:val="auto"/>
                <w:highlight w:val="none"/>
              </w:rPr>
              <w:t>（2）</w:t>
            </w:r>
            <w:r>
              <w:rPr>
                <w:color w:val="auto"/>
                <w:highlight w:val="none"/>
              </w:rPr>
              <w:t>运输扬尘控制措施</w:t>
            </w:r>
          </w:p>
          <w:p w14:paraId="6DE82FE2">
            <w:pPr>
              <w:bidi w:val="0"/>
              <w:rPr>
                <w:color w:val="auto"/>
                <w:highlight w:val="none"/>
              </w:rPr>
            </w:pPr>
            <w:r>
              <w:rPr>
                <w:rFonts w:hint="eastAsia"/>
                <w:color w:val="auto"/>
                <w:highlight w:val="none"/>
              </w:rPr>
              <w:t>①</w:t>
            </w:r>
            <w:r>
              <w:rPr>
                <w:color w:val="auto"/>
                <w:highlight w:val="none"/>
              </w:rPr>
              <w:t>多尘物料应使用帆布覆盖，采用封闭的运输车或经过改造的可以封闭的运输车进行运输，防止运输过程中的</w:t>
            </w:r>
            <w:r>
              <w:rPr>
                <w:rFonts w:hint="eastAsia"/>
                <w:color w:val="auto"/>
                <w:highlight w:val="none"/>
              </w:rPr>
              <w:t>扬尘</w:t>
            </w:r>
            <w:r>
              <w:rPr>
                <w:color w:val="auto"/>
                <w:highlight w:val="none"/>
              </w:rPr>
              <w:t>飞扬和洒落；</w:t>
            </w:r>
          </w:p>
          <w:p w14:paraId="01C90CDA">
            <w:pPr>
              <w:bidi w:val="0"/>
              <w:rPr>
                <w:color w:val="auto"/>
                <w:highlight w:val="none"/>
              </w:rPr>
            </w:pPr>
            <w:r>
              <w:rPr>
                <w:rFonts w:hint="eastAsia"/>
                <w:color w:val="auto"/>
                <w:highlight w:val="none"/>
              </w:rPr>
              <w:t>②</w:t>
            </w:r>
            <w:r>
              <w:rPr>
                <w:color w:val="auto"/>
                <w:highlight w:val="none"/>
              </w:rPr>
              <w:t>运输车辆不得超载，被运物料不得含水太多，造成沿途泥浆滴漏，从而影响道路整洁，建筑固废必须及时清运并按照指定的运输线路行驶，送往指定的倾倒地点；</w:t>
            </w:r>
          </w:p>
          <w:p w14:paraId="7893F3C8">
            <w:pPr>
              <w:bidi w:val="0"/>
              <w:rPr>
                <w:color w:val="auto"/>
                <w:highlight w:val="none"/>
              </w:rPr>
            </w:pPr>
            <w:r>
              <w:rPr>
                <w:rFonts w:hint="eastAsia"/>
                <w:color w:val="auto"/>
                <w:highlight w:val="none"/>
              </w:rPr>
              <w:t>③</w:t>
            </w:r>
            <w:r>
              <w:rPr>
                <w:color w:val="auto"/>
                <w:highlight w:val="none"/>
              </w:rPr>
              <w:t>驶离工地的车辆轮胎必须经过清洗，以避免工地泥浆</w:t>
            </w:r>
            <w:r>
              <w:rPr>
                <w:rFonts w:hint="eastAsia"/>
                <w:color w:val="auto"/>
                <w:highlight w:val="none"/>
                <w:lang w:val="en-US" w:eastAsia="zh-CN"/>
              </w:rPr>
              <w:t>带出，影响区域</w:t>
            </w:r>
            <w:r>
              <w:rPr>
                <w:color w:val="auto"/>
                <w:highlight w:val="none"/>
              </w:rPr>
              <w:t>道路环境；</w:t>
            </w:r>
          </w:p>
          <w:p w14:paraId="758EB7CC">
            <w:pPr>
              <w:bidi w:val="0"/>
              <w:rPr>
                <w:color w:val="auto"/>
                <w:spacing w:val="-6"/>
                <w:sz w:val="24"/>
                <w:highlight w:val="none"/>
              </w:rPr>
            </w:pPr>
            <w:r>
              <w:rPr>
                <w:rFonts w:hint="eastAsia"/>
                <w:color w:val="auto"/>
                <w:spacing w:val="-6"/>
                <w:sz w:val="24"/>
                <w:highlight w:val="none"/>
              </w:rPr>
              <w:t>④</w:t>
            </w:r>
            <w:r>
              <w:rPr>
                <w:color w:val="auto"/>
                <w:spacing w:val="-6"/>
                <w:sz w:val="24"/>
                <w:highlight w:val="none"/>
              </w:rPr>
              <w:t>妥善合理地安排工地建筑材料及其它物料的运输时间，控制车辆行驶速度；</w:t>
            </w:r>
          </w:p>
          <w:p w14:paraId="55EFD05A">
            <w:pPr>
              <w:bidi w:val="0"/>
              <w:rPr>
                <w:rFonts w:hint="default"/>
                <w:color w:val="auto"/>
                <w:highlight w:val="none"/>
              </w:rPr>
            </w:pPr>
            <w:r>
              <w:rPr>
                <w:rFonts w:hint="eastAsia"/>
                <w:color w:val="auto"/>
                <w:highlight w:val="none"/>
              </w:rPr>
              <w:t>⑤</w:t>
            </w:r>
            <w:r>
              <w:rPr>
                <w:color w:val="auto"/>
                <w:highlight w:val="none"/>
              </w:rPr>
              <w:t>经常清扫路面，定时适当洒水，保持路面湿润。</w:t>
            </w:r>
          </w:p>
          <w:p w14:paraId="08FC997E">
            <w:pPr>
              <w:pStyle w:val="41"/>
              <w:bidi w:val="0"/>
              <w:rPr>
                <w:rFonts w:hint="default"/>
                <w:color w:val="auto"/>
                <w:highlight w:val="none"/>
                <w:lang w:val="en-US" w:eastAsia="zh-CN"/>
              </w:rPr>
            </w:pPr>
            <w:r>
              <w:rPr>
                <w:rFonts w:hint="eastAsia"/>
                <w:color w:val="auto"/>
                <w:highlight w:val="none"/>
                <w:lang w:val="en-US" w:eastAsia="zh-CN"/>
              </w:rPr>
              <w:t>2、施工机械废气</w:t>
            </w:r>
          </w:p>
          <w:p w14:paraId="3528F365">
            <w:pPr>
              <w:bidi w:val="0"/>
              <w:rPr>
                <w:rFonts w:hint="default" w:eastAsia="宋体"/>
                <w:color w:val="auto"/>
                <w:highlight w:val="none"/>
                <w:lang w:val="en-US" w:eastAsia="zh-CN"/>
              </w:rPr>
            </w:pPr>
            <w:r>
              <w:rPr>
                <w:rFonts w:hint="default"/>
                <w:color w:val="auto"/>
                <w:highlight w:val="none"/>
              </w:rPr>
              <w:t>评价要求非道路移动机械尾气达到《非道路移动机械用柴油机排气污染物排放限值及测量方法（中国第三、四阶段）》（GB</w:t>
            </w:r>
            <w:r>
              <w:rPr>
                <w:rFonts w:hint="eastAsia"/>
                <w:color w:val="auto"/>
                <w:highlight w:val="none"/>
                <w:lang w:val="en-US" w:eastAsia="zh-CN"/>
              </w:rPr>
              <w:t xml:space="preserve"> </w:t>
            </w:r>
            <w:r>
              <w:rPr>
                <w:rFonts w:hint="default"/>
                <w:color w:val="auto"/>
                <w:highlight w:val="none"/>
              </w:rPr>
              <w:t>20891-2014）</w:t>
            </w:r>
            <w:r>
              <w:rPr>
                <w:rFonts w:hint="eastAsia"/>
                <w:color w:val="auto"/>
                <w:highlight w:val="none"/>
                <w:lang w:val="en-US" w:eastAsia="zh-CN"/>
              </w:rPr>
              <w:t>、《非道路柴油移动机械排气烟度限值及测量方法》（GB 36886-2018）</w:t>
            </w:r>
            <w:r>
              <w:rPr>
                <w:color w:val="auto"/>
                <w:highlight w:val="none"/>
              </w:rPr>
              <w:t>和《非道路移动机械污染防治技术政策》（</w:t>
            </w:r>
            <w:r>
              <w:rPr>
                <w:color w:val="auto"/>
                <w:spacing w:val="-6"/>
                <w:sz w:val="24"/>
                <w:highlight w:val="none"/>
              </w:rPr>
              <w:t>生态环境部2018年第34号公告）</w:t>
            </w:r>
            <w:r>
              <w:rPr>
                <w:rFonts w:hint="eastAsia"/>
                <w:color w:val="auto"/>
                <w:highlight w:val="none"/>
                <w:lang w:val="en-US" w:eastAsia="zh-CN"/>
              </w:rPr>
              <w:t>相关要求；</w:t>
            </w:r>
            <w:r>
              <w:rPr>
                <w:rFonts w:hint="eastAsia" w:ascii="Times New Roman" w:hAnsi="Times New Roman" w:eastAsia="宋体" w:cs="宋体"/>
                <w:color w:val="auto"/>
                <w:sz w:val="24"/>
                <w:highlight w:val="none"/>
                <w:lang w:val="zh-CN" w:bidi="ar"/>
              </w:rPr>
              <w:t>建设单位应严格执行《榆林市人民政府关于禁止使用高排放非道路移动机械的通告》要求，在全市行政区域内禁止使用高排放非道路移动机械，禁止使用未编码登记挂牌及环保检测不达标的非道路移动机械。</w:t>
            </w:r>
            <w:r>
              <w:rPr>
                <w:rFonts w:hint="eastAsia" w:ascii="Times New Roman" w:hAnsi="Times New Roman" w:eastAsia="宋体" w:cs="宋体"/>
                <w:color w:val="auto"/>
                <w:sz w:val="24"/>
                <w:highlight w:val="none"/>
                <w:lang w:val="en-US" w:eastAsia="zh-CN" w:bidi="ar"/>
              </w:rPr>
              <w:t>由于施工机械排放的尾气具有流动性、间歇性和短期性，尾气排放量相对较小，</w:t>
            </w:r>
            <w:r>
              <w:rPr>
                <w:rFonts w:hint="default"/>
                <w:color w:val="auto"/>
                <w:highlight w:val="none"/>
              </w:rPr>
              <w:t>同时本项目施工场地开阔，扩散条件良好，因此施工机械废气</w:t>
            </w:r>
            <w:r>
              <w:rPr>
                <w:rFonts w:hint="eastAsia"/>
                <w:color w:val="auto"/>
                <w:highlight w:val="none"/>
                <w:lang w:val="en-US" w:eastAsia="zh-CN"/>
              </w:rPr>
              <w:t>对周围</w:t>
            </w:r>
            <w:r>
              <w:rPr>
                <w:rFonts w:hint="default"/>
                <w:color w:val="auto"/>
                <w:highlight w:val="none"/>
              </w:rPr>
              <w:t>环境影响小。</w:t>
            </w:r>
          </w:p>
          <w:p w14:paraId="0AE77082">
            <w:pPr>
              <w:pStyle w:val="41"/>
              <w:bidi w:val="0"/>
              <w:rPr>
                <w:rFonts w:hint="eastAsia"/>
                <w:color w:val="auto"/>
                <w:highlight w:val="none"/>
                <w:lang w:val="en-US" w:eastAsia="zh-CN"/>
              </w:rPr>
            </w:pPr>
            <w:r>
              <w:rPr>
                <w:rFonts w:hint="eastAsia"/>
                <w:color w:val="auto"/>
                <w:highlight w:val="none"/>
                <w:lang w:val="en-US" w:eastAsia="zh-CN"/>
              </w:rPr>
              <w:t>二、水环境保护措施</w:t>
            </w:r>
          </w:p>
          <w:p w14:paraId="6F3EDDAD">
            <w:pPr>
              <w:pStyle w:val="41"/>
              <w:bidi w:val="0"/>
              <w:rPr>
                <w:rFonts w:hint="eastAsia"/>
                <w:color w:val="auto"/>
                <w:highlight w:val="none"/>
                <w:lang w:val="en-US" w:eastAsia="zh-CN"/>
              </w:rPr>
            </w:pPr>
            <w:r>
              <w:rPr>
                <w:rFonts w:hint="eastAsia"/>
                <w:color w:val="auto"/>
                <w:highlight w:val="none"/>
                <w:lang w:val="en-US" w:eastAsia="zh-CN"/>
              </w:rPr>
              <w:t>1、施工人员生活污水</w:t>
            </w:r>
          </w:p>
          <w:p w14:paraId="4B93F27C">
            <w:pPr>
              <w:bidi w:val="0"/>
              <w:rPr>
                <w:rFonts w:hint="eastAsia"/>
                <w:color w:val="auto"/>
                <w:highlight w:val="none"/>
                <w:lang w:val="en-US" w:eastAsia="zh-CN"/>
              </w:rPr>
            </w:pPr>
            <w:r>
              <w:rPr>
                <w:rFonts w:hint="eastAsia"/>
                <w:color w:val="auto"/>
                <w:highlight w:val="none"/>
                <w:lang w:val="en-US" w:eastAsia="zh-CN"/>
              </w:rPr>
              <w:t>施工期间，施工人员产生生活污水，生活污水主要为盥洗废水，产生量较少，拟采用沉淀处理后回用于施工场地洒水抑尘，不外排。</w:t>
            </w:r>
          </w:p>
          <w:p w14:paraId="16A90161">
            <w:pPr>
              <w:pStyle w:val="41"/>
              <w:bidi w:val="0"/>
              <w:rPr>
                <w:rFonts w:hint="eastAsia"/>
                <w:color w:val="auto"/>
                <w:highlight w:val="none"/>
                <w:lang w:val="en-US" w:eastAsia="zh-CN"/>
              </w:rPr>
            </w:pPr>
            <w:r>
              <w:rPr>
                <w:rFonts w:hint="eastAsia"/>
                <w:color w:val="auto"/>
                <w:highlight w:val="none"/>
                <w:lang w:val="en-US" w:eastAsia="zh-CN"/>
              </w:rPr>
              <w:t>2、施工废水</w:t>
            </w:r>
          </w:p>
          <w:p w14:paraId="0A2949C8">
            <w:pPr>
              <w:bidi w:val="0"/>
              <w:rPr>
                <w:rFonts w:hint="eastAsia"/>
                <w:color w:val="auto"/>
                <w:highlight w:val="none"/>
                <w:lang w:val="en-US" w:eastAsia="zh-CN"/>
              </w:rPr>
            </w:pPr>
            <w:r>
              <w:rPr>
                <w:rFonts w:hint="eastAsia"/>
                <w:color w:val="auto"/>
                <w:highlight w:val="none"/>
                <w:lang w:val="en-US" w:eastAsia="zh-CN"/>
              </w:rPr>
              <w:t>施工生产废水主要污染物为SS，项目拟对施工废水采用自然沉降法进行处理，施工废水由沉淀池收集，经沉淀简单处理后，循环回用，不外排。</w:t>
            </w:r>
          </w:p>
          <w:p w14:paraId="36302ADD">
            <w:pPr>
              <w:bidi w:val="0"/>
              <w:rPr>
                <w:rFonts w:hint="default"/>
                <w:color w:val="auto"/>
                <w:highlight w:val="none"/>
                <w:lang w:val="en-US" w:eastAsia="zh-CN"/>
              </w:rPr>
            </w:pPr>
            <w:r>
              <w:rPr>
                <w:rFonts w:hint="eastAsia"/>
                <w:color w:val="auto"/>
                <w:highlight w:val="none"/>
                <w:lang w:val="en-US" w:eastAsia="zh-CN"/>
              </w:rPr>
              <w:t>综上，项目施工期的废水不外排，因此不会对周围环境产生影响。</w:t>
            </w:r>
          </w:p>
          <w:p w14:paraId="72CC87B3">
            <w:pPr>
              <w:pStyle w:val="41"/>
              <w:bidi w:val="0"/>
              <w:rPr>
                <w:rFonts w:hint="eastAsia"/>
                <w:color w:val="auto"/>
                <w:highlight w:val="none"/>
              </w:rPr>
            </w:pPr>
            <w:r>
              <w:rPr>
                <w:rFonts w:hint="eastAsia"/>
                <w:color w:val="auto"/>
                <w:highlight w:val="none"/>
              </w:rPr>
              <w:t>三、噪声环境保护措施</w:t>
            </w:r>
          </w:p>
          <w:p w14:paraId="69056FA0">
            <w:pPr>
              <w:bidi w:val="0"/>
              <w:rPr>
                <w:rFonts w:hint="eastAsia"/>
                <w:color w:val="auto"/>
                <w:highlight w:val="none"/>
              </w:rPr>
            </w:pPr>
            <w:r>
              <w:rPr>
                <w:rFonts w:hint="eastAsia"/>
                <w:color w:val="auto"/>
                <w:highlight w:val="none"/>
                <w:lang w:val="en-US" w:eastAsia="zh-CN"/>
              </w:rPr>
              <w:t>项目施工噪声主要由施工期运作的机械产生，多为机械性噪声，其特点是具有突发性和间歇性。为减少施工噪声对敏感点的影响，采取如下防治措施：</w:t>
            </w:r>
          </w:p>
          <w:p w14:paraId="588C5405">
            <w:pPr>
              <w:pStyle w:val="41"/>
              <w:bidi w:val="0"/>
              <w:rPr>
                <w:rFonts w:hint="eastAsia"/>
                <w:color w:val="auto"/>
                <w:highlight w:val="none"/>
                <w:lang w:val="en-US" w:eastAsia="zh-CN"/>
              </w:rPr>
            </w:pPr>
            <w:r>
              <w:rPr>
                <w:rFonts w:hint="eastAsia"/>
                <w:color w:val="auto"/>
                <w:highlight w:val="none"/>
                <w:lang w:val="en-US" w:eastAsia="zh-CN"/>
              </w:rPr>
              <w:t>1、合理选择施工机械设备</w:t>
            </w:r>
          </w:p>
          <w:p w14:paraId="2B328DF6">
            <w:pPr>
              <w:bidi w:val="0"/>
              <w:rPr>
                <w:rFonts w:hint="eastAsia"/>
                <w:color w:val="auto"/>
                <w:highlight w:val="none"/>
              </w:rPr>
            </w:pPr>
            <w:r>
              <w:rPr>
                <w:rFonts w:hint="eastAsia"/>
                <w:color w:val="auto"/>
                <w:highlight w:val="none"/>
                <w:lang w:val="en-US" w:eastAsia="zh-CN"/>
              </w:rPr>
              <w:t>施工单位应选用低噪声、低振动的施工机械设备；避免多台高噪声的机械设备在同一场地和同一时间使用；</w:t>
            </w:r>
            <w:r>
              <w:rPr>
                <w:rFonts w:hint="eastAsia"/>
                <w:color w:val="auto"/>
                <w:highlight w:val="none"/>
              </w:rPr>
              <w:t>加强施工机械的</w:t>
            </w:r>
            <w:r>
              <w:rPr>
                <w:rFonts w:hint="eastAsia"/>
                <w:color w:val="auto"/>
                <w:highlight w:val="none"/>
                <w:lang w:val="en-US" w:eastAsia="zh-CN"/>
              </w:rPr>
              <w:t>定期</w:t>
            </w:r>
            <w:r>
              <w:rPr>
                <w:rFonts w:hint="eastAsia"/>
                <w:color w:val="auto"/>
                <w:highlight w:val="none"/>
              </w:rPr>
              <w:t>维护保养，避免由于设备性能差而使机械噪声增大的现象发生</w:t>
            </w:r>
            <w:r>
              <w:rPr>
                <w:rFonts w:hint="eastAsia"/>
                <w:color w:val="auto"/>
                <w:highlight w:val="none"/>
                <w:lang w:val="en-US" w:eastAsia="zh-CN"/>
              </w:rPr>
              <w:t>。</w:t>
            </w:r>
          </w:p>
          <w:p w14:paraId="55BDC434">
            <w:pPr>
              <w:pStyle w:val="41"/>
              <w:bidi w:val="0"/>
              <w:rPr>
                <w:rFonts w:hint="eastAsia"/>
                <w:color w:val="auto"/>
                <w:highlight w:val="none"/>
                <w:lang w:val="en-US" w:eastAsia="zh-CN"/>
              </w:rPr>
            </w:pPr>
            <w:r>
              <w:rPr>
                <w:rFonts w:hint="eastAsia"/>
                <w:color w:val="auto"/>
                <w:highlight w:val="none"/>
                <w:lang w:val="en-US" w:eastAsia="zh-CN"/>
              </w:rPr>
              <w:t>2、合理选择施工时间</w:t>
            </w:r>
          </w:p>
          <w:p w14:paraId="56685E56">
            <w:pPr>
              <w:bidi w:val="0"/>
              <w:rPr>
                <w:rFonts w:hint="eastAsia"/>
                <w:color w:val="auto"/>
                <w:highlight w:val="none"/>
              </w:rPr>
            </w:pPr>
            <w:r>
              <w:rPr>
                <w:rFonts w:hint="eastAsia"/>
                <w:color w:val="auto"/>
                <w:highlight w:val="none"/>
                <w:lang w:val="en-US" w:eastAsia="zh-CN"/>
              </w:rPr>
              <w:t>施工单位应合理安排施工时间，</w:t>
            </w:r>
            <w:r>
              <w:rPr>
                <w:rFonts w:hint="eastAsia"/>
                <w:color w:val="auto"/>
                <w:highlight w:val="none"/>
              </w:rPr>
              <w:t>尽量避免夜间作业</w:t>
            </w:r>
            <w:r>
              <w:rPr>
                <w:rFonts w:hint="eastAsia"/>
                <w:color w:val="auto"/>
                <w:highlight w:val="none"/>
                <w:lang w:eastAsia="zh-CN"/>
              </w:rPr>
              <w:t>，</w:t>
            </w:r>
            <w:r>
              <w:rPr>
                <w:rFonts w:hint="eastAsia"/>
                <w:color w:val="auto"/>
                <w:highlight w:val="none"/>
                <w:lang w:val="en-US" w:eastAsia="zh-CN"/>
              </w:rPr>
              <w:t>需办理夜间施工许可后方可进行施工；</w:t>
            </w:r>
            <w:r>
              <w:rPr>
                <w:rFonts w:hint="eastAsia"/>
                <w:color w:val="auto"/>
                <w:highlight w:val="none"/>
              </w:rPr>
              <w:t>施工物料及设备运入、运出，车辆应尽可能避开夜间（22</w:t>
            </w:r>
            <w:r>
              <w:rPr>
                <w:rFonts w:hint="eastAsia"/>
                <w:color w:val="auto"/>
                <w:highlight w:val="none"/>
                <w:lang w:val="en-US" w:eastAsia="zh-CN"/>
              </w:rPr>
              <w:t>:</w:t>
            </w:r>
            <w:r>
              <w:rPr>
                <w:rFonts w:hint="eastAsia"/>
                <w:color w:val="auto"/>
                <w:highlight w:val="none"/>
              </w:rPr>
              <w:t>00~06</w:t>
            </w:r>
            <w:r>
              <w:rPr>
                <w:rFonts w:hint="eastAsia"/>
                <w:color w:val="auto"/>
                <w:highlight w:val="none"/>
                <w:lang w:val="en-US" w:eastAsia="zh-CN"/>
              </w:rPr>
              <w:t>:</w:t>
            </w:r>
            <w:r>
              <w:rPr>
                <w:rFonts w:hint="eastAsia"/>
                <w:color w:val="auto"/>
                <w:highlight w:val="none"/>
              </w:rPr>
              <w:t>00）运输，避免沿途出现扰民现象。</w:t>
            </w:r>
          </w:p>
          <w:p w14:paraId="2F6990E0">
            <w:pPr>
              <w:pStyle w:val="41"/>
              <w:bidi w:val="0"/>
              <w:rPr>
                <w:rFonts w:hint="eastAsia"/>
                <w:color w:val="auto"/>
                <w:highlight w:val="none"/>
                <w:lang w:val="en-US" w:eastAsia="zh-CN"/>
              </w:rPr>
            </w:pPr>
            <w:r>
              <w:rPr>
                <w:rFonts w:hint="eastAsia"/>
                <w:color w:val="auto"/>
                <w:highlight w:val="none"/>
                <w:lang w:val="en-US" w:eastAsia="zh-CN"/>
              </w:rPr>
              <w:t>3、</w:t>
            </w:r>
            <w:r>
              <w:rPr>
                <w:rFonts w:hint="eastAsia"/>
                <w:color w:val="auto"/>
                <w:highlight w:val="none"/>
              </w:rPr>
              <w:t>采取声屏障措施</w:t>
            </w:r>
          </w:p>
          <w:p w14:paraId="53A89AFC">
            <w:pPr>
              <w:bidi w:val="0"/>
              <w:rPr>
                <w:rFonts w:hint="default" w:eastAsia="宋体"/>
                <w:color w:val="auto"/>
                <w:highlight w:val="none"/>
                <w:lang w:val="en-US" w:eastAsia="zh-CN"/>
              </w:rPr>
            </w:pPr>
            <w:r>
              <w:rPr>
                <w:rFonts w:hint="eastAsia"/>
                <w:color w:val="auto"/>
                <w:highlight w:val="none"/>
                <w:lang w:val="en-US" w:eastAsia="zh-CN"/>
              </w:rPr>
              <w:t>闲置不用的设备应立即关闭，对位置相对固定的机械设备，能在棚内操作的尽量进入棚内操作，不能入棚的可适当建立临时声屏障。</w:t>
            </w:r>
          </w:p>
          <w:p w14:paraId="69443841">
            <w:pPr>
              <w:bidi w:val="0"/>
              <w:rPr>
                <w:rFonts w:hint="default"/>
                <w:color w:val="auto"/>
                <w:highlight w:val="none"/>
                <w:lang w:val="en-US" w:eastAsia="zh-CN"/>
              </w:rPr>
            </w:pPr>
            <w:r>
              <w:rPr>
                <w:rFonts w:hint="eastAsia"/>
                <w:color w:val="auto"/>
                <w:highlight w:val="none"/>
                <w:lang w:val="en-US" w:eastAsia="zh-CN"/>
              </w:rPr>
              <w:t>综上，在采取上述措施后，项目施工噪声对周围声环境影响较小。</w:t>
            </w:r>
          </w:p>
          <w:p w14:paraId="278112F7">
            <w:pPr>
              <w:pStyle w:val="41"/>
              <w:bidi w:val="0"/>
              <w:rPr>
                <w:rFonts w:hint="eastAsia"/>
                <w:color w:val="auto"/>
                <w:highlight w:val="none"/>
              </w:rPr>
            </w:pPr>
            <w:r>
              <w:rPr>
                <w:rFonts w:hint="eastAsia"/>
                <w:color w:val="auto"/>
                <w:highlight w:val="none"/>
              </w:rPr>
              <w:t>四、固体废物保护措施</w:t>
            </w:r>
          </w:p>
          <w:p w14:paraId="611F57EA">
            <w:pPr>
              <w:bidi w:val="0"/>
              <w:rPr>
                <w:rFonts w:hint="default"/>
                <w:color w:val="auto"/>
                <w:highlight w:val="none"/>
              </w:rPr>
            </w:pPr>
            <w:r>
              <w:rPr>
                <w:rFonts w:hint="default"/>
                <w:color w:val="auto"/>
                <w:highlight w:val="none"/>
              </w:rPr>
              <w:t>施工过程产生的建筑垃圾综合利用，</w:t>
            </w:r>
            <w:r>
              <w:rPr>
                <w:rFonts w:hint="default"/>
                <w:color w:val="auto"/>
                <w:highlight w:val="none"/>
                <w:lang w:eastAsia="zh-CN"/>
              </w:rPr>
              <w:t>无法利用的运往指定地点填埋，</w:t>
            </w:r>
            <w:r>
              <w:rPr>
                <w:rFonts w:hint="default"/>
                <w:color w:val="auto"/>
                <w:highlight w:val="none"/>
              </w:rPr>
              <w:t>生活垃圾</w:t>
            </w:r>
            <w:r>
              <w:rPr>
                <w:rFonts w:hint="default"/>
                <w:color w:val="auto"/>
                <w:highlight w:val="none"/>
                <w:lang w:eastAsia="zh-CN"/>
              </w:rPr>
              <w:t>统一收集后由环卫部门</w:t>
            </w:r>
            <w:r>
              <w:rPr>
                <w:rFonts w:hint="default"/>
                <w:color w:val="auto"/>
                <w:highlight w:val="none"/>
              </w:rPr>
              <w:t>处置。项目</w:t>
            </w:r>
            <w:r>
              <w:rPr>
                <w:rFonts w:hint="eastAsia"/>
                <w:color w:val="auto"/>
                <w:highlight w:val="none"/>
                <w:lang w:val="en-US" w:eastAsia="zh-CN"/>
              </w:rPr>
              <w:t>施工期固体废物</w:t>
            </w:r>
            <w:r>
              <w:rPr>
                <w:rFonts w:hint="default"/>
                <w:color w:val="auto"/>
                <w:highlight w:val="none"/>
              </w:rPr>
              <w:t>均得到妥善处置，不会对周围环境产生明显影响。</w:t>
            </w:r>
          </w:p>
          <w:p w14:paraId="27F12787">
            <w:pPr>
              <w:pStyle w:val="41"/>
              <w:bidi w:val="0"/>
              <w:rPr>
                <w:rFonts w:hint="eastAsia"/>
                <w:color w:val="auto"/>
                <w:highlight w:val="none"/>
              </w:rPr>
            </w:pPr>
            <w:r>
              <w:rPr>
                <w:rFonts w:hint="eastAsia"/>
                <w:color w:val="auto"/>
                <w:highlight w:val="none"/>
              </w:rPr>
              <w:t>五、生态环境</w:t>
            </w:r>
          </w:p>
          <w:p w14:paraId="00BEE0D8">
            <w:pPr>
              <w:rPr>
                <w:color w:val="auto"/>
                <w:highlight w:val="none"/>
              </w:rPr>
            </w:pPr>
            <w:r>
              <w:rPr>
                <w:rFonts w:hint="eastAsia"/>
                <w:color w:val="auto"/>
                <w:highlight w:val="none"/>
              </w:rPr>
              <w:t>项目施工期间对项目区生态环境的破坏主要表现为施工造成的水土流失。项目施工过程中</w:t>
            </w:r>
            <w:r>
              <w:rPr>
                <w:rFonts w:hint="eastAsia"/>
                <w:color w:val="auto"/>
                <w:highlight w:val="none"/>
                <w:lang w:val="en-US" w:eastAsia="zh-CN"/>
              </w:rPr>
              <w:t>建议</w:t>
            </w:r>
            <w:r>
              <w:rPr>
                <w:rFonts w:hint="eastAsia"/>
                <w:color w:val="auto"/>
                <w:highlight w:val="none"/>
              </w:rPr>
              <w:t>采取临时排水沟、临时拦挡、临时土工布覆盖等水土保持措施，</w:t>
            </w:r>
            <w:r>
              <w:rPr>
                <w:rFonts w:hint="eastAsia"/>
                <w:color w:val="auto"/>
                <w:highlight w:val="none"/>
                <w:lang w:val="en-US" w:eastAsia="zh-CN"/>
              </w:rPr>
              <w:t>将</w:t>
            </w:r>
            <w:r>
              <w:rPr>
                <w:rFonts w:hint="eastAsia"/>
                <w:color w:val="auto"/>
                <w:highlight w:val="none"/>
              </w:rPr>
              <w:t>施工期水土流失控制在可接受范围。</w:t>
            </w:r>
          </w:p>
        </w:tc>
      </w:tr>
      <w:tr w14:paraId="1CC917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 w:type="dxa"/>
            <w:noWrap w:val="0"/>
            <w:tcMar>
              <w:left w:w="28" w:type="dxa"/>
              <w:right w:w="28" w:type="dxa"/>
            </w:tcMar>
            <w:vAlign w:val="center"/>
          </w:tcPr>
          <w:p w14:paraId="0560098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运营期环境影响和保护措施</w:t>
            </w:r>
          </w:p>
        </w:tc>
        <w:tc>
          <w:tcPr>
            <w:tcW w:w="8360" w:type="dxa"/>
            <w:noWrap w:val="0"/>
            <w:vAlign w:val="center"/>
          </w:tcPr>
          <w:p w14:paraId="0FC44AA3">
            <w:pPr>
              <w:pStyle w:val="41"/>
              <w:bidi w:val="0"/>
              <w:rPr>
                <w:color w:val="auto"/>
                <w:highlight w:val="none"/>
              </w:rPr>
            </w:pPr>
            <w:r>
              <w:rPr>
                <w:rFonts w:hint="eastAsia"/>
                <w:color w:val="auto"/>
                <w:highlight w:val="none"/>
                <w:lang w:val="en-US" w:eastAsia="zh-CN"/>
              </w:rPr>
              <w:t>一、</w:t>
            </w:r>
            <w:r>
              <w:rPr>
                <w:color w:val="auto"/>
                <w:highlight w:val="none"/>
              </w:rPr>
              <w:t>废气环境影响和保护措施</w:t>
            </w:r>
          </w:p>
          <w:p w14:paraId="642A1F03">
            <w:pPr>
              <w:pStyle w:val="41"/>
              <w:bidi w:val="0"/>
              <w:rPr>
                <w:rFonts w:hint="eastAsia"/>
                <w:color w:val="auto"/>
                <w:highlight w:val="none"/>
                <w:lang w:val="en-US" w:eastAsia="zh-CN"/>
              </w:rPr>
            </w:pPr>
            <w:r>
              <w:rPr>
                <w:rFonts w:hint="eastAsia"/>
                <w:color w:val="auto"/>
                <w:highlight w:val="none"/>
                <w:lang w:val="en-US" w:eastAsia="zh-CN"/>
              </w:rPr>
              <w:t>1、废气排放情况</w:t>
            </w:r>
          </w:p>
          <w:p w14:paraId="3F72A346">
            <w:pPr>
              <w:bidi w:val="0"/>
              <w:rPr>
                <w:rFonts w:hint="eastAsia" w:ascii="Times New Roman" w:eastAsia="宋体"/>
                <w:color w:val="auto"/>
                <w:sz w:val="24"/>
                <w:highlight w:val="none"/>
                <w:lang w:val="en-US" w:eastAsia="zh-CN"/>
              </w:rPr>
            </w:pPr>
            <w:r>
              <w:rPr>
                <w:rFonts w:hint="eastAsia" w:ascii="Times New Roman" w:eastAsia="宋体"/>
                <w:color w:val="auto"/>
                <w:sz w:val="24"/>
                <w:highlight w:val="none"/>
              </w:rPr>
              <w:t>本项目建成后，</w:t>
            </w:r>
            <w:r>
              <w:rPr>
                <w:rFonts w:ascii="Times New Roman" w:eastAsia="宋体"/>
                <w:color w:val="auto"/>
                <w:sz w:val="24"/>
                <w:highlight w:val="none"/>
              </w:rPr>
              <w:t>废气污染物排放源情况详见</w:t>
            </w:r>
            <w:r>
              <w:rPr>
                <w:rFonts w:hint="eastAsia" w:ascii="Times New Roman" w:eastAsia="宋体"/>
                <w:color w:val="auto"/>
                <w:sz w:val="24"/>
                <w:highlight w:val="none"/>
                <w:lang w:val="en-US" w:eastAsia="zh-CN"/>
              </w:rPr>
              <w:fldChar w:fldCharType="begin"/>
            </w:r>
            <w:r>
              <w:rPr>
                <w:rFonts w:hint="eastAsia" w:ascii="Times New Roman" w:eastAsia="宋体"/>
                <w:color w:val="auto"/>
                <w:sz w:val="24"/>
                <w:highlight w:val="none"/>
                <w:lang w:val="en-US" w:eastAsia="zh-CN"/>
              </w:rPr>
              <w:instrText xml:space="preserve"> REF _Ref924 \h </w:instrText>
            </w:r>
            <w:r>
              <w:rPr>
                <w:rFonts w:hint="eastAsia" w:ascii="Times New Roman" w:eastAsia="宋体"/>
                <w:color w:val="auto"/>
                <w:sz w:val="24"/>
                <w:highlight w:val="none"/>
                <w:lang w:val="en-US" w:eastAsia="zh-CN"/>
              </w:rPr>
              <w:fldChar w:fldCharType="separate"/>
            </w:r>
            <w:r>
              <w:rPr>
                <w:color w:val="auto"/>
                <w:highlight w:val="none"/>
              </w:rPr>
              <w:t>表4-1</w:t>
            </w:r>
            <w:r>
              <w:rPr>
                <w:rFonts w:hint="eastAsia" w:ascii="Times New Roman" w:eastAsia="宋体"/>
                <w:color w:val="auto"/>
                <w:sz w:val="24"/>
                <w:highlight w:val="none"/>
                <w:lang w:val="en-US" w:eastAsia="zh-CN"/>
              </w:rPr>
              <w:fldChar w:fldCharType="end"/>
            </w:r>
            <w:r>
              <w:rPr>
                <w:rFonts w:hint="eastAsia"/>
                <w:color w:val="auto"/>
                <w:sz w:val="24"/>
                <w:highlight w:val="none"/>
                <w:lang w:val="en-US" w:eastAsia="zh-CN"/>
              </w:rPr>
              <w:t>和</w:t>
            </w:r>
            <w:r>
              <w:rPr>
                <w:rFonts w:hint="eastAsia"/>
                <w:color w:val="auto"/>
                <w:sz w:val="24"/>
                <w:highlight w:val="none"/>
                <w:lang w:val="en-US" w:eastAsia="zh-CN"/>
              </w:rPr>
              <w:fldChar w:fldCharType="begin"/>
            </w:r>
            <w:r>
              <w:rPr>
                <w:rFonts w:hint="eastAsia"/>
                <w:color w:val="auto"/>
                <w:sz w:val="24"/>
                <w:highlight w:val="none"/>
                <w:lang w:val="en-US" w:eastAsia="zh-CN"/>
              </w:rPr>
              <w:instrText xml:space="preserve"> REF _Ref12138 \h </w:instrText>
            </w:r>
            <w:r>
              <w:rPr>
                <w:rFonts w:hint="eastAsia"/>
                <w:color w:val="auto"/>
                <w:sz w:val="24"/>
                <w:highlight w:val="none"/>
                <w:lang w:val="en-US" w:eastAsia="zh-CN"/>
              </w:rPr>
              <w:fldChar w:fldCharType="separate"/>
            </w:r>
            <w:r>
              <w:rPr>
                <w:color w:val="auto"/>
                <w:highlight w:val="none"/>
              </w:rPr>
              <w:t>表4-2</w:t>
            </w:r>
            <w:r>
              <w:rPr>
                <w:rFonts w:hint="eastAsia"/>
                <w:color w:val="auto"/>
                <w:sz w:val="24"/>
                <w:highlight w:val="none"/>
                <w:lang w:val="en-US" w:eastAsia="zh-CN"/>
              </w:rPr>
              <w:fldChar w:fldCharType="end"/>
            </w:r>
            <w:r>
              <w:rPr>
                <w:rFonts w:hint="eastAsia" w:ascii="Times New Roman" w:eastAsia="宋体"/>
                <w:color w:val="auto"/>
                <w:sz w:val="24"/>
                <w:highlight w:val="none"/>
                <w:lang w:val="en-US" w:eastAsia="zh-CN"/>
              </w:rPr>
              <w:t>。</w:t>
            </w:r>
          </w:p>
          <w:p w14:paraId="6B628D51">
            <w:pPr>
              <w:bidi w:val="0"/>
              <w:rPr>
                <w:rFonts w:hint="eastAsia" w:ascii="Times New Roman" w:eastAsia="宋体"/>
                <w:color w:val="auto"/>
                <w:sz w:val="24"/>
                <w:highlight w:val="none"/>
                <w:lang w:val="en-US" w:eastAsia="zh-CN"/>
              </w:rPr>
            </w:pPr>
          </w:p>
          <w:p w14:paraId="7A39B358">
            <w:pPr>
              <w:bidi w:val="0"/>
              <w:rPr>
                <w:rFonts w:hint="eastAsia" w:ascii="Times New Roman" w:eastAsia="宋体"/>
                <w:color w:val="auto"/>
                <w:sz w:val="24"/>
                <w:highlight w:val="none"/>
                <w:lang w:val="en-US" w:eastAsia="zh-CN"/>
              </w:rPr>
            </w:pPr>
          </w:p>
          <w:p w14:paraId="283D2BB6">
            <w:pPr>
              <w:bidi w:val="0"/>
              <w:rPr>
                <w:rFonts w:hint="eastAsia" w:ascii="Times New Roman" w:eastAsia="宋体"/>
                <w:color w:val="auto"/>
                <w:sz w:val="24"/>
                <w:highlight w:val="none"/>
                <w:lang w:val="en-US" w:eastAsia="zh-CN"/>
              </w:rPr>
            </w:pPr>
          </w:p>
          <w:p w14:paraId="3D257597">
            <w:pPr>
              <w:bidi w:val="0"/>
              <w:rPr>
                <w:rFonts w:hint="eastAsia" w:ascii="Times New Roman" w:eastAsia="宋体"/>
                <w:color w:val="auto"/>
                <w:sz w:val="24"/>
                <w:highlight w:val="none"/>
                <w:lang w:val="en-US" w:eastAsia="zh-CN"/>
              </w:rPr>
            </w:pPr>
          </w:p>
          <w:p w14:paraId="2B6FE558">
            <w:pPr>
              <w:pStyle w:val="7"/>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lang w:val="en-US" w:eastAsia="zh-CN"/>
              </w:rPr>
            </w:pPr>
            <w:bookmarkStart w:id="51" w:name="_Ref924"/>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1</w:t>
            </w:r>
            <w:r>
              <w:rPr>
                <w:color w:val="auto"/>
                <w:highlight w:val="none"/>
              </w:rPr>
              <w:fldChar w:fldCharType="end"/>
            </w:r>
            <w:bookmarkEnd w:id="51"/>
            <w:r>
              <w:rPr>
                <w:rFonts w:hint="eastAsia"/>
                <w:color w:val="auto"/>
                <w:highlight w:val="none"/>
                <w:lang w:val="en-US" w:eastAsia="zh-CN"/>
              </w:rPr>
              <w:t xml:space="preserve">  </w:t>
            </w:r>
            <w:r>
              <w:rPr>
                <w:color w:val="auto"/>
                <w:highlight w:val="none"/>
              </w:rPr>
              <w:t>废气污染源排放情况表</w:t>
            </w:r>
          </w:p>
          <w:tbl>
            <w:tblPr>
              <w:tblStyle w:val="24"/>
              <w:tblW w:w="499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539"/>
              <w:gridCol w:w="912"/>
              <w:gridCol w:w="669"/>
              <w:gridCol w:w="831"/>
              <w:gridCol w:w="750"/>
              <w:gridCol w:w="715"/>
              <w:gridCol w:w="754"/>
              <w:gridCol w:w="643"/>
              <w:gridCol w:w="900"/>
              <w:gridCol w:w="646"/>
              <w:gridCol w:w="744"/>
            </w:tblGrid>
            <w:tr w14:paraId="429C64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2" w:type="pct"/>
                  <w:vMerge w:val="restart"/>
                  <w:tcBorders>
                    <w:tl2br w:val="nil"/>
                    <w:tr2bl w:val="nil"/>
                  </w:tcBorders>
                  <w:noWrap w:val="0"/>
                  <w:vAlign w:val="center"/>
                </w:tcPr>
                <w:p w14:paraId="1EEE73DB">
                  <w:pPr>
                    <w:pStyle w:val="40"/>
                    <w:bidi w:val="0"/>
                    <w:rPr>
                      <w:color w:val="auto"/>
                      <w:spacing w:val="-11"/>
                      <w:sz w:val="21"/>
                      <w:highlight w:val="none"/>
                    </w:rPr>
                  </w:pPr>
                  <w:r>
                    <w:rPr>
                      <w:color w:val="auto"/>
                      <w:spacing w:val="-11"/>
                      <w:sz w:val="21"/>
                      <w:highlight w:val="none"/>
                    </w:rPr>
                    <w:t>编号</w:t>
                  </w:r>
                </w:p>
              </w:tc>
              <w:tc>
                <w:tcPr>
                  <w:tcW w:w="562" w:type="pct"/>
                  <w:vMerge w:val="restart"/>
                  <w:tcBorders>
                    <w:tl2br w:val="nil"/>
                    <w:tr2bl w:val="nil"/>
                  </w:tcBorders>
                  <w:noWrap w:val="0"/>
                  <w:vAlign w:val="center"/>
                </w:tcPr>
                <w:p w14:paraId="5BD7FB19">
                  <w:pPr>
                    <w:pStyle w:val="40"/>
                    <w:bidi w:val="0"/>
                    <w:rPr>
                      <w:color w:val="auto"/>
                      <w:spacing w:val="-11"/>
                      <w:sz w:val="21"/>
                      <w:highlight w:val="none"/>
                    </w:rPr>
                  </w:pPr>
                  <w:r>
                    <w:rPr>
                      <w:color w:val="auto"/>
                      <w:spacing w:val="-11"/>
                      <w:sz w:val="21"/>
                      <w:highlight w:val="none"/>
                    </w:rPr>
                    <w:t>污染源</w:t>
                  </w:r>
                </w:p>
              </w:tc>
              <w:tc>
                <w:tcPr>
                  <w:tcW w:w="412" w:type="pct"/>
                  <w:vMerge w:val="restart"/>
                  <w:tcBorders>
                    <w:tl2br w:val="nil"/>
                    <w:tr2bl w:val="nil"/>
                  </w:tcBorders>
                  <w:noWrap w:val="0"/>
                  <w:vAlign w:val="center"/>
                </w:tcPr>
                <w:p w14:paraId="588EEF44">
                  <w:pPr>
                    <w:pStyle w:val="40"/>
                    <w:bidi w:val="0"/>
                    <w:rPr>
                      <w:color w:val="auto"/>
                      <w:spacing w:val="-6"/>
                      <w:sz w:val="21"/>
                      <w:highlight w:val="none"/>
                    </w:rPr>
                  </w:pPr>
                  <w:r>
                    <w:rPr>
                      <w:color w:val="auto"/>
                      <w:spacing w:val="-6"/>
                      <w:sz w:val="21"/>
                      <w:highlight w:val="none"/>
                    </w:rPr>
                    <w:t>污染物种类</w:t>
                  </w:r>
                </w:p>
              </w:tc>
              <w:tc>
                <w:tcPr>
                  <w:tcW w:w="512" w:type="pct"/>
                  <w:vMerge w:val="restart"/>
                  <w:tcBorders>
                    <w:tl2br w:val="nil"/>
                    <w:tr2bl w:val="nil"/>
                  </w:tcBorders>
                  <w:noWrap w:val="0"/>
                  <w:vAlign w:val="center"/>
                </w:tcPr>
                <w:p w14:paraId="5ABB9612">
                  <w:pPr>
                    <w:pStyle w:val="40"/>
                    <w:bidi w:val="0"/>
                    <w:rPr>
                      <w:color w:val="auto"/>
                      <w:spacing w:val="-6"/>
                      <w:sz w:val="21"/>
                      <w:highlight w:val="none"/>
                    </w:rPr>
                  </w:pPr>
                  <w:r>
                    <w:rPr>
                      <w:color w:val="auto"/>
                      <w:spacing w:val="-6"/>
                      <w:sz w:val="21"/>
                      <w:highlight w:val="none"/>
                    </w:rPr>
                    <w:t>产生量</w:t>
                  </w:r>
                </w:p>
                <w:p w14:paraId="0BC4872E">
                  <w:pPr>
                    <w:pStyle w:val="40"/>
                    <w:bidi w:val="0"/>
                    <w:rPr>
                      <w:color w:val="auto"/>
                      <w:spacing w:val="-6"/>
                      <w:sz w:val="21"/>
                      <w:highlight w:val="none"/>
                    </w:rPr>
                  </w:pPr>
                  <w:r>
                    <w:rPr>
                      <w:color w:val="auto"/>
                      <w:spacing w:val="-6"/>
                      <w:sz w:val="21"/>
                      <w:highlight w:val="none"/>
                    </w:rPr>
                    <w:t>t/a</w:t>
                  </w:r>
                </w:p>
              </w:tc>
              <w:tc>
                <w:tcPr>
                  <w:tcW w:w="462" w:type="pct"/>
                  <w:vMerge w:val="restart"/>
                  <w:tcBorders>
                    <w:tl2br w:val="nil"/>
                    <w:tr2bl w:val="nil"/>
                  </w:tcBorders>
                  <w:noWrap w:val="0"/>
                  <w:vAlign w:val="center"/>
                </w:tcPr>
                <w:p w14:paraId="0596D84B">
                  <w:pPr>
                    <w:pStyle w:val="40"/>
                    <w:bidi w:val="0"/>
                    <w:rPr>
                      <w:color w:val="auto"/>
                      <w:spacing w:val="-6"/>
                      <w:sz w:val="21"/>
                      <w:highlight w:val="none"/>
                    </w:rPr>
                  </w:pPr>
                  <w:r>
                    <w:rPr>
                      <w:color w:val="auto"/>
                      <w:spacing w:val="-6"/>
                      <w:sz w:val="21"/>
                      <w:highlight w:val="none"/>
                    </w:rPr>
                    <w:t>产生</w:t>
                  </w:r>
                </w:p>
                <w:p w14:paraId="66C68B76">
                  <w:pPr>
                    <w:pStyle w:val="40"/>
                    <w:bidi w:val="0"/>
                    <w:rPr>
                      <w:color w:val="auto"/>
                      <w:spacing w:val="-6"/>
                      <w:sz w:val="21"/>
                      <w:highlight w:val="none"/>
                    </w:rPr>
                  </w:pPr>
                  <w:r>
                    <w:rPr>
                      <w:color w:val="auto"/>
                      <w:spacing w:val="-6"/>
                      <w:sz w:val="21"/>
                      <w:highlight w:val="none"/>
                    </w:rPr>
                    <w:t>浓度mg/m</w:t>
                  </w:r>
                  <w:r>
                    <w:rPr>
                      <w:color w:val="auto"/>
                      <w:spacing w:val="-6"/>
                      <w:sz w:val="21"/>
                      <w:highlight w:val="none"/>
                      <w:vertAlign w:val="superscript"/>
                    </w:rPr>
                    <w:t>3</w:t>
                  </w:r>
                </w:p>
              </w:tc>
              <w:tc>
                <w:tcPr>
                  <w:tcW w:w="441" w:type="pct"/>
                  <w:vMerge w:val="restart"/>
                  <w:tcBorders>
                    <w:tl2br w:val="nil"/>
                    <w:tr2bl w:val="nil"/>
                  </w:tcBorders>
                  <w:noWrap w:val="0"/>
                  <w:vAlign w:val="center"/>
                </w:tcPr>
                <w:p w14:paraId="4349F523">
                  <w:pPr>
                    <w:pStyle w:val="40"/>
                    <w:bidi w:val="0"/>
                    <w:rPr>
                      <w:color w:val="auto"/>
                      <w:spacing w:val="-6"/>
                      <w:sz w:val="21"/>
                      <w:highlight w:val="none"/>
                    </w:rPr>
                  </w:pPr>
                  <w:r>
                    <w:rPr>
                      <w:color w:val="auto"/>
                      <w:spacing w:val="-6"/>
                      <w:sz w:val="21"/>
                      <w:highlight w:val="none"/>
                    </w:rPr>
                    <w:t>排放</w:t>
                  </w:r>
                </w:p>
                <w:p w14:paraId="4E58B162">
                  <w:pPr>
                    <w:pStyle w:val="40"/>
                    <w:bidi w:val="0"/>
                    <w:rPr>
                      <w:color w:val="auto"/>
                      <w:spacing w:val="-6"/>
                      <w:sz w:val="21"/>
                      <w:highlight w:val="none"/>
                    </w:rPr>
                  </w:pPr>
                  <w:r>
                    <w:rPr>
                      <w:color w:val="auto"/>
                      <w:spacing w:val="-6"/>
                      <w:sz w:val="21"/>
                      <w:highlight w:val="none"/>
                    </w:rPr>
                    <w:t>形式</w:t>
                  </w:r>
                </w:p>
              </w:tc>
              <w:tc>
                <w:tcPr>
                  <w:tcW w:w="862" w:type="pct"/>
                  <w:gridSpan w:val="2"/>
                  <w:tcBorders>
                    <w:tl2br w:val="nil"/>
                    <w:tr2bl w:val="nil"/>
                  </w:tcBorders>
                  <w:noWrap w:val="0"/>
                  <w:vAlign w:val="center"/>
                </w:tcPr>
                <w:p w14:paraId="7C5132D3">
                  <w:pPr>
                    <w:pStyle w:val="40"/>
                    <w:bidi w:val="0"/>
                    <w:rPr>
                      <w:color w:val="auto"/>
                      <w:spacing w:val="-6"/>
                      <w:sz w:val="21"/>
                      <w:highlight w:val="none"/>
                    </w:rPr>
                  </w:pPr>
                  <w:r>
                    <w:rPr>
                      <w:color w:val="auto"/>
                      <w:spacing w:val="-6"/>
                      <w:sz w:val="21"/>
                      <w:highlight w:val="none"/>
                    </w:rPr>
                    <w:t>治理设施</w:t>
                  </w:r>
                </w:p>
              </w:tc>
              <w:tc>
                <w:tcPr>
                  <w:tcW w:w="555" w:type="pct"/>
                  <w:vMerge w:val="restart"/>
                  <w:tcBorders>
                    <w:tl2br w:val="nil"/>
                    <w:tr2bl w:val="nil"/>
                  </w:tcBorders>
                  <w:noWrap w:val="0"/>
                  <w:vAlign w:val="center"/>
                </w:tcPr>
                <w:p w14:paraId="78C1CE80">
                  <w:pPr>
                    <w:pStyle w:val="40"/>
                    <w:bidi w:val="0"/>
                    <w:rPr>
                      <w:color w:val="auto"/>
                      <w:spacing w:val="-6"/>
                      <w:sz w:val="21"/>
                      <w:highlight w:val="none"/>
                      <w:vertAlign w:val="superscript"/>
                    </w:rPr>
                  </w:pPr>
                  <w:r>
                    <w:rPr>
                      <w:color w:val="auto"/>
                      <w:spacing w:val="-6"/>
                      <w:sz w:val="21"/>
                      <w:highlight w:val="none"/>
                    </w:rPr>
                    <w:t>排放浓度mg/m</w:t>
                  </w:r>
                  <w:r>
                    <w:rPr>
                      <w:color w:val="auto"/>
                      <w:spacing w:val="-6"/>
                      <w:sz w:val="21"/>
                      <w:highlight w:val="none"/>
                      <w:vertAlign w:val="superscript"/>
                    </w:rPr>
                    <w:t>3</w:t>
                  </w:r>
                </w:p>
                <w:p w14:paraId="4B934501">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/排放速率</w:t>
                  </w:r>
                  <w:r>
                    <w:rPr>
                      <w:rFonts w:hint="eastAsia"/>
                      <w:color w:val="auto"/>
                      <w:spacing w:val="-6"/>
                      <w:sz w:val="21"/>
                      <w:highlight w:val="none"/>
                      <w:vertAlign w:val="baseline"/>
                      <w:lang w:val="en-US" w:eastAsia="zh-CN"/>
                    </w:rPr>
                    <w:t>kg/h</w:t>
                  </w:r>
                </w:p>
              </w:tc>
              <w:tc>
                <w:tcPr>
                  <w:tcW w:w="398" w:type="pct"/>
                  <w:vMerge w:val="restart"/>
                  <w:tcBorders>
                    <w:tl2br w:val="nil"/>
                    <w:tr2bl w:val="nil"/>
                  </w:tcBorders>
                  <w:noWrap w:val="0"/>
                  <w:vAlign w:val="center"/>
                </w:tcPr>
                <w:p w14:paraId="2F71E35C">
                  <w:pPr>
                    <w:pStyle w:val="40"/>
                    <w:bidi w:val="0"/>
                    <w:rPr>
                      <w:color w:val="auto"/>
                      <w:spacing w:val="-6"/>
                      <w:sz w:val="21"/>
                      <w:highlight w:val="none"/>
                    </w:rPr>
                  </w:pPr>
                  <w:r>
                    <w:rPr>
                      <w:color w:val="auto"/>
                      <w:spacing w:val="-6"/>
                      <w:sz w:val="21"/>
                      <w:highlight w:val="none"/>
                    </w:rPr>
                    <w:t>排放量</w:t>
                  </w:r>
                </w:p>
                <w:p w14:paraId="507E64F9">
                  <w:pPr>
                    <w:pStyle w:val="40"/>
                    <w:bidi w:val="0"/>
                    <w:rPr>
                      <w:color w:val="auto"/>
                      <w:spacing w:val="-6"/>
                      <w:sz w:val="21"/>
                      <w:highlight w:val="none"/>
                    </w:rPr>
                  </w:pPr>
                  <w:r>
                    <w:rPr>
                      <w:color w:val="auto"/>
                      <w:spacing w:val="-6"/>
                      <w:sz w:val="21"/>
                      <w:highlight w:val="none"/>
                    </w:rPr>
                    <w:t>t/a</w:t>
                  </w:r>
                </w:p>
              </w:tc>
              <w:tc>
                <w:tcPr>
                  <w:tcW w:w="459" w:type="pct"/>
                  <w:vMerge w:val="restart"/>
                  <w:tcBorders>
                    <w:tl2br w:val="nil"/>
                    <w:tr2bl w:val="nil"/>
                  </w:tcBorders>
                  <w:noWrap w:val="0"/>
                  <w:vAlign w:val="center"/>
                </w:tcPr>
                <w:p w14:paraId="6FECC9AC">
                  <w:pPr>
                    <w:pStyle w:val="40"/>
                    <w:bidi w:val="0"/>
                    <w:rPr>
                      <w:rFonts w:hint="eastAsia" w:eastAsia="宋体"/>
                      <w:color w:val="auto"/>
                      <w:spacing w:val="-11"/>
                      <w:sz w:val="21"/>
                      <w:highlight w:val="none"/>
                      <w:lang w:val="en-US" w:eastAsia="zh-CN"/>
                    </w:rPr>
                  </w:pPr>
                  <w:r>
                    <w:rPr>
                      <w:color w:val="auto"/>
                      <w:spacing w:val="-11"/>
                      <w:sz w:val="21"/>
                      <w:highlight w:val="none"/>
                    </w:rPr>
                    <w:t>排气筒</w:t>
                  </w:r>
                  <w:r>
                    <w:rPr>
                      <w:rFonts w:hint="eastAsia"/>
                      <w:color w:val="auto"/>
                      <w:spacing w:val="-11"/>
                      <w:sz w:val="21"/>
                      <w:highlight w:val="none"/>
                      <w:lang w:val="en-US" w:eastAsia="zh-CN"/>
                    </w:rPr>
                    <w:t>编号</w:t>
                  </w:r>
                </w:p>
              </w:tc>
            </w:tr>
            <w:tr w14:paraId="457E83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2" w:type="pct"/>
                  <w:vMerge w:val="continue"/>
                  <w:tcBorders>
                    <w:tl2br w:val="nil"/>
                    <w:tr2bl w:val="nil"/>
                  </w:tcBorders>
                  <w:noWrap w:val="0"/>
                  <w:vAlign w:val="center"/>
                </w:tcPr>
                <w:p w14:paraId="10EDC0DA">
                  <w:pPr>
                    <w:pStyle w:val="40"/>
                    <w:bidi w:val="0"/>
                    <w:rPr>
                      <w:color w:val="auto"/>
                      <w:spacing w:val="-11"/>
                      <w:sz w:val="21"/>
                      <w:highlight w:val="none"/>
                    </w:rPr>
                  </w:pPr>
                </w:p>
              </w:tc>
              <w:tc>
                <w:tcPr>
                  <w:tcW w:w="562" w:type="pct"/>
                  <w:vMerge w:val="continue"/>
                  <w:tcBorders>
                    <w:tl2br w:val="nil"/>
                    <w:tr2bl w:val="nil"/>
                  </w:tcBorders>
                  <w:noWrap w:val="0"/>
                  <w:vAlign w:val="center"/>
                </w:tcPr>
                <w:p w14:paraId="1824A5E2">
                  <w:pPr>
                    <w:pStyle w:val="40"/>
                    <w:bidi w:val="0"/>
                    <w:rPr>
                      <w:color w:val="auto"/>
                      <w:spacing w:val="-11"/>
                      <w:sz w:val="21"/>
                      <w:highlight w:val="none"/>
                    </w:rPr>
                  </w:pPr>
                </w:p>
              </w:tc>
              <w:tc>
                <w:tcPr>
                  <w:tcW w:w="412" w:type="pct"/>
                  <w:vMerge w:val="continue"/>
                  <w:tcBorders>
                    <w:tl2br w:val="nil"/>
                    <w:tr2bl w:val="nil"/>
                  </w:tcBorders>
                  <w:noWrap w:val="0"/>
                  <w:vAlign w:val="center"/>
                </w:tcPr>
                <w:p w14:paraId="7C795A35">
                  <w:pPr>
                    <w:pStyle w:val="40"/>
                    <w:bidi w:val="0"/>
                    <w:rPr>
                      <w:color w:val="auto"/>
                      <w:spacing w:val="-6"/>
                      <w:highlight w:val="none"/>
                    </w:rPr>
                  </w:pPr>
                </w:p>
              </w:tc>
              <w:tc>
                <w:tcPr>
                  <w:tcW w:w="512" w:type="pct"/>
                  <w:vMerge w:val="continue"/>
                  <w:tcBorders>
                    <w:tl2br w:val="nil"/>
                    <w:tr2bl w:val="nil"/>
                  </w:tcBorders>
                  <w:noWrap w:val="0"/>
                  <w:vAlign w:val="center"/>
                </w:tcPr>
                <w:p w14:paraId="1136D892">
                  <w:pPr>
                    <w:pStyle w:val="40"/>
                    <w:bidi w:val="0"/>
                    <w:rPr>
                      <w:color w:val="auto"/>
                      <w:spacing w:val="-6"/>
                      <w:sz w:val="21"/>
                      <w:highlight w:val="none"/>
                    </w:rPr>
                  </w:pPr>
                </w:p>
              </w:tc>
              <w:tc>
                <w:tcPr>
                  <w:tcW w:w="462" w:type="pct"/>
                  <w:vMerge w:val="continue"/>
                  <w:tcBorders>
                    <w:tl2br w:val="nil"/>
                    <w:tr2bl w:val="nil"/>
                  </w:tcBorders>
                  <w:noWrap w:val="0"/>
                  <w:vAlign w:val="center"/>
                </w:tcPr>
                <w:p w14:paraId="149BD822">
                  <w:pPr>
                    <w:pStyle w:val="40"/>
                    <w:bidi w:val="0"/>
                    <w:rPr>
                      <w:color w:val="auto"/>
                      <w:spacing w:val="-6"/>
                      <w:sz w:val="21"/>
                      <w:highlight w:val="none"/>
                    </w:rPr>
                  </w:pPr>
                </w:p>
              </w:tc>
              <w:tc>
                <w:tcPr>
                  <w:tcW w:w="441" w:type="pct"/>
                  <w:vMerge w:val="continue"/>
                  <w:tcBorders>
                    <w:tl2br w:val="nil"/>
                    <w:tr2bl w:val="nil"/>
                  </w:tcBorders>
                  <w:noWrap w:val="0"/>
                  <w:vAlign w:val="center"/>
                </w:tcPr>
                <w:p w14:paraId="20743098">
                  <w:pPr>
                    <w:pStyle w:val="40"/>
                    <w:bidi w:val="0"/>
                    <w:rPr>
                      <w:color w:val="auto"/>
                      <w:spacing w:val="-6"/>
                      <w:sz w:val="21"/>
                      <w:highlight w:val="none"/>
                    </w:rPr>
                  </w:pPr>
                </w:p>
              </w:tc>
              <w:tc>
                <w:tcPr>
                  <w:tcW w:w="465" w:type="pct"/>
                  <w:tcBorders>
                    <w:tl2br w:val="nil"/>
                    <w:tr2bl w:val="nil"/>
                  </w:tcBorders>
                  <w:noWrap w:val="0"/>
                  <w:vAlign w:val="center"/>
                </w:tcPr>
                <w:p w14:paraId="31F61F88">
                  <w:pPr>
                    <w:pStyle w:val="40"/>
                    <w:bidi w:val="0"/>
                    <w:rPr>
                      <w:rFonts w:hint="eastAsia"/>
                      <w:color w:val="auto"/>
                      <w:spacing w:val="-6"/>
                      <w:sz w:val="21"/>
                      <w:highlight w:val="none"/>
                      <w:lang w:val="en-US" w:eastAsia="zh-CN"/>
                    </w:rPr>
                  </w:pPr>
                  <w:r>
                    <w:rPr>
                      <w:rFonts w:hint="eastAsia"/>
                      <w:color w:val="auto"/>
                      <w:spacing w:val="-6"/>
                      <w:sz w:val="21"/>
                      <w:highlight w:val="none"/>
                      <w:lang w:val="en-US" w:eastAsia="zh-CN"/>
                    </w:rPr>
                    <w:t>废气量</w:t>
                  </w:r>
                </w:p>
                <w:p w14:paraId="4092ED56">
                  <w:pPr>
                    <w:pStyle w:val="40"/>
                    <w:bidi w:val="0"/>
                    <w:rPr>
                      <w:rFonts w:hint="default" w:eastAsia="宋体"/>
                      <w:color w:val="auto"/>
                      <w:spacing w:val="-6"/>
                      <w:sz w:val="21"/>
                      <w:highlight w:val="none"/>
                      <w:lang w:val="en-US" w:eastAsia="zh-CN"/>
                    </w:rPr>
                  </w:pPr>
                  <w:r>
                    <w:rPr>
                      <w:rFonts w:hint="eastAsia"/>
                      <w:color w:val="auto"/>
                      <w:spacing w:val="-6"/>
                      <w:sz w:val="21"/>
                      <w:highlight w:val="none"/>
                      <w:lang w:val="en-US" w:eastAsia="zh-CN"/>
                    </w:rPr>
                    <w:t>10</w:t>
                  </w:r>
                  <w:r>
                    <w:rPr>
                      <w:rFonts w:hint="eastAsia"/>
                      <w:color w:val="auto"/>
                      <w:spacing w:val="-6"/>
                      <w:sz w:val="21"/>
                      <w:highlight w:val="none"/>
                      <w:vertAlign w:val="superscript"/>
                      <w:lang w:val="en-US" w:eastAsia="zh-CN"/>
                    </w:rPr>
                    <w:t>4</w:t>
                  </w:r>
                  <w:r>
                    <w:rPr>
                      <w:rFonts w:hint="eastAsia"/>
                      <w:color w:val="auto"/>
                      <w:spacing w:val="-6"/>
                      <w:sz w:val="21"/>
                      <w:highlight w:val="none"/>
                      <w:lang w:val="en-US" w:eastAsia="zh-CN"/>
                    </w:rPr>
                    <w:t>m</w:t>
                  </w:r>
                  <w:r>
                    <w:rPr>
                      <w:rFonts w:hint="eastAsia"/>
                      <w:color w:val="auto"/>
                      <w:spacing w:val="-6"/>
                      <w:sz w:val="21"/>
                      <w:highlight w:val="none"/>
                      <w:vertAlign w:val="superscript"/>
                      <w:lang w:val="en-US" w:eastAsia="zh-CN"/>
                    </w:rPr>
                    <w:t>3</w:t>
                  </w:r>
                  <w:r>
                    <w:rPr>
                      <w:rFonts w:hint="eastAsia"/>
                      <w:color w:val="auto"/>
                      <w:spacing w:val="-6"/>
                      <w:sz w:val="21"/>
                      <w:highlight w:val="none"/>
                      <w:lang w:val="en-US" w:eastAsia="zh-CN"/>
                    </w:rPr>
                    <w:t>/a</w:t>
                  </w:r>
                </w:p>
              </w:tc>
              <w:tc>
                <w:tcPr>
                  <w:tcW w:w="396" w:type="pct"/>
                  <w:tcBorders>
                    <w:tl2br w:val="nil"/>
                    <w:tr2bl w:val="nil"/>
                  </w:tcBorders>
                  <w:noWrap w:val="0"/>
                  <w:vAlign w:val="center"/>
                </w:tcPr>
                <w:p w14:paraId="7C191977">
                  <w:pPr>
                    <w:pStyle w:val="40"/>
                    <w:bidi w:val="0"/>
                    <w:rPr>
                      <w:color w:val="auto"/>
                      <w:spacing w:val="-6"/>
                      <w:sz w:val="21"/>
                      <w:highlight w:val="none"/>
                    </w:rPr>
                  </w:pPr>
                  <w:r>
                    <w:rPr>
                      <w:color w:val="auto"/>
                      <w:spacing w:val="-6"/>
                      <w:sz w:val="21"/>
                      <w:highlight w:val="none"/>
                    </w:rPr>
                    <w:t>去除</w:t>
                  </w:r>
                </w:p>
                <w:p w14:paraId="3BFA279F">
                  <w:pPr>
                    <w:pStyle w:val="40"/>
                    <w:bidi w:val="0"/>
                    <w:rPr>
                      <w:rFonts w:hint="eastAsia" w:eastAsia="宋体"/>
                      <w:color w:val="auto"/>
                      <w:spacing w:val="-6"/>
                      <w:sz w:val="21"/>
                      <w:highlight w:val="none"/>
                      <w:lang w:val="en-US" w:eastAsia="zh-CN"/>
                    </w:rPr>
                  </w:pPr>
                  <w:r>
                    <w:rPr>
                      <w:rFonts w:hint="eastAsia"/>
                      <w:color w:val="auto"/>
                      <w:spacing w:val="-6"/>
                      <w:sz w:val="21"/>
                      <w:highlight w:val="none"/>
                      <w:lang w:val="en-US" w:eastAsia="zh-CN"/>
                    </w:rPr>
                    <w:t>效率</w:t>
                  </w:r>
                </w:p>
              </w:tc>
              <w:tc>
                <w:tcPr>
                  <w:tcW w:w="555" w:type="pct"/>
                  <w:vMerge w:val="continue"/>
                  <w:tcBorders>
                    <w:tl2br w:val="nil"/>
                    <w:tr2bl w:val="nil"/>
                  </w:tcBorders>
                  <w:noWrap w:val="0"/>
                  <w:vAlign w:val="center"/>
                </w:tcPr>
                <w:p w14:paraId="2BC59D53">
                  <w:pPr>
                    <w:pStyle w:val="40"/>
                    <w:bidi w:val="0"/>
                    <w:rPr>
                      <w:color w:val="auto"/>
                      <w:spacing w:val="-6"/>
                      <w:sz w:val="21"/>
                      <w:highlight w:val="none"/>
                    </w:rPr>
                  </w:pPr>
                </w:p>
              </w:tc>
              <w:tc>
                <w:tcPr>
                  <w:tcW w:w="398" w:type="pct"/>
                  <w:vMerge w:val="continue"/>
                  <w:tcBorders>
                    <w:tl2br w:val="nil"/>
                    <w:tr2bl w:val="nil"/>
                  </w:tcBorders>
                  <w:noWrap w:val="0"/>
                  <w:vAlign w:val="center"/>
                </w:tcPr>
                <w:p w14:paraId="3B8BD06C">
                  <w:pPr>
                    <w:pStyle w:val="40"/>
                    <w:bidi w:val="0"/>
                    <w:rPr>
                      <w:color w:val="auto"/>
                      <w:spacing w:val="-6"/>
                      <w:sz w:val="21"/>
                      <w:highlight w:val="none"/>
                    </w:rPr>
                  </w:pPr>
                </w:p>
              </w:tc>
              <w:tc>
                <w:tcPr>
                  <w:tcW w:w="459" w:type="pct"/>
                  <w:vMerge w:val="continue"/>
                  <w:tcBorders>
                    <w:tl2br w:val="nil"/>
                    <w:tr2bl w:val="nil"/>
                  </w:tcBorders>
                  <w:noWrap w:val="0"/>
                  <w:vAlign w:val="center"/>
                </w:tcPr>
                <w:p w14:paraId="6ACE7F3A">
                  <w:pPr>
                    <w:pStyle w:val="40"/>
                    <w:bidi w:val="0"/>
                    <w:rPr>
                      <w:color w:val="auto"/>
                      <w:spacing w:val="-11"/>
                      <w:sz w:val="21"/>
                      <w:highlight w:val="none"/>
                    </w:rPr>
                  </w:pPr>
                </w:p>
              </w:tc>
            </w:tr>
            <w:tr w14:paraId="56A14F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2" w:type="pct"/>
                  <w:tcBorders>
                    <w:tl2br w:val="nil"/>
                    <w:tr2bl w:val="nil"/>
                  </w:tcBorders>
                  <w:noWrap w:val="0"/>
                  <w:vAlign w:val="center"/>
                </w:tcPr>
                <w:p w14:paraId="7211539B">
                  <w:pPr>
                    <w:pStyle w:val="40"/>
                    <w:bidi w:val="0"/>
                    <w:rPr>
                      <w:rFonts w:hint="default" w:eastAsia="宋体"/>
                      <w:color w:val="auto"/>
                      <w:spacing w:val="-11"/>
                      <w:sz w:val="21"/>
                      <w:highlight w:val="none"/>
                      <w:lang w:val="en-US" w:eastAsia="zh-CN"/>
                    </w:rPr>
                  </w:pPr>
                  <w:r>
                    <w:rPr>
                      <w:rFonts w:hint="eastAsia"/>
                      <w:color w:val="auto"/>
                      <w:spacing w:val="-11"/>
                      <w:sz w:val="21"/>
                      <w:highlight w:val="none"/>
                      <w:lang w:val="en-US" w:eastAsia="zh-CN"/>
                    </w:rPr>
                    <w:t>G1</w:t>
                  </w:r>
                </w:p>
              </w:tc>
              <w:tc>
                <w:tcPr>
                  <w:tcW w:w="562" w:type="pct"/>
                  <w:tcBorders>
                    <w:tl2br w:val="nil"/>
                    <w:tr2bl w:val="nil"/>
                  </w:tcBorders>
                  <w:noWrap w:val="0"/>
                  <w:vAlign w:val="center"/>
                </w:tcPr>
                <w:p w14:paraId="21CD9EDD">
                  <w:pPr>
                    <w:pStyle w:val="40"/>
                    <w:bidi w:val="0"/>
                    <w:rPr>
                      <w:rFonts w:hint="default" w:eastAsia="宋体"/>
                      <w:color w:val="auto"/>
                      <w:spacing w:val="-11"/>
                      <w:sz w:val="21"/>
                      <w:highlight w:val="none"/>
                      <w:lang w:val="en-US" w:eastAsia="zh-CN"/>
                    </w:rPr>
                  </w:pPr>
                  <w:r>
                    <w:rPr>
                      <w:rFonts w:hint="eastAsia"/>
                      <w:color w:val="auto"/>
                      <w:spacing w:val="-11"/>
                      <w:sz w:val="21"/>
                      <w:highlight w:val="none"/>
                      <w:lang w:val="en-US" w:eastAsia="zh-CN"/>
                    </w:rPr>
                    <w:t>骨料粉煤灰筒仓粉尘</w:t>
                  </w:r>
                </w:p>
              </w:tc>
              <w:tc>
                <w:tcPr>
                  <w:tcW w:w="412" w:type="pct"/>
                  <w:tcBorders>
                    <w:tl2br w:val="nil"/>
                    <w:tr2bl w:val="nil"/>
                  </w:tcBorders>
                  <w:noWrap w:val="0"/>
                  <w:vAlign w:val="center"/>
                </w:tcPr>
                <w:p w14:paraId="0CC5F4BD">
                  <w:pPr>
                    <w:pStyle w:val="40"/>
                    <w:bidi w:val="0"/>
                    <w:rPr>
                      <w:rFonts w:hint="eastAsia" w:eastAsia="宋体"/>
                      <w:color w:val="auto"/>
                      <w:spacing w:val="-6"/>
                      <w:highlight w:val="none"/>
                      <w:lang w:val="en-US" w:eastAsia="zh-CN"/>
                    </w:rPr>
                  </w:pPr>
                  <w:r>
                    <w:rPr>
                      <w:rFonts w:hint="eastAsia"/>
                      <w:color w:val="auto"/>
                      <w:spacing w:val="-6"/>
                      <w:highlight w:val="none"/>
                      <w:lang w:val="en-US" w:eastAsia="zh-CN"/>
                    </w:rPr>
                    <w:t>颗粒物</w:t>
                  </w:r>
                </w:p>
              </w:tc>
              <w:tc>
                <w:tcPr>
                  <w:tcW w:w="512" w:type="pct"/>
                  <w:tcBorders>
                    <w:tl2br w:val="nil"/>
                    <w:tr2bl w:val="nil"/>
                  </w:tcBorders>
                  <w:noWrap w:val="0"/>
                  <w:vAlign w:val="center"/>
                </w:tcPr>
                <w:p w14:paraId="39FB8362">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60</w:t>
                  </w:r>
                </w:p>
              </w:tc>
              <w:tc>
                <w:tcPr>
                  <w:tcW w:w="462" w:type="pct"/>
                  <w:tcBorders>
                    <w:tl2br w:val="nil"/>
                    <w:tr2bl w:val="nil"/>
                  </w:tcBorders>
                  <w:noWrap w:val="0"/>
                  <w:vAlign w:val="center"/>
                </w:tcPr>
                <w:p w14:paraId="6853CDA9">
                  <w:pPr>
                    <w:pStyle w:val="40"/>
                    <w:bidi w:val="0"/>
                    <w:rPr>
                      <w:rFonts w:hint="eastAsia" w:eastAsia="宋体"/>
                      <w:color w:val="auto"/>
                      <w:spacing w:val="-11"/>
                      <w:sz w:val="21"/>
                      <w:highlight w:val="none"/>
                      <w:lang w:val="en-US" w:eastAsia="zh-CN"/>
                    </w:rPr>
                  </w:pPr>
                  <w:r>
                    <w:rPr>
                      <w:rFonts w:hint="eastAsia"/>
                      <w:color w:val="auto"/>
                      <w:spacing w:val="-11"/>
                      <w:sz w:val="21"/>
                      <w:highlight w:val="none"/>
                      <w:lang w:val="en-US" w:eastAsia="zh-CN"/>
                    </w:rPr>
                    <w:t>/</w:t>
                  </w:r>
                </w:p>
              </w:tc>
              <w:tc>
                <w:tcPr>
                  <w:tcW w:w="441" w:type="pct"/>
                  <w:tcBorders>
                    <w:tl2br w:val="nil"/>
                    <w:tr2bl w:val="nil"/>
                  </w:tcBorders>
                  <w:noWrap w:val="0"/>
                  <w:vAlign w:val="center"/>
                </w:tcPr>
                <w:p w14:paraId="769D8209">
                  <w:pPr>
                    <w:pStyle w:val="40"/>
                    <w:bidi w:val="0"/>
                    <w:rPr>
                      <w:color w:val="auto"/>
                      <w:spacing w:val="-6"/>
                      <w:sz w:val="21"/>
                      <w:highlight w:val="none"/>
                    </w:rPr>
                  </w:pPr>
                  <w:r>
                    <w:rPr>
                      <w:rFonts w:hint="eastAsia"/>
                      <w:color w:val="auto"/>
                      <w:spacing w:val="-6"/>
                      <w:sz w:val="21"/>
                      <w:highlight w:val="none"/>
                      <w:lang w:val="en-US" w:eastAsia="zh-CN"/>
                    </w:rPr>
                    <w:t>无组织</w:t>
                  </w:r>
                </w:p>
              </w:tc>
              <w:tc>
                <w:tcPr>
                  <w:tcW w:w="465" w:type="pct"/>
                  <w:tcBorders>
                    <w:tl2br w:val="nil"/>
                    <w:tr2bl w:val="nil"/>
                  </w:tcBorders>
                  <w:noWrap w:val="0"/>
                  <w:vAlign w:val="center"/>
                </w:tcPr>
                <w:p w14:paraId="42BF17DE">
                  <w:pPr>
                    <w:pStyle w:val="40"/>
                    <w:bidi w:val="0"/>
                    <w:rPr>
                      <w:rFonts w:hint="eastAsia" w:eastAsia="宋体"/>
                      <w:color w:val="auto"/>
                      <w:spacing w:val="-6"/>
                      <w:sz w:val="21"/>
                      <w:highlight w:val="none"/>
                      <w:lang w:val="en-US" w:eastAsia="zh-CN"/>
                    </w:rPr>
                  </w:pPr>
                  <w:r>
                    <w:rPr>
                      <w:rFonts w:hint="eastAsia"/>
                      <w:color w:val="auto"/>
                      <w:spacing w:val="-6"/>
                      <w:sz w:val="21"/>
                      <w:highlight w:val="none"/>
                      <w:lang w:val="en-US" w:eastAsia="zh-CN"/>
                    </w:rPr>
                    <w:t>/</w:t>
                  </w:r>
                </w:p>
              </w:tc>
              <w:tc>
                <w:tcPr>
                  <w:tcW w:w="396" w:type="pct"/>
                  <w:tcBorders>
                    <w:tl2br w:val="nil"/>
                    <w:tr2bl w:val="nil"/>
                  </w:tcBorders>
                  <w:noWrap w:val="0"/>
                  <w:vAlign w:val="center"/>
                </w:tcPr>
                <w:p w14:paraId="77C01802">
                  <w:pPr>
                    <w:pStyle w:val="40"/>
                    <w:bidi w:val="0"/>
                    <w:rPr>
                      <w:color w:val="auto"/>
                      <w:spacing w:val="-6"/>
                      <w:sz w:val="21"/>
                      <w:highlight w:val="none"/>
                    </w:rPr>
                  </w:pPr>
                  <w:r>
                    <w:rPr>
                      <w:color w:val="auto"/>
                      <w:spacing w:val="-6"/>
                      <w:sz w:val="21"/>
                      <w:highlight w:val="none"/>
                    </w:rPr>
                    <w:t>99.7%</w:t>
                  </w:r>
                </w:p>
              </w:tc>
              <w:tc>
                <w:tcPr>
                  <w:tcW w:w="555" w:type="pct"/>
                  <w:tcBorders>
                    <w:tl2br w:val="nil"/>
                    <w:tr2bl w:val="nil"/>
                  </w:tcBorders>
                  <w:noWrap w:val="0"/>
                  <w:vAlign w:val="center"/>
                </w:tcPr>
                <w:p w14:paraId="3F5D1F34">
                  <w:pPr>
                    <w:pStyle w:val="40"/>
                    <w:bidi w:val="0"/>
                    <w:rPr>
                      <w:rFonts w:hint="default" w:eastAsia="宋体"/>
                      <w:color w:val="auto"/>
                      <w:spacing w:val="-6"/>
                      <w:sz w:val="21"/>
                      <w:highlight w:val="none"/>
                      <w:lang w:val="en-US" w:eastAsia="zh-CN"/>
                    </w:rPr>
                  </w:pPr>
                  <w:r>
                    <w:rPr>
                      <w:rFonts w:hint="eastAsia"/>
                      <w:color w:val="auto"/>
                      <w:spacing w:val="-6"/>
                      <w:sz w:val="21"/>
                      <w:highlight w:val="none"/>
                      <w:lang w:val="en-US" w:eastAsia="zh-CN"/>
                    </w:rPr>
                    <w:t>0.15</w:t>
                  </w:r>
                </w:p>
              </w:tc>
              <w:tc>
                <w:tcPr>
                  <w:tcW w:w="398" w:type="pct"/>
                  <w:tcBorders>
                    <w:tl2br w:val="nil"/>
                    <w:tr2bl w:val="nil"/>
                  </w:tcBorders>
                  <w:noWrap w:val="0"/>
                  <w:vAlign w:val="center"/>
                </w:tcPr>
                <w:p w14:paraId="7CF3521A">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0.18</w:t>
                  </w:r>
                </w:p>
              </w:tc>
              <w:tc>
                <w:tcPr>
                  <w:tcW w:w="459" w:type="pct"/>
                  <w:tcBorders>
                    <w:tl2br w:val="nil"/>
                    <w:tr2bl w:val="nil"/>
                  </w:tcBorders>
                  <w:noWrap w:val="0"/>
                  <w:vAlign w:val="center"/>
                </w:tcPr>
                <w:p w14:paraId="03D81AD5">
                  <w:pPr>
                    <w:pStyle w:val="40"/>
                    <w:bidi w:val="0"/>
                    <w:rPr>
                      <w:rFonts w:hint="default"/>
                      <w:color w:val="auto"/>
                      <w:spacing w:val="-11"/>
                      <w:sz w:val="21"/>
                      <w:highlight w:val="none"/>
                      <w:lang w:val="en-US" w:eastAsia="zh-CN"/>
                    </w:rPr>
                  </w:pPr>
                  <w:r>
                    <w:rPr>
                      <w:rFonts w:hint="eastAsia"/>
                      <w:color w:val="auto"/>
                      <w:spacing w:val="-11"/>
                      <w:sz w:val="21"/>
                      <w:highlight w:val="none"/>
                      <w:lang w:val="en-US" w:eastAsia="zh-CN"/>
                    </w:rPr>
                    <w:t>/</w:t>
                  </w:r>
                </w:p>
              </w:tc>
            </w:tr>
            <w:tr w14:paraId="2D1732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2" w:type="pct"/>
                  <w:tcBorders>
                    <w:tl2br w:val="nil"/>
                    <w:tr2bl w:val="nil"/>
                  </w:tcBorders>
                  <w:noWrap w:val="0"/>
                  <w:vAlign w:val="center"/>
                </w:tcPr>
                <w:p w14:paraId="006749A7">
                  <w:pPr>
                    <w:pStyle w:val="40"/>
                    <w:bidi w:val="0"/>
                    <w:rPr>
                      <w:rFonts w:hint="eastAsia" w:eastAsia="宋体"/>
                      <w:color w:val="auto"/>
                      <w:spacing w:val="-11"/>
                      <w:sz w:val="21"/>
                      <w:highlight w:val="none"/>
                      <w:lang w:val="en-US" w:eastAsia="zh-CN"/>
                    </w:rPr>
                  </w:pPr>
                  <w:r>
                    <w:rPr>
                      <w:rFonts w:hint="eastAsia"/>
                      <w:color w:val="auto"/>
                      <w:spacing w:val="-11"/>
                      <w:sz w:val="21"/>
                      <w:highlight w:val="none"/>
                      <w:lang w:val="en-US" w:eastAsia="zh-CN"/>
                    </w:rPr>
                    <w:t>G2</w:t>
                  </w:r>
                </w:p>
              </w:tc>
              <w:tc>
                <w:tcPr>
                  <w:tcW w:w="562" w:type="pct"/>
                  <w:tcBorders>
                    <w:tl2br w:val="nil"/>
                    <w:tr2bl w:val="nil"/>
                  </w:tcBorders>
                  <w:noWrap w:val="0"/>
                  <w:vAlign w:val="center"/>
                </w:tcPr>
                <w:p w14:paraId="00AD8ED4">
                  <w:pPr>
                    <w:pStyle w:val="40"/>
                    <w:bidi w:val="0"/>
                    <w:rPr>
                      <w:color w:val="auto"/>
                      <w:spacing w:val="-11"/>
                      <w:sz w:val="21"/>
                      <w:highlight w:val="none"/>
                    </w:rPr>
                  </w:pPr>
                  <w:r>
                    <w:rPr>
                      <w:rFonts w:hint="eastAsia"/>
                      <w:color w:val="auto"/>
                      <w:spacing w:val="-11"/>
                      <w:sz w:val="21"/>
                      <w:highlight w:val="none"/>
                    </w:rPr>
                    <w:t>骨料原料区扬尘</w:t>
                  </w:r>
                </w:p>
              </w:tc>
              <w:tc>
                <w:tcPr>
                  <w:tcW w:w="412" w:type="pct"/>
                  <w:tcBorders>
                    <w:tl2br w:val="nil"/>
                    <w:tr2bl w:val="nil"/>
                  </w:tcBorders>
                  <w:noWrap w:val="0"/>
                  <w:vAlign w:val="center"/>
                </w:tcPr>
                <w:p w14:paraId="420A908C">
                  <w:pPr>
                    <w:pStyle w:val="40"/>
                    <w:bidi w:val="0"/>
                    <w:rPr>
                      <w:color w:val="auto"/>
                      <w:spacing w:val="-6"/>
                      <w:highlight w:val="none"/>
                    </w:rPr>
                  </w:pPr>
                  <w:r>
                    <w:rPr>
                      <w:rFonts w:hint="eastAsia"/>
                      <w:color w:val="auto"/>
                      <w:spacing w:val="-6"/>
                      <w:highlight w:val="none"/>
                      <w:lang w:val="en-US" w:eastAsia="zh-CN"/>
                    </w:rPr>
                    <w:t>颗粒物</w:t>
                  </w:r>
                </w:p>
              </w:tc>
              <w:tc>
                <w:tcPr>
                  <w:tcW w:w="512" w:type="pct"/>
                  <w:tcBorders>
                    <w:tl2br w:val="nil"/>
                    <w:tr2bl w:val="nil"/>
                  </w:tcBorders>
                  <w:noWrap w:val="0"/>
                  <w:vAlign w:val="center"/>
                </w:tcPr>
                <w:p w14:paraId="3F498C9F">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4.45</w:t>
                  </w:r>
                </w:p>
              </w:tc>
              <w:tc>
                <w:tcPr>
                  <w:tcW w:w="462" w:type="pct"/>
                  <w:tcBorders>
                    <w:tl2br w:val="nil"/>
                    <w:tr2bl w:val="nil"/>
                  </w:tcBorders>
                  <w:noWrap w:val="0"/>
                  <w:vAlign w:val="center"/>
                </w:tcPr>
                <w:p w14:paraId="4E2C5D65">
                  <w:pPr>
                    <w:pStyle w:val="40"/>
                    <w:bidi w:val="0"/>
                    <w:rPr>
                      <w:color w:val="auto"/>
                      <w:spacing w:val="-11"/>
                      <w:sz w:val="21"/>
                      <w:highlight w:val="none"/>
                    </w:rPr>
                  </w:pPr>
                  <w:r>
                    <w:rPr>
                      <w:rFonts w:hint="eastAsia"/>
                      <w:color w:val="auto"/>
                      <w:spacing w:val="-11"/>
                      <w:sz w:val="21"/>
                      <w:highlight w:val="none"/>
                      <w:lang w:val="en-US" w:eastAsia="zh-CN"/>
                    </w:rPr>
                    <w:t>/</w:t>
                  </w:r>
                </w:p>
              </w:tc>
              <w:tc>
                <w:tcPr>
                  <w:tcW w:w="441" w:type="pct"/>
                  <w:tcBorders>
                    <w:tl2br w:val="nil"/>
                    <w:tr2bl w:val="nil"/>
                  </w:tcBorders>
                  <w:noWrap w:val="0"/>
                  <w:vAlign w:val="center"/>
                </w:tcPr>
                <w:p w14:paraId="6879A69C">
                  <w:pPr>
                    <w:pStyle w:val="40"/>
                    <w:bidi w:val="0"/>
                    <w:rPr>
                      <w:color w:val="auto"/>
                      <w:spacing w:val="-6"/>
                      <w:sz w:val="21"/>
                      <w:highlight w:val="none"/>
                    </w:rPr>
                  </w:pPr>
                  <w:r>
                    <w:rPr>
                      <w:rFonts w:hint="eastAsia"/>
                      <w:color w:val="auto"/>
                      <w:spacing w:val="-6"/>
                      <w:sz w:val="21"/>
                      <w:highlight w:val="none"/>
                      <w:lang w:val="en-US" w:eastAsia="zh-CN"/>
                    </w:rPr>
                    <w:t>无</w:t>
                  </w:r>
                  <w:r>
                    <w:rPr>
                      <w:color w:val="auto"/>
                      <w:spacing w:val="-6"/>
                      <w:sz w:val="21"/>
                      <w:highlight w:val="none"/>
                    </w:rPr>
                    <w:t>组织</w:t>
                  </w:r>
                </w:p>
              </w:tc>
              <w:tc>
                <w:tcPr>
                  <w:tcW w:w="465" w:type="pct"/>
                  <w:tcBorders>
                    <w:tl2br w:val="nil"/>
                    <w:tr2bl w:val="nil"/>
                  </w:tcBorders>
                  <w:noWrap w:val="0"/>
                  <w:vAlign w:val="center"/>
                </w:tcPr>
                <w:p w14:paraId="18A69752">
                  <w:pPr>
                    <w:pStyle w:val="40"/>
                    <w:bidi w:val="0"/>
                    <w:rPr>
                      <w:rFonts w:hint="eastAsia" w:eastAsia="宋体"/>
                      <w:color w:val="auto"/>
                      <w:spacing w:val="-6"/>
                      <w:sz w:val="21"/>
                      <w:highlight w:val="none"/>
                      <w:lang w:val="en-US" w:eastAsia="zh-CN"/>
                    </w:rPr>
                  </w:pPr>
                  <w:r>
                    <w:rPr>
                      <w:rFonts w:hint="eastAsia"/>
                      <w:color w:val="auto"/>
                      <w:spacing w:val="-6"/>
                      <w:sz w:val="21"/>
                      <w:highlight w:val="none"/>
                      <w:lang w:val="en-US" w:eastAsia="zh-CN"/>
                    </w:rPr>
                    <w:t>/</w:t>
                  </w:r>
                </w:p>
              </w:tc>
              <w:tc>
                <w:tcPr>
                  <w:tcW w:w="396" w:type="pct"/>
                  <w:tcBorders>
                    <w:tl2br w:val="nil"/>
                    <w:tr2bl w:val="nil"/>
                  </w:tcBorders>
                  <w:noWrap w:val="0"/>
                  <w:vAlign w:val="center"/>
                </w:tcPr>
                <w:p w14:paraId="6CFB0F46">
                  <w:pPr>
                    <w:pStyle w:val="40"/>
                    <w:bidi w:val="0"/>
                    <w:rPr>
                      <w:color w:val="auto"/>
                      <w:spacing w:val="-6"/>
                      <w:sz w:val="21"/>
                      <w:highlight w:val="none"/>
                    </w:rPr>
                  </w:pPr>
                  <w:r>
                    <w:rPr>
                      <w:rFonts w:hint="eastAsia"/>
                      <w:color w:val="auto"/>
                      <w:spacing w:val="-6"/>
                      <w:sz w:val="21"/>
                      <w:highlight w:val="none"/>
                      <w:lang w:val="en-US" w:eastAsia="zh-CN"/>
                    </w:rPr>
                    <w:t>90</w:t>
                  </w:r>
                  <w:r>
                    <w:rPr>
                      <w:color w:val="auto"/>
                      <w:spacing w:val="-6"/>
                      <w:sz w:val="21"/>
                      <w:highlight w:val="none"/>
                    </w:rPr>
                    <w:t>%</w:t>
                  </w:r>
                </w:p>
              </w:tc>
              <w:tc>
                <w:tcPr>
                  <w:tcW w:w="555" w:type="pct"/>
                  <w:tcBorders>
                    <w:tl2br w:val="nil"/>
                    <w:tr2bl w:val="nil"/>
                  </w:tcBorders>
                  <w:noWrap w:val="0"/>
                  <w:vAlign w:val="center"/>
                </w:tcPr>
                <w:p w14:paraId="064D4239">
                  <w:pPr>
                    <w:pStyle w:val="40"/>
                    <w:bidi w:val="0"/>
                    <w:rPr>
                      <w:rFonts w:hint="default" w:eastAsia="宋体"/>
                      <w:color w:val="auto"/>
                      <w:spacing w:val="-6"/>
                      <w:sz w:val="21"/>
                      <w:highlight w:val="none"/>
                      <w:lang w:val="en-US" w:eastAsia="zh-CN"/>
                    </w:rPr>
                  </w:pPr>
                  <w:r>
                    <w:rPr>
                      <w:rFonts w:hint="eastAsia"/>
                      <w:color w:val="auto"/>
                      <w:spacing w:val="-6"/>
                      <w:sz w:val="21"/>
                      <w:highlight w:val="none"/>
                      <w:lang w:val="en-US" w:eastAsia="zh-CN"/>
                    </w:rPr>
                    <w:t>0.06</w:t>
                  </w:r>
                </w:p>
              </w:tc>
              <w:tc>
                <w:tcPr>
                  <w:tcW w:w="398" w:type="pct"/>
                  <w:tcBorders>
                    <w:tl2br w:val="nil"/>
                    <w:tr2bl w:val="nil"/>
                  </w:tcBorders>
                  <w:noWrap w:val="0"/>
                  <w:vAlign w:val="center"/>
                </w:tcPr>
                <w:p w14:paraId="7A364A6F">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0.445</w:t>
                  </w:r>
                </w:p>
              </w:tc>
              <w:tc>
                <w:tcPr>
                  <w:tcW w:w="459" w:type="pct"/>
                  <w:tcBorders>
                    <w:tl2br w:val="nil"/>
                    <w:tr2bl w:val="nil"/>
                  </w:tcBorders>
                  <w:noWrap w:val="0"/>
                  <w:vAlign w:val="center"/>
                </w:tcPr>
                <w:p w14:paraId="47DB5C5F">
                  <w:pPr>
                    <w:pStyle w:val="40"/>
                    <w:bidi w:val="0"/>
                    <w:rPr>
                      <w:rFonts w:hint="default"/>
                      <w:color w:val="auto"/>
                      <w:spacing w:val="-11"/>
                      <w:sz w:val="21"/>
                      <w:highlight w:val="none"/>
                      <w:lang w:val="en-US" w:eastAsia="zh-CN"/>
                    </w:rPr>
                  </w:pPr>
                  <w:r>
                    <w:rPr>
                      <w:rFonts w:hint="eastAsia"/>
                      <w:color w:val="auto"/>
                      <w:spacing w:val="-11"/>
                      <w:sz w:val="21"/>
                      <w:highlight w:val="none"/>
                      <w:lang w:val="en-US" w:eastAsia="zh-CN"/>
                    </w:rPr>
                    <w:t>/</w:t>
                  </w:r>
                </w:p>
              </w:tc>
            </w:tr>
            <w:tr w14:paraId="27355C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2" w:type="pct"/>
                  <w:tcBorders>
                    <w:tl2br w:val="nil"/>
                    <w:tr2bl w:val="nil"/>
                  </w:tcBorders>
                  <w:noWrap w:val="0"/>
                  <w:vAlign w:val="center"/>
                </w:tcPr>
                <w:p w14:paraId="2D7C531B">
                  <w:pPr>
                    <w:pStyle w:val="40"/>
                    <w:bidi w:val="0"/>
                    <w:rPr>
                      <w:rFonts w:hint="default"/>
                      <w:color w:val="auto"/>
                      <w:spacing w:val="-11"/>
                      <w:sz w:val="21"/>
                      <w:highlight w:val="none"/>
                      <w:lang w:val="en-US" w:eastAsia="zh-CN"/>
                    </w:rPr>
                  </w:pPr>
                  <w:r>
                    <w:rPr>
                      <w:rFonts w:hint="eastAsia"/>
                      <w:color w:val="auto"/>
                      <w:spacing w:val="-11"/>
                      <w:sz w:val="21"/>
                      <w:highlight w:val="none"/>
                      <w:lang w:val="en-US" w:eastAsia="zh-CN"/>
                    </w:rPr>
                    <w:t>G3</w:t>
                  </w:r>
                </w:p>
              </w:tc>
              <w:tc>
                <w:tcPr>
                  <w:tcW w:w="562" w:type="pct"/>
                  <w:tcBorders>
                    <w:tl2br w:val="nil"/>
                    <w:tr2bl w:val="nil"/>
                  </w:tcBorders>
                  <w:noWrap w:val="0"/>
                  <w:vAlign w:val="center"/>
                </w:tcPr>
                <w:p w14:paraId="25B3376B">
                  <w:pPr>
                    <w:pStyle w:val="40"/>
                    <w:bidi w:val="0"/>
                    <w:rPr>
                      <w:rFonts w:hint="default"/>
                      <w:color w:val="auto"/>
                      <w:spacing w:val="-11"/>
                      <w:sz w:val="21"/>
                      <w:highlight w:val="none"/>
                      <w:lang w:val="en-US" w:eastAsia="zh-CN"/>
                    </w:rPr>
                  </w:pPr>
                  <w:r>
                    <w:rPr>
                      <w:rFonts w:hint="eastAsia"/>
                      <w:color w:val="auto"/>
                      <w:spacing w:val="-11"/>
                      <w:sz w:val="21"/>
                      <w:highlight w:val="none"/>
                      <w:lang w:val="en-US" w:eastAsia="zh-CN"/>
                    </w:rPr>
                    <w:t>活化剂筒仓粉尘</w:t>
                  </w:r>
                </w:p>
              </w:tc>
              <w:tc>
                <w:tcPr>
                  <w:tcW w:w="412" w:type="pct"/>
                  <w:tcBorders>
                    <w:tl2br w:val="nil"/>
                    <w:tr2bl w:val="nil"/>
                  </w:tcBorders>
                  <w:noWrap w:val="0"/>
                  <w:vAlign w:val="center"/>
                </w:tcPr>
                <w:p w14:paraId="3FB5CDFE">
                  <w:pPr>
                    <w:pStyle w:val="40"/>
                    <w:bidi w:val="0"/>
                    <w:rPr>
                      <w:rFonts w:hint="eastAsia" w:eastAsia="宋体"/>
                      <w:color w:val="auto"/>
                      <w:spacing w:val="-6"/>
                      <w:highlight w:val="none"/>
                      <w:lang w:val="en-US" w:eastAsia="zh-CN"/>
                    </w:rPr>
                  </w:pPr>
                  <w:r>
                    <w:rPr>
                      <w:rFonts w:hint="eastAsia"/>
                      <w:color w:val="auto"/>
                      <w:spacing w:val="-6"/>
                      <w:highlight w:val="none"/>
                      <w:lang w:val="en-US" w:eastAsia="zh-CN"/>
                    </w:rPr>
                    <w:t>颗粒物</w:t>
                  </w:r>
                </w:p>
              </w:tc>
              <w:tc>
                <w:tcPr>
                  <w:tcW w:w="512" w:type="pct"/>
                  <w:tcBorders>
                    <w:tl2br w:val="nil"/>
                    <w:tr2bl w:val="nil"/>
                  </w:tcBorders>
                  <w:noWrap w:val="0"/>
                  <w:vAlign w:val="center"/>
                </w:tcPr>
                <w:p w14:paraId="0D0CE7B8">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0.6</w:t>
                  </w:r>
                </w:p>
              </w:tc>
              <w:tc>
                <w:tcPr>
                  <w:tcW w:w="462" w:type="pct"/>
                  <w:tcBorders>
                    <w:tl2br w:val="nil"/>
                    <w:tr2bl w:val="nil"/>
                  </w:tcBorders>
                  <w:noWrap w:val="0"/>
                  <w:vAlign w:val="center"/>
                </w:tcPr>
                <w:p w14:paraId="2B67B430">
                  <w:pPr>
                    <w:pStyle w:val="40"/>
                    <w:bidi w:val="0"/>
                    <w:rPr>
                      <w:rFonts w:hint="default" w:eastAsia="宋体"/>
                      <w:color w:val="auto"/>
                      <w:spacing w:val="-11"/>
                      <w:sz w:val="21"/>
                      <w:highlight w:val="none"/>
                      <w:lang w:val="en-US" w:eastAsia="zh-CN"/>
                    </w:rPr>
                  </w:pPr>
                  <w:r>
                    <w:rPr>
                      <w:rFonts w:hint="eastAsia"/>
                      <w:color w:val="auto"/>
                      <w:spacing w:val="-11"/>
                      <w:sz w:val="21"/>
                      <w:highlight w:val="none"/>
                      <w:lang w:val="en-US" w:eastAsia="zh-CN"/>
                    </w:rPr>
                    <w:t>/</w:t>
                  </w:r>
                </w:p>
              </w:tc>
              <w:tc>
                <w:tcPr>
                  <w:tcW w:w="441" w:type="pct"/>
                  <w:tcBorders>
                    <w:tl2br w:val="nil"/>
                    <w:tr2bl w:val="nil"/>
                  </w:tcBorders>
                  <w:noWrap w:val="0"/>
                  <w:vAlign w:val="center"/>
                </w:tcPr>
                <w:p w14:paraId="09F72275">
                  <w:pPr>
                    <w:pStyle w:val="40"/>
                    <w:bidi w:val="0"/>
                    <w:rPr>
                      <w:rFonts w:hint="eastAsia" w:eastAsia="宋体"/>
                      <w:color w:val="auto"/>
                      <w:spacing w:val="-6"/>
                      <w:sz w:val="21"/>
                      <w:highlight w:val="none"/>
                      <w:lang w:val="en-US" w:eastAsia="zh-CN"/>
                    </w:rPr>
                  </w:pPr>
                  <w:r>
                    <w:rPr>
                      <w:rFonts w:hint="eastAsia"/>
                      <w:color w:val="auto"/>
                      <w:spacing w:val="-6"/>
                      <w:sz w:val="21"/>
                      <w:highlight w:val="none"/>
                      <w:lang w:val="en-US" w:eastAsia="zh-CN"/>
                    </w:rPr>
                    <w:t>无组织</w:t>
                  </w:r>
                </w:p>
              </w:tc>
              <w:tc>
                <w:tcPr>
                  <w:tcW w:w="465" w:type="pct"/>
                  <w:tcBorders>
                    <w:tl2br w:val="nil"/>
                    <w:tr2bl w:val="nil"/>
                  </w:tcBorders>
                  <w:noWrap w:val="0"/>
                  <w:vAlign w:val="center"/>
                </w:tcPr>
                <w:p w14:paraId="7C22C449">
                  <w:pPr>
                    <w:pStyle w:val="40"/>
                    <w:bidi w:val="0"/>
                    <w:rPr>
                      <w:rFonts w:hint="eastAsia" w:eastAsia="宋体"/>
                      <w:color w:val="auto"/>
                      <w:spacing w:val="-6"/>
                      <w:sz w:val="21"/>
                      <w:highlight w:val="none"/>
                      <w:lang w:val="en-US" w:eastAsia="zh-CN"/>
                    </w:rPr>
                  </w:pPr>
                  <w:r>
                    <w:rPr>
                      <w:rFonts w:hint="eastAsia"/>
                      <w:color w:val="auto"/>
                      <w:spacing w:val="-6"/>
                      <w:sz w:val="21"/>
                      <w:highlight w:val="none"/>
                      <w:lang w:val="en-US" w:eastAsia="zh-CN"/>
                    </w:rPr>
                    <w:t>/</w:t>
                  </w:r>
                </w:p>
              </w:tc>
              <w:tc>
                <w:tcPr>
                  <w:tcW w:w="396" w:type="pct"/>
                  <w:tcBorders>
                    <w:tl2br w:val="nil"/>
                    <w:tr2bl w:val="nil"/>
                  </w:tcBorders>
                  <w:noWrap w:val="0"/>
                  <w:vAlign w:val="center"/>
                </w:tcPr>
                <w:p w14:paraId="0EF52574">
                  <w:pPr>
                    <w:pStyle w:val="40"/>
                    <w:bidi w:val="0"/>
                    <w:rPr>
                      <w:rFonts w:hint="default" w:eastAsia="宋体"/>
                      <w:color w:val="auto"/>
                      <w:spacing w:val="-6"/>
                      <w:sz w:val="21"/>
                      <w:highlight w:val="none"/>
                      <w:lang w:val="en-US" w:eastAsia="zh-CN"/>
                    </w:rPr>
                  </w:pPr>
                  <w:r>
                    <w:rPr>
                      <w:rFonts w:hint="eastAsia"/>
                      <w:color w:val="auto"/>
                      <w:spacing w:val="-6"/>
                      <w:sz w:val="21"/>
                      <w:highlight w:val="none"/>
                      <w:lang w:val="en-US" w:eastAsia="zh-CN"/>
                    </w:rPr>
                    <w:t>99.7%</w:t>
                  </w:r>
                </w:p>
              </w:tc>
              <w:tc>
                <w:tcPr>
                  <w:tcW w:w="555" w:type="pct"/>
                  <w:tcBorders>
                    <w:tl2br w:val="nil"/>
                    <w:tr2bl w:val="nil"/>
                  </w:tcBorders>
                  <w:noWrap w:val="0"/>
                  <w:vAlign w:val="center"/>
                </w:tcPr>
                <w:p w14:paraId="6D63F480">
                  <w:pPr>
                    <w:pStyle w:val="40"/>
                    <w:bidi w:val="0"/>
                    <w:rPr>
                      <w:rFonts w:hint="default" w:eastAsia="宋体"/>
                      <w:color w:val="auto"/>
                      <w:spacing w:val="-6"/>
                      <w:sz w:val="21"/>
                      <w:highlight w:val="none"/>
                      <w:lang w:val="en-US" w:eastAsia="zh-CN"/>
                    </w:rPr>
                  </w:pPr>
                  <w:r>
                    <w:rPr>
                      <w:rFonts w:hint="eastAsia"/>
                      <w:color w:val="auto"/>
                      <w:spacing w:val="-6"/>
                      <w:sz w:val="21"/>
                      <w:highlight w:val="none"/>
                      <w:lang w:val="en-US" w:eastAsia="zh-CN"/>
                    </w:rPr>
                    <w:t>0.026</w:t>
                  </w:r>
                </w:p>
              </w:tc>
              <w:tc>
                <w:tcPr>
                  <w:tcW w:w="398" w:type="pct"/>
                  <w:tcBorders>
                    <w:tl2br w:val="nil"/>
                    <w:tr2bl w:val="nil"/>
                  </w:tcBorders>
                  <w:noWrap w:val="0"/>
                  <w:vAlign w:val="center"/>
                </w:tcPr>
                <w:p w14:paraId="50830CA7">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0.0018</w:t>
                  </w:r>
                </w:p>
              </w:tc>
              <w:tc>
                <w:tcPr>
                  <w:tcW w:w="459" w:type="pct"/>
                  <w:tcBorders>
                    <w:tl2br w:val="nil"/>
                    <w:tr2bl w:val="nil"/>
                  </w:tcBorders>
                  <w:noWrap w:val="0"/>
                  <w:vAlign w:val="center"/>
                </w:tcPr>
                <w:p w14:paraId="5DFF49F1">
                  <w:pPr>
                    <w:pStyle w:val="40"/>
                    <w:bidi w:val="0"/>
                    <w:rPr>
                      <w:rFonts w:hint="default"/>
                      <w:color w:val="auto"/>
                      <w:spacing w:val="-11"/>
                      <w:sz w:val="21"/>
                      <w:highlight w:val="none"/>
                      <w:lang w:val="en-US" w:eastAsia="zh-CN"/>
                    </w:rPr>
                  </w:pPr>
                  <w:r>
                    <w:rPr>
                      <w:rFonts w:hint="eastAsia"/>
                      <w:color w:val="auto"/>
                      <w:spacing w:val="-11"/>
                      <w:sz w:val="21"/>
                      <w:highlight w:val="none"/>
                      <w:lang w:val="en-US" w:eastAsia="zh-CN"/>
                    </w:rPr>
                    <w:t>/</w:t>
                  </w:r>
                </w:p>
              </w:tc>
            </w:tr>
            <w:tr w14:paraId="380BDA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2" w:type="pct"/>
                  <w:tcBorders>
                    <w:tl2br w:val="nil"/>
                    <w:tr2bl w:val="nil"/>
                  </w:tcBorders>
                  <w:noWrap w:val="0"/>
                  <w:vAlign w:val="center"/>
                </w:tcPr>
                <w:p w14:paraId="19944A01">
                  <w:pPr>
                    <w:pStyle w:val="40"/>
                    <w:bidi w:val="0"/>
                    <w:rPr>
                      <w:rFonts w:hint="default"/>
                      <w:color w:val="auto"/>
                      <w:spacing w:val="-11"/>
                      <w:sz w:val="21"/>
                      <w:highlight w:val="none"/>
                      <w:lang w:val="en-US" w:eastAsia="zh-CN"/>
                    </w:rPr>
                  </w:pPr>
                  <w:r>
                    <w:rPr>
                      <w:rFonts w:hint="eastAsia"/>
                      <w:color w:val="auto"/>
                      <w:spacing w:val="-11"/>
                      <w:sz w:val="21"/>
                      <w:highlight w:val="none"/>
                      <w:lang w:val="en-US" w:eastAsia="zh-CN"/>
                    </w:rPr>
                    <w:t>G4a</w:t>
                  </w:r>
                </w:p>
              </w:tc>
              <w:tc>
                <w:tcPr>
                  <w:tcW w:w="562" w:type="pct"/>
                  <w:vMerge w:val="restart"/>
                  <w:tcBorders>
                    <w:tl2br w:val="nil"/>
                    <w:tr2bl w:val="nil"/>
                  </w:tcBorders>
                  <w:noWrap w:val="0"/>
                  <w:vAlign w:val="center"/>
                </w:tcPr>
                <w:p w14:paraId="7FA0A943">
                  <w:pPr>
                    <w:pStyle w:val="40"/>
                    <w:bidi w:val="0"/>
                    <w:rPr>
                      <w:rFonts w:hint="default"/>
                      <w:color w:val="auto"/>
                      <w:spacing w:val="-11"/>
                      <w:sz w:val="21"/>
                      <w:highlight w:val="none"/>
                      <w:lang w:val="en-US" w:eastAsia="zh-CN"/>
                    </w:rPr>
                  </w:pPr>
                  <w:r>
                    <w:rPr>
                      <w:rFonts w:hint="eastAsia"/>
                      <w:color w:val="auto"/>
                      <w:spacing w:val="-11"/>
                      <w:sz w:val="21"/>
                      <w:highlight w:val="none"/>
                      <w:lang w:val="en-US" w:eastAsia="zh-CN"/>
                    </w:rPr>
                    <w:t>炉渣粗磨粉尘</w:t>
                  </w:r>
                </w:p>
              </w:tc>
              <w:tc>
                <w:tcPr>
                  <w:tcW w:w="412" w:type="pct"/>
                  <w:vMerge w:val="restart"/>
                  <w:tcBorders>
                    <w:tl2br w:val="nil"/>
                    <w:tr2bl w:val="nil"/>
                  </w:tcBorders>
                  <w:shd w:val="clear" w:color="auto" w:fill="auto"/>
                  <w:noWrap w:val="0"/>
                  <w:vAlign w:val="center"/>
                </w:tcPr>
                <w:p w14:paraId="46DB9FE8">
                  <w:pPr>
                    <w:pStyle w:val="40"/>
                    <w:bidi w:val="0"/>
                    <w:ind w:firstLine="0" w:firstLineChars="0"/>
                    <w:rPr>
                      <w:rFonts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highlight w:val="none"/>
                      <w:lang w:val="en-US" w:eastAsia="zh-CN"/>
                    </w:rPr>
                    <w:t>颗粒物</w:t>
                  </w:r>
                </w:p>
              </w:tc>
              <w:tc>
                <w:tcPr>
                  <w:tcW w:w="512" w:type="pct"/>
                  <w:tcBorders>
                    <w:tl2br w:val="nil"/>
                    <w:tr2bl w:val="nil"/>
                  </w:tcBorders>
                  <w:shd w:val="clear" w:color="auto" w:fill="auto"/>
                  <w:noWrap w:val="0"/>
                  <w:vAlign w:val="center"/>
                </w:tcPr>
                <w:p w14:paraId="18397206">
                  <w:pPr>
                    <w:pStyle w:val="40"/>
                    <w:bidi w:val="0"/>
                    <w:ind w:firstLine="0" w:firstLineChars="0"/>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cs="Times New Roman"/>
                      <w:b w:val="0"/>
                      <w:bCs w:val="0"/>
                      <w:color w:val="auto"/>
                      <w:spacing w:val="-6"/>
                      <w:kern w:val="2"/>
                      <w:sz w:val="21"/>
                      <w:szCs w:val="21"/>
                      <w:highlight w:val="none"/>
                      <w:lang w:val="en-US" w:eastAsia="zh-CN" w:bidi="ar-SA"/>
                    </w:rPr>
                    <w:t>811.92</w:t>
                  </w:r>
                </w:p>
              </w:tc>
              <w:tc>
                <w:tcPr>
                  <w:tcW w:w="462" w:type="pct"/>
                  <w:tcBorders>
                    <w:tl2br w:val="nil"/>
                    <w:tr2bl w:val="nil"/>
                  </w:tcBorders>
                  <w:shd w:val="clear" w:color="auto" w:fill="auto"/>
                  <w:noWrap w:val="0"/>
                  <w:vAlign w:val="center"/>
                </w:tcPr>
                <w:p w14:paraId="45F209BC">
                  <w:pPr>
                    <w:pStyle w:val="40"/>
                    <w:bidi w:val="0"/>
                    <w:ind w:firstLine="0" w:firstLineChars="0"/>
                    <w:rPr>
                      <w:rFonts w:hint="default" w:ascii="Times New Roman" w:hAnsi="Times New Roman" w:eastAsia="宋体" w:cs="Times New Roman"/>
                      <w:b w:val="0"/>
                      <w:bCs w:val="0"/>
                      <w:color w:val="auto"/>
                      <w:spacing w:val="-11"/>
                      <w:kern w:val="2"/>
                      <w:sz w:val="21"/>
                      <w:szCs w:val="21"/>
                      <w:highlight w:val="none"/>
                      <w:lang w:val="en-US" w:eastAsia="zh-CN" w:bidi="ar-SA"/>
                    </w:rPr>
                  </w:pPr>
                  <w:r>
                    <w:rPr>
                      <w:rFonts w:hint="eastAsia" w:cs="Times New Roman"/>
                      <w:b w:val="0"/>
                      <w:bCs w:val="0"/>
                      <w:color w:val="auto"/>
                      <w:spacing w:val="-11"/>
                      <w:kern w:val="2"/>
                      <w:sz w:val="21"/>
                      <w:szCs w:val="21"/>
                      <w:highlight w:val="none"/>
                      <w:lang w:val="en-US" w:eastAsia="zh-CN" w:bidi="ar-SA"/>
                    </w:rPr>
                    <w:t>4945.45</w:t>
                  </w:r>
                </w:p>
              </w:tc>
              <w:tc>
                <w:tcPr>
                  <w:tcW w:w="441" w:type="pct"/>
                  <w:tcBorders>
                    <w:tl2br w:val="nil"/>
                    <w:tr2bl w:val="nil"/>
                  </w:tcBorders>
                  <w:shd w:val="clear" w:color="auto" w:fill="auto"/>
                  <w:noWrap w:val="0"/>
                  <w:vAlign w:val="center"/>
                </w:tcPr>
                <w:p w14:paraId="7ACBB57A">
                  <w:pPr>
                    <w:pStyle w:val="40"/>
                    <w:bidi w:val="0"/>
                    <w:ind w:firstLine="0" w:firstLineChars="0"/>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cs="Times New Roman"/>
                      <w:b w:val="0"/>
                      <w:bCs w:val="0"/>
                      <w:color w:val="auto"/>
                      <w:spacing w:val="-6"/>
                      <w:kern w:val="2"/>
                      <w:sz w:val="21"/>
                      <w:szCs w:val="21"/>
                      <w:highlight w:val="none"/>
                      <w:lang w:val="en-US" w:eastAsia="zh-CN" w:bidi="ar-SA"/>
                    </w:rPr>
                    <w:t>有组织</w:t>
                  </w:r>
                </w:p>
              </w:tc>
              <w:tc>
                <w:tcPr>
                  <w:tcW w:w="465" w:type="pct"/>
                  <w:tcBorders>
                    <w:tl2br w:val="nil"/>
                    <w:tr2bl w:val="nil"/>
                  </w:tcBorders>
                  <w:shd w:val="clear" w:color="auto" w:fill="auto"/>
                  <w:noWrap w:val="0"/>
                  <w:vAlign w:val="center"/>
                </w:tcPr>
                <w:p w14:paraId="5DB2C7C2">
                  <w:pPr>
                    <w:pStyle w:val="40"/>
                    <w:bidi w:val="0"/>
                    <w:ind w:firstLine="0" w:firstLineChars="0"/>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cs="Times New Roman"/>
                      <w:b w:val="0"/>
                      <w:bCs w:val="0"/>
                      <w:color w:val="auto"/>
                      <w:spacing w:val="-6"/>
                      <w:kern w:val="2"/>
                      <w:sz w:val="21"/>
                      <w:szCs w:val="21"/>
                      <w:highlight w:val="none"/>
                      <w:lang w:val="en-US" w:eastAsia="zh-CN" w:bidi="ar-SA"/>
                    </w:rPr>
                    <w:t>16500</w:t>
                  </w:r>
                </w:p>
              </w:tc>
              <w:tc>
                <w:tcPr>
                  <w:tcW w:w="396" w:type="pct"/>
                  <w:tcBorders>
                    <w:tl2br w:val="nil"/>
                    <w:tr2bl w:val="nil"/>
                  </w:tcBorders>
                  <w:shd w:val="clear" w:color="auto" w:fill="auto"/>
                  <w:noWrap w:val="0"/>
                  <w:vAlign w:val="center"/>
                </w:tcPr>
                <w:p w14:paraId="2E352C41">
                  <w:pPr>
                    <w:pStyle w:val="40"/>
                    <w:bidi w:val="0"/>
                    <w:ind w:firstLine="0" w:firstLineChars="0"/>
                    <w:rPr>
                      <w:rFonts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sz w:val="21"/>
                      <w:highlight w:val="none"/>
                      <w:lang w:val="en-US" w:eastAsia="zh-CN"/>
                    </w:rPr>
                    <w:t>99.7%</w:t>
                  </w:r>
                </w:p>
              </w:tc>
              <w:tc>
                <w:tcPr>
                  <w:tcW w:w="555" w:type="pct"/>
                  <w:tcBorders>
                    <w:tl2br w:val="nil"/>
                    <w:tr2bl w:val="nil"/>
                  </w:tcBorders>
                  <w:shd w:val="clear" w:color="auto" w:fill="auto"/>
                  <w:noWrap w:val="0"/>
                  <w:vAlign w:val="center"/>
                </w:tcPr>
                <w:p w14:paraId="5429E160">
                  <w:pPr>
                    <w:pStyle w:val="40"/>
                    <w:bidi w:val="0"/>
                    <w:ind w:firstLine="0" w:firstLineChars="0"/>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cs="Times New Roman"/>
                      <w:b w:val="0"/>
                      <w:bCs w:val="0"/>
                      <w:color w:val="auto"/>
                      <w:spacing w:val="-6"/>
                      <w:kern w:val="2"/>
                      <w:sz w:val="21"/>
                      <w:szCs w:val="21"/>
                      <w:highlight w:val="none"/>
                      <w:lang w:val="en-US" w:eastAsia="zh-CN" w:bidi="ar-SA"/>
                    </w:rPr>
                    <w:t>14.762</w:t>
                  </w:r>
                </w:p>
              </w:tc>
              <w:tc>
                <w:tcPr>
                  <w:tcW w:w="398" w:type="pct"/>
                  <w:tcBorders>
                    <w:tl2br w:val="nil"/>
                    <w:tr2bl w:val="nil"/>
                  </w:tcBorders>
                  <w:shd w:val="clear" w:color="auto" w:fill="auto"/>
                  <w:noWrap w:val="0"/>
                  <w:vAlign w:val="center"/>
                </w:tcPr>
                <w:p w14:paraId="36252C43">
                  <w:pPr>
                    <w:pStyle w:val="40"/>
                    <w:bidi w:val="0"/>
                    <w:ind w:firstLine="0" w:firstLineChars="0"/>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cs="Times New Roman"/>
                      <w:b w:val="0"/>
                      <w:bCs w:val="0"/>
                      <w:color w:val="auto"/>
                      <w:spacing w:val="-6"/>
                      <w:kern w:val="2"/>
                      <w:sz w:val="21"/>
                      <w:szCs w:val="21"/>
                      <w:highlight w:val="none"/>
                      <w:lang w:val="en-US" w:eastAsia="zh-CN" w:bidi="ar-SA"/>
                    </w:rPr>
                    <w:t>2.436</w:t>
                  </w:r>
                </w:p>
              </w:tc>
              <w:tc>
                <w:tcPr>
                  <w:tcW w:w="459" w:type="pct"/>
                  <w:tcBorders>
                    <w:tl2br w:val="nil"/>
                    <w:tr2bl w:val="nil"/>
                  </w:tcBorders>
                  <w:shd w:val="clear" w:color="auto" w:fill="auto"/>
                  <w:noWrap w:val="0"/>
                  <w:vAlign w:val="center"/>
                </w:tcPr>
                <w:p w14:paraId="649C7E6B">
                  <w:pPr>
                    <w:pStyle w:val="40"/>
                    <w:bidi w:val="0"/>
                    <w:rPr>
                      <w:rFonts w:hint="default"/>
                      <w:color w:val="auto"/>
                      <w:spacing w:val="-11"/>
                      <w:sz w:val="21"/>
                      <w:highlight w:val="none"/>
                      <w:lang w:val="en-US" w:eastAsia="zh-CN"/>
                    </w:rPr>
                  </w:pPr>
                  <w:r>
                    <w:rPr>
                      <w:rFonts w:hint="eastAsia"/>
                      <w:color w:val="auto"/>
                      <w:spacing w:val="-11"/>
                      <w:sz w:val="21"/>
                      <w:highlight w:val="none"/>
                      <w:lang w:val="en-US" w:eastAsia="zh-CN"/>
                    </w:rPr>
                    <w:t>DA001</w:t>
                  </w:r>
                </w:p>
              </w:tc>
            </w:tr>
            <w:tr w14:paraId="78F7CD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2" w:type="pct"/>
                  <w:tcBorders>
                    <w:tl2br w:val="nil"/>
                    <w:tr2bl w:val="nil"/>
                  </w:tcBorders>
                  <w:noWrap w:val="0"/>
                  <w:vAlign w:val="center"/>
                </w:tcPr>
                <w:p w14:paraId="7547A7A0">
                  <w:pPr>
                    <w:pStyle w:val="40"/>
                    <w:bidi w:val="0"/>
                    <w:rPr>
                      <w:rFonts w:hint="eastAsia"/>
                      <w:color w:val="auto"/>
                      <w:spacing w:val="-11"/>
                      <w:sz w:val="21"/>
                      <w:highlight w:val="none"/>
                      <w:lang w:val="en-US" w:eastAsia="zh-CN"/>
                    </w:rPr>
                  </w:pPr>
                  <w:r>
                    <w:rPr>
                      <w:rFonts w:hint="eastAsia"/>
                      <w:color w:val="auto"/>
                      <w:spacing w:val="-11"/>
                      <w:sz w:val="21"/>
                      <w:highlight w:val="none"/>
                      <w:lang w:val="en-US" w:eastAsia="zh-CN"/>
                    </w:rPr>
                    <w:t>G4b</w:t>
                  </w:r>
                </w:p>
              </w:tc>
              <w:tc>
                <w:tcPr>
                  <w:tcW w:w="562" w:type="pct"/>
                  <w:vMerge w:val="continue"/>
                  <w:tcBorders>
                    <w:tl2br w:val="nil"/>
                    <w:tr2bl w:val="nil"/>
                  </w:tcBorders>
                  <w:noWrap w:val="0"/>
                  <w:vAlign w:val="center"/>
                </w:tcPr>
                <w:p w14:paraId="1387BE40">
                  <w:pPr>
                    <w:pStyle w:val="40"/>
                    <w:bidi w:val="0"/>
                    <w:rPr>
                      <w:rFonts w:hint="default"/>
                      <w:color w:val="auto"/>
                      <w:spacing w:val="-11"/>
                      <w:sz w:val="21"/>
                      <w:highlight w:val="none"/>
                      <w:lang w:val="en-US" w:eastAsia="zh-CN"/>
                    </w:rPr>
                  </w:pPr>
                </w:p>
              </w:tc>
              <w:tc>
                <w:tcPr>
                  <w:tcW w:w="412" w:type="pct"/>
                  <w:vMerge w:val="continue"/>
                  <w:tcBorders>
                    <w:tl2br w:val="nil"/>
                    <w:tr2bl w:val="nil"/>
                  </w:tcBorders>
                  <w:shd w:val="clear" w:color="auto" w:fill="auto"/>
                  <w:noWrap w:val="0"/>
                  <w:vAlign w:val="center"/>
                </w:tcPr>
                <w:p w14:paraId="2E9314D1">
                  <w:pPr>
                    <w:pStyle w:val="40"/>
                    <w:bidi w:val="0"/>
                    <w:ind w:firstLine="0" w:firstLineChars="0"/>
                    <w:rPr>
                      <w:rFonts w:ascii="Times New Roman" w:hAnsi="Times New Roman" w:eastAsia="宋体" w:cs="Times New Roman"/>
                      <w:b w:val="0"/>
                      <w:bCs w:val="0"/>
                      <w:color w:val="auto"/>
                      <w:spacing w:val="-6"/>
                      <w:kern w:val="2"/>
                      <w:sz w:val="21"/>
                      <w:szCs w:val="21"/>
                      <w:highlight w:val="none"/>
                      <w:lang w:val="en-US" w:eastAsia="zh-CN" w:bidi="ar-SA"/>
                    </w:rPr>
                  </w:pPr>
                </w:p>
              </w:tc>
              <w:tc>
                <w:tcPr>
                  <w:tcW w:w="512" w:type="pct"/>
                  <w:tcBorders>
                    <w:tl2br w:val="nil"/>
                    <w:tr2bl w:val="nil"/>
                  </w:tcBorders>
                  <w:shd w:val="clear" w:color="auto" w:fill="auto"/>
                  <w:noWrap w:val="0"/>
                  <w:vAlign w:val="center"/>
                </w:tcPr>
                <w:p w14:paraId="286340CE">
                  <w:pPr>
                    <w:pStyle w:val="40"/>
                    <w:bidi w:val="0"/>
                    <w:ind w:firstLine="0" w:firstLineChars="0"/>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cs="Times New Roman"/>
                      <w:b w:val="0"/>
                      <w:bCs w:val="0"/>
                      <w:color w:val="auto"/>
                      <w:spacing w:val="-6"/>
                      <w:kern w:val="2"/>
                      <w:sz w:val="21"/>
                      <w:szCs w:val="21"/>
                      <w:highlight w:val="none"/>
                      <w:lang w:val="en-US" w:eastAsia="zh-CN" w:bidi="ar-SA"/>
                    </w:rPr>
                    <w:t>4.08</w:t>
                  </w:r>
                </w:p>
              </w:tc>
              <w:tc>
                <w:tcPr>
                  <w:tcW w:w="462" w:type="pct"/>
                  <w:tcBorders>
                    <w:tl2br w:val="nil"/>
                    <w:tr2bl w:val="nil"/>
                  </w:tcBorders>
                  <w:shd w:val="clear" w:color="auto" w:fill="auto"/>
                  <w:noWrap w:val="0"/>
                  <w:vAlign w:val="center"/>
                </w:tcPr>
                <w:p w14:paraId="0BAB147B">
                  <w:pPr>
                    <w:pStyle w:val="40"/>
                    <w:bidi w:val="0"/>
                    <w:ind w:firstLine="0" w:firstLineChars="0"/>
                    <w:rPr>
                      <w:rFonts w:hint="default" w:ascii="Times New Roman" w:hAnsi="Times New Roman" w:eastAsia="宋体" w:cs="Times New Roman"/>
                      <w:b w:val="0"/>
                      <w:bCs w:val="0"/>
                      <w:color w:val="auto"/>
                      <w:spacing w:val="-11"/>
                      <w:kern w:val="2"/>
                      <w:sz w:val="21"/>
                      <w:szCs w:val="21"/>
                      <w:highlight w:val="none"/>
                      <w:lang w:val="en-US" w:eastAsia="zh-CN" w:bidi="ar-SA"/>
                    </w:rPr>
                  </w:pPr>
                  <w:r>
                    <w:rPr>
                      <w:rFonts w:hint="eastAsia"/>
                      <w:color w:val="auto"/>
                      <w:spacing w:val="-11"/>
                      <w:sz w:val="21"/>
                      <w:highlight w:val="none"/>
                      <w:lang w:val="en-US" w:eastAsia="zh-CN"/>
                    </w:rPr>
                    <w:t>/</w:t>
                  </w:r>
                </w:p>
              </w:tc>
              <w:tc>
                <w:tcPr>
                  <w:tcW w:w="441" w:type="pct"/>
                  <w:tcBorders>
                    <w:tl2br w:val="nil"/>
                    <w:tr2bl w:val="nil"/>
                  </w:tcBorders>
                  <w:shd w:val="clear" w:color="auto" w:fill="auto"/>
                  <w:noWrap w:val="0"/>
                  <w:vAlign w:val="center"/>
                </w:tcPr>
                <w:p w14:paraId="51F0A92C">
                  <w:pPr>
                    <w:pStyle w:val="40"/>
                    <w:bidi w:val="0"/>
                    <w:ind w:firstLine="0" w:firstLineChars="0"/>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cs="Times New Roman"/>
                      <w:b w:val="0"/>
                      <w:bCs w:val="0"/>
                      <w:color w:val="auto"/>
                      <w:spacing w:val="-6"/>
                      <w:kern w:val="2"/>
                      <w:sz w:val="21"/>
                      <w:szCs w:val="21"/>
                      <w:highlight w:val="none"/>
                      <w:lang w:val="en-US" w:eastAsia="zh-CN" w:bidi="ar-SA"/>
                    </w:rPr>
                    <w:t>无组织</w:t>
                  </w:r>
                </w:p>
              </w:tc>
              <w:tc>
                <w:tcPr>
                  <w:tcW w:w="465" w:type="pct"/>
                  <w:tcBorders>
                    <w:tl2br w:val="nil"/>
                    <w:tr2bl w:val="nil"/>
                  </w:tcBorders>
                  <w:shd w:val="clear" w:color="auto" w:fill="auto"/>
                  <w:noWrap w:val="0"/>
                  <w:vAlign w:val="center"/>
                </w:tcPr>
                <w:p w14:paraId="32E06506">
                  <w:pPr>
                    <w:pStyle w:val="40"/>
                    <w:bidi w:val="0"/>
                    <w:ind w:firstLine="0" w:firstLineChars="0"/>
                    <w:rPr>
                      <w:rFonts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sz w:val="21"/>
                      <w:highlight w:val="none"/>
                      <w:lang w:val="en-US" w:eastAsia="zh-CN"/>
                    </w:rPr>
                    <w:t>/</w:t>
                  </w:r>
                </w:p>
              </w:tc>
              <w:tc>
                <w:tcPr>
                  <w:tcW w:w="396" w:type="pct"/>
                  <w:tcBorders>
                    <w:tl2br w:val="nil"/>
                    <w:tr2bl w:val="nil"/>
                  </w:tcBorders>
                  <w:shd w:val="clear" w:color="auto" w:fill="auto"/>
                  <w:noWrap w:val="0"/>
                  <w:vAlign w:val="center"/>
                </w:tcPr>
                <w:p w14:paraId="112B606F">
                  <w:pPr>
                    <w:pStyle w:val="40"/>
                    <w:bidi w:val="0"/>
                    <w:ind w:firstLine="0" w:firstLineChars="0"/>
                    <w:rPr>
                      <w:rFonts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sz w:val="21"/>
                      <w:highlight w:val="none"/>
                      <w:lang w:val="en-US" w:eastAsia="zh-CN"/>
                    </w:rPr>
                    <w:t>90</w:t>
                  </w:r>
                  <w:r>
                    <w:rPr>
                      <w:color w:val="auto"/>
                      <w:spacing w:val="-6"/>
                      <w:sz w:val="21"/>
                      <w:highlight w:val="none"/>
                    </w:rPr>
                    <w:t>%</w:t>
                  </w:r>
                </w:p>
              </w:tc>
              <w:tc>
                <w:tcPr>
                  <w:tcW w:w="555" w:type="pct"/>
                  <w:tcBorders>
                    <w:tl2br w:val="nil"/>
                    <w:tr2bl w:val="nil"/>
                  </w:tcBorders>
                  <w:shd w:val="clear" w:color="auto" w:fill="auto"/>
                  <w:noWrap w:val="0"/>
                  <w:vAlign w:val="center"/>
                </w:tcPr>
                <w:p w14:paraId="26E02CDD">
                  <w:pPr>
                    <w:pStyle w:val="40"/>
                    <w:bidi w:val="0"/>
                    <w:ind w:firstLine="0" w:firstLineChars="0"/>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cs="Times New Roman"/>
                      <w:b w:val="0"/>
                      <w:bCs w:val="0"/>
                      <w:color w:val="auto"/>
                      <w:spacing w:val="-6"/>
                      <w:kern w:val="2"/>
                      <w:sz w:val="21"/>
                      <w:szCs w:val="21"/>
                      <w:highlight w:val="none"/>
                      <w:lang w:val="en-US" w:eastAsia="zh-CN" w:bidi="ar-SA"/>
                    </w:rPr>
                    <w:t>0.057</w:t>
                  </w:r>
                </w:p>
              </w:tc>
              <w:tc>
                <w:tcPr>
                  <w:tcW w:w="398" w:type="pct"/>
                  <w:tcBorders>
                    <w:tl2br w:val="nil"/>
                    <w:tr2bl w:val="nil"/>
                  </w:tcBorders>
                  <w:shd w:val="clear" w:color="auto" w:fill="auto"/>
                  <w:noWrap w:val="0"/>
                  <w:vAlign w:val="center"/>
                </w:tcPr>
                <w:p w14:paraId="1FD0FC2B">
                  <w:pPr>
                    <w:pStyle w:val="40"/>
                    <w:bidi w:val="0"/>
                    <w:ind w:firstLine="0" w:firstLineChars="0"/>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cs="Times New Roman"/>
                      <w:b w:val="0"/>
                      <w:bCs w:val="0"/>
                      <w:color w:val="auto"/>
                      <w:spacing w:val="-6"/>
                      <w:kern w:val="2"/>
                      <w:sz w:val="21"/>
                      <w:szCs w:val="21"/>
                      <w:highlight w:val="none"/>
                      <w:lang w:val="en-US" w:eastAsia="zh-CN" w:bidi="ar-SA"/>
                    </w:rPr>
                    <w:t>0.408</w:t>
                  </w:r>
                </w:p>
              </w:tc>
              <w:tc>
                <w:tcPr>
                  <w:tcW w:w="459" w:type="pct"/>
                  <w:tcBorders>
                    <w:tl2br w:val="nil"/>
                    <w:tr2bl w:val="nil"/>
                  </w:tcBorders>
                  <w:shd w:val="clear" w:color="auto" w:fill="auto"/>
                  <w:noWrap w:val="0"/>
                  <w:vAlign w:val="center"/>
                </w:tcPr>
                <w:p w14:paraId="1EA32ACD">
                  <w:pPr>
                    <w:pStyle w:val="40"/>
                    <w:bidi w:val="0"/>
                    <w:rPr>
                      <w:rFonts w:hint="default"/>
                      <w:color w:val="auto"/>
                      <w:spacing w:val="-11"/>
                      <w:sz w:val="21"/>
                      <w:highlight w:val="none"/>
                      <w:lang w:val="en-US" w:eastAsia="zh-CN"/>
                    </w:rPr>
                  </w:pPr>
                  <w:r>
                    <w:rPr>
                      <w:rFonts w:hint="eastAsia"/>
                      <w:color w:val="auto"/>
                      <w:spacing w:val="-11"/>
                      <w:sz w:val="21"/>
                      <w:highlight w:val="none"/>
                      <w:lang w:val="en-US" w:eastAsia="zh-CN"/>
                    </w:rPr>
                    <w:t>/</w:t>
                  </w:r>
                </w:p>
              </w:tc>
            </w:tr>
            <w:tr w14:paraId="195822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2" w:type="pct"/>
                  <w:tcBorders>
                    <w:tl2br w:val="nil"/>
                    <w:tr2bl w:val="nil"/>
                  </w:tcBorders>
                  <w:noWrap w:val="0"/>
                  <w:vAlign w:val="center"/>
                </w:tcPr>
                <w:p w14:paraId="1BBF4DD1">
                  <w:pPr>
                    <w:pStyle w:val="40"/>
                    <w:bidi w:val="0"/>
                    <w:rPr>
                      <w:rFonts w:hint="eastAsia" w:eastAsia="宋体"/>
                      <w:color w:val="auto"/>
                      <w:spacing w:val="-11"/>
                      <w:sz w:val="21"/>
                      <w:highlight w:val="none"/>
                      <w:lang w:val="en-US" w:eastAsia="zh-CN"/>
                    </w:rPr>
                  </w:pPr>
                  <w:r>
                    <w:rPr>
                      <w:rFonts w:hint="eastAsia"/>
                      <w:color w:val="auto"/>
                      <w:spacing w:val="-11"/>
                      <w:sz w:val="21"/>
                      <w:highlight w:val="none"/>
                      <w:lang w:val="en-US" w:eastAsia="zh-CN"/>
                    </w:rPr>
                    <w:t>G5</w:t>
                  </w:r>
                </w:p>
              </w:tc>
              <w:tc>
                <w:tcPr>
                  <w:tcW w:w="562" w:type="pct"/>
                  <w:tcBorders>
                    <w:tl2br w:val="nil"/>
                    <w:tr2bl w:val="nil"/>
                  </w:tcBorders>
                  <w:noWrap w:val="0"/>
                  <w:vAlign w:val="center"/>
                </w:tcPr>
                <w:p w14:paraId="144B68C1">
                  <w:pPr>
                    <w:pStyle w:val="40"/>
                    <w:bidi w:val="0"/>
                    <w:rPr>
                      <w:rFonts w:hint="default" w:eastAsia="宋体"/>
                      <w:color w:val="auto"/>
                      <w:spacing w:val="-11"/>
                      <w:sz w:val="21"/>
                      <w:highlight w:val="none"/>
                      <w:lang w:val="en-US" w:eastAsia="zh-CN"/>
                    </w:rPr>
                  </w:pPr>
                  <w:r>
                    <w:rPr>
                      <w:rFonts w:hint="eastAsia"/>
                      <w:color w:val="auto"/>
                      <w:spacing w:val="-11"/>
                      <w:sz w:val="21"/>
                      <w:highlight w:val="none"/>
                      <w:lang w:val="en-US" w:eastAsia="zh-CN"/>
                    </w:rPr>
                    <w:t>炉渣中间仓粉尘</w:t>
                  </w:r>
                </w:p>
              </w:tc>
              <w:tc>
                <w:tcPr>
                  <w:tcW w:w="412" w:type="pct"/>
                  <w:tcBorders>
                    <w:tl2br w:val="nil"/>
                    <w:tr2bl w:val="nil"/>
                  </w:tcBorders>
                  <w:noWrap w:val="0"/>
                  <w:vAlign w:val="center"/>
                </w:tcPr>
                <w:p w14:paraId="066580C3">
                  <w:pPr>
                    <w:pStyle w:val="40"/>
                    <w:bidi w:val="0"/>
                    <w:rPr>
                      <w:color w:val="auto"/>
                      <w:spacing w:val="-6"/>
                      <w:highlight w:val="none"/>
                    </w:rPr>
                  </w:pPr>
                  <w:r>
                    <w:rPr>
                      <w:rFonts w:hint="eastAsia"/>
                      <w:color w:val="auto"/>
                      <w:spacing w:val="-6"/>
                      <w:highlight w:val="none"/>
                      <w:lang w:val="en-US" w:eastAsia="zh-CN"/>
                    </w:rPr>
                    <w:t>颗粒物</w:t>
                  </w:r>
                </w:p>
              </w:tc>
              <w:tc>
                <w:tcPr>
                  <w:tcW w:w="512" w:type="pct"/>
                  <w:tcBorders>
                    <w:tl2br w:val="nil"/>
                    <w:tr2bl w:val="nil"/>
                  </w:tcBorders>
                  <w:noWrap w:val="0"/>
                  <w:vAlign w:val="center"/>
                </w:tcPr>
                <w:p w14:paraId="2FDC89CA">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24</w:t>
                  </w:r>
                </w:p>
              </w:tc>
              <w:tc>
                <w:tcPr>
                  <w:tcW w:w="462" w:type="pct"/>
                  <w:tcBorders>
                    <w:tl2br w:val="nil"/>
                    <w:tr2bl w:val="nil"/>
                  </w:tcBorders>
                  <w:shd w:val="clear" w:color="auto" w:fill="auto"/>
                  <w:noWrap w:val="0"/>
                  <w:vAlign w:val="center"/>
                </w:tcPr>
                <w:p w14:paraId="3FEB2758">
                  <w:pPr>
                    <w:pStyle w:val="40"/>
                    <w:bidi w:val="0"/>
                    <w:ind w:firstLine="0" w:firstLineChars="0"/>
                    <w:rPr>
                      <w:rFonts w:hint="eastAsia" w:ascii="Times New Roman" w:hAnsi="Times New Roman" w:eastAsia="宋体" w:cs="Times New Roman"/>
                      <w:b w:val="0"/>
                      <w:bCs w:val="0"/>
                      <w:color w:val="auto"/>
                      <w:spacing w:val="-11"/>
                      <w:kern w:val="2"/>
                      <w:sz w:val="21"/>
                      <w:szCs w:val="21"/>
                      <w:highlight w:val="none"/>
                      <w:lang w:val="en-US" w:eastAsia="zh-CN" w:bidi="ar-SA"/>
                    </w:rPr>
                  </w:pPr>
                  <w:r>
                    <w:rPr>
                      <w:rFonts w:hint="eastAsia"/>
                      <w:color w:val="auto"/>
                      <w:spacing w:val="-11"/>
                      <w:sz w:val="21"/>
                      <w:highlight w:val="none"/>
                      <w:lang w:val="en-US" w:eastAsia="zh-CN"/>
                    </w:rPr>
                    <w:t>/</w:t>
                  </w:r>
                </w:p>
              </w:tc>
              <w:tc>
                <w:tcPr>
                  <w:tcW w:w="441" w:type="pct"/>
                  <w:tcBorders>
                    <w:tl2br w:val="nil"/>
                    <w:tr2bl w:val="nil"/>
                  </w:tcBorders>
                  <w:noWrap w:val="0"/>
                  <w:vAlign w:val="center"/>
                </w:tcPr>
                <w:p w14:paraId="762E1FB9">
                  <w:pPr>
                    <w:pStyle w:val="40"/>
                    <w:bidi w:val="0"/>
                    <w:rPr>
                      <w:color w:val="auto"/>
                      <w:spacing w:val="-6"/>
                      <w:sz w:val="21"/>
                      <w:highlight w:val="none"/>
                    </w:rPr>
                  </w:pPr>
                  <w:r>
                    <w:rPr>
                      <w:rFonts w:hint="eastAsia" w:cs="Times New Roman"/>
                      <w:b w:val="0"/>
                      <w:bCs w:val="0"/>
                      <w:color w:val="auto"/>
                      <w:spacing w:val="-6"/>
                      <w:kern w:val="2"/>
                      <w:sz w:val="21"/>
                      <w:szCs w:val="21"/>
                      <w:highlight w:val="none"/>
                      <w:lang w:val="en-US" w:eastAsia="zh-CN" w:bidi="ar-SA"/>
                    </w:rPr>
                    <w:t>无组织</w:t>
                  </w:r>
                </w:p>
              </w:tc>
              <w:tc>
                <w:tcPr>
                  <w:tcW w:w="465" w:type="pct"/>
                  <w:tcBorders>
                    <w:tl2br w:val="nil"/>
                    <w:tr2bl w:val="nil"/>
                  </w:tcBorders>
                  <w:shd w:val="clear" w:color="auto" w:fill="auto"/>
                  <w:noWrap w:val="0"/>
                  <w:vAlign w:val="center"/>
                </w:tcPr>
                <w:p w14:paraId="15FDC89D">
                  <w:pPr>
                    <w:pStyle w:val="40"/>
                    <w:bidi w:val="0"/>
                    <w:ind w:firstLine="0" w:firstLineChars="0"/>
                    <w:rPr>
                      <w:rFonts w:hint="eastAsia"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sz w:val="21"/>
                      <w:highlight w:val="none"/>
                      <w:lang w:val="en-US" w:eastAsia="zh-CN"/>
                    </w:rPr>
                    <w:t>/</w:t>
                  </w:r>
                </w:p>
              </w:tc>
              <w:tc>
                <w:tcPr>
                  <w:tcW w:w="396" w:type="pct"/>
                  <w:tcBorders>
                    <w:tl2br w:val="nil"/>
                    <w:tr2bl w:val="nil"/>
                  </w:tcBorders>
                  <w:noWrap w:val="0"/>
                  <w:vAlign w:val="center"/>
                </w:tcPr>
                <w:p w14:paraId="3BA53AD4">
                  <w:pPr>
                    <w:pStyle w:val="40"/>
                    <w:bidi w:val="0"/>
                    <w:rPr>
                      <w:color w:val="auto"/>
                      <w:spacing w:val="-6"/>
                      <w:sz w:val="21"/>
                      <w:highlight w:val="none"/>
                    </w:rPr>
                  </w:pPr>
                  <w:r>
                    <w:rPr>
                      <w:rFonts w:hint="eastAsia"/>
                      <w:color w:val="auto"/>
                      <w:spacing w:val="-6"/>
                      <w:sz w:val="21"/>
                      <w:highlight w:val="none"/>
                      <w:lang w:val="en-US" w:eastAsia="zh-CN"/>
                    </w:rPr>
                    <w:t>99.7%</w:t>
                  </w:r>
                </w:p>
              </w:tc>
              <w:tc>
                <w:tcPr>
                  <w:tcW w:w="555" w:type="pct"/>
                  <w:tcBorders>
                    <w:tl2br w:val="nil"/>
                    <w:tr2bl w:val="nil"/>
                  </w:tcBorders>
                  <w:noWrap w:val="0"/>
                  <w:vAlign w:val="center"/>
                </w:tcPr>
                <w:p w14:paraId="0B165C70">
                  <w:pPr>
                    <w:pStyle w:val="40"/>
                    <w:bidi w:val="0"/>
                    <w:rPr>
                      <w:rFonts w:hint="default" w:eastAsia="宋体"/>
                      <w:color w:val="auto"/>
                      <w:spacing w:val="-6"/>
                      <w:sz w:val="21"/>
                      <w:highlight w:val="none"/>
                      <w:lang w:val="en-US" w:eastAsia="zh-CN"/>
                    </w:rPr>
                  </w:pPr>
                  <w:r>
                    <w:rPr>
                      <w:rFonts w:hint="eastAsia"/>
                      <w:color w:val="auto"/>
                      <w:spacing w:val="-6"/>
                      <w:sz w:val="21"/>
                      <w:highlight w:val="none"/>
                      <w:lang w:val="en-US" w:eastAsia="zh-CN"/>
                    </w:rPr>
                    <w:t>0.01</w:t>
                  </w:r>
                </w:p>
              </w:tc>
              <w:tc>
                <w:tcPr>
                  <w:tcW w:w="398" w:type="pct"/>
                  <w:tcBorders>
                    <w:tl2br w:val="nil"/>
                    <w:tr2bl w:val="nil"/>
                  </w:tcBorders>
                  <w:noWrap w:val="0"/>
                  <w:vAlign w:val="center"/>
                </w:tcPr>
                <w:p w14:paraId="2484EDD5">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0.072</w:t>
                  </w:r>
                </w:p>
              </w:tc>
              <w:tc>
                <w:tcPr>
                  <w:tcW w:w="459" w:type="pct"/>
                  <w:tcBorders>
                    <w:tl2br w:val="nil"/>
                    <w:tr2bl w:val="nil"/>
                  </w:tcBorders>
                  <w:noWrap w:val="0"/>
                  <w:vAlign w:val="center"/>
                </w:tcPr>
                <w:p w14:paraId="35524F66">
                  <w:pPr>
                    <w:pStyle w:val="40"/>
                    <w:bidi w:val="0"/>
                    <w:rPr>
                      <w:color w:val="auto"/>
                      <w:spacing w:val="-11"/>
                      <w:sz w:val="21"/>
                      <w:highlight w:val="none"/>
                    </w:rPr>
                  </w:pPr>
                  <w:r>
                    <w:rPr>
                      <w:rFonts w:hint="eastAsia"/>
                      <w:color w:val="auto"/>
                      <w:spacing w:val="-11"/>
                      <w:sz w:val="21"/>
                      <w:highlight w:val="none"/>
                      <w:lang w:val="en-US" w:eastAsia="zh-CN"/>
                    </w:rPr>
                    <w:t>/</w:t>
                  </w:r>
                </w:p>
              </w:tc>
            </w:tr>
            <w:tr w14:paraId="157628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2" w:type="pct"/>
                  <w:tcBorders>
                    <w:tl2br w:val="nil"/>
                    <w:tr2bl w:val="nil"/>
                  </w:tcBorders>
                  <w:noWrap w:val="0"/>
                  <w:vAlign w:val="center"/>
                </w:tcPr>
                <w:p w14:paraId="2F5C7B56">
                  <w:pPr>
                    <w:pStyle w:val="40"/>
                    <w:bidi w:val="0"/>
                    <w:rPr>
                      <w:rFonts w:hint="eastAsia" w:eastAsia="宋体"/>
                      <w:color w:val="auto"/>
                      <w:spacing w:val="-11"/>
                      <w:sz w:val="21"/>
                      <w:highlight w:val="none"/>
                      <w:lang w:val="en-US" w:eastAsia="zh-CN"/>
                    </w:rPr>
                  </w:pPr>
                  <w:r>
                    <w:rPr>
                      <w:rFonts w:hint="eastAsia"/>
                      <w:color w:val="auto"/>
                      <w:spacing w:val="-11"/>
                      <w:sz w:val="21"/>
                      <w:highlight w:val="none"/>
                      <w:lang w:val="en-US" w:eastAsia="zh-CN"/>
                    </w:rPr>
                    <w:t>G6</w:t>
                  </w:r>
                </w:p>
              </w:tc>
              <w:tc>
                <w:tcPr>
                  <w:tcW w:w="562" w:type="pct"/>
                  <w:tcBorders>
                    <w:tl2br w:val="nil"/>
                    <w:tr2bl w:val="nil"/>
                  </w:tcBorders>
                  <w:noWrap w:val="0"/>
                  <w:vAlign w:val="center"/>
                </w:tcPr>
                <w:p w14:paraId="407696A6">
                  <w:pPr>
                    <w:pStyle w:val="40"/>
                    <w:bidi w:val="0"/>
                    <w:rPr>
                      <w:rFonts w:hint="default" w:eastAsia="宋体"/>
                      <w:color w:val="auto"/>
                      <w:spacing w:val="-11"/>
                      <w:sz w:val="21"/>
                      <w:highlight w:val="none"/>
                      <w:lang w:val="en-US" w:eastAsia="zh-CN"/>
                    </w:rPr>
                  </w:pPr>
                  <w:r>
                    <w:rPr>
                      <w:rFonts w:hint="eastAsia"/>
                      <w:color w:val="auto"/>
                      <w:spacing w:val="-11"/>
                      <w:sz w:val="21"/>
                      <w:highlight w:val="none"/>
                      <w:lang w:val="en-US" w:eastAsia="zh-CN"/>
                    </w:rPr>
                    <w:t>镁渣中间仓粉尘</w:t>
                  </w:r>
                </w:p>
              </w:tc>
              <w:tc>
                <w:tcPr>
                  <w:tcW w:w="412" w:type="pct"/>
                  <w:tcBorders>
                    <w:tl2br w:val="nil"/>
                    <w:tr2bl w:val="nil"/>
                  </w:tcBorders>
                  <w:noWrap w:val="0"/>
                  <w:vAlign w:val="center"/>
                </w:tcPr>
                <w:p w14:paraId="4E9B7FAD">
                  <w:pPr>
                    <w:pStyle w:val="40"/>
                    <w:bidi w:val="0"/>
                    <w:rPr>
                      <w:color w:val="auto"/>
                      <w:spacing w:val="-6"/>
                      <w:highlight w:val="none"/>
                    </w:rPr>
                  </w:pPr>
                  <w:r>
                    <w:rPr>
                      <w:rFonts w:hint="eastAsia"/>
                      <w:color w:val="auto"/>
                      <w:spacing w:val="-6"/>
                      <w:highlight w:val="none"/>
                      <w:lang w:val="en-US" w:eastAsia="zh-CN"/>
                    </w:rPr>
                    <w:t>颗粒物</w:t>
                  </w:r>
                </w:p>
              </w:tc>
              <w:tc>
                <w:tcPr>
                  <w:tcW w:w="512" w:type="pct"/>
                  <w:tcBorders>
                    <w:tl2br w:val="nil"/>
                    <w:tr2bl w:val="nil"/>
                  </w:tcBorders>
                  <w:noWrap w:val="0"/>
                  <w:vAlign w:val="center"/>
                </w:tcPr>
                <w:p w14:paraId="672C2BEC">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29.4</w:t>
                  </w:r>
                </w:p>
              </w:tc>
              <w:tc>
                <w:tcPr>
                  <w:tcW w:w="462" w:type="pct"/>
                  <w:tcBorders>
                    <w:tl2br w:val="nil"/>
                    <w:tr2bl w:val="nil"/>
                  </w:tcBorders>
                  <w:shd w:val="clear" w:color="auto" w:fill="auto"/>
                  <w:noWrap w:val="0"/>
                  <w:vAlign w:val="center"/>
                </w:tcPr>
                <w:p w14:paraId="2286EED6">
                  <w:pPr>
                    <w:pStyle w:val="40"/>
                    <w:bidi w:val="0"/>
                    <w:ind w:firstLine="0" w:firstLineChars="0"/>
                    <w:rPr>
                      <w:rFonts w:ascii="Times New Roman" w:hAnsi="Times New Roman" w:eastAsia="宋体" w:cs="Times New Roman"/>
                      <w:b w:val="0"/>
                      <w:bCs w:val="0"/>
                      <w:color w:val="auto"/>
                      <w:spacing w:val="-11"/>
                      <w:kern w:val="2"/>
                      <w:sz w:val="21"/>
                      <w:szCs w:val="21"/>
                      <w:highlight w:val="none"/>
                      <w:lang w:val="en-US" w:eastAsia="zh-CN" w:bidi="ar-SA"/>
                    </w:rPr>
                  </w:pPr>
                  <w:r>
                    <w:rPr>
                      <w:rFonts w:hint="eastAsia"/>
                      <w:color w:val="auto"/>
                      <w:spacing w:val="-11"/>
                      <w:sz w:val="21"/>
                      <w:highlight w:val="none"/>
                      <w:lang w:val="en-US" w:eastAsia="zh-CN"/>
                    </w:rPr>
                    <w:t>/</w:t>
                  </w:r>
                </w:p>
              </w:tc>
              <w:tc>
                <w:tcPr>
                  <w:tcW w:w="441" w:type="pct"/>
                  <w:tcBorders>
                    <w:tl2br w:val="nil"/>
                    <w:tr2bl w:val="nil"/>
                  </w:tcBorders>
                  <w:noWrap w:val="0"/>
                  <w:vAlign w:val="center"/>
                </w:tcPr>
                <w:p w14:paraId="2E20E3D8">
                  <w:pPr>
                    <w:pStyle w:val="40"/>
                    <w:bidi w:val="0"/>
                    <w:rPr>
                      <w:color w:val="auto"/>
                      <w:spacing w:val="-6"/>
                      <w:sz w:val="21"/>
                      <w:highlight w:val="none"/>
                    </w:rPr>
                  </w:pPr>
                  <w:r>
                    <w:rPr>
                      <w:rFonts w:hint="eastAsia" w:cs="Times New Roman"/>
                      <w:b w:val="0"/>
                      <w:bCs w:val="0"/>
                      <w:color w:val="auto"/>
                      <w:spacing w:val="-6"/>
                      <w:kern w:val="2"/>
                      <w:sz w:val="21"/>
                      <w:szCs w:val="21"/>
                      <w:highlight w:val="none"/>
                      <w:lang w:val="en-US" w:eastAsia="zh-CN" w:bidi="ar-SA"/>
                    </w:rPr>
                    <w:t>无组织</w:t>
                  </w:r>
                </w:p>
              </w:tc>
              <w:tc>
                <w:tcPr>
                  <w:tcW w:w="465" w:type="pct"/>
                  <w:tcBorders>
                    <w:tl2br w:val="nil"/>
                    <w:tr2bl w:val="nil"/>
                  </w:tcBorders>
                  <w:shd w:val="clear" w:color="auto" w:fill="auto"/>
                  <w:noWrap w:val="0"/>
                  <w:vAlign w:val="center"/>
                </w:tcPr>
                <w:p w14:paraId="53ED051A">
                  <w:pPr>
                    <w:pStyle w:val="40"/>
                    <w:bidi w:val="0"/>
                    <w:ind w:firstLine="0" w:firstLineChars="0"/>
                    <w:rPr>
                      <w:rFonts w:hint="eastAsia"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sz w:val="21"/>
                      <w:highlight w:val="none"/>
                      <w:lang w:val="en-US" w:eastAsia="zh-CN"/>
                    </w:rPr>
                    <w:t>/</w:t>
                  </w:r>
                </w:p>
              </w:tc>
              <w:tc>
                <w:tcPr>
                  <w:tcW w:w="396" w:type="pct"/>
                  <w:tcBorders>
                    <w:tl2br w:val="nil"/>
                    <w:tr2bl w:val="nil"/>
                  </w:tcBorders>
                  <w:noWrap w:val="0"/>
                  <w:vAlign w:val="center"/>
                </w:tcPr>
                <w:p w14:paraId="1FBDBFA3">
                  <w:pPr>
                    <w:pStyle w:val="40"/>
                    <w:bidi w:val="0"/>
                    <w:rPr>
                      <w:color w:val="auto"/>
                      <w:spacing w:val="-6"/>
                      <w:sz w:val="21"/>
                      <w:highlight w:val="none"/>
                    </w:rPr>
                  </w:pPr>
                  <w:r>
                    <w:rPr>
                      <w:rFonts w:hint="eastAsia"/>
                      <w:color w:val="auto"/>
                      <w:spacing w:val="-6"/>
                      <w:sz w:val="21"/>
                      <w:highlight w:val="none"/>
                      <w:lang w:val="en-US" w:eastAsia="zh-CN"/>
                    </w:rPr>
                    <w:t>99.7%</w:t>
                  </w:r>
                </w:p>
              </w:tc>
              <w:tc>
                <w:tcPr>
                  <w:tcW w:w="555" w:type="pct"/>
                  <w:tcBorders>
                    <w:tl2br w:val="nil"/>
                    <w:tr2bl w:val="nil"/>
                  </w:tcBorders>
                  <w:noWrap w:val="0"/>
                  <w:vAlign w:val="center"/>
                </w:tcPr>
                <w:p w14:paraId="103C86B1">
                  <w:pPr>
                    <w:pStyle w:val="40"/>
                    <w:bidi w:val="0"/>
                    <w:rPr>
                      <w:rFonts w:hint="default" w:eastAsia="宋体"/>
                      <w:color w:val="auto"/>
                      <w:spacing w:val="-6"/>
                      <w:sz w:val="21"/>
                      <w:highlight w:val="none"/>
                      <w:lang w:val="en-US" w:eastAsia="zh-CN"/>
                    </w:rPr>
                  </w:pPr>
                  <w:r>
                    <w:rPr>
                      <w:rFonts w:hint="eastAsia"/>
                      <w:color w:val="auto"/>
                      <w:spacing w:val="-6"/>
                      <w:sz w:val="21"/>
                      <w:highlight w:val="none"/>
                      <w:lang w:val="en-US" w:eastAsia="zh-CN"/>
                    </w:rPr>
                    <w:t>0.012</w:t>
                  </w:r>
                </w:p>
              </w:tc>
              <w:tc>
                <w:tcPr>
                  <w:tcW w:w="398" w:type="pct"/>
                  <w:tcBorders>
                    <w:tl2br w:val="nil"/>
                    <w:tr2bl w:val="nil"/>
                  </w:tcBorders>
                  <w:noWrap w:val="0"/>
                  <w:vAlign w:val="center"/>
                </w:tcPr>
                <w:p w14:paraId="2FF627EA">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0.088</w:t>
                  </w:r>
                </w:p>
              </w:tc>
              <w:tc>
                <w:tcPr>
                  <w:tcW w:w="459" w:type="pct"/>
                  <w:tcBorders>
                    <w:tl2br w:val="nil"/>
                    <w:tr2bl w:val="nil"/>
                  </w:tcBorders>
                  <w:noWrap w:val="0"/>
                  <w:vAlign w:val="center"/>
                </w:tcPr>
                <w:p w14:paraId="469CA0FA">
                  <w:pPr>
                    <w:pStyle w:val="40"/>
                    <w:bidi w:val="0"/>
                    <w:rPr>
                      <w:color w:val="auto"/>
                      <w:spacing w:val="-11"/>
                      <w:sz w:val="21"/>
                      <w:highlight w:val="none"/>
                    </w:rPr>
                  </w:pPr>
                  <w:r>
                    <w:rPr>
                      <w:rFonts w:hint="eastAsia"/>
                      <w:color w:val="auto"/>
                      <w:spacing w:val="-11"/>
                      <w:sz w:val="21"/>
                      <w:highlight w:val="none"/>
                      <w:lang w:val="en-US" w:eastAsia="zh-CN"/>
                    </w:rPr>
                    <w:t>/</w:t>
                  </w:r>
                </w:p>
              </w:tc>
            </w:tr>
            <w:tr w14:paraId="274758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2" w:type="pct"/>
                  <w:tcBorders>
                    <w:tl2br w:val="nil"/>
                    <w:tr2bl w:val="nil"/>
                  </w:tcBorders>
                  <w:noWrap w:val="0"/>
                  <w:vAlign w:val="center"/>
                </w:tcPr>
                <w:p w14:paraId="535D8F38">
                  <w:pPr>
                    <w:pStyle w:val="40"/>
                    <w:bidi w:val="0"/>
                    <w:rPr>
                      <w:rFonts w:hint="default"/>
                      <w:color w:val="auto"/>
                      <w:spacing w:val="-11"/>
                      <w:sz w:val="21"/>
                      <w:highlight w:val="none"/>
                      <w:lang w:val="en-US" w:eastAsia="zh-CN"/>
                    </w:rPr>
                  </w:pPr>
                  <w:r>
                    <w:rPr>
                      <w:rFonts w:hint="eastAsia"/>
                      <w:color w:val="auto"/>
                      <w:spacing w:val="-11"/>
                      <w:sz w:val="21"/>
                      <w:highlight w:val="none"/>
                      <w:lang w:val="en-US" w:eastAsia="zh-CN"/>
                    </w:rPr>
                    <w:t>G7a</w:t>
                  </w:r>
                </w:p>
              </w:tc>
              <w:tc>
                <w:tcPr>
                  <w:tcW w:w="562" w:type="pct"/>
                  <w:vMerge w:val="restart"/>
                  <w:tcBorders>
                    <w:tl2br w:val="nil"/>
                    <w:tr2bl w:val="nil"/>
                  </w:tcBorders>
                  <w:noWrap w:val="0"/>
                  <w:vAlign w:val="center"/>
                </w:tcPr>
                <w:p w14:paraId="055A051E">
                  <w:pPr>
                    <w:pStyle w:val="40"/>
                    <w:bidi w:val="0"/>
                    <w:rPr>
                      <w:rFonts w:hint="default"/>
                      <w:color w:val="auto"/>
                      <w:spacing w:val="-11"/>
                      <w:sz w:val="21"/>
                      <w:highlight w:val="none"/>
                      <w:lang w:val="en-US" w:eastAsia="zh-CN"/>
                    </w:rPr>
                  </w:pPr>
                  <w:r>
                    <w:rPr>
                      <w:rFonts w:hint="eastAsia"/>
                      <w:color w:val="auto"/>
                      <w:spacing w:val="-11"/>
                      <w:sz w:val="21"/>
                      <w:highlight w:val="none"/>
                      <w:lang w:val="en-US" w:eastAsia="zh-CN"/>
                    </w:rPr>
                    <w:t>球磨粉尘</w:t>
                  </w:r>
                </w:p>
              </w:tc>
              <w:tc>
                <w:tcPr>
                  <w:tcW w:w="412" w:type="pct"/>
                  <w:vMerge w:val="restart"/>
                  <w:tcBorders>
                    <w:tl2br w:val="nil"/>
                    <w:tr2bl w:val="nil"/>
                  </w:tcBorders>
                  <w:shd w:val="clear" w:color="auto" w:fill="auto"/>
                  <w:noWrap w:val="0"/>
                  <w:vAlign w:val="center"/>
                </w:tcPr>
                <w:p w14:paraId="2AF832A0">
                  <w:pPr>
                    <w:pStyle w:val="40"/>
                    <w:bidi w:val="0"/>
                    <w:ind w:firstLine="0" w:firstLineChars="0"/>
                    <w:rPr>
                      <w:rFonts w:hint="eastAsia"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highlight w:val="none"/>
                      <w:lang w:val="en-US" w:eastAsia="zh-CN"/>
                    </w:rPr>
                    <w:t>颗粒物</w:t>
                  </w:r>
                </w:p>
              </w:tc>
              <w:tc>
                <w:tcPr>
                  <w:tcW w:w="512" w:type="pct"/>
                  <w:tcBorders>
                    <w:tl2br w:val="nil"/>
                    <w:tr2bl w:val="nil"/>
                  </w:tcBorders>
                  <w:noWrap w:val="0"/>
                  <w:vAlign w:val="center"/>
                </w:tcPr>
                <w:p w14:paraId="65763721">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3856.62</w:t>
                  </w:r>
                </w:p>
              </w:tc>
              <w:tc>
                <w:tcPr>
                  <w:tcW w:w="462" w:type="pct"/>
                  <w:tcBorders>
                    <w:tl2br w:val="nil"/>
                    <w:tr2bl w:val="nil"/>
                  </w:tcBorders>
                  <w:noWrap w:val="0"/>
                  <w:vAlign w:val="center"/>
                </w:tcPr>
                <w:p w14:paraId="776A5CE2">
                  <w:pPr>
                    <w:pStyle w:val="40"/>
                    <w:bidi w:val="0"/>
                    <w:rPr>
                      <w:color w:val="auto"/>
                      <w:spacing w:val="-11"/>
                      <w:sz w:val="21"/>
                      <w:highlight w:val="none"/>
                    </w:rPr>
                  </w:pPr>
                  <w:r>
                    <w:rPr>
                      <w:rFonts w:hint="eastAsia" w:cs="Times New Roman"/>
                      <w:b w:val="0"/>
                      <w:bCs w:val="0"/>
                      <w:color w:val="auto"/>
                      <w:spacing w:val="-11"/>
                      <w:kern w:val="2"/>
                      <w:sz w:val="21"/>
                      <w:szCs w:val="21"/>
                      <w:highlight w:val="none"/>
                      <w:lang w:val="en-US" w:eastAsia="zh-CN" w:bidi="ar-SA"/>
                    </w:rPr>
                    <w:t>4945.45</w:t>
                  </w:r>
                </w:p>
              </w:tc>
              <w:tc>
                <w:tcPr>
                  <w:tcW w:w="441" w:type="pct"/>
                  <w:tcBorders>
                    <w:tl2br w:val="nil"/>
                    <w:tr2bl w:val="nil"/>
                  </w:tcBorders>
                  <w:shd w:val="clear" w:color="auto" w:fill="auto"/>
                  <w:noWrap w:val="0"/>
                  <w:vAlign w:val="center"/>
                </w:tcPr>
                <w:p w14:paraId="5979C566">
                  <w:pPr>
                    <w:pStyle w:val="40"/>
                    <w:bidi w:val="0"/>
                    <w:ind w:firstLine="0" w:firstLineChars="0"/>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cs="Times New Roman"/>
                      <w:b w:val="0"/>
                      <w:bCs w:val="0"/>
                      <w:color w:val="auto"/>
                      <w:spacing w:val="-6"/>
                      <w:kern w:val="2"/>
                      <w:sz w:val="21"/>
                      <w:szCs w:val="21"/>
                      <w:highlight w:val="none"/>
                      <w:lang w:val="en-US" w:eastAsia="zh-CN" w:bidi="ar-SA"/>
                    </w:rPr>
                    <w:t>有组织</w:t>
                  </w:r>
                </w:p>
              </w:tc>
              <w:tc>
                <w:tcPr>
                  <w:tcW w:w="465" w:type="pct"/>
                  <w:tcBorders>
                    <w:tl2br w:val="nil"/>
                    <w:tr2bl w:val="nil"/>
                  </w:tcBorders>
                  <w:noWrap w:val="0"/>
                  <w:vAlign w:val="center"/>
                </w:tcPr>
                <w:p w14:paraId="56EA2614">
                  <w:pPr>
                    <w:pStyle w:val="40"/>
                    <w:bidi w:val="0"/>
                    <w:rPr>
                      <w:rFonts w:hint="default" w:eastAsia="宋体"/>
                      <w:color w:val="auto"/>
                      <w:spacing w:val="-6"/>
                      <w:sz w:val="21"/>
                      <w:highlight w:val="none"/>
                      <w:lang w:val="en-US" w:eastAsia="zh-CN"/>
                    </w:rPr>
                  </w:pPr>
                  <w:r>
                    <w:rPr>
                      <w:rFonts w:hint="eastAsia"/>
                      <w:color w:val="auto"/>
                      <w:spacing w:val="-6"/>
                      <w:sz w:val="21"/>
                      <w:highlight w:val="none"/>
                      <w:lang w:val="en-US" w:eastAsia="zh-CN"/>
                    </w:rPr>
                    <w:t>78375</w:t>
                  </w:r>
                </w:p>
              </w:tc>
              <w:tc>
                <w:tcPr>
                  <w:tcW w:w="396" w:type="pct"/>
                  <w:tcBorders>
                    <w:tl2br w:val="nil"/>
                    <w:tr2bl w:val="nil"/>
                  </w:tcBorders>
                  <w:noWrap w:val="0"/>
                  <w:vAlign w:val="center"/>
                </w:tcPr>
                <w:p w14:paraId="65DE752C">
                  <w:pPr>
                    <w:pStyle w:val="40"/>
                    <w:bidi w:val="0"/>
                    <w:rPr>
                      <w:color w:val="auto"/>
                      <w:spacing w:val="-6"/>
                      <w:sz w:val="21"/>
                      <w:highlight w:val="none"/>
                    </w:rPr>
                  </w:pPr>
                  <w:r>
                    <w:rPr>
                      <w:rFonts w:hint="eastAsia"/>
                      <w:color w:val="auto"/>
                      <w:spacing w:val="-6"/>
                      <w:sz w:val="21"/>
                      <w:highlight w:val="none"/>
                      <w:lang w:val="en-US" w:eastAsia="zh-CN"/>
                    </w:rPr>
                    <w:t>99.7%</w:t>
                  </w:r>
                </w:p>
              </w:tc>
              <w:tc>
                <w:tcPr>
                  <w:tcW w:w="555" w:type="pct"/>
                  <w:tcBorders>
                    <w:tl2br w:val="nil"/>
                    <w:tr2bl w:val="nil"/>
                  </w:tcBorders>
                  <w:noWrap w:val="0"/>
                  <w:vAlign w:val="center"/>
                </w:tcPr>
                <w:p w14:paraId="696364E4">
                  <w:pPr>
                    <w:pStyle w:val="40"/>
                    <w:bidi w:val="0"/>
                    <w:rPr>
                      <w:rFonts w:hint="default" w:eastAsia="宋体"/>
                      <w:color w:val="auto"/>
                      <w:spacing w:val="-6"/>
                      <w:sz w:val="21"/>
                      <w:highlight w:val="none"/>
                      <w:lang w:val="en-US" w:eastAsia="zh-CN"/>
                    </w:rPr>
                  </w:pPr>
                  <w:r>
                    <w:rPr>
                      <w:rFonts w:hint="eastAsia"/>
                      <w:color w:val="auto"/>
                      <w:spacing w:val="-6"/>
                      <w:sz w:val="21"/>
                      <w:highlight w:val="none"/>
                      <w:lang w:val="en-US" w:eastAsia="zh-CN"/>
                    </w:rPr>
                    <w:t>14.762</w:t>
                  </w:r>
                </w:p>
              </w:tc>
              <w:tc>
                <w:tcPr>
                  <w:tcW w:w="398" w:type="pct"/>
                  <w:tcBorders>
                    <w:tl2br w:val="nil"/>
                    <w:tr2bl w:val="nil"/>
                  </w:tcBorders>
                  <w:noWrap w:val="0"/>
                  <w:vAlign w:val="center"/>
                </w:tcPr>
                <w:p w14:paraId="7452B9E9">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11.57</w:t>
                  </w:r>
                </w:p>
              </w:tc>
              <w:tc>
                <w:tcPr>
                  <w:tcW w:w="459" w:type="pct"/>
                  <w:tcBorders>
                    <w:tl2br w:val="nil"/>
                    <w:tr2bl w:val="nil"/>
                  </w:tcBorders>
                  <w:noWrap w:val="0"/>
                  <w:vAlign w:val="center"/>
                </w:tcPr>
                <w:p w14:paraId="2540E189">
                  <w:pPr>
                    <w:pStyle w:val="40"/>
                    <w:bidi w:val="0"/>
                    <w:rPr>
                      <w:color w:val="auto"/>
                      <w:spacing w:val="-11"/>
                      <w:sz w:val="21"/>
                      <w:highlight w:val="none"/>
                    </w:rPr>
                  </w:pPr>
                  <w:r>
                    <w:rPr>
                      <w:rFonts w:hint="eastAsia"/>
                      <w:color w:val="auto"/>
                      <w:spacing w:val="-11"/>
                      <w:sz w:val="21"/>
                      <w:highlight w:val="none"/>
                      <w:lang w:val="en-US" w:eastAsia="zh-CN"/>
                    </w:rPr>
                    <w:t>DA001</w:t>
                  </w:r>
                </w:p>
              </w:tc>
            </w:tr>
            <w:tr w14:paraId="740EC5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2" w:type="pct"/>
                  <w:tcBorders>
                    <w:tl2br w:val="nil"/>
                    <w:tr2bl w:val="nil"/>
                  </w:tcBorders>
                  <w:noWrap w:val="0"/>
                  <w:vAlign w:val="center"/>
                </w:tcPr>
                <w:p w14:paraId="36D9AA7D">
                  <w:pPr>
                    <w:pStyle w:val="40"/>
                    <w:bidi w:val="0"/>
                    <w:rPr>
                      <w:rFonts w:hint="default"/>
                      <w:color w:val="auto"/>
                      <w:spacing w:val="-11"/>
                      <w:sz w:val="21"/>
                      <w:highlight w:val="none"/>
                      <w:lang w:val="en-US" w:eastAsia="zh-CN"/>
                    </w:rPr>
                  </w:pPr>
                  <w:r>
                    <w:rPr>
                      <w:rFonts w:hint="eastAsia"/>
                      <w:color w:val="auto"/>
                      <w:spacing w:val="-11"/>
                      <w:sz w:val="21"/>
                      <w:highlight w:val="none"/>
                      <w:lang w:val="en-US" w:eastAsia="zh-CN"/>
                    </w:rPr>
                    <w:t>G7b</w:t>
                  </w:r>
                </w:p>
              </w:tc>
              <w:tc>
                <w:tcPr>
                  <w:tcW w:w="562" w:type="pct"/>
                  <w:vMerge w:val="continue"/>
                  <w:tcBorders>
                    <w:tl2br w:val="nil"/>
                    <w:tr2bl w:val="nil"/>
                  </w:tcBorders>
                  <w:noWrap w:val="0"/>
                  <w:vAlign w:val="center"/>
                </w:tcPr>
                <w:p w14:paraId="703EE1E3">
                  <w:pPr>
                    <w:pStyle w:val="40"/>
                    <w:bidi w:val="0"/>
                    <w:rPr>
                      <w:rFonts w:hint="eastAsia"/>
                      <w:color w:val="auto"/>
                      <w:spacing w:val="-11"/>
                      <w:sz w:val="21"/>
                      <w:highlight w:val="none"/>
                      <w:lang w:val="en-US" w:eastAsia="zh-CN"/>
                    </w:rPr>
                  </w:pPr>
                </w:p>
              </w:tc>
              <w:tc>
                <w:tcPr>
                  <w:tcW w:w="412" w:type="pct"/>
                  <w:vMerge w:val="continue"/>
                  <w:tcBorders>
                    <w:tl2br w:val="nil"/>
                    <w:tr2bl w:val="nil"/>
                  </w:tcBorders>
                  <w:shd w:val="clear" w:color="auto" w:fill="auto"/>
                  <w:noWrap w:val="0"/>
                  <w:vAlign w:val="center"/>
                </w:tcPr>
                <w:p w14:paraId="055A7D4F">
                  <w:pPr>
                    <w:pStyle w:val="40"/>
                    <w:bidi w:val="0"/>
                    <w:ind w:firstLine="0" w:firstLineChars="0"/>
                    <w:rPr>
                      <w:rFonts w:hint="eastAsia" w:ascii="Times New Roman" w:hAnsi="Times New Roman" w:eastAsia="宋体" w:cs="Times New Roman"/>
                      <w:b w:val="0"/>
                      <w:bCs w:val="0"/>
                      <w:color w:val="auto"/>
                      <w:spacing w:val="-6"/>
                      <w:kern w:val="2"/>
                      <w:sz w:val="21"/>
                      <w:szCs w:val="21"/>
                      <w:highlight w:val="none"/>
                      <w:lang w:val="en-US" w:eastAsia="zh-CN" w:bidi="ar-SA"/>
                    </w:rPr>
                  </w:pPr>
                </w:p>
              </w:tc>
              <w:tc>
                <w:tcPr>
                  <w:tcW w:w="512" w:type="pct"/>
                  <w:tcBorders>
                    <w:tl2br w:val="nil"/>
                    <w:tr2bl w:val="nil"/>
                  </w:tcBorders>
                  <w:noWrap w:val="0"/>
                  <w:vAlign w:val="center"/>
                </w:tcPr>
                <w:p w14:paraId="695ACEB8">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19.38</w:t>
                  </w:r>
                </w:p>
              </w:tc>
              <w:tc>
                <w:tcPr>
                  <w:tcW w:w="462" w:type="pct"/>
                  <w:tcBorders>
                    <w:tl2br w:val="nil"/>
                    <w:tr2bl w:val="nil"/>
                  </w:tcBorders>
                  <w:shd w:val="clear" w:color="auto" w:fill="auto"/>
                  <w:noWrap w:val="0"/>
                  <w:vAlign w:val="center"/>
                </w:tcPr>
                <w:p w14:paraId="61DB6F8C">
                  <w:pPr>
                    <w:pStyle w:val="40"/>
                    <w:bidi w:val="0"/>
                    <w:ind w:firstLine="0" w:firstLineChars="0"/>
                    <w:rPr>
                      <w:rFonts w:hint="eastAsia" w:ascii="Times New Roman" w:hAnsi="Times New Roman" w:eastAsia="宋体" w:cs="Times New Roman"/>
                      <w:b w:val="0"/>
                      <w:bCs w:val="0"/>
                      <w:color w:val="auto"/>
                      <w:spacing w:val="-11"/>
                      <w:kern w:val="2"/>
                      <w:sz w:val="21"/>
                      <w:szCs w:val="21"/>
                      <w:highlight w:val="none"/>
                      <w:lang w:val="en-US" w:eastAsia="zh-CN" w:bidi="ar-SA"/>
                    </w:rPr>
                  </w:pPr>
                  <w:r>
                    <w:rPr>
                      <w:rFonts w:hint="eastAsia"/>
                      <w:color w:val="auto"/>
                      <w:spacing w:val="-11"/>
                      <w:sz w:val="21"/>
                      <w:highlight w:val="none"/>
                      <w:lang w:val="en-US" w:eastAsia="zh-CN"/>
                    </w:rPr>
                    <w:t>/</w:t>
                  </w:r>
                </w:p>
              </w:tc>
              <w:tc>
                <w:tcPr>
                  <w:tcW w:w="441" w:type="pct"/>
                  <w:tcBorders>
                    <w:tl2br w:val="nil"/>
                    <w:tr2bl w:val="nil"/>
                  </w:tcBorders>
                  <w:shd w:val="clear" w:color="auto" w:fill="auto"/>
                  <w:noWrap w:val="0"/>
                  <w:vAlign w:val="center"/>
                </w:tcPr>
                <w:p w14:paraId="60A5546C">
                  <w:pPr>
                    <w:pStyle w:val="40"/>
                    <w:bidi w:val="0"/>
                    <w:ind w:firstLine="0" w:firstLineChars="0"/>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cs="Times New Roman"/>
                      <w:b w:val="0"/>
                      <w:bCs w:val="0"/>
                      <w:color w:val="auto"/>
                      <w:spacing w:val="-6"/>
                      <w:kern w:val="2"/>
                      <w:sz w:val="21"/>
                      <w:szCs w:val="21"/>
                      <w:highlight w:val="none"/>
                      <w:lang w:val="en-US" w:eastAsia="zh-CN" w:bidi="ar-SA"/>
                    </w:rPr>
                    <w:t>无组织</w:t>
                  </w:r>
                </w:p>
              </w:tc>
              <w:tc>
                <w:tcPr>
                  <w:tcW w:w="465" w:type="pct"/>
                  <w:tcBorders>
                    <w:tl2br w:val="nil"/>
                    <w:tr2bl w:val="nil"/>
                  </w:tcBorders>
                  <w:shd w:val="clear" w:color="auto" w:fill="auto"/>
                  <w:noWrap w:val="0"/>
                  <w:vAlign w:val="center"/>
                </w:tcPr>
                <w:p w14:paraId="78E18862">
                  <w:pPr>
                    <w:pStyle w:val="40"/>
                    <w:bidi w:val="0"/>
                    <w:ind w:firstLine="0" w:firstLineChars="0"/>
                    <w:rPr>
                      <w:rFonts w:hint="eastAsia"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sz w:val="21"/>
                      <w:highlight w:val="none"/>
                      <w:lang w:val="en-US" w:eastAsia="zh-CN"/>
                    </w:rPr>
                    <w:t>/</w:t>
                  </w:r>
                </w:p>
              </w:tc>
              <w:tc>
                <w:tcPr>
                  <w:tcW w:w="396" w:type="pct"/>
                  <w:tcBorders>
                    <w:tl2br w:val="nil"/>
                    <w:tr2bl w:val="nil"/>
                  </w:tcBorders>
                  <w:noWrap w:val="0"/>
                  <w:vAlign w:val="center"/>
                </w:tcPr>
                <w:p w14:paraId="531D826D">
                  <w:pPr>
                    <w:pStyle w:val="40"/>
                    <w:bidi w:val="0"/>
                    <w:rPr>
                      <w:color w:val="auto"/>
                      <w:spacing w:val="-6"/>
                      <w:sz w:val="21"/>
                      <w:highlight w:val="none"/>
                    </w:rPr>
                  </w:pPr>
                  <w:r>
                    <w:rPr>
                      <w:rFonts w:hint="eastAsia"/>
                      <w:color w:val="auto"/>
                      <w:spacing w:val="-6"/>
                      <w:sz w:val="21"/>
                      <w:highlight w:val="none"/>
                      <w:lang w:val="en-US" w:eastAsia="zh-CN"/>
                    </w:rPr>
                    <w:t>90</w:t>
                  </w:r>
                  <w:r>
                    <w:rPr>
                      <w:color w:val="auto"/>
                      <w:spacing w:val="-6"/>
                      <w:sz w:val="21"/>
                      <w:highlight w:val="none"/>
                    </w:rPr>
                    <w:t>%</w:t>
                  </w:r>
                </w:p>
              </w:tc>
              <w:tc>
                <w:tcPr>
                  <w:tcW w:w="555" w:type="pct"/>
                  <w:tcBorders>
                    <w:tl2br w:val="nil"/>
                    <w:tr2bl w:val="nil"/>
                  </w:tcBorders>
                  <w:noWrap w:val="0"/>
                  <w:vAlign w:val="center"/>
                </w:tcPr>
                <w:p w14:paraId="763D1AF9">
                  <w:pPr>
                    <w:pStyle w:val="40"/>
                    <w:bidi w:val="0"/>
                    <w:rPr>
                      <w:rFonts w:hint="default" w:eastAsia="宋体"/>
                      <w:color w:val="auto"/>
                      <w:spacing w:val="-6"/>
                      <w:sz w:val="21"/>
                      <w:highlight w:val="none"/>
                      <w:lang w:val="en-US" w:eastAsia="zh-CN"/>
                    </w:rPr>
                  </w:pPr>
                  <w:r>
                    <w:rPr>
                      <w:rFonts w:hint="eastAsia"/>
                      <w:color w:val="auto"/>
                      <w:spacing w:val="-6"/>
                      <w:sz w:val="21"/>
                      <w:highlight w:val="none"/>
                      <w:lang w:val="en-US" w:eastAsia="zh-CN"/>
                    </w:rPr>
                    <w:t>0.269</w:t>
                  </w:r>
                </w:p>
              </w:tc>
              <w:tc>
                <w:tcPr>
                  <w:tcW w:w="398" w:type="pct"/>
                  <w:tcBorders>
                    <w:tl2br w:val="nil"/>
                    <w:tr2bl w:val="nil"/>
                  </w:tcBorders>
                  <w:noWrap w:val="0"/>
                  <w:vAlign w:val="center"/>
                </w:tcPr>
                <w:p w14:paraId="69A8C62C">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1.938</w:t>
                  </w:r>
                </w:p>
              </w:tc>
              <w:tc>
                <w:tcPr>
                  <w:tcW w:w="459" w:type="pct"/>
                  <w:tcBorders>
                    <w:tl2br w:val="nil"/>
                    <w:tr2bl w:val="nil"/>
                  </w:tcBorders>
                  <w:noWrap w:val="0"/>
                  <w:vAlign w:val="center"/>
                </w:tcPr>
                <w:p w14:paraId="7DFECE31">
                  <w:pPr>
                    <w:pStyle w:val="40"/>
                    <w:bidi w:val="0"/>
                    <w:rPr>
                      <w:color w:val="auto"/>
                      <w:spacing w:val="-11"/>
                      <w:sz w:val="21"/>
                      <w:highlight w:val="none"/>
                    </w:rPr>
                  </w:pPr>
                  <w:r>
                    <w:rPr>
                      <w:rFonts w:hint="eastAsia"/>
                      <w:color w:val="auto"/>
                      <w:spacing w:val="-11"/>
                      <w:sz w:val="21"/>
                      <w:highlight w:val="none"/>
                      <w:lang w:val="en-US" w:eastAsia="zh-CN"/>
                    </w:rPr>
                    <w:t>/</w:t>
                  </w:r>
                </w:p>
              </w:tc>
            </w:tr>
            <w:tr w14:paraId="5139A5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2" w:type="pct"/>
                  <w:tcBorders>
                    <w:tl2br w:val="nil"/>
                    <w:tr2bl w:val="nil"/>
                  </w:tcBorders>
                  <w:noWrap w:val="0"/>
                  <w:vAlign w:val="center"/>
                </w:tcPr>
                <w:p w14:paraId="3905FFAB">
                  <w:pPr>
                    <w:pStyle w:val="40"/>
                    <w:bidi w:val="0"/>
                    <w:rPr>
                      <w:rFonts w:hint="default"/>
                      <w:color w:val="auto"/>
                      <w:spacing w:val="-11"/>
                      <w:sz w:val="21"/>
                      <w:highlight w:val="none"/>
                      <w:lang w:val="en-US" w:eastAsia="zh-CN"/>
                    </w:rPr>
                  </w:pPr>
                  <w:r>
                    <w:rPr>
                      <w:rFonts w:hint="eastAsia"/>
                      <w:color w:val="auto"/>
                      <w:spacing w:val="-11"/>
                      <w:sz w:val="21"/>
                      <w:highlight w:val="none"/>
                      <w:lang w:val="en-US" w:eastAsia="zh-CN"/>
                    </w:rPr>
                    <w:t>G8</w:t>
                  </w:r>
                </w:p>
              </w:tc>
              <w:tc>
                <w:tcPr>
                  <w:tcW w:w="562" w:type="pct"/>
                  <w:tcBorders>
                    <w:tl2br w:val="nil"/>
                    <w:tr2bl w:val="nil"/>
                  </w:tcBorders>
                  <w:noWrap w:val="0"/>
                  <w:vAlign w:val="center"/>
                </w:tcPr>
                <w:p w14:paraId="127C8F4C">
                  <w:pPr>
                    <w:pStyle w:val="40"/>
                    <w:bidi w:val="0"/>
                    <w:rPr>
                      <w:rFonts w:hint="default"/>
                      <w:color w:val="auto"/>
                      <w:spacing w:val="-11"/>
                      <w:sz w:val="21"/>
                      <w:highlight w:val="none"/>
                      <w:lang w:val="en-US" w:eastAsia="zh-CN"/>
                    </w:rPr>
                  </w:pPr>
                  <w:r>
                    <w:rPr>
                      <w:rFonts w:hint="eastAsia"/>
                      <w:color w:val="auto"/>
                      <w:spacing w:val="-11"/>
                      <w:sz w:val="21"/>
                      <w:highlight w:val="none"/>
                      <w:lang w:val="en-US" w:eastAsia="zh-CN"/>
                    </w:rPr>
                    <w:t>预处理灰仓粉尘</w:t>
                  </w:r>
                </w:p>
              </w:tc>
              <w:tc>
                <w:tcPr>
                  <w:tcW w:w="412" w:type="pct"/>
                  <w:tcBorders>
                    <w:tl2br w:val="nil"/>
                    <w:tr2bl w:val="nil"/>
                  </w:tcBorders>
                  <w:shd w:val="clear" w:color="auto" w:fill="auto"/>
                  <w:noWrap w:val="0"/>
                  <w:vAlign w:val="center"/>
                </w:tcPr>
                <w:p w14:paraId="5F7352B1">
                  <w:pPr>
                    <w:pStyle w:val="40"/>
                    <w:bidi w:val="0"/>
                    <w:ind w:firstLine="0" w:firstLineChars="0"/>
                    <w:rPr>
                      <w:rFonts w:hint="eastAsia"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highlight w:val="none"/>
                      <w:lang w:val="en-US" w:eastAsia="zh-CN"/>
                    </w:rPr>
                    <w:t>颗粒物</w:t>
                  </w:r>
                </w:p>
              </w:tc>
              <w:tc>
                <w:tcPr>
                  <w:tcW w:w="512" w:type="pct"/>
                  <w:tcBorders>
                    <w:tl2br w:val="nil"/>
                    <w:tr2bl w:val="nil"/>
                  </w:tcBorders>
                  <w:noWrap w:val="0"/>
                  <w:vAlign w:val="center"/>
                </w:tcPr>
                <w:p w14:paraId="32E23EFE">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114</w:t>
                  </w:r>
                </w:p>
              </w:tc>
              <w:tc>
                <w:tcPr>
                  <w:tcW w:w="462" w:type="pct"/>
                  <w:tcBorders>
                    <w:tl2br w:val="nil"/>
                    <w:tr2bl w:val="nil"/>
                  </w:tcBorders>
                  <w:shd w:val="clear" w:color="auto" w:fill="auto"/>
                  <w:noWrap w:val="0"/>
                  <w:vAlign w:val="center"/>
                </w:tcPr>
                <w:p w14:paraId="65652798">
                  <w:pPr>
                    <w:pStyle w:val="40"/>
                    <w:bidi w:val="0"/>
                    <w:ind w:firstLine="0" w:firstLineChars="0"/>
                    <w:rPr>
                      <w:rFonts w:ascii="Times New Roman" w:hAnsi="Times New Roman" w:eastAsia="宋体" w:cs="Times New Roman"/>
                      <w:b w:val="0"/>
                      <w:bCs w:val="0"/>
                      <w:color w:val="auto"/>
                      <w:spacing w:val="-11"/>
                      <w:kern w:val="2"/>
                      <w:sz w:val="21"/>
                      <w:szCs w:val="21"/>
                      <w:highlight w:val="none"/>
                      <w:lang w:val="en-US" w:eastAsia="zh-CN" w:bidi="ar-SA"/>
                    </w:rPr>
                  </w:pPr>
                  <w:r>
                    <w:rPr>
                      <w:rFonts w:hint="eastAsia"/>
                      <w:color w:val="auto"/>
                      <w:spacing w:val="-11"/>
                      <w:sz w:val="21"/>
                      <w:highlight w:val="none"/>
                      <w:lang w:val="en-US" w:eastAsia="zh-CN"/>
                    </w:rPr>
                    <w:t>/</w:t>
                  </w:r>
                </w:p>
              </w:tc>
              <w:tc>
                <w:tcPr>
                  <w:tcW w:w="441" w:type="pct"/>
                  <w:tcBorders>
                    <w:tl2br w:val="nil"/>
                    <w:tr2bl w:val="nil"/>
                  </w:tcBorders>
                  <w:noWrap w:val="0"/>
                  <w:vAlign w:val="center"/>
                </w:tcPr>
                <w:p w14:paraId="1622A417">
                  <w:pPr>
                    <w:pStyle w:val="40"/>
                    <w:bidi w:val="0"/>
                    <w:rPr>
                      <w:color w:val="auto"/>
                      <w:spacing w:val="-6"/>
                      <w:sz w:val="21"/>
                      <w:highlight w:val="none"/>
                    </w:rPr>
                  </w:pPr>
                  <w:r>
                    <w:rPr>
                      <w:rFonts w:hint="eastAsia" w:cs="Times New Roman"/>
                      <w:b w:val="0"/>
                      <w:bCs w:val="0"/>
                      <w:color w:val="auto"/>
                      <w:spacing w:val="-6"/>
                      <w:kern w:val="2"/>
                      <w:sz w:val="21"/>
                      <w:szCs w:val="21"/>
                      <w:highlight w:val="none"/>
                      <w:lang w:val="en-US" w:eastAsia="zh-CN" w:bidi="ar-SA"/>
                    </w:rPr>
                    <w:t>无组织</w:t>
                  </w:r>
                </w:p>
              </w:tc>
              <w:tc>
                <w:tcPr>
                  <w:tcW w:w="465" w:type="pct"/>
                  <w:tcBorders>
                    <w:tl2br w:val="nil"/>
                    <w:tr2bl w:val="nil"/>
                  </w:tcBorders>
                  <w:shd w:val="clear" w:color="auto" w:fill="auto"/>
                  <w:noWrap w:val="0"/>
                  <w:vAlign w:val="center"/>
                </w:tcPr>
                <w:p w14:paraId="675185A2">
                  <w:pPr>
                    <w:pStyle w:val="40"/>
                    <w:bidi w:val="0"/>
                    <w:ind w:firstLine="0" w:firstLineChars="0"/>
                    <w:rPr>
                      <w:rFonts w:hint="eastAsia"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sz w:val="21"/>
                      <w:highlight w:val="none"/>
                      <w:lang w:val="en-US" w:eastAsia="zh-CN"/>
                    </w:rPr>
                    <w:t>/</w:t>
                  </w:r>
                </w:p>
              </w:tc>
              <w:tc>
                <w:tcPr>
                  <w:tcW w:w="396" w:type="pct"/>
                  <w:tcBorders>
                    <w:tl2br w:val="nil"/>
                    <w:tr2bl w:val="nil"/>
                  </w:tcBorders>
                  <w:noWrap w:val="0"/>
                  <w:vAlign w:val="center"/>
                </w:tcPr>
                <w:p w14:paraId="032CB83E">
                  <w:pPr>
                    <w:pStyle w:val="40"/>
                    <w:bidi w:val="0"/>
                    <w:rPr>
                      <w:color w:val="auto"/>
                      <w:spacing w:val="-6"/>
                      <w:sz w:val="21"/>
                      <w:highlight w:val="none"/>
                    </w:rPr>
                  </w:pPr>
                  <w:r>
                    <w:rPr>
                      <w:rFonts w:hint="eastAsia"/>
                      <w:color w:val="auto"/>
                      <w:spacing w:val="-6"/>
                      <w:sz w:val="21"/>
                      <w:highlight w:val="none"/>
                      <w:lang w:val="en-US" w:eastAsia="zh-CN"/>
                    </w:rPr>
                    <w:t>99.7%</w:t>
                  </w:r>
                </w:p>
              </w:tc>
              <w:tc>
                <w:tcPr>
                  <w:tcW w:w="555" w:type="pct"/>
                  <w:tcBorders>
                    <w:tl2br w:val="nil"/>
                    <w:tr2bl w:val="nil"/>
                  </w:tcBorders>
                  <w:noWrap w:val="0"/>
                  <w:vAlign w:val="center"/>
                </w:tcPr>
                <w:p w14:paraId="48367C63">
                  <w:pPr>
                    <w:pStyle w:val="40"/>
                    <w:bidi w:val="0"/>
                    <w:rPr>
                      <w:rFonts w:hint="default" w:eastAsia="宋体"/>
                      <w:color w:val="auto"/>
                      <w:spacing w:val="-6"/>
                      <w:sz w:val="21"/>
                      <w:highlight w:val="none"/>
                      <w:lang w:val="en-US" w:eastAsia="zh-CN"/>
                    </w:rPr>
                  </w:pPr>
                  <w:r>
                    <w:rPr>
                      <w:rFonts w:hint="eastAsia"/>
                      <w:color w:val="auto"/>
                      <w:spacing w:val="-6"/>
                      <w:sz w:val="21"/>
                      <w:highlight w:val="none"/>
                      <w:lang w:val="en-US" w:eastAsia="zh-CN"/>
                    </w:rPr>
                    <w:t>0.048</w:t>
                  </w:r>
                </w:p>
              </w:tc>
              <w:tc>
                <w:tcPr>
                  <w:tcW w:w="398" w:type="pct"/>
                  <w:tcBorders>
                    <w:tl2br w:val="nil"/>
                    <w:tr2bl w:val="nil"/>
                  </w:tcBorders>
                  <w:noWrap w:val="0"/>
                  <w:vAlign w:val="center"/>
                </w:tcPr>
                <w:p w14:paraId="2F13ECAB">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0.342</w:t>
                  </w:r>
                </w:p>
              </w:tc>
              <w:tc>
                <w:tcPr>
                  <w:tcW w:w="459" w:type="pct"/>
                  <w:tcBorders>
                    <w:tl2br w:val="nil"/>
                    <w:tr2bl w:val="nil"/>
                  </w:tcBorders>
                  <w:noWrap w:val="0"/>
                  <w:vAlign w:val="center"/>
                </w:tcPr>
                <w:p w14:paraId="7DD5FABE">
                  <w:pPr>
                    <w:pStyle w:val="40"/>
                    <w:bidi w:val="0"/>
                    <w:rPr>
                      <w:color w:val="auto"/>
                      <w:spacing w:val="-11"/>
                      <w:sz w:val="21"/>
                      <w:highlight w:val="none"/>
                    </w:rPr>
                  </w:pPr>
                  <w:r>
                    <w:rPr>
                      <w:rFonts w:hint="eastAsia"/>
                      <w:color w:val="auto"/>
                      <w:spacing w:val="-11"/>
                      <w:sz w:val="21"/>
                      <w:highlight w:val="none"/>
                      <w:lang w:val="en-US" w:eastAsia="zh-CN"/>
                    </w:rPr>
                    <w:t>/</w:t>
                  </w:r>
                </w:p>
              </w:tc>
            </w:tr>
            <w:tr w14:paraId="5A07A9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2" w:type="pct"/>
                  <w:tcBorders>
                    <w:tl2br w:val="nil"/>
                    <w:tr2bl w:val="nil"/>
                  </w:tcBorders>
                  <w:noWrap w:val="0"/>
                  <w:vAlign w:val="center"/>
                </w:tcPr>
                <w:p w14:paraId="546F8DD9">
                  <w:pPr>
                    <w:pStyle w:val="40"/>
                    <w:bidi w:val="0"/>
                    <w:rPr>
                      <w:rFonts w:hint="default"/>
                      <w:color w:val="auto"/>
                      <w:spacing w:val="-11"/>
                      <w:sz w:val="21"/>
                      <w:highlight w:val="none"/>
                      <w:lang w:val="en-US" w:eastAsia="zh-CN"/>
                    </w:rPr>
                  </w:pPr>
                  <w:r>
                    <w:rPr>
                      <w:rFonts w:hint="eastAsia"/>
                      <w:color w:val="auto"/>
                      <w:spacing w:val="-11"/>
                      <w:sz w:val="21"/>
                      <w:highlight w:val="none"/>
                      <w:lang w:val="en-US" w:eastAsia="zh-CN"/>
                    </w:rPr>
                    <w:t>G9a</w:t>
                  </w:r>
                </w:p>
              </w:tc>
              <w:tc>
                <w:tcPr>
                  <w:tcW w:w="562" w:type="pct"/>
                  <w:vMerge w:val="restart"/>
                  <w:tcBorders>
                    <w:tl2br w:val="nil"/>
                    <w:tr2bl w:val="nil"/>
                  </w:tcBorders>
                  <w:noWrap w:val="0"/>
                  <w:vAlign w:val="center"/>
                </w:tcPr>
                <w:p w14:paraId="0909128F">
                  <w:pPr>
                    <w:pStyle w:val="40"/>
                    <w:bidi w:val="0"/>
                    <w:rPr>
                      <w:rFonts w:hint="default"/>
                      <w:color w:val="auto"/>
                      <w:spacing w:val="-11"/>
                      <w:sz w:val="21"/>
                      <w:highlight w:val="none"/>
                      <w:lang w:val="en-US" w:eastAsia="zh-CN"/>
                    </w:rPr>
                  </w:pPr>
                  <w:r>
                    <w:rPr>
                      <w:rFonts w:hint="eastAsia"/>
                      <w:color w:val="auto"/>
                      <w:spacing w:val="-11"/>
                      <w:sz w:val="21"/>
                      <w:highlight w:val="none"/>
                      <w:lang w:val="en-US" w:eastAsia="zh-CN"/>
                    </w:rPr>
                    <w:t>骨料搅拌粉尘</w:t>
                  </w:r>
                </w:p>
              </w:tc>
              <w:tc>
                <w:tcPr>
                  <w:tcW w:w="412" w:type="pct"/>
                  <w:vMerge w:val="restart"/>
                  <w:tcBorders>
                    <w:tl2br w:val="nil"/>
                    <w:tr2bl w:val="nil"/>
                  </w:tcBorders>
                  <w:shd w:val="clear" w:color="auto" w:fill="auto"/>
                  <w:noWrap w:val="0"/>
                  <w:vAlign w:val="center"/>
                </w:tcPr>
                <w:p w14:paraId="4853AAEB">
                  <w:pPr>
                    <w:pStyle w:val="40"/>
                    <w:bidi w:val="0"/>
                    <w:ind w:firstLine="0" w:firstLineChars="0"/>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cs="Times New Roman"/>
                      <w:b w:val="0"/>
                      <w:bCs w:val="0"/>
                      <w:color w:val="auto"/>
                      <w:spacing w:val="-6"/>
                      <w:kern w:val="2"/>
                      <w:sz w:val="21"/>
                      <w:szCs w:val="21"/>
                      <w:highlight w:val="none"/>
                      <w:lang w:val="en-US" w:eastAsia="zh-CN" w:bidi="ar-SA"/>
                    </w:rPr>
                    <w:t>颗粒物</w:t>
                  </w:r>
                </w:p>
              </w:tc>
              <w:tc>
                <w:tcPr>
                  <w:tcW w:w="512" w:type="pct"/>
                  <w:tcBorders>
                    <w:tl2br w:val="nil"/>
                    <w:tr2bl w:val="nil"/>
                  </w:tcBorders>
                  <w:noWrap w:val="0"/>
                  <w:vAlign w:val="center"/>
                </w:tcPr>
                <w:p w14:paraId="632EF442">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292.5</w:t>
                  </w:r>
                </w:p>
              </w:tc>
              <w:tc>
                <w:tcPr>
                  <w:tcW w:w="462" w:type="pct"/>
                  <w:tcBorders>
                    <w:tl2br w:val="nil"/>
                    <w:tr2bl w:val="nil"/>
                  </w:tcBorders>
                  <w:noWrap w:val="0"/>
                  <w:vAlign w:val="center"/>
                </w:tcPr>
                <w:p w14:paraId="7DB7F268">
                  <w:pPr>
                    <w:pStyle w:val="40"/>
                    <w:bidi w:val="0"/>
                    <w:rPr>
                      <w:rFonts w:hint="default" w:eastAsia="宋体"/>
                      <w:color w:val="auto"/>
                      <w:spacing w:val="-11"/>
                      <w:sz w:val="21"/>
                      <w:highlight w:val="none"/>
                      <w:lang w:val="en-US" w:eastAsia="zh-CN"/>
                    </w:rPr>
                  </w:pPr>
                  <w:r>
                    <w:rPr>
                      <w:rFonts w:hint="eastAsia"/>
                      <w:color w:val="auto"/>
                      <w:spacing w:val="-11"/>
                      <w:sz w:val="21"/>
                      <w:highlight w:val="none"/>
                      <w:lang w:val="en-US" w:eastAsia="zh-CN"/>
                    </w:rPr>
                    <w:t>4226.27</w:t>
                  </w:r>
                </w:p>
              </w:tc>
              <w:tc>
                <w:tcPr>
                  <w:tcW w:w="441" w:type="pct"/>
                  <w:tcBorders>
                    <w:tl2br w:val="nil"/>
                    <w:tr2bl w:val="nil"/>
                  </w:tcBorders>
                  <w:shd w:val="clear" w:color="auto" w:fill="auto"/>
                  <w:noWrap w:val="0"/>
                  <w:vAlign w:val="center"/>
                </w:tcPr>
                <w:p w14:paraId="14D4D9E9">
                  <w:pPr>
                    <w:pStyle w:val="40"/>
                    <w:bidi w:val="0"/>
                    <w:ind w:firstLine="0" w:firstLineChars="0"/>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cs="Times New Roman"/>
                      <w:b w:val="0"/>
                      <w:bCs w:val="0"/>
                      <w:color w:val="auto"/>
                      <w:spacing w:val="-6"/>
                      <w:kern w:val="2"/>
                      <w:sz w:val="21"/>
                      <w:szCs w:val="21"/>
                      <w:highlight w:val="none"/>
                      <w:lang w:val="en-US" w:eastAsia="zh-CN" w:bidi="ar-SA"/>
                    </w:rPr>
                    <w:t>有组织</w:t>
                  </w:r>
                </w:p>
              </w:tc>
              <w:tc>
                <w:tcPr>
                  <w:tcW w:w="465" w:type="pct"/>
                  <w:tcBorders>
                    <w:tl2br w:val="nil"/>
                    <w:tr2bl w:val="nil"/>
                  </w:tcBorders>
                  <w:noWrap w:val="0"/>
                  <w:vAlign w:val="center"/>
                </w:tcPr>
                <w:p w14:paraId="6473A2D5">
                  <w:pPr>
                    <w:pStyle w:val="40"/>
                    <w:bidi w:val="0"/>
                    <w:rPr>
                      <w:rFonts w:hint="default" w:eastAsia="宋体"/>
                      <w:color w:val="auto"/>
                      <w:spacing w:val="-6"/>
                      <w:sz w:val="21"/>
                      <w:highlight w:val="none"/>
                      <w:lang w:val="en-US" w:eastAsia="zh-CN"/>
                    </w:rPr>
                  </w:pPr>
                  <w:r>
                    <w:rPr>
                      <w:rFonts w:hint="eastAsia"/>
                      <w:color w:val="auto"/>
                      <w:spacing w:val="-6"/>
                      <w:sz w:val="21"/>
                      <w:highlight w:val="none"/>
                      <w:lang w:val="en-US" w:eastAsia="zh-CN"/>
                    </w:rPr>
                    <w:t>7690</w:t>
                  </w:r>
                </w:p>
              </w:tc>
              <w:tc>
                <w:tcPr>
                  <w:tcW w:w="396" w:type="pct"/>
                  <w:tcBorders>
                    <w:tl2br w:val="nil"/>
                    <w:tr2bl w:val="nil"/>
                  </w:tcBorders>
                  <w:noWrap w:val="0"/>
                  <w:vAlign w:val="center"/>
                </w:tcPr>
                <w:p w14:paraId="394734A9">
                  <w:pPr>
                    <w:pStyle w:val="40"/>
                    <w:bidi w:val="0"/>
                    <w:rPr>
                      <w:color w:val="auto"/>
                      <w:spacing w:val="-6"/>
                      <w:sz w:val="21"/>
                      <w:highlight w:val="none"/>
                    </w:rPr>
                  </w:pPr>
                  <w:r>
                    <w:rPr>
                      <w:rFonts w:hint="eastAsia"/>
                      <w:color w:val="auto"/>
                      <w:spacing w:val="-6"/>
                      <w:sz w:val="21"/>
                      <w:highlight w:val="none"/>
                      <w:lang w:val="en-US" w:eastAsia="zh-CN"/>
                    </w:rPr>
                    <w:t>99.7%</w:t>
                  </w:r>
                </w:p>
              </w:tc>
              <w:tc>
                <w:tcPr>
                  <w:tcW w:w="555" w:type="pct"/>
                  <w:tcBorders>
                    <w:tl2br w:val="nil"/>
                    <w:tr2bl w:val="nil"/>
                  </w:tcBorders>
                  <w:noWrap w:val="0"/>
                  <w:vAlign w:val="center"/>
                </w:tcPr>
                <w:p w14:paraId="177FBF33">
                  <w:pPr>
                    <w:pStyle w:val="40"/>
                    <w:bidi w:val="0"/>
                    <w:rPr>
                      <w:rFonts w:hint="default" w:eastAsia="宋体"/>
                      <w:color w:val="auto"/>
                      <w:spacing w:val="-6"/>
                      <w:sz w:val="21"/>
                      <w:highlight w:val="none"/>
                      <w:lang w:val="en-US" w:eastAsia="zh-CN"/>
                    </w:rPr>
                  </w:pPr>
                  <w:r>
                    <w:rPr>
                      <w:rFonts w:hint="eastAsia"/>
                      <w:color w:val="auto"/>
                      <w:spacing w:val="-6"/>
                      <w:sz w:val="21"/>
                      <w:highlight w:val="none"/>
                      <w:lang w:val="en-US" w:eastAsia="zh-CN"/>
                    </w:rPr>
                    <w:t>11.411</w:t>
                  </w:r>
                </w:p>
              </w:tc>
              <w:tc>
                <w:tcPr>
                  <w:tcW w:w="398" w:type="pct"/>
                  <w:tcBorders>
                    <w:tl2br w:val="nil"/>
                    <w:tr2bl w:val="nil"/>
                  </w:tcBorders>
                  <w:noWrap w:val="0"/>
                  <w:vAlign w:val="center"/>
                </w:tcPr>
                <w:p w14:paraId="44F4680D">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0.878</w:t>
                  </w:r>
                </w:p>
              </w:tc>
              <w:tc>
                <w:tcPr>
                  <w:tcW w:w="459" w:type="pct"/>
                  <w:tcBorders>
                    <w:tl2br w:val="nil"/>
                    <w:tr2bl w:val="nil"/>
                  </w:tcBorders>
                  <w:noWrap w:val="0"/>
                  <w:vAlign w:val="center"/>
                </w:tcPr>
                <w:p w14:paraId="1E2D86C9">
                  <w:pPr>
                    <w:pStyle w:val="40"/>
                    <w:bidi w:val="0"/>
                    <w:rPr>
                      <w:color w:val="auto"/>
                      <w:spacing w:val="-11"/>
                      <w:sz w:val="21"/>
                      <w:highlight w:val="none"/>
                    </w:rPr>
                  </w:pPr>
                  <w:r>
                    <w:rPr>
                      <w:rFonts w:hint="eastAsia"/>
                      <w:color w:val="auto"/>
                      <w:spacing w:val="-11"/>
                      <w:sz w:val="21"/>
                      <w:highlight w:val="none"/>
                      <w:lang w:val="en-US" w:eastAsia="zh-CN"/>
                    </w:rPr>
                    <w:t>DA002</w:t>
                  </w:r>
                </w:p>
              </w:tc>
            </w:tr>
            <w:tr w14:paraId="306A8C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2" w:type="pct"/>
                  <w:tcBorders>
                    <w:tl2br w:val="nil"/>
                    <w:tr2bl w:val="nil"/>
                  </w:tcBorders>
                  <w:noWrap w:val="0"/>
                  <w:vAlign w:val="center"/>
                </w:tcPr>
                <w:p w14:paraId="2A7A2E90">
                  <w:pPr>
                    <w:pStyle w:val="40"/>
                    <w:bidi w:val="0"/>
                    <w:rPr>
                      <w:rFonts w:hint="default"/>
                      <w:color w:val="auto"/>
                      <w:spacing w:val="-11"/>
                      <w:sz w:val="21"/>
                      <w:highlight w:val="none"/>
                      <w:lang w:val="en-US" w:eastAsia="zh-CN"/>
                    </w:rPr>
                  </w:pPr>
                  <w:r>
                    <w:rPr>
                      <w:rFonts w:hint="eastAsia"/>
                      <w:color w:val="auto"/>
                      <w:spacing w:val="-11"/>
                      <w:sz w:val="21"/>
                      <w:highlight w:val="none"/>
                      <w:lang w:val="en-US" w:eastAsia="zh-CN"/>
                    </w:rPr>
                    <w:t>G9b</w:t>
                  </w:r>
                </w:p>
              </w:tc>
              <w:tc>
                <w:tcPr>
                  <w:tcW w:w="562" w:type="pct"/>
                  <w:vMerge w:val="continue"/>
                  <w:tcBorders>
                    <w:tl2br w:val="nil"/>
                    <w:tr2bl w:val="nil"/>
                  </w:tcBorders>
                  <w:noWrap w:val="0"/>
                  <w:vAlign w:val="center"/>
                </w:tcPr>
                <w:p w14:paraId="0BA9D062">
                  <w:pPr>
                    <w:pStyle w:val="40"/>
                    <w:bidi w:val="0"/>
                    <w:rPr>
                      <w:rFonts w:hint="eastAsia"/>
                      <w:color w:val="auto"/>
                      <w:spacing w:val="-11"/>
                      <w:sz w:val="21"/>
                      <w:highlight w:val="none"/>
                      <w:lang w:val="en-US" w:eastAsia="zh-CN"/>
                    </w:rPr>
                  </w:pPr>
                </w:p>
              </w:tc>
              <w:tc>
                <w:tcPr>
                  <w:tcW w:w="412" w:type="pct"/>
                  <w:vMerge w:val="continue"/>
                  <w:tcBorders>
                    <w:tl2br w:val="nil"/>
                    <w:tr2bl w:val="nil"/>
                  </w:tcBorders>
                  <w:noWrap w:val="0"/>
                  <w:vAlign w:val="center"/>
                </w:tcPr>
                <w:p w14:paraId="4F005FB8">
                  <w:pPr>
                    <w:pStyle w:val="40"/>
                    <w:bidi w:val="0"/>
                    <w:rPr>
                      <w:rFonts w:hint="default"/>
                      <w:color w:val="auto"/>
                      <w:spacing w:val="-6"/>
                      <w:highlight w:val="none"/>
                      <w:lang w:val="en-US" w:eastAsia="zh-CN"/>
                    </w:rPr>
                  </w:pPr>
                </w:p>
              </w:tc>
              <w:tc>
                <w:tcPr>
                  <w:tcW w:w="512" w:type="pct"/>
                  <w:tcBorders>
                    <w:tl2br w:val="nil"/>
                    <w:tr2bl w:val="nil"/>
                  </w:tcBorders>
                  <w:noWrap w:val="0"/>
                  <w:vAlign w:val="center"/>
                </w:tcPr>
                <w:p w14:paraId="45B03EFE">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32.5</w:t>
                  </w:r>
                </w:p>
              </w:tc>
              <w:tc>
                <w:tcPr>
                  <w:tcW w:w="462" w:type="pct"/>
                  <w:tcBorders>
                    <w:tl2br w:val="nil"/>
                    <w:tr2bl w:val="nil"/>
                  </w:tcBorders>
                  <w:noWrap w:val="0"/>
                  <w:vAlign w:val="center"/>
                </w:tcPr>
                <w:p w14:paraId="164BB31A">
                  <w:pPr>
                    <w:pStyle w:val="40"/>
                    <w:bidi w:val="0"/>
                    <w:rPr>
                      <w:color w:val="auto"/>
                      <w:spacing w:val="-11"/>
                      <w:sz w:val="21"/>
                      <w:highlight w:val="none"/>
                    </w:rPr>
                  </w:pPr>
                  <w:r>
                    <w:rPr>
                      <w:rFonts w:hint="eastAsia"/>
                      <w:color w:val="auto"/>
                      <w:spacing w:val="-11"/>
                      <w:sz w:val="21"/>
                      <w:highlight w:val="none"/>
                      <w:lang w:val="en-US" w:eastAsia="zh-CN"/>
                    </w:rPr>
                    <w:t>/</w:t>
                  </w:r>
                </w:p>
              </w:tc>
              <w:tc>
                <w:tcPr>
                  <w:tcW w:w="441" w:type="pct"/>
                  <w:tcBorders>
                    <w:tl2br w:val="nil"/>
                    <w:tr2bl w:val="nil"/>
                  </w:tcBorders>
                  <w:shd w:val="clear" w:color="auto" w:fill="auto"/>
                  <w:noWrap w:val="0"/>
                  <w:vAlign w:val="center"/>
                </w:tcPr>
                <w:p w14:paraId="00A8F208">
                  <w:pPr>
                    <w:pStyle w:val="40"/>
                    <w:bidi w:val="0"/>
                    <w:ind w:firstLine="0" w:firstLineChars="0"/>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cs="Times New Roman"/>
                      <w:b w:val="0"/>
                      <w:bCs w:val="0"/>
                      <w:color w:val="auto"/>
                      <w:spacing w:val="-6"/>
                      <w:kern w:val="2"/>
                      <w:sz w:val="21"/>
                      <w:szCs w:val="21"/>
                      <w:highlight w:val="none"/>
                      <w:lang w:val="en-US" w:eastAsia="zh-CN" w:bidi="ar-SA"/>
                    </w:rPr>
                    <w:t>无组织</w:t>
                  </w:r>
                </w:p>
              </w:tc>
              <w:tc>
                <w:tcPr>
                  <w:tcW w:w="465" w:type="pct"/>
                  <w:tcBorders>
                    <w:tl2br w:val="nil"/>
                    <w:tr2bl w:val="nil"/>
                  </w:tcBorders>
                  <w:noWrap w:val="0"/>
                  <w:vAlign w:val="center"/>
                </w:tcPr>
                <w:p w14:paraId="668906A1">
                  <w:pPr>
                    <w:pStyle w:val="40"/>
                    <w:bidi w:val="0"/>
                    <w:rPr>
                      <w:color w:val="auto"/>
                      <w:spacing w:val="-6"/>
                      <w:sz w:val="21"/>
                      <w:highlight w:val="none"/>
                    </w:rPr>
                  </w:pPr>
                  <w:r>
                    <w:rPr>
                      <w:rFonts w:hint="eastAsia"/>
                      <w:color w:val="auto"/>
                      <w:spacing w:val="-6"/>
                      <w:sz w:val="21"/>
                      <w:highlight w:val="none"/>
                      <w:lang w:val="en-US" w:eastAsia="zh-CN"/>
                    </w:rPr>
                    <w:t>/</w:t>
                  </w:r>
                </w:p>
              </w:tc>
              <w:tc>
                <w:tcPr>
                  <w:tcW w:w="396" w:type="pct"/>
                  <w:tcBorders>
                    <w:tl2br w:val="nil"/>
                    <w:tr2bl w:val="nil"/>
                  </w:tcBorders>
                  <w:noWrap w:val="0"/>
                  <w:vAlign w:val="center"/>
                </w:tcPr>
                <w:p w14:paraId="3DA16A0C">
                  <w:pPr>
                    <w:pStyle w:val="40"/>
                    <w:bidi w:val="0"/>
                    <w:rPr>
                      <w:color w:val="auto"/>
                      <w:spacing w:val="-6"/>
                      <w:sz w:val="21"/>
                      <w:highlight w:val="none"/>
                    </w:rPr>
                  </w:pPr>
                  <w:r>
                    <w:rPr>
                      <w:rFonts w:hint="eastAsia"/>
                      <w:color w:val="auto"/>
                      <w:spacing w:val="-6"/>
                      <w:sz w:val="21"/>
                      <w:highlight w:val="none"/>
                      <w:lang w:val="en-US" w:eastAsia="zh-CN"/>
                    </w:rPr>
                    <w:t>90</w:t>
                  </w:r>
                  <w:r>
                    <w:rPr>
                      <w:color w:val="auto"/>
                      <w:spacing w:val="-6"/>
                      <w:sz w:val="21"/>
                      <w:highlight w:val="none"/>
                    </w:rPr>
                    <w:t>%</w:t>
                  </w:r>
                </w:p>
              </w:tc>
              <w:tc>
                <w:tcPr>
                  <w:tcW w:w="555" w:type="pct"/>
                  <w:tcBorders>
                    <w:tl2br w:val="nil"/>
                    <w:tr2bl w:val="nil"/>
                  </w:tcBorders>
                  <w:noWrap w:val="0"/>
                  <w:vAlign w:val="center"/>
                </w:tcPr>
                <w:p w14:paraId="5AC19AEB">
                  <w:pPr>
                    <w:pStyle w:val="40"/>
                    <w:bidi w:val="0"/>
                    <w:rPr>
                      <w:rFonts w:hint="default" w:eastAsia="宋体"/>
                      <w:color w:val="auto"/>
                      <w:spacing w:val="-6"/>
                      <w:sz w:val="21"/>
                      <w:highlight w:val="none"/>
                      <w:lang w:val="en-US" w:eastAsia="zh-CN"/>
                    </w:rPr>
                  </w:pPr>
                  <w:r>
                    <w:rPr>
                      <w:rFonts w:hint="eastAsia"/>
                      <w:color w:val="auto"/>
                      <w:spacing w:val="-6"/>
                      <w:sz w:val="21"/>
                      <w:highlight w:val="none"/>
                      <w:lang w:val="en-US" w:eastAsia="zh-CN"/>
                    </w:rPr>
                    <w:t>0.451</w:t>
                  </w:r>
                </w:p>
              </w:tc>
              <w:tc>
                <w:tcPr>
                  <w:tcW w:w="398" w:type="pct"/>
                  <w:tcBorders>
                    <w:tl2br w:val="nil"/>
                    <w:tr2bl w:val="nil"/>
                  </w:tcBorders>
                  <w:noWrap w:val="0"/>
                  <w:vAlign w:val="center"/>
                </w:tcPr>
                <w:p w14:paraId="4A3BE4CE">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3.25</w:t>
                  </w:r>
                </w:p>
              </w:tc>
              <w:tc>
                <w:tcPr>
                  <w:tcW w:w="459" w:type="pct"/>
                  <w:tcBorders>
                    <w:tl2br w:val="nil"/>
                    <w:tr2bl w:val="nil"/>
                  </w:tcBorders>
                  <w:noWrap w:val="0"/>
                  <w:vAlign w:val="center"/>
                </w:tcPr>
                <w:p w14:paraId="7C7ACC97">
                  <w:pPr>
                    <w:pStyle w:val="40"/>
                    <w:bidi w:val="0"/>
                    <w:rPr>
                      <w:color w:val="auto"/>
                      <w:spacing w:val="-11"/>
                      <w:sz w:val="21"/>
                      <w:highlight w:val="none"/>
                    </w:rPr>
                  </w:pPr>
                  <w:r>
                    <w:rPr>
                      <w:rFonts w:hint="eastAsia"/>
                      <w:color w:val="auto"/>
                      <w:spacing w:val="-11"/>
                      <w:sz w:val="21"/>
                      <w:highlight w:val="none"/>
                      <w:lang w:val="en-US" w:eastAsia="zh-CN"/>
                    </w:rPr>
                    <w:t>/</w:t>
                  </w:r>
                </w:p>
              </w:tc>
            </w:tr>
            <w:tr w14:paraId="19239B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2" w:type="pct"/>
                  <w:tcBorders>
                    <w:tl2br w:val="nil"/>
                    <w:tr2bl w:val="nil"/>
                  </w:tcBorders>
                  <w:noWrap w:val="0"/>
                  <w:vAlign w:val="center"/>
                </w:tcPr>
                <w:p w14:paraId="4457D6E2">
                  <w:pPr>
                    <w:pStyle w:val="40"/>
                    <w:bidi w:val="0"/>
                    <w:rPr>
                      <w:rFonts w:hint="default"/>
                      <w:color w:val="auto"/>
                      <w:spacing w:val="-11"/>
                      <w:sz w:val="21"/>
                      <w:highlight w:val="none"/>
                      <w:lang w:val="en-US" w:eastAsia="zh-CN"/>
                    </w:rPr>
                  </w:pPr>
                  <w:r>
                    <w:rPr>
                      <w:rFonts w:hint="eastAsia"/>
                      <w:color w:val="auto"/>
                      <w:spacing w:val="-11"/>
                      <w:sz w:val="21"/>
                      <w:highlight w:val="none"/>
                      <w:lang w:val="en-US" w:eastAsia="zh-CN"/>
                    </w:rPr>
                    <w:t>G10a</w:t>
                  </w:r>
                </w:p>
              </w:tc>
              <w:tc>
                <w:tcPr>
                  <w:tcW w:w="562" w:type="pct"/>
                  <w:vMerge w:val="restart"/>
                  <w:tcBorders>
                    <w:tl2br w:val="nil"/>
                    <w:tr2bl w:val="nil"/>
                  </w:tcBorders>
                  <w:noWrap w:val="0"/>
                  <w:vAlign w:val="center"/>
                </w:tcPr>
                <w:p w14:paraId="627F9C0B">
                  <w:pPr>
                    <w:pStyle w:val="40"/>
                    <w:bidi w:val="0"/>
                    <w:rPr>
                      <w:rFonts w:hint="default"/>
                      <w:color w:val="auto"/>
                      <w:spacing w:val="-11"/>
                      <w:sz w:val="21"/>
                      <w:highlight w:val="none"/>
                      <w:lang w:val="en-US" w:eastAsia="zh-CN"/>
                    </w:rPr>
                  </w:pPr>
                  <w:r>
                    <w:rPr>
                      <w:rFonts w:hint="eastAsia"/>
                      <w:color w:val="auto"/>
                      <w:spacing w:val="-11"/>
                      <w:sz w:val="21"/>
                      <w:highlight w:val="none"/>
                      <w:lang w:val="en-US" w:eastAsia="zh-CN"/>
                    </w:rPr>
                    <w:t>成球包膜粉尘</w:t>
                  </w:r>
                </w:p>
              </w:tc>
              <w:tc>
                <w:tcPr>
                  <w:tcW w:w="412" w:type="pct"/>
                  <w:vMerge w:val="restart"/>
                  <w:tcBorders>
                    <w:tl2br w:val="nil"/>
                    <w:tr2bl w:val="nil"/>
                  </w:tcBorders>
                  <w:shd w:val="clear" w:color="auto" w:fill="auto"/>
                  <w:noWrap w:val="0"/>
                  <w:vAlign w:val="center"/>
                </w:tcPr>
                <w:p w14:paraId="423BE954">
                  <w:pPr>
                    <w:pStyle w:val="40"/>
                    <w:bidi w:val="0"/>
                    <w:ind w:firstLine="0" w:firstLineChars="0"/>
                    <w:rPr>
                      <w:rFonts w:hint="eastAsia"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highlight w:val="none"/>
                      <w:lang w:val="en-US" w:eastAsia="zh-CN"/>
                    </w:rPr>
                    <w:t>颗粒物</w:t>
                  </w:r>
                </w:p>
              </w:tc>
              <w:tc>
                <w:tcPr>
                  <w:tcW w:w="512" w:type="pct"/>
                  <w:tcBorders>
                    <w:tl2br w:val="nil"/>
                    <w:tr2bl w:val="nil"/>
                  </w:tcBorders>
                  <w:noWrap w:val="0"/>
                  <w:vAlign w:val="center"/>
                </w:tcPr>
                <w:p w14:paraId="598829B3">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324</w:t>
                  </w:r>
                </w:p>
              </w:tc>
              <w:tc>
                <w:tcPr>
                  <w:tcW w:w="462" w:type="pct"/>
                  <w:tcBorders>
                    <w:tl2br w:val="nil"/>
                    <w:tr2bl w:val="nil"/>
                  </w:tcBorders>
                  <w:noWrap w:val="0"/>
                  <w:vAlign w:val="center"/>
                </w:tcPr>
                <w:p w14:paraId="3ABD9DD2">
                  <w:pPr>
                    <w:pStyle w:val="40"/>
                    <w:bidi w:val="0"/>
                    <w:rPr>
                      <w:rFonts w:hint="default" w:eastAsia="宋体"/>
                      <w:color w:val="auto"/>
                      <w:spacing w:val="-11"/>
                      <w:sz w:val="21"/>
                      <w:highlight w:val="none"/>
                      <w:lang w:val="en-US" w:eastAsia="zh-CN"/>
                    </w:rPr>
                  </w:pPr>
                  <w:r>
                    <w:rPr>
                      <w:rFonts w:hint="eastAsia"/>
                      <w:color w:val="auto"/>
                      <w:spacing w:val="-11"/>
                      <w:sz w:val="21"/>
                      <w:highlight w:val="none"/>
                      <w:lang w:val="en-US" w:eastAsia="zh-CN"/>
                    </w:rPr>
                    <w:t>3333.33</w:t>
                  </w:r>
                </w:p>
              </w:tc>
              <w:tc>
                <w:tcPr>
                  <w:tcW w:w="441" w:type="pct"/>
                  <w:tcBorders>
                    <w:tl2br w:val="nil"/>
                    <w:tr2bl w:val="nil"/>
                  </w:tcBorders>
                  <w:shd w:val="clear" w:color="auto" w:fill="auto"/>
                  <w:noWrap w:val="0"/>
                  <w:vAlign w:val="center"/>
                </w:tcPr>
                <w:p w14:paraId="428A7E58">
                  <w:pPr>
                    <w:pStyle w:val="40"/>
                    <w:bidi w:val="0"/>
                    <w:ind w:firstLine="0" w:firstLineChars="0"/>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cs="Times New Roman"/>
                      <w:b w:val="0"/>
                      <w:bCs w:val="0"/>
                      <w:color w:val="auto"/>
                      <w:spacing w:val="-6"/>
                      <w:kern w:val="2"/>
                      <w:sz w:val="21"/>
                      <w:szCs w:val="21"/>
                      <w:highlight w:val="none"/>
                      <w:lang w:val="en-US" w:eastAsia="zh-CN" w:bidi="ar-SA"/>
                    </w:rPr>
                    <w:t>有组织</w:t>
                  </w:r>
                </w:p>
              </w:tc>
              <w:tc>
                <w:tcPr>
                  <w:tcW w:w="465" w:type="pct"/>
                  <w:tcBorders>
                    <w:tl2br w:val="nil"/>
                    <w:tr2bl w:val="nil"/>
                  </w:tcBorders>
                  <w:noWrap w:val="0"/>
                  <w:vAlign w:val="center"/>
                </w:tcPr>
                <w:p w14:paraId="4CDD85BC">
                  <w:pPr>
                    <w:pStyle w:val="40"/>
                    <w:bidi w:val="0"/>
                    <w:rPr>
                      <w:rFonts w:hint="default" w:eastAsia="宋体"/>
                      <w:color w:val="auto"/>
                      <w:spacing w:val="-6"/>
                      <w:sz w:val="21"/>
                      <w:highlight w:val="none"/>
                      <w:lang w:val="en-US" w:eastAsia="zh-CN"/>
                    </w:rPr>
                  </w:pPr>
                  <w:r>
                    <w:rPr>
                      <w:rFonts w:hint="eastAsia"/>
                      <w:color w:val="auto"/>
                      <w:spacing w:val="-6"/>
                      <w:sz w:val="21"/>
                      <w:highlight w:val="none"/>
                      <w:lang w:val="en-US" w:eastAsia="zh-CN"/>
                    </w:rPr>
                    <w:t>10800</w:t>
                  </w:r>
                </w:p>
              </w:tc>
              <w:tc>
                <w:tcPr>
                  <w:tcW w:w="396" w:type="pct"/>
                  <w:tcBorders>
                    <w:tl2br w:val="nil"/>
                    <w:tr2bl w:val="nil"/>
                  </w:tcBorders>
                  <w:noWrap w:val="0"/>
                  <w:vAlign w:val="center"/>
                </w:tcPr>
                <w:p w14:paraId="77B901D6">
                  <w:pPr>
                    <w:pStyle w:val="40"/>
                    <w:bidi w:val="0"/>
                    <w:rPr>
                      <w:color w:val="auto"/>
                      <w:spacing w:val="-6"/>
                      <w:sz w:val="21"/>
                      <w:highlight w:val="none"/>
                    </w:rPr>
                  </w:pPr>
                  <w:r>
                    <w:rPr>
                      <w:rFonts w:hint="eastAsia"/>
                      <w:color w:val="auto"/>
                      <w:spacing w:val="-6"/>
                      <w:sz w:val="21"/>
                      <w:highlight w:val="none"/>
                      <w:lang w:val="en-US" w:eastAsia="zh-CN"/>
                    </w:rPr>
                    <w:t>99.7%</w:t>
                  </w:r>
                </w:p>
              </w:tc>
              <w:tc>
                <w:tcPr>
                  <w:tcW w:w="555" w:type="pct"/>
                  <w:tcBorders>
                    <w:tl2br w:val="nil"/>
                    <w:tr2bl w:val="nil"/>
                  </w:tcBorders>
                  <w:noWrap w:val="0"/>
                  <w:vAlign w:val="center"/>
                </w:tcPr>
                <w:p w14:paraId="4539215E">
                  <w:pPr>
                    <w:pStyle w:val="40"/>
                    <w:bidi w:val="0"/>
                    <w:rPr>
                      <w:rFonts w:hint="eastAsia" w:eastAsia="宋体"/>
                      <w:color w:val="auto"/>
                      <w:spacing w:val="-6"/>
                      <w:sz w:val="21"/>
                      <w:highlight w:val="none"/>
                      <w:lang w:val="en-US" w:eastAsia="zh-CN"/>
                    </w:rPr>
                  </w:pPr>
                  <w:r>
                    <w:rPr>
                      <w:rFonts w:hint="eastAsia"/>
                      <w:color w:val="auto"/>
                      <w:spacing w:val="-6"/>
                      <w:sz w:val="21"/>
                      <w:highlight w:val="none"/>
                      <w:lang w:val="en-US" w:eastAsia="zh-CN"/>
                    </w:rPr>
                    <w:t>9</w:t>
                  </w:r>
                </w:p>
              </w:tc>
              <w:tc>
                <w:tcPr>
                  <w:tcW w:w="398" w:type="pct"/>
                  <w:tcBorders>
                    <w:tl2br w:val="nil"/>
                    <w:tr2bl w:val="nil"/>
                  </w:tcBorders>
                  <w:noWrap w:val="0"/>
                  <w:vAlign w:val="center"/>
                </w:tcPr>
                <w:p w14:paraId="7ABBEABB">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0.972</w:t>
                  </w:r>
                </w:p>
              </w:tc>
              <w:tc>
                <w:tcPr>
                  <w:tcW w:w="459" w:type="pct"/>
                  <w:tcBorders>
                    <w:tl2br w:val="nil"/>
                    <w:tr2bl w:val="nil"/>
                  </w:tcBorders>
                  <w:noWrap w:val="0"/>
                  <w:vAlign w:val="center"/>
                </w:tcPr>
                <w:p w14:paraId="3EF7A661">
                  <w:pPr>
                    <w:pStyle w:val="40"/>
                    <w:bidi w:val="0"/>
                    <w:rPr>
                      <w:color w:val="auto"/>
                      <w:spacing w:val="-11"/>
                      <w:sz w:val="21"/>
                      <w:highlight w:val="none"/>
                    </w:rPr>
                  </w:pPr>
                  <w:r>
                    <w:rPr>
                      <w:rFonts w:hint="eastAsia"/>
                      <w:color w:val="auto"/>
                      <w:spacing w:val="-11"/>
                      <w:sz w:val="21"/>
                      <w:highlight w:val="none"/>
                      <w:lang w:val="en-US" w:eastAsia="zh-CN"/>
                    </w:rPr>
                    <w:t>DA003</w:t>
                  </w:r>
                </w:p>
              </w:tc>
            </w:tr>
            <w:tr w14:paraId="2424F2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2" w:type="pct"/>
                  <w:tcBorders>
                    <w:tl2br w:val="nil"/>
                    <w:tr2bl w:val="nil"/>
                  </w:tcBorders>
                  <w:noWrap w:val="0"/>
                  <w:vAlign w:val="center"/>
                </w:tcPr>
                <w:p w14:paraId="7C74893A">
                  <w:pPr>
                    <w:pStyle w:val="40"/>
                    <w:bidi w:val="0"/>
                    <w:rPr>
                      <w:rFonts w:hint="default"/>
                      <w:color w:val="auto"/>
                      <w:spacing w:val="-11"/>
                      <w:sz w:val="21"/>
                      <w:highlight w:val="none"/>
                      <w:lang w:val="en-US" w:eastAsia="zh-CN"/>
                    </w:rPr>
                  </w:pPr>
                  <w:r>
                    <w:rPr>
                      <w:rFonts w:hint="eastAsia"/>
                      <w:color w:val="auto"/>
                      <w:spacing w:val="-11"/>
                      <w:sz w:val="21"/>
                      <w:highlight w:val="none"/>
                      <w:lang w:val="en-US" w:eastAsia="zh-CN"/>
                    </w:rPr>
                    <w:t>G10b</w:t>
                  </w:r>
                </w:p>
              </w:tc>
              <w:tc>
                <w:tcPr>
                  <w:tcW w:w="562" w:type="pct"/>
                  <w:vMerge w:val="continue"/>
                  <w:tcBorders>
                    <w:tl2br w:val="nil"/>
                    <w:tr2bl w:val="nil"/>
                  </w:tcBorders>
                  <w:noWrap w:val="0"/>
                  <w:vAlign w:val="center"/>
                </w:tcPr>
                <w:p w14:paraId="280BF989">
                  <w:pPr>
                    <w:pStyle w:val="40"/>
                    <w:bidi w:val="0"/>
                    <w:rPr>
                      <w:rFonts w:hint="eastAsia"/>
                      <w:color w:val="auto"/>
                      <w:spacing w:val="-11"/>
                      <w:sz w:val="21"/>
                      <w:highlight w:val="none"/>
                      <w:lang w:val="en-US" w:eastAsia="zh-CN"/>
                    </w:rPr>
                  </w:pPr>
                </w:p>
              </w:tc>
              <w:tc>
                <w:tcPr>
                  <w:tcW w:w="412" w:type="pct"/>
                  <w:vMerge w:val="continue"/>
                  <w:tcBorders>
                    <w:tl2br w:val="nil"/>
                    <w:tr2bl w:val="nil"/>
                  </w:tcBorders>
                  <w:shd w:val="clear" w:color="auto" w:fill="auto"/>
                  <w:noWrap w:val="0"/>
                  <w:vAlign w:val="center"/>
                </w:tcPr>
                <w:p w14:paraId="14B99A14">
                  <w:pPr>
                    <w:pStyle w:val="40"/>
                    <w:bidi w:val="0"/>
                    <w:ind w:firstLine="0" w:firstLineChars="0"/>
                    <w:rPr>
                      <w:rFonts w:hint="eastAsia" w:ascii="Times New Roman" w:hAnsi="Times New Roman" w:eastAsia="宋体" w:cs="Times New Roman"/>
                      <w:b w:val="0"/>
                      <w:bCs w:val="0"/>
                      <w:color w:val="auto"/>
                      <w:spacing w:val="-6"/>
                      <w:kern w:val="2"/>
                      <w:sz w:val="21"/>
                      <w:szCs w:val="21"/>
                      <w:highlight w:val="none"/>
                      <w:lang w:val="en-US" w:eastAsia="zh-CN" w:bidi="ar-SA"/>
                    </w:rPr>
                  </w:pPr>
                </w:p>
              </w:tc>
              <w:tc>
                <w:tcPr>
                  <w:tcW w:w="512" w:type="pct"/>
                  <w:tcBorders>
                    <w:tl2br w:val="nil"/>
                    <w:tr2bl w:val="nil"/>
                  </w:tcBorders>
                  <w:noWrap w:val="0"/>
                  <w:vAlign w:val="center"/>
                </w:tcPr>
                <w:p w14:paraId="555B1897">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36</w:t>
                  </w:r>
                </w:p>
              </w:tc>
              <w:tc>
                <w:tcPr>
                  <w:tcW w:w="462" w:type="pct"/>
                  <w:tcBorders>
                    <w:tl2br w:val="nil"/>
                    <w:tr2bl w:val="nil"/>
                  </w:tcBorders>
                  <w:noWrap w:val="0"/>
                  <w:vAlign w:val="center"/>
                </w:tcPr>
                <w:p w14:paraId="4BCB2F91">
                  <w:pPr>
                    <w:pStyle w:val="40"/>
                    <w:bidi w:val="0"/>
                    <w:rPr>
                      <w:color w:val="auto"/>
                      <w:spacing w:val="-11"/>
                      <w:sz w:val="21"/>
                      <w:highlight w:val="none"/>
                    </w:rPr>
                  </w:pPr>
                  <w:r>
                    <w:rPr>
                      <w:rFonts w:hint="eastAsia"/>
                      <w:color w:val="auto"/>
                      <w:spacing w:val="-11"/>
                      <w:sz w:val="21"/>
                      <w:highlight w:val="none"/>
                      <w:lang w:val="en-US" w:eastAsia="zh-CN"/>
                    </w:rPr>
                    <w:t>/</w:t>
                  </w:r>
                </w:p>
              </w:tc>
              <w:tc>
                <w:tcPr>
                  <w:tcW w:w="441" w:type="pct"/>
                  <w:tcBorders>
                    <w:tl2br w:val="nil"/>
                    <w:tr2bl w:val="nil"/>
                  </w:tcBorders>
                  <w:shd w:val="clear" w:color="auto" w:fill="auto"/>
                  <w:noWrap w:val="0"/>
                  <w:vAlign w:val="center"/>
                </w:tcPr>
                <w:p w14:paraId="6B722908">
                  <w:pPr>
                    <w:pStyle w:val="40"/>
                    <w:bidi w:val="0"/>
                    <w:ind w:firstLine="0" w:firstLineChars="0"/>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cs="Times New Roman"/>
                      <w:b w:val="0"/>
                      <w:bCs w:val="0"/>
                      <w:color w:val="auto"/>
                      <w:spacing w:val="-6"/>
                      <w:kern w:val="2"/>
                      <w:sz w:val="21"/>
                      <w:szCs w:val="21"/>
                      <w:highlight w:val="none"/>
                      <w:lang w:val="en-US" w:eastAsia="zh-CN" w:bidi="ar-SA"/>
                    </w:rPr>
                    <w:t>无组织</w:t>
                  </w:r>
                </w:p>
              </w:tc>
              <w:tc>
                <w:tcPr>
                  <w:tcW w:w="465" w:type="pct"/>
                  <w:tcBorders>
                    <w:tl2br w:val="nil"/>
                    <w:tr2bl w:val="nil"/>
                  </w:tcBorders>
                  <w:noWrap w:val="0"/>
                  <w:vAlign w:val="center"/>
                </w:tcPr>
                <w:p w14:paraId="737BAFAA">
                  <w:pPr>
                    <w:pStyle w:val="40"/>
                    <w:bidi w:val="0"/>
                    <w:rPr>
                      <w:color w:val="auto"/>
                      <w:spacing w:val="-6"/>
                      <w:sz w:val="21"/>
                      <w:highlight w:val="none"/>
                    </w:rPr>
                  </w:pPr>
                  <w:r>
                    <w:rPr>
                      <w:rFonts w:hint="eastAsia"/>
                      <w:color w:val="auto"/>
                      <w:spacing w:val="-6"/>
                      <w:sz w:val="21"/>
                      <w:highlight w:val="none"/>
                      <w:lang w:val="en-US" w:eastAsia="zh-CN"/>
                    </w:rPr>
                    <w:t>/</w:t>
                  </w:r>
                </w:p>
              </w:tc>
              <w:tc>
                <w:tcPr>
                  <w:tcW w:w="396" w:type="pct"/>
                  <w:tcBorders>
                    <w:tl2br w:val="nil"/>
                    <w:tr2bl w:val="nil"/>
                  </w:tcBorders>
                  <w:noWrap w:val="0"/>
                  <w:vAlign w:val="center"/>
                </w:tcPr>
                <w:p w14:paraId="6D7635A6">
                  <w:pPr>
                    <w:pStyle w:val="40"/>
                    <w:bidi w:val="0"/>
                    <w:rPr>
                      <w:color w:val="auto"/>
                      <w:spacing w:val="-6"/>
                      <w:sz w:val="21"/>
                      <w:highlight w:val="none"/>
                    </w:rPr>
                  </w:pPr>
                  <w:r>
                    <w:rPr>
                      <w:rFonts w:hint="eastAsia"/>
                      <w:color w:val="auto"/>
                      <w:spacing w:val="-6"/>
                      <w:sz w:val="21"/>
                      <w:highlight w:val="none"/>
                      <w:lang w:val="en-US" w:eastAsia="zh-CN"/>
                    </w:rPr>
                    <w:t>90</w:t>
                  </w:r>
                  <w:r>
                    <w:rPr>
                      <w:color w:val="auto"/>
                      <w:spacing w:val="-6"/>
                      <w:sz w:val="21"/>
                      <w:highlight w:val="none"/>
                    </w:rPr>
                    <w:t>%</w:t>
                  </w:r>
                </w:p>
              </w:tc>
              <w:tc>
                <w:tcPr>
                  <w:tcW w:w="555" w:type="pct"/>
                  <w:tcBorders>
                    <w:tl2br w:val="nil"/>
                    <w:tr2bl w:val="nil"/>
                  </w:tcBorders>
                  <w:noWrap w:val="0"/>
                  <w:vAlign w:val="center"/>
                </w:tcPr>
                <w:p w14:paraId="6B0066AA">
                  <w:pPr>
                    <w:pStyle w:val="40"/>
                    <w:bidi w:val="0"/>
                    <w:rPr>
                      <w:rFonts w:hint="default" w:eastAsia="宋体"/>
                      <w:color w:val="auto"/>
                      <w:spacing w:val="-6"/>
                      <w:sz w:val="21"/>
                      <w:highlight w:val="none"/>
                      <w:lang w:val="en-US" w:eastAsia="zh-CN"/>
                    </w:rPr>
                  </w:pPr>
                  <w:r>
                    <w:rPr>
                      <w:rFonts w:hint="eastAsia"/>
                      <w:color w:val="auto"/>
                      <w:spacing w:val="-6"/>
                      <w:sz w:val="21"/>
                      <w:highlight w:val="none"/>
                      <w:lang w:val="en-US" w:eastAsia="zh-CN"/>
                    </w:rPr>
                    <w:t>0.5</w:t>
                  </w:r>
                </w:p>
              </w:tc>
              <w:tc>
                <w:tcPr>
                  <w:tcW w:w="398" w:type="pct"/>
                  <w:tcBorders>
                    <w:tl2br w:val="nil"/>
                    <w:tr2bl w:val="nil"/>
                  </w:tcBorders>
                  <w:noWrap w:val="0"/>
                  <w:vAlign w:val="center"/>
                </w:tcPr>
                <w:p w14:paraId="4C86FB0B">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3.6</w:t>
                  </w:r>
                </w:p>
              </w:tc>
              <w:tc>
                <w:tcPr>
                  <w:tcW w:w="459" w:type="pct"/>
                  <w:tcBorders>
                    <w:tl2br w:val="nil"/>
                    <w:tr2bl w:val="nil"/>
                  </w:tcBorders>
                  <w:noWrap w:val="0"/>
                  <w:vAlign w:val="center"/>
                </w:tcPr>
                <w:p w14:paraId="3E8A80B4">
                  <w:pPr>
                    <w:pStyle w:val="40"/>
                    <w:bidi w:val="0"/>
                    <w:rPr>
                      <w:color w:val="auto"/>
                      <w:spacing w:val="-11"/>
                      <w:sz w:val="21"/>
                      <w:highlight w:val="none"/>
                    </w:rPr>
                  </w:pPr>
                  <w:r>
                    <w:rPr>
                      <w:rFonts w:hint="eastAsia"/>
                      <w:color w:val="auto"/>
                      <w:spacing w:val="-11"/>
                      <w:sz w:val="21"/>
                      <w:highlight w:val="none"/>
                      <w:lang w:val="en-US" w:eastAsia="zh-CN"/>
                    </w:rPr>
                    <w:t>/</w:t>
                  </w:r>
                </w:p>
              </w:tc>
            </w:tr>
            <w:tr w14:paraId="0120D3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2" w:type="pct"/>
                  <w:tcBorders>
                    <w:tl2br w:val="nil"/>
                    <w:tr2bl w:val="nil"/>
                  </w:tcBorders>
                  <w:noWrap w:val="0"/>
                  <w:vAlign w:val="center"/>
                </w:tcPr>
                <w:p w14:paraId="0127CF11">
                  <w:pPr>
                    <w:pStyle w:val="40"/>
                    <w:bidi w:val="0"/>
                    <w:rPr>
                      <w:rFonts w:hint="default"/>
                      <w:color w:val="auto"/>
                      <w:spacing w:val="-11"/>
                      <w:sz w:val="21"/>
                      <w:highlight w:val="none"/>
                      <w:lang w:val="en-US" w:eastAsia="zh-CN"/>
                    </w:rPr>
                  </w:pPr>
                  <w:r>
                    <w:rPr>
                      <w:rFonts w:hint="eastAsia"/>
                      <w:color w:val="auto"/>
                      <w:spacing w:val="-11"/>
                      <w:sz w:val="21"/>
                      <w:highlight w:val="none"/>
                      <w:lang w:val="en-US" w:eastAsia="zh-CN"/>
                    </w:rPr>
                    <w:t>G11a</w:t>
                  </w:r>
                </w:p>
              </w:tc>
              <w:tc>
                <w:tcPr>
                  <w:tcW w:w="562" w:type="pct"/>
                  <w:vMerge w:val="restart"/>
                  <w:tcBorders>
                    <w:tl2br w:val="nil"/>
                    <w:tr2bl w:val="nil"/>
                  </w:tcBorders>
                  <w:noWrap w:val="0"/>
                  <w:vAlign w:val="center"/>
                </w:tcPr>
                <w:p w14:paraId="517FC281">
                  <w:pPr>
                    <w:pStyle w:val="40"/>
                    <w:bidi w:val="0"/>
                    <w:rPr>
                      <w:rFonts w:hint="default"/>
                      <w:color w:val="auto"/>
                      <w:spacing w:val="-11"/>
                      <w:sz w:val="21"/>
                      <w:highlight w:val="none"/>
                      <w:lang w:val="en-US" w:eastAsia="zh-CN"/>
                    </w:rPr>
                  </w:pPr>
                  <w:r>
                    <w:rPr>
                      <w:rFonts w:hint="eastAsia"/>
                      <w:color w:val="auto"/>
                      <w:spacing w:val="-11"/>
                      <w:sz w:val="21"/>
                      <w:highlight w:val="none"/>
                      <w:lang w:val="en-US" w:eastAsia="zh-CN"/>
                    </w:rPr>
                    <w:t>生料球筛分粉尘</w:t>
                  </w:r>
                </w:p>
              </w:tc>
              <w:tc>
                <w:tcPr>
                  <w:tcW w:w="412" w:type="pct"/>
                  <w:vMerge w:val="restart"/>
                  <w:tcBorders>
                    <w:tl2br w:val="nil"/>
                    <w:tr2bl w:val="nil"/>
                  </w:tcBorders>
                  <w:shd w:val="clear" w:color="auto" w:fill="auto"/>
                  <w:noWrap w:val="0"/>
                  <w:vAlign w:val="center"/>
                </w:tcPr>
                <w:p w14:paraId="5F4279AB">
                  <w:pPr>
                    <w:pStyle w:val="40"/>
                    <w:bidi w:val="0"/>
                    <w:ind w:firstLine="0" w:firstLineChars="0"/>
                    <w:rPr>
                      <w:rFonts w:hint="eastAsia"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highlight w:val="none"/>
                      <w:lang w:val="en-US" w:eastAsia="zh-CN"/>
                    </w:rPr>
                    <w:t>颗粒物</w:t>
                  </w:r>
                </w:p>
              </w:tc>
              <w:tc>
                <w:tcPr>
                  <w:tcW w:w="512" w:type="pct"/>
                  <w:tcBorders>
                    <w:tl2br w:val="nil"/>
                    <w:tr2bl w:val="nil"/>
                  </w:tcBorders>
                  <w:noWrap w:val="0"/>
                  <w:vAlign w:val="center"/>
                </w:tcPr>
                <w:p w14:paraId="2C98A9D6">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144</w:t>
                  </w:r>
                </w:p>
              </w:tc>
              <w:tc>
                <w:tcPr>
                  <w:tcW w:w="462" w:type="pct"/>
                  <w:tcBorders>
                    <w:tl2br w:val="nil"/>
                    <w:tr2bl w:val="nil"/>
                  </w:tcBorders>
                  <w:noWrap w:val="0"/>
                  <w:vAlign w:val="center"/>
                </w:tcPr>
                <w:p w14:paraId="04521A79">
                  <w:pPr>
                    <w:pStyle w:val="40"/>
                    <w:bidi w:val="0"/>
                    <w:rPr>
                      <w:rFonts w:hint="default" w:eastAsia="宋体"/>
                      <w:color w:val="auto"/>
                      <w:spacing w:val="-11"/>
                      <w:sz w:val="21"/>
                      <w:highlight w:val="none"/>
                      <w:lang w:val="en-US" w:eastAsia="zh-CN"/>
                    </w:rPr>
                  </w:pPr>
                  <w:r>
                    <w:rPr>
                      <w:rFonts w:hint="eastAsia"/>
                      <w:color w:val="auto"/>
                      <w:spacing w:val="-11"/>
                      <w:sz w:val="21"/>
                      <w:highlight w:val="none"/>
                      <w:lang w:val="en-US" w:eastAsia="zh-CN"/>
                    </w:rPr>
                    <w:t>4000</w:t>
                  </w:r>
                </w:p>
              </w:tc>
              <w:tc>
                <w:tcPr>
                  <w:tcW w:w="441" w:type="pct"/>
                  <w:tcBorders>
                    <w:tl2br w:val="nil"/>
                    <w:tr2bl w:val="nil"/>
                  </w:tcBorders>
                  <w:shd w:val="clear" w:color="auto" w:fill="auto"/>
                  <w:noWrap w:val="0"/>
                  <w:vAlign w:val="center"/>
                </w:tcPr>
                <w:p w14:paraId="6D8FA892">
                  <w:pPr>
                    <w:pStyle w:val="40"/>
                    <w:bidi w:val="0"/>
                    <w:ind w:firstLine="0" w:firstLineChars="0"/>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cs="Times New Roman"/>
                      <w:b w:val="0"/>
                      <w:bCs w:val="0"/>
                      <w:color w:val="auto"/>
                      <w:spacing w:val="-6"/>
                      <w:kern w:val="2"/>
                      <w:sz w:val="21"/>
                      <w:szCs w:val="21"/>
                      <w:highlight w:val="none"/>
                      <w:lang w:val="en-US" w:eastAsia="zh-CN" w:bidi="ar-SA"/>
                    </w:rPr>
                    <w:t>有组织</w:t>
                  </w:r>
                </w:p>
              </w:tc>
              <w:tc>
                <w:tcPr>
                  <w:tcW w:w="465" w:type="pct"/>
                  <w:tcBorders>
                    <w:tl2br w:val="nil"/>
                    <w:tr2bl w:val="nil"/>
                  </w:tcBorders>
                  <w:noWrap w:val="0"/>
                  <w:vAlign w:val="center"/>
                </w:tcPr>
                <w:p w14:paraId="003AA2DB">
                  <w:pPr>
                    <w:pStyle w:val="40"/>
                    <w:bidi w:val="0"/>
                    <w:rPr>
                      <w:rFonts w:hint="default" w:eastAsia="宋体"/>
                      <w:color w:val="auto"/>
                      <w:spacing w:val="-6"/>
                      <w:sz w:val="21"/>
                      <w:highlight w:val="none"/>
                      <w:lang w:val="en-US" w:eastAsia="zh-CN"/>
                    </w:rPr>
                  </w:pPr>
                  <w:r>
                    <w:rPr>
                      <w:rFonts w:hint="eastAsia"/>
                      <w:color w:val="auto"/>
                      <w:spacing w:val="-6"/>
                      <w:sz w:val="21"/>
                      <w:highlight w:val="none"/>
                      <w:lang w:val="en-US" w:eastAsia="zh-CN"/>
                    </w:rPr>
                    <w:t>4000</w:t>
                  </w:r>
                </w:p>
              </w:tc>
              <w:tc>
                <w:tcPr>
                  <w:tcW w:w="396" w:type="pct"/>
                  <w:tcBorders>
                    <w:tl2br w:val="nil"/>
                    <w:tr2bl w:val="nil"/>
                  </w:tcBorders>
                  <w:shd w:val="clear" w:color="auto" w:fill="auto"/>
                  <w:noWrap w:val="0"/>
                  <w:vAlign w:val="center"/>
                </w:tcPr>
                <w:p w14:paraId="599CC64B">
                  <w:pPr>
                    <w:pStyle w:val="40"/>
                    <w:bidi w:val="0"/>
                    <w:ind w:firstLine="0" w:firstLineChars="0"/>
                    <w:rPr>
                      <w:rFonts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sz w:val="21"/>
                      <w:highlight w:val="none"/>
                      <w:lang w:val="en-US" w:eastAsia="zh-CN"/>
                    </w:rPr>
                    <w:t>99.7%</w:t>
                  </w:r>
                </w:p>
              </w:tc>
              <w:tc>
                <w:tcPr>
                  <w:tcW w:w="555" w:type="pct"/>
                  <w:tcBorders>
                    <w:tl2br w:val="nil"/>
                    <w:tr2bl w:val="nil"/>
                  </w:tcBorders>
                  <w:noWrap w:val="0"/>
                  <w:vAlign w:val="center"/>
                </w:tcPr>
                <w:p w14:paraId="654EA6E8">
                  <w:pPr>
                    <w:pStyle w:val="40"/>
                    <w:bidi w:val="0"/>
                    <w:rPr>
                      <w:rFonts w:hint="default" w:eastAsia="宋体"/>
                      <w:color w:val="auto"/>
                      <w:spacing w:val="-6"/>
                      <w:sz w:val="21"/>
                      <w:highlight w:val="none"/>
                      <w:lang w:val="en-US" w:eastAsia="zh-CN"/>
                    </w:rPr>
                  </w:pPr>
                  <w:r>
                    <w:rPr>
                      <w:rFonts w:hint="eastAsia"/>
                      <w:color w:val="auto"/>
                      <w:spacing w:val="-6"/>
                      <w:sz w:val="21"/>
                      <w:highlight w:val="none"/>
                      <w:lang w:val="en-US" w:eastAsia="zh-CN"/>
                    </w:rPr>
                    <w:t>10.8</w:t>
                  </w:r>
                </w:p>
              </w:tc>
              <w:tc>
                <w:tcPr>
                  <w:tcW w:w="398" w:type="pct"/>
                  <w:tcBorders>
                    <w:tl2br w:val="nil"/>
                    <w:tr2bl w:val="nil"/>
                  </w:tcBorders>
                  <w:noWrap w:val="0"/>
                  <w:vAlign w:val="center"/>
                </w:tcPr>
                <w:p w14:paraId="4B41F674">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0.432</w:t>
                  </w:r>
                </w:p>
              </w:tc>
              <w:tc>
                <w:tcPr>
                  <w:tcW w:w="459" w:type="pct"/>
                  <w:tcBorders>
                    <w:tl2br w:val="nil"/>
                    <w:tr2bl w:val="nil"/>
                  </w:tcBorders>
                  <w:noWrap w:val="0"/>
                  <w:vAlign w:val="center"/>
                </w:tcPr>
                <w:p w14:paraId="3E7A831E">
                  <w:pPr>
                    <w:pStyle w:val="40"/>
                    <w:bidi w:val="0"/>
                    <w:rPr>
                      <w:color w:val="auto"/>
                      <w:spacing w:val="-11"/>
                      <w:sz w:val="21"/>
                      <w:highlight w:val="none"/>
                    </w:rPr>
                  </w:pPr>
                  <w:r>
                    <w:rPr>
                      <w:rFonts w:hint="eastAsia"/>
                      <w:color w:val="auto"/>
                      <w:spacing w:val="-11"/>
                      <w:sz w:val="21"/>
                      <w:highlight w:val="none"/>
                      <w:lang w:val="en-US" w:eastAsia="zh-CN"/>
                    </w:rPr>
                    <w:t>DA004</w:t>
                  </w:r>
                </w:p>
              </w:tc>
            </w:tr>
            <w:tr w14:paraId="14CF6B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2" w:type="pct"/>
                  <w:tcBorders>
                    <w:tl2br w:val="nil"/>
                    <w:tr2bl w:val="nil"/>
                  </w:tcBorders>
                  <w:noWrap w:val="0"/>
                  <w:vAlign w:val="center"/>
                </w:tcPr>
                <w:p w14:paraId="60C589EB">
                  <w:pPr>
                    <w:pStyle w:val="40"/>
                    <w:bidi w:val="0"/>
                    <w:rPr>
                      <w:rFonts w:hint="default"/>
                      <w:color w:val="auto"/>
                      <w:spacing w:val="-11"/>
                      <w:sz w:val="21"/>
                      <w:highlight w:val="none"/>
                      <w:lang w:val="en-US" w:eastAsia="zh-CN"/>
                    </w:rPr>
                  </w:pPr>
                  <w:r>
                    <w:rPr>
                      <w:rFonts w:hint="eastAsia"/>
                      <w:color w:val="auto"/>
                      <w:spacing w:val="-11"/>
                      <w:sz w:val="21"/>
                      <w:highlight w:val="none"/>
                      <w:lang w:val="en-US" w:eastAsia="zh-CN"/>
                    </w:rPr>
                    <w:t>G11b</w:t>
                  </w:r>
                </w:p>
              </w:tc>
              <w:tc>
                <w:tcPr>
                  <w:tcW w:w="562" w:type="pct"/>
                  <w:vMerge w:val="continue"/>
                  <w:tcBorders>
                    <w:tl2br w:val="nil"/>
                    <w:tr2bl w:val="nil"/>
                  </w:tcBorders>
                  <w:noWrap w:val="0"/>
                  <w:vAlign w:val="center"/>
                </w:tcPr>
                <w:p w14:paraId="0F8F9657">
                  <w:pPr>
                    <w:pStyle w:val="40"/>
                    <w:bidi w:val="0"/>
                    <w:rPr>
                      <w:rFonts w:hint="eastAsia"/>
                      <w:color w:val="auto"/>
                      <w:spacing w:val="-11"/>
                      <w:sz w:val="21"/>
                      <w:highlight w:val="none"/>
                      <w:lang w:val="en-US" w:eastAsia="zh-CN"/>
                    </w:rPr>
                  </w:pPr>
                </w:p>
              </w:tc>
              <w:tc>
                <w:tcPr>
                  <w:tcW w:w="412" w:type="pct"/>
                  <w:vMerge w:val="continue"/>
                  <w:tcBorders>
                    <w:tl2br w:val="nil"/>
                    <w:tr2bl w:val="nil"/>
                  </w:tcBorders>
                  <w:shd w:val="clear" w:color="auto" w:fill="auto"/>
                  <w:noWrap w:val="0"/>
                  <w:vAlign w:val="center"/>
                </w:tcPr>
                <w:p w14:paraId="5E18ADDF">
                  <w:pPr>
                    <w:pStyle w:val="40"/>
                    <w:bidi w:val="0"/>
                    <w:ind w:firstLine="0" w:firstLineChars="0"/>
                    <w:rPr>
                      <w:rFonts w:hint="eastAsia" w:ascii="Times New Roman" w:hAnsi="Times New Roman" w:eastAsia="宋体" w:cs="Times New Roman"/>
                      <w:b w:val="0"/>
                      <w:bCs w:val="0"/>
                      <w:color w:val="auto"/>
                      <w:spacing w:val="-6"/>
                      <w:kern w:val="2"/>
                      <w:sz w:val="21"/>
                      <w:szCs w:val="21"/>
                      <w:highlight w:val="none"/>
                      <w:lang w:val="en-US" w:eastAsia="zh-CN" w:bidi="ar-SA"/>
                    </w:rPr>
                  </w:pPr>
                </w:p>
              </w:tc>
              <w:tc>
                <w:tcPr>
                  <w:tcW w:w="512" w:type="pct"/>
                  <w:tcBorders>
                    <w:tl2br w:val="nil"/>
                    <w:tr2bl w:val="nil"/>
                  </w:tcBorders>
                  <w:noWrap w:val="0"/>
                  <w:vAlign w:val="center"/>
                </w:tcPr>
                <w:p w14:paraId="5BCDC694">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16</w:t>
                  </w:r>
                </w:p>
              </w:tc>
              <w:tc>
                <w:tcPr>
                  <w:tcW w:w="462" w:type="pct"/>
                  <w:tcBorders>
                    <w:tl2br w:val="nil"/>
                    <w:tr2bl w:val="nil"/>
                  </w:tcBorders>
                  <w:noWrap w:val="0"/>
                  <w:vAlign w:val="center"/>
                </w:tcPr>
                <w:p w14:paraId="484880B3">
                  <w:pPr>
                    <w:pStyle w:val="40"/>
                    <w:bidi w:val="0"/>
                    <w:rPr>
                      <w:color w:val="auto"/>
                      <w:spacing w:val="-11"/>
                      <w:sz w:val="21"/>
                      <w:highlight w:val="none"/>
                    </w:rPr>
                  </w:pPr>
                  <w:r>
                    <w:rPr>
                      <w:rFonts w:hint="eastAsia"/>
                      <w:color w:val="auto"/>
                      <w:spacing w:val="-11"/>
                      <w:sz w:val="21"/>
                      <w:highlight w:val="none"/>
                      <w:lang w:val="en-US" w:eastAsia="zh-CN"/>
                    </w:rPr>
                    <w:t>/</w:t>
                  </w:r>
                </w:p>
              </w:tc>
              <w:tc>
                <w:tcPr>
                  <w:tcW w:w="441" w:type="pct"/>
                  <w:tcBorders>
                    <w:tl2br w:val="nil"/>
                    <w:tr2bl w:val="nil"/>
                  </w:tcBorders>
                  <w:shd w:val="clear" w:color="auto" w:fill="auto"/>
                  <w:noWrap w:val="0"/>
                  <w:vAlign w:val="center"/>
                </w:tcPr>
                <w:p w14:paraId="32121E02">
                  <w:pPr>
                    <w:pStyle w:val="40"/>
                    <w:bidi w:val="0"/>
                    <w:ind w:firstLine="0" w:firstLineChars="0"/>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cs="Times New Roman"/>
                      <w:b w:val="0"/>
                      <w:bCs w:val="0"/>
                      <w:color w:val="auto"/>
                      <w:spacing w:val="-6"/>
                      <w:kern w:val="2"/>
                      <w:sz w:val="21"/>
                      <w:szCs w:val="21"/>
                      <w:highlight w:val="none"/>
                      <w:lang w:val="en-US" w:eastAsia="zh-CN" w:bidi="ar-SA"/>
                    </w:rPr>
                    <w:t>无组织</w:t>
                  </w:r>
                </w:p>
              </w:tc>
              <w:tc>
                <w:tcPr>
                  <w:tcW w:w="465" w:type="pct"/>
                  <w:tcBorders>
                    <w:tl2br w:val="nil"/>
                    <w:tr2bl w:val="nil"/>
                  </w:tcBorders>
                  <w:noWrap w:val="0"/>
                  <w:vAlign w:val="center"/>
                </w:tcPr>
                <w:p w14:paraId="727B9591">
                  <w:pPr>
                    <w:pStyle w:val="40"/>
                    <w:bidi w:val="0"/>
                    <w:rPr>
                      <w:color w:val="auto"/>
                      <w:spacing w:val="-6"/>
                      <w:sz w:val="21"/>
                      <w:highlight w:val="none"/>
                    </w:rPr>
                  </w:pPr>
                  <w:r>
                    <w:rPr>
                      <w:rFonts w:hint="eastAsia"/>
                      <w:color w:val="auto"/>
                      <w:spacing w:val="-6"/>
                      <w:sz w:val="21"/>
                      <w:highlight w:val="none"/>
                      <w:lang w:val="en-US" w:eastAsia="zh-CN"/>
                    </w:rPr>
                    <w:t>/</w:t>
                  </w:r>
                </w:p>
              </w:tc>
              <w:tc>
                <w:tcPr>
                  <w:tcW w:w="396" w:type="pct"/>
                  <w:tcBorders>
                    <w:tl2br w:val="nil"/>
                    <w:tr2bl w:val="nil"/>
                  </w:tcBorders>
                  <w:shd w:val="clear" w:color="auto" w:fill="auto"/>
                  <w:noWrap w:val="0"/>
                  <w:vAlign w:val="center"/>
                </w:tcPr>
                <w:p w14:paraId="2F723C98">
                  <w:pPr>
                    <w:pStyle w:val="40"/>
                    <w:bidi w:val="0"/>
                    <w:ind w:firstLine="0" w:firstLineChars="0"/>
                    <w:rPr>
                      <w:rFonts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sz w:val="21"/>
                      <w:highlight w:val="none"/>
                      <w:lang w:val="en-US" w:eastAsia="zh-CN"/>
                    </w:rPr>
                    <w:t>90</w:t>
                  </w:r>
                  <w:r>
                    <w:rPr>
                      <w:color w:val="auto"/>
                      <w:spacing w:val="-6"/>
                      <w:sz w:val="21"/>
                      <w:highlight w:val="none"/>
                    </w:rPr>
                    <w:t>%</w:t>
                  </w:r>
                </w:p>
              </w:tc>
              <w:tc>
                <w:tcPr>
                  <w:tcW w:w="555" w:type="pct"/>
                  <w:tcBorders>
                    <w:tl2br w:val="nil"/>
                    <w:tr2bl w:val="nil"/>
                  </w:tcBorders>
                  <w:noWrap w:val="0"/>
                  <w:vAlign w:val="center"/>
                </w:tcPr>
                <w:p w14:paraId="6DFA0616">
                  <w:pPr>
                    <w:pStyle w:val="40"/>
                    <w:bidi w:val="0"/>
                    <w:rPr>
                      <w:rFonts w:hint="default" w:eastAsia="宋体"/>
                      <w:color w:val="auto"/>
                      <w:spacing w:val="-6"/>
                      <w:sz w:val="21"/>
                      <w:highlight w:val="none"/>
                      <w:lang w:val="en-US" w:eastAsia="zh-CN"/>
                    </w:rPr>
                  </w:pPr>
                  <w:r>
                    <w:rPr>
                      <w:rFonts w:hint="eastAsia"/>
                      <w:color w:val="auto"/>
                      <w:spacing w:val="-6"/>
                      <w:sz w:val="21"/>
                      <w:highlight w:val="none"/>
                      <w:lang w:val="en-US" w:eastAsia="zh-CN"/>
                    </w:rPr>
                    <w:t>0.222</w:t>
                  </w:r>
                </w:p>
              </w:tc>
              <w:tc>
                <w:tcPr>
                  <w:tcW w:w="398" w:type="pct"/>
                  <w:tcBorders>
                    <w:tl2br w:val="nil"/>
                    <w:tr2bl w:val="nil"/>
                  </w:tcBorders>
                  <w:noWrap w:val="0"/>
                  <w:vAlign w:val="center"/>
                </w:tcPr>
                <w:p w14:paraId="728DEE57">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1.6</w:t>
                  </w:r>
                </w:p>
              </w:tc>
              <w:tc>
                <w:tcPr>
                  <w:tcW w:w="459" w:type="pct"/>
                  <w:tcBorders>
                    <w:tl2br w:val="nil"/>
                    <w:tr2bl w:val="nil"/>
                  </w:tcBorders>
                  <w:noWrap w:val="0"/>
                  <w:vAlign w:val="center"/>
                </w:tcPr>
                <w:p w14:paraId="35CF2098">
                  <w:pPr>
                    <w:pStyle w:val="40"/>
                    <w:bidi w:val="0"/>
                    <w:rPr>
                      <w:color w:val="auto"/>
                      <w:spacing w:val="-11"/>
                      <w:sz w:val="21"/>
                      <w:highlight w:val="none"/>
                    </w:rPr>
                  </w:pPr>
                  <w:r>
                    <w:rPr>
                      <w:rFonts w:hint="eastAsia"/>
                      <w:color w:val="auto"/>
                      <w:spacing w:val="-11"/>
                      <w:sz w:val="21"/>
                      <w:highlight w:val="none"/>
                      <w:lang w:val="en-US" w:eastAsia="zh-CN"/>
                    </w:rPr>
                    <w:t>/</w:t>
                  </w:r>
                </w:p>
              </w:tc>
            </w:tr>
            <w:tr w14:paraId="40C1C8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2" w:type="pct"/>
                  <w:vMerge w:val="restart"/>
                  <w:tcBorders>
                    <w:tl2br w:val="nil"/>
                    <w:tr2bl w:val="nil"/>
                  </w:tcBorders>
                  <w:noWrap w:val="0"/>
                  <w:vAlign w:val="center"/>
                </w:tcPr>
                <w:p w14:paraId="3EF94BD7">
                  <w:pPr>
                    <w:pStyle w:val="40"/>
                    <w:bidi w:val="0"/>
                    <w:rPr>
                      <w:rFonts w:hint="default"/>
                      <w:color w:val="auto"/>
                      <w:spacing w:val="-11"/>
                      <w:sz w:val="21"/>
                      <w:highlight w:val="none"/>
                      <w:lang w:val="en-US" w:eastAsia="zh-CN"/>
                    </w:rPr>
                  </w:pPr>
                  <w:r>
                    <w:rPr>
                      <w:rFonts w:hint="eastAsia"/>
                      <w:color w:val="auto"/>
                      <w:spacing w:val="-11"/>
                      <w:sz w:val="21"/>
                      <w:highlight w:val="none"/>
                      <w:lang w:val="en-US" w:eastAsia="zh-CN"/>
                    </w:rPr>
                    <w:t>G12</w:t>
                  </w:r>
                </w:p>
              </w:tc>
              <w:tc>
                <w:tcPr>
                  <w:tcW w:w="562" w:type="pct"/>
                  <w:vMerge w:val="restart"/>
                  <w:tcBorders>
                    <w:tl2br w:val="nil"/>
                    <w:tr2bl w:val="nil"/>
                  </w:tcBorders>
                  <w:noWrap w:val="0"/>
                  <w:vAlign w:val="center"/>
                </w:tcPr>
                <w:p w14:paraId="1F9EAB74">
                  <w:pPr>
                    <w:pStyle w:val="40"/>
                    <w:bidi w:val="0"/>
                    <w:rPr>
                      <w:rFonts w:hint="default"/>
                      <w:color w:val="auto"/>
                      <w:spacing w:val="-11"/>
                      <w:sz w:val="21"/>
                      <w:highlight w:val="none"/>
                      <w:lang w:val="en-US" w:eastAsia="zh-CN"/>
                    </w:rPr>
                  </w:pPr>
                  <w:r>
                    <w:rPr>
                      <w:rFonts w:hint="eastAsia"/>
                      <w:color w:val="auto"/>
                      <w:spacing w:val="-11"/>
                      <w:sz w:val="21"/>
                      <w:highlight w:val="none"/>
                      <w:lang w:val="en-US" w:eastAsia="zh-CN"/>
                    </w:rPr>
                    <w:t>锅炉烟气</w:t>
                  </w:r>
                </w:p>
              </w:tc>
              <w:tc>
                <w:tcPr>
                  <w:tcW w:w="412" w:type="pct"/>
                  <w:tcBorders>
                    <w:tl2br w:val="nil"/>
                    <w:tr2bl w:val="nil"/>
                  </w:tcBorders>
                  <w:shd w:val="clear" w:color="auto" w:fill="auto"/>
                  <w:noWrap w:val="0"/>
                  <w:vAlign w:val="center"/>
                </w:tcPr>
                <w:p w14:paraId="328DBFC7">
                  <w:pPr>
                    <w:pStyle w:val="40"/>
                    <w:bidi w:val="0"/>
                    <w:ind w:firstLine="0" w:firstLineChars="0"/>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cs="Times New Roman"/>
                      <w:b w:val="0"/>
                      <w:bCs w:val="0"/>
                      <w:color w:val="auto"/>
                      <w:spacing w:val="-6"/>
                      <w:kern w:val="2"/>
                      <w:sz w:val="21"/>
                      <w:szCs w:val="21"/>
                      <w:highlight w:val="none"/>
                      <w:lang w:val="en-US" w:eastAsia="zh-CN" w:bidi="ar-SA"/>
                    </w:rPr>
                    <w:t>SO</w:t>
                  </w:r>
                  <w:r>
                    <w:rPr>
                      <w:rFonts w:hint="eastAsia" w:cs="Times New Roman"/>
                      <w:b w:val="0"/>
                      <w:bCs w:val="0"/>
                      <w:color w:val="auto"/>
                      <w:spacing w:val="-6"/>
                      <w:kern w:val="2"/>
                      <w:sz w:val="21"/>
                      <w:szCs w:val="21"/>
                      <w:highlight w:val="none"/>
                      <w:vertAlign w:val="subscript"/>
                      <w:lang w:val="en-US" w:eastAsia="zh-CN" w:bidi="ar-SA"/>
                    </w:rPr>
                    <w:t>2</w:t>
                  </w:r>
                </w:p>
              </w:tc>
              <w:tc>
                <w:tcPr>
                  <w:tcW w:w="512" w:type="pct"/>
                  <w:tcBorders>
                    <w:tl2br w:val="nil"/>
                    <w:tr2bl w:val="nil"/>
                  </w:tcBorders>
                  <w:noWrap w:val="0"/>
                  <w:vAlign w:val="center"/>
                </w:tcPr>
                <w:p w14:paraId="28BE2A12">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3.77</w:t>
                  </w:r>
                </w:p>
              </w:tc>
              <w:tc>
                <w:tcPr>
                  <w:tcW w:w="462" w:type="pct"/>
                  <w:tcBorders>
                    <w:tl2br w:val="nil"/>
                    <w:tr2bl w:val="nil"/>
                  </w:tcBorders>
                  <w:noWrap w:val="0"/>
                  <w:vAlign w:val="center"/>
                </w:tcPr>
                <w:p w14:paraId="0350FAD4">
                  <w:pPr>
                    <w:pStyle w:val="40"/>
                    <w:bidi w:val="0"/>
                    <w:rPr>
                      <w:rFonts w:hint="default" w:eastAsia="宋体"/>
                      <w:color w:val="auto"/>
                      <w:spacing w:val="-11"/>
                      <w:sz w:val="21"/>
                      <w:highlight w:val="none"/>
                      <w:lang w:val="en-US" w:eastAsia="zh-CN"/>
                    </w:rPr>
                  </w:pPr>
                  <w:r>
                    <w:rPr>
                      <w:rFonts w:hint="eastAsia"/>
                      <w:color w:val="auto"/>
                      <w:spacing w:val="-11"/>
                      <w:sz w:val="21"/>
                      <w:highlight w:val="none"/>
                      <w:lang w:val="en-US" w:eastAsia="zh-CN"/>
                    </w:rPr>
                    <w:t>26.96</w:t>
                  </w:r>
                </w:p>
              </w:tc>
              <w:tc>
                <w:tcPr>
                  <w:tcW w:w="441" w:type="pct"/>
                  <w:vMerge w:val="restart"/>
                  <w:tcBorders>
                    <w:tl2br w:val="nil"/>
                    <w:tr2bl w:val="nil"/>
                  </w:tcBorders>
                  <w:noWrap w:val="0"/>
                  <w:vAlign w:val="center"/>
                </w:tcPr>
                <w:p w14:paraId="60B6CB3D">
                  <w:pPr>
                    <w:pStyle w:val="40"/>
                    <w:bidi w:val="0"/>
                    <w:rPr>
                      <w:color w:val="auto"/>
                      <w:spacing w:val="-6"/>
                      <w:sz w:val="21"/>
                      <w:highlight w:val="none"/>
                    </w:rPr>
                  </w:pPr>
                  <w:r>
                    <w:rPr>
                      <w:rFonts w:hint="eastAsia" w:cs="Times New Roman"/>
                      <w:b w:val="0"/>
                      <w:bCs w:val="0"/>
                      <w:color w:val="auto"/>
                      <w:spacing w:val="-6"/>
                      <w:kern w:val="2"/>
                      <w:sz w:val="21"/>
                      <w:szCs w:val="21"/>
                      <w:highlight w:val="none"/>
                      <w:lang w:val="en-US" w:eastAsia="zh-CN" w:bidi="ar-SA"/>
                    </w:rPr>
                    <w:t>有组织</w:t>
                  </w:r>
                </w:p>
              </w:tc>
              <w:tc>
                <w:tcPr>
                  <w:tcW w:w="465" w:type="pct"/>
                  <w:vMerge w:val="restart"/>
                  <w:tcBorders>
                    <w:tl2br w:val="nil"/>
                    <w:tr2bl w:val="nil"/>
                  </w:tcBorders>
                  <w:noWrap w:val="0"/>
                  <w:vAlign w:val="center"/>
                </w:tcPr>
                <w:p w14:paraId="5D33DA62">
                  <w:pPr>
                    <w:pStyle w:val="40"/>
                    <w:bidi w:val="0"/>
                    <w:rPr>
                      <w:rFonts w:hint="default" w:eastAsia="宋体"/>
                      <w:color w:val="auto"/>
                      <w:spacing w:val="-6"/>
                      <w:sz w:val="21"/>
                      <w:highlight w:val="none"/>
                      <w:lang w:val="en-US" w:eastAsia="zh-CN"/>
                    </w:rPr>
                  </w:pPr>
                  <w:r>
                    <w:rPr>
                      <w:rFonts w:hint="eastAsia"/>
                      <w:color w:val="auto"/>
                      <w:spacing w:val="-6"/>
                      <w:sz w:val="21"/>
                      <w:highlight w:val="none"/>
                      <w:lang w:val="en-US" w:eastAsia="zh-CN"/>
                    </w:rPr>
                    <w:t>13981.00898</w:t>
                  </w:r>
                </w:p>
              </w:tc>
              <w:tc>
                <w:tcPr>
                  <w:tcW w:w="396" w:type="pct"/>
                  <w:tcBorders>
                    <w:tl2br w:val="nil"/>
                    <w:tr2bl w:val="nil"/>
                  </w:tcBorders>
                  <w:noWrap w:val="0"/>
                  <w:vAlign w:val="center"/>
                </w:tcPr>
                <w:p w14:paraId="36C674E3">
                  <w:pPr>
                    <w:pStyle w:val="40"/>
                    <w:bidi w:val="0"/>
                    <w:rPr>
                      <w:rFonts w:hint="default" w:eastAsia="宋体"/>
                      <w:color w:val="auto"/>
                      <w:spacing w:val="-6"/>
                      <w:sz w:val="21"/>
                      <w:highlight w:val="none"/>
                      <w:lang w:val="en-US" w:eastAsia="zh-CN"/>
                    </w:rPr>
                  </w:pPr>
                  <w:r>
                    <w:rPr>
                      <w:rFonts w:hint="eastAsia"/>
                      <w:color w:val="auto"/>
                      <w:spacing w:val="-6"/>
                      <w:sz w:val="21"/>
                      <w:highlight w:val="none"/>
                      <w:lang w:val="en-US" w:eastAsia="zh-CN"/>
                    </w:rPr>
                    <w:t>/</w:t>
                  </w:r>
                </w:p>
              </w:tc>
              <w:tc>
                <w:tcPr>
                  <w:tcW w:w="900" w:type="dxa"/>
                  <w:tcBorders>
                    <w:tl2br w:val="nil"/>
                    <w:tr2bl w:val="nil"/>
                  </w:tcBorders>
                  <w:noWrap w:val="0"/>
                  <w:vAlign w:val="center"/>
                </w:tcPr>
                <w:p w14:paraId="67240F9A">
                  <w:pPr>
                    <w:pStyle w:val="40"/>
                    <w:bidi w:val="0"/>
                    <w:ind w:firstLine="0" w:firstLineChars="0"/>
                    <w:rPr>
                      <w:rFonts w:hint="default" w:eastAsia="宋体"/>
                      <w:color w:val="auto"/>
                      <w:spacing w:val="-6"/>
                      <w:sz w:val="21"/>
                      <w:highlight w:val="none"/>
                      <w:lang w:val="en-US" w:eastAsia="zh-CN"/>
                    </w:rPr>
                  </w:pPr>
                  <w:r>
                    <w:rPr>
                      <w:rFonts w:hint="eastAsia"/>
                      <w:color w:val="auto"/>
                      <w:spacing w:val="-11"/>
                      <w:sz w:val="21"/>
                      <w:highlight w:val="none"/>
                      <w:lang w:val="en-US" w:eastAsia="zh-CN"/>
                    </w:rPr>
                    <w:t>26.96</w:t>
                  </w:r>
                </w:p>
              </w:tc>
              <w:tc>
                <w:tcPr>
                  <w:tcW w:w="398" w:type="pct"/>
                  <w:tcBorders>
                    <w:tl2br w:val="nil"/>
                    <w:tr2bl w:val="nil"/>
                  </w:tcBorders>
                  <w:noWrap w:val="0"/>
                  <w:vAlign w:val="center"/>
                </w:tcPr>
                <w:p w14:paraId="0E138117">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3.77</w:t>
                  </w:r>
                </w:p>
              </w:tc>
              <w:tc>
                <w:tcPr>
                  <w:tcW w:w="459" w:type="pct"/>
                  <w:vMerge w:val="restart"/>
                  <w:tcBorders>
                    <w:tl2br w:val="nil"/>
                    <w:tr2bl w:val="nil"/>
                  </w:tcBorders>
                  <w:noWrap w:val="0"/>
                  <w:vAlign w:val="center"/>
                </w:tcPr>
                <w:p w14:paraId="46AAEA8C">
                  <w:pPr>
                    <w:pStyle w:val="40"/>
                    <w:bidi w:val="0"/>
                    <w:rPr>
                      <w:color w:val="auto"/>
                      <w:spacing w:val="-11"/>
                      <w:sz w:val="21"/>
                      <w:highlight w:val="none"/>
                    </w:rPr>
                  </w:pPr>
                  <w:r>
                    <w:rPr>
                      <w:rFonts w:hint="eastAsia"/>
                      <w:color w:val="auto"/>
                      <w:spacing w:val="-11"/>
                      <w:sz w:val="21"/>
                      <w:highlight w:val="none"/>
                      <w:lang w:val="en-US" w:eastAsia="zh-CN"/>
                    </w:rPr>
                    <w:t>DA005</w:t>
                  </w:r>
                </w:p>
              </w:tc>
            </w:tr>
            <w:tr w14:paraId="243258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2" w:type="pct"/>
                  <w:vMerge w:val="continue"/>
                  <w:tcBorders>
                    <w:tl2br w:val="nil"/>
                    <w:tr2bl w:val="nil"/>
                  </w:tcBorders>
                  <w:noWrap w:val="0"/>
                  <w:vAlign w:val="center"/>
                </w:tcPr>
                <w:p w14:paraId="451CBA3B">
                  <w:pPr>
                    <w:pStyle w:val="40"/>
                    <w:bidi w:val="0"/>
                    <w:rPr>
                      <w:rFonts w:hint="eastAsia"/>
                      <w:color w:val="auto"/>
                      <w:spacing w:val="-11"/>
                      <w:sz w:val="21"/>
                      <w:highlight w:val="none"/>
                      <w:lang w:val="en-US" w:eastAsia="zh-CN"/>
                    </w:rPr>
                  </w:pPr>
                </w:p>
              </w:tc>
              <w:tc>
                <w:tcPr>
                  <w:tcW w:w="562" w:type="pct"/>
                  <w:vMerge w:val="continue"/>
                  <w:tcBorders>
                    <w:tl2br w:val="nil"/>
                    <w:tr2bl w:val="nil"/>
                  </w:tcBorders>
                  <w:noWrap w:val="0"/>
                  <w:vAlign w:val="center"/>
                </w:tcPr>
                <w:p w14:paraId="75C2289E">
                  <w:pPr>
                    <w:pStyle w:val="40"/>
                    <w:bidi w:val="0"/>
                    <w:rPr>
                      <w:rFonts w:hint="eastAsia"/>
                      <w:color w:val="auto"/>
                      <w:spacing w:val="-11"/>
                      <w:sz w:val="21"/>
                      <w:highlight w:val="none"/>
                      <w:lang w:val="en-US" w:eastAsia="zh-CN"/>
                    </w:rPr>
                  </w:pPr>
                </w:p>
              </w:tc>
              <w:tc>
                <w:tcPr>
                  <w:tcW w:w="412" w:type="pct"/>
                  <w:tcBorders>
                    <w:tl2br w:val="nil"/>
                    <w:tr2bl w:val="nil"/>
                  </w:tcBorders>
                  <w:shd w:val="clear" w:color="auto" w:fill="auto"/>
                  <w:noWrap w:val="0"/>
                  <w:vAlign w:val="center"/>
                </w:tcPr>
                <w:p w14:paraId="6A9A7CBF">
                  <w:pPr>
                    <w:pStyle w:val="40"/>
                    <w:bidi w:val="0"/>
                    <w:ind w:firstLine="0" w:firstLineChars="0"/>
                    <w:rPr>
                      <w:rFonts w:hint="eastAsia"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highlight w:val="none"/>
                      <w:lang w:val="en-US" w:eastAsia="zh-CN"/>
                    </w:rPr>
                    <w:t>颗粒物</w:t>
                  </w:r>
                </w:p>
              </w:tc>
              <w:tc>
                <w:tcPr>
                  <w:tcW w:w="512" w:type="pct"/>
                  <w:tcBorders>
                    <w:tl2br w:val="nil"/>
                    <w:tr2bl w:val="nil"/>
                  </w:tcBorders>
                  <w:noWrap w:val="0"/>
                  <w:vAlign w:val="center"/>
                </w:tcPr>
                <w:p w14:paraId="6C221980">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9.136</w:t>
                  </w:r>
                </w:p>
              </w:tc>
              <w:tc>
                <w:tcPr>
                  <w:tcW w:w="462" w:type="pct"/>
                  <w:tcBorders>
                    <w:tl2br w:val="nil"/>
                    <w:tr2bl w:val="nil"/>
                  </w:tcBorders>
                  <w:noWrap w:val="0"/>
                  <w:vAlign w:val="center"/>
                </w:tcPr>
                <w:p w14:paraId="48A35F9F">
                  <w:pPr>
                    <w:pStyle w:val="40"/>
                    <w:bidi w:val="0"/>
                    <w:rPr>
                      <w:rFonts w:hint="default" w:eastAsia="宋体"/>
                      <w:color w:val="auto"/>
                      <w:spacing w:val="-11"/>
                      <w:sz w:val="21"/>
                      <w:highlight w:val="none"/>
                      <w:lang w:val="en-US" w:eastAsia="zh-CN"/>
                    </w:rPr>
                  </w:pPr>
                  <w:r>
                    <w:rPr>
                      <w:rFonts w:hint="eastAsia"/>
                      <w:color w:val="auto"/>
                      <w:spacing w:val="-11"/>
                      <w:sz w:val="21"/>
                      <w:highlight w:val="none"/>
                      <w:lang w:val="en-US" w:eastAsia="zh-CN"/>
                    </w:rPr>
                    <w:t>65.35</w:t>
                  </w:r>
                </w:p>
              </w:tc>
              <w:tc>
                <w:tcPr>
                  <w:tcW w:w="441" w:type="pct"/>
                  <w:vMerge w:val="continue"/>
                  <w:tcBorders>
                    <w:tl2br w:val="nil"/>
                    <w:tr2bl w:val="nil"/>
                  </w:tcBorders>
                  <w:noWrap w:val="0"/>
                  <w:vAlign w:val="center"/>
                </w:tcPr>
                <w:p w14:paraId="132017E7">
                  <w:pPr>
                    <w:pStyle w:val="40"/>
                    <w:bidi w:val="0"/>
                    <w:rPr>
                      <w:color w:val="auto"/>
                      <w:spacing w:val="-6"/>
                      <w:sz w:val="21"/>
                      <w:highlight w:val="none"/>
                    </w:rPr>
                  </w:pPr>
                </w:p>
              </w:tc>
              <w:tc>
                <w:tcPr>
                  <w:tcW w:w="465" w:type="pct"/>
                  <w:vMerge w:val="continue"/>
                  <w:tcBorders>
                    <w:tl2br w:val="nil"/>
                    <w:tr2bl w:val="nil"/>
                  </w:tcBorders>
                  <w:noWrap w:val="0"/>
                  <w:vAlign w:val="center"/>
                </w:tcPr>
                <w:p w14:paraId="0D9E831B">
                  <w:pPr>
                    <w:pStyle w:val="40"/>
                    <w:bidi w:val="0"/>
                    <w:rPr>
                      <w:color w:val="auto"/>
                      <w:spacing w:val="-6"/>
                      <w:sz w:val="21"/>
                      <w:highlight w:val="none"/>
                    </w:rPr>
                  </w:pPr>
                </w:p>
              </w:tc>
              <w:tc>
                <w:tcPr>
                  <w:tcW w:w="396" w:type="pct"/>
                  <w:tcBorders>
                    <w:tl2br w:val="nil"/>
                    <w:tr2bl w:val="nil"/>
                  </w:tcBorders>
                  <w:noWrap w:val="0"/>
                  <w:vAlign w:val="center"/>
                </w:tcPr>
                <w:p w14:paraId="669A0A6B">
                  <w:pPr>
                    <w:pStyle w:val="40"/>
                    <w:bidi w:val="0"/>
                    <w:rPr>
                      <w:color w:val="auto"/>
                      <w:spacing w:val="-6"/>
                      <w:sz w:val="21"/>
                      <w:highlight w:val="none"/>
                    </w:rPr>
                  </w:pPr>
                  <w:r>
                    <w:rPr>
                      <w:rFonts w:hint="eastAsia"/>
                      <w:color w:val="auto"/>
                      <w:spacing w:val="-6"/>
                      <w:sz w:val="21"/>
                      <w:highlight w:val="none"/>
                      <w:lang w:val="en-US" w:eastAsia="zh-CN"/>
                    </w:rPr>
                    <w:t>90%</w:t>
                  </w:r>
                </w:p>
              </w:tc>
              <w:tc>
                <w:tcPr>
                  <w:tcW w:w="900" w:type="dxa"/>
                  <w:tcBorders>
                    <w:tl2br w:val="nil"/>
                    <w:tr2bl w:val="nil"/>
                  </w:tcBorders>
                  <w:noWrap w:val="0"/>
                  <w:vAlign w:val="center"/>
                </w:tcPr>
                <w:p w14:paraId="72AB6588">
                  <w:pPr>
                    <w:pStyle w:val="40"/>
                    <w:bidi w:val="0"/>
                    <w:ind w:firstLine="0" w:firstLineChars="0"/>
                    <w:rPr>
                      <w:rFonts w:hint="default" w:eastAsia="宋体"/>
                      <w:color w:val="auto"/>
                      <w:spacing w:val="-6"/>
                      <w:sz w:val="21"/>
                      <w:highlight w:val="none"/>
                      <w:lang w:val="en-US" w:eastAsia="zh-CN"/>
                    </w:rPr>
                  </w:pPr>
                  <w:r>
                    <w:rPr>
                      <w:rFonts w:hint="eastAsia"/>
                      <w:color w:val="auto"/>
                      <w:spacing w:val="-11"/>
                      <w:sz w:val="21"/>
                      <w:highlight w:val="none"/>
                      <w:lang w:val="en-US" w:eastAsia="zh-CN"/>
                    </w:rPr>
                    <w:t>6.54</w:t>
                  </w:r>
                </w:p>
              </w:tc>
              <w:tc>
                <w:tcPr>
                  <w:tcW w:w="398" w:type="pct"/>
                  <w:tcBorders>
                    <w:tl2br w:val="nil"/>
                    <w:tr2bl w:val="nil"/>
                  </w:tcBorders>
                  <w:noWrap w:val="0"/>
                  <w:vAlign w:val="center"/>
                </w:tcPr>
                <w:p w14:paraId="596A11C9">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0.914</w:t>
                  </w:r>
                </w:p>
              </w:tc>
              <w:tc>
                <w:tcPr>
                  <w:tcW w:w="459" w:type="pct"/>
                  <w:vMerge w:val="continue"/>
                  <w:tcBorders>
                    <w:tl2br w:val="nil"/>
                    <w:tr2bl w:val="nil"/>
                  </w:tcBorders>
                  <w:noWrap w:val="0"/>
                  <w:vAlign w:val="center"/>
                </w:tcPr>
                <w:p w14:paraId="4067E4AF">
                  <w:pPr>
                    <w:pStyle w:val="40"/>
                    <w:bidi w:val="0"/>
                    <w:rPr>
                      <w:color w:val="auto"/>
                      <w:spacing w:val="-11"/>
                      <w:sz w:val="21"/>
                      <w:highlight w:val="none"/>
                    </w:rPr>
                  </w:pPr>
                </w:p>
              </w:tc>
            </w:tr>
            <w:tr w14:paraId="31FB23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2" w:type="pct"/>
                  <w:vMerge w:val="continue"/>
                  <w:tcBorders>
                    <w:tl2br w:val="nil"/>
                    <w:tr2bl w:val="nil"/>
                  </w:tcBorders>
                  <w:noWrap w:val="0"/>
                  <w:vAlign w:val="center"/>
                </w:tcPr>
                <w:p w14:paraId="5DF126E8">
                  <w:pPr>
                    <w:pStyle w:val="40"/>
                    <w:bidi w:val="0"/>
                    <w:rPr>
                      <w:rFonts w:hint="eastAsia"/>
                      <w:color w:val="auto"/>
                      <w:spacing w:val="-11"/>
                      <w:sz w:val="21"/>
                      <w:highlight w:val="none"/>
                      <w:lang w:val="en-US" w:eastAsia="zh-CN"/>
                    </w:rPr>
                  </w:pPr>
                </w:p>
              </w:tc>
              <w:tc>
                <w:tcPr>
                  <w:tcW w:w="562" w:type="pct"/>
                  <w:vMerge w:val="continue"/>
                  <w:tcBorders>
                    <w:tl2br w:val="nil"/>
                    <w:tr2bl w:val="nil"/>
                  </w:tcBorders>
                  <w:noWrap w:val="0"/>
                  <w:vAlign w:val="center"/>
                </w:tcPr>
                <w:p w14:paraId="73C1BD49">
                  <w:pPr>
                    <w:pStyle w:val="40"/>
                    <w:bidi w:val="0"/>
                    <w:rPr>
                      <w:rFonts w:hint="eastAsia"/>
                      <w:color w:val="auto"/>
                      <w:spacing w:val="-11"/>
                      <w:sz w:val="21"/>
                      <w:highlight w:val="none"/>
                      <w:lang w:val="en-US" w:eastAsia="zh-CN"/>
                    </w:rPr>
                  </w:pPr>
                </w:p>
              </w:tc>
              <w:tc>
                <w:tcPr>
                  <w:tcW w:w="412" w:type="pct"/>
                  <w:tcBorders>
                    <w:tl2br w:val="nil"/>
                    <w:tr2bl w:val="nil"/>
                  </w:tcBorders>
                  <w:shd w:val="clear" w:color="auto" w:fill="auto"/>
                  <w:noWrap w:val="0"/>
                  <w:vAlign w:val="center"/>
                </w:tcPr>
                <w:p w14:paraId="770D3D9A">
                  <w:pPr>
                    <w:pStyle w:val="40"/>
                    <w:bidi w:val="0"/>
                    <w:ind w:firstLine="0" w:firstLineChars="0"/>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cs="Times New Roman"/>
                      <w:b w:val="0"/>
                      <w:bCs w:val="0"/>
                      <w:color w:val="auto"/>
                      <w:spacing w:val="-6"/>
                      <w:kern w:val="2"/>
                      <w:sz w:val="21"/>
                      <w:szCs w:val="21"/>
                      <w:highlight w:val="none"/>
                      <w:lang w:val="en-US" w:eastAsia="zh-CN" w:bidi="ar-SA"/>
                    </w:rPr>
                    <w:t>NO</w:t>
                  </w:r>
                  <w:r>
                    <w:rPr>
                      <w:rFonts w:hint="eastAsia" w:cs="Times New Roman"/>
                      <w:b w:val="0"/>
                      <w:bCs w:val="0"/>
                      <w:color w:val="auto"/>
                      <w:spacing w:val="-6"/>
                      <w:kern w:val="2"/>
                      <w:sz w:val="21"/>
                      <w:szCs w:val="21"/>
                      <w:highlight w:val="none"/>
                      <w:vertAlign w:val="subscript"/>
                      <w:lang w:val="en-US" w:eastAsia="zh-CN" w:bidi="ar-SA"/>
                    </w:rPr>
                    <w:t>X</w:t>
                  </w:r>
                </w:p>
              </w:tc>
              <w:tc>
                <w:tcPr>
                  <w:tcW w:w="512" w:type="pct"/>
                  <w:tcBorders>
                    <w:tl2br w:val="nil"/>
                    <w:tr2bl w:val="nil"/>
                  </w:tcBorders>
                  <w:noWrap w:val="0"/>
                  <w:vAlign w:val="center"/>
                </w:tcPr>
                <w:p w14:paraId="0A4A7F6B">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12.97</w:t>
                  </w:r>
                </w:p>
              </w:tc>
              <w:tc>
                <w:tcPr>
                  <w:tcW w:w="462" w:type="pct"/>
                  <w:tcBorders>
                    <w:tl2br w:val="nil"/>
                    <w:tr2bl w:val="nil"/>
                  </w:tcBorders>
                  <w:noWrap w:val="0"/>
                  <w:vAlign w:val="center"/>
                </w:tcPr>
                <w:p w14:paraId="4F100F5A">
                  <w:pPr>
                    <w:pStyle w:val="40"/>
                    <w:bidi w:val="0"/>
                    <w:rPr>
                      <w:rFonts w:hint="default" w:eastAsia="宋体"/>
                      <w:color w:val="auto"/>
                      <w:spacing w:val="-11"/>
                      <w:sz w:val="21"/>
                      <w:highlight w:val="none"/>
                      <w:lang w:val="en-US" w:eastAsia="zh-CN"/>
                    </w:rPr>
                  </w:pPr>
                  <w:r>
                    <w:rPr>
                      <w:rFonts w:hint="eastAsia"/>
                      <w:color w:val="auto"/>
                      <w:spacing w:val="-11"/>
                      <w:sz w:val="21"/>
                      <w:highlight w:val="none"/>
                      <w:lang w:val="en-US" w:eastAsia="zh-CN"/>
                    </w:rPr>
                    <w:t>92.77</w:t>
                  </w:r>
                </w:p>
              </w:tc>
              <w:tc>
                <w:tcPr>
                  <w:tcW w:w="441" w:type="pct"/>
                  <w:vMerge w:val="continue"/>
                  <w:tcBorders>
                    <w:tl2br w:val="nil"/>
                    <w:tr2bl w:val="nil"/>
                  </w:tcBorders>
                  <w:noWrap w:val="0"/>
                  <w:vAlign w:val="center"/>
                </w:tcPr>
                <w:p w14:paraId="0A40C2BC">
                  <w:pPr>
                    <w:pStyle w:val="40"/>
                    <w:bidi w:val="0"/>
                    <w:rPr>
                      <w:color w:val="auto"/>
                      <w:spacing w:val="-6"/>
                      <w:sz w:val="21"/>
                      <w:highlight w:val="none"/>
                    </w:rPr>
                  </w:pPr>
                </w:p>
              </w:tc>
              <w:tc>
                <w:tcPr>
                  <w:tcW w:w="465" w:type="pct"/>
                  <w:vMerge w:val="continue"/>
                  <w:tcBorders>
                    <w:tl2br w:val="nil"/>
                    <w:tr2bl w:val="nil"/>
                  </w:tcBorders>
                  <w:noWrap w:val="0"/>
                  <w:vAlign w:val="center"/>
                </w:tcPr>
                <w:p w14:paraId="25C08475">
                  <w:pPr>
                    <w:pStyle w:val="40"/>
                    <w:bidi w:val="0"/>
                    <w:rPr>
                      <w:color w:val="auto"/>
                      <w:spacing w:val="-6"/>
                      <w:sz w:val="21"/>
                      <w:highlight w:val="none"/>
                    </w:rPr>
                  </w:pPr>
                </w:p>
              </w:tc>
              <w:tc>
                <w:tcPr>
                  <w:tcW w:w="396" w:type="pct"/>
                  <w:tcBorders>
                    <w:tl2br w:val="nil"/>
                    <w:tr2bl w:val="nil"/>
                  </w:tcBorders>
                  <w:noWrap w:val="0"/>
                  <w:vAlign w:val="center"/>
                </w:tcPr>
                <w:p w14:paraId="08CA9396">
                  <w:pPr>
                    <w:pStyle w:val="40"/>
                    <w:bidi w:val="0"/>
                    <w:rPr>
                      <w:rFonts w:hint="eastAsia" w:eastAsia="宋体"/>
                      <w:color w:val="auto"/>
                      <w:spacing w:val="-6"/>
                      <w:sz w:val="21"/>
                      <w:highlight w:val="none"/>
                      <w:lang w:val="en-US" w:eastAsia="zh-CN"/>
                    </w:rPr>
                  </w:pPr>
                  <w:r>
                    <w:rPr>
                      <w:rFonts w:hint="eastAsia"/>
                      <w:color w:val="auto"/>
                      <w:spacing w:val="-6"/>
                      <w:sz w:val="21"/>
                      <w:highlight w:val="none"/>
                      <w:lang w:val="en-US" w:eastAsia="zh-CN"/>
                    </w:rPr>
                    <w:t>/</w:t>
                  </w:r>
                </w:p>
              </w:tc>
              <w:tc>
                <w:tcPr>
                  <w:tcW w:w="900" w:type="dxa"/>
                  <w:tcBorders>
                    <w:tl2br w:val="nil"/>
                    <w:tr2bl w:val="nil"/>
                  </w:tcBorders>
                  <w:noWrap w:val="0"/>
                  <w:vAlign w:val="center"/>
                </w:tcPr>
                <w:p w14:paraId="77474BC7">
                  <w:pPr>
                    <w:pStyle w:val="40"/>
                    <w:bidi w:val="0"/>
                    <w:ind w:firstLine="0" w:firstLineChars="0"/>
                    <w:rPr>
                      <w:rFonts w:hint="default" w:eastAsia="宋体"/>
                      <w:color w:val="auto"/>
                      <w:spacing w:val="-6"/>
                      <w:sz w:val="21"/>
                      <w:highlight w:val="none"/>
                      <w:lang w:val="en-US" w:eastAsia="zh-CN"/>
                    </w:rPr>
                  </w:pPr>
                  <w:r>
                    <w:rPr>
                      <w:rFonts w:hint="eastAsia"/>
                      <w:color w:val="auto"/>
                      <w:spacing w:val="-11"/>
                      <w:sz w:val="21"/>
                      <w:highlight w:val="none"/>
                      <w:lang w:val="en-US" w:eastAsia="zh-CN"/>
                    </w:rPr>
                    <w:t>92.77</w:t>
                  </w:r>
                </w:p>
              </w:tc>
              <w:tc>
                <w:tcPr>
                  <w:tcW w:w="398" w:type="pct"/>
                  <w:tcBorders>
                    <w:tl2br w:val="nil"/>
                    <w:tr2bl w:val="nil"/>
                  </w:tcBorders>
                  <w:noWrap w:val="0"/>
                  <w:vAlign w:val="center"/>
                </w:tcPr>
                <w:p w14:paraId="3812D870">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12.97</w:t>
                  </w:r>
                </w:p>
              </w:tc>
              <w:tc>
                <w:tcPr>
                  <w:tcW w:w="459" w:type="pct"/>
                  <w:vMerge w:val="continue"/>
                  <w:tcBorders>
                    <w:tl2br w:val="nil"/>
                    <w:tr2bl w:val="nil"/>
                  </w:tcBorders>
                  <w:noWrap w:val="0"/>
                  <w:vAlign w:val="center"/>
                </w:tcPr>
                <w:p w14:paraId="370BF239">
                  <w:pPr>
                    <w:pStyle w:val="40"/>
                    <w:bidi w:val="0"/>
                    <w:rPr>
                      <w:color w:val="auto"/>
                      <w:spacing w:val="-11"/>
                      <w:sz w:val="21"/>
                      <w:highlight w:val="none"/>
                    </w:rPr>
                  </w:pPr>
                </w:p>
              </w:tc>
            </w:tr>
            <w:tr w14:paraId="10E2E6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2" w:type="pct"/>
                  <w:tcBorders>
                    <w:tl2br w:val="nil"/>
                    <w:tr2bl w:val="nil"/>
                  </w:tcBorders>
                  <w:noWrap w:val="0"/>
                  <w:vAlign w:val="center"/>
                </w:tcPr>
                <w:p w14:paraId="6E45A7E8">
                  <w:pPr>
                    <w:pStyle w:val="40"/>
                    <w:bidi w:val="0"/>
                    <w:rPr>
                      <w:rFonts w:hint="default"/>
                      <w:color w:val="auto"/>
                      <w:spacing w:val="-11"/>
                      <w:sz w:val="21"/>
                      <w:highlight w:val="none"/>
                      <w:lang w:val="en-US" w:eastAsia="zh-CN"/>
                    </w:rPr>
                  </w:pPr>
                  <w:r>
                    <w:rPr>
                      <w:rFonts w:hint="eastAsia"/>
                      <w:color w:val="auto"/>
                      <w:spacing w:val="-11"/>
                      <w:sz w:val="21"/>
                      <w:highlight w:val="none"/>
                      <w:lang w:val="en-US" w:eastAsia="zh-CN"/>
                    </w:rPr>
                    <w:t>G13a</w:t>
                  </w:r>
                </w:p>
              </w:tc>
              <w:tc>
                <w:tcPr>
                  <w:tcW w:w="562" w:type="pct"/>
                  <w:vMerge w:val="restart"/>
                  <w:tcBorders>
                    <w:tl2br w:val="nil"/>
                    <w:tr2bl w:val="nil"/>
                  </w:tcBorders>
                  <w:noWrap w:val="0"/>
                  <w:vAlign w:val="center"/>
                </w:tcPr>
                <w:p w14:paraId="58651CB2">
                  <w:pPr>
                    <w:pStyle w:val="40"/>
                    <w:bidi w:val="0"/>
                    <w:rPr>
                      <w:rFonts w:hint="default"/>
                      <w:color w:val="auto"/>
                      <w:spacing w:val="-11"/>
                      <w:sz w:val="21"/>
                      <w:highlight w:val="none"/>
                      <w:lang w:val="en-US" w:eastAsia="zh-CN"/>
                    </w:rPr>
                  </w:pPr>
                  <w:r>
                    <w:rPr>
                      <w:rFonts w:hint="eastAsia"/>
                      <w:color w:val="auto"/>
                      <w:spacing w:val="-11"/>
                      <w:sz w:val="21"/>
                      <w:highlight w:val="none"/>
                      <w:lang w:val="en-US" w:eastAsia="zh-CN"/>
                    </w:rPr>
                    <w:t>成品筛分粉尘</w:t>
                  </w:r>
                </w:p>
              </w:tc>
              <w:tc>
                <w:tcPr>
                  <w:tcW w:w="412" w:type="pct"/>
                  <w:vMerge w:val="restart"/>
                  <w:tcBorders>
                    <w:tl2br w:val="nil"/>
                    <w:tr2bl w:val="nil"/>
                  </w:tcBorders>
                  <w:shd w:val="clear" w:color="auto" w:fill="auto"/>
                  <w:noWrap w:val="0"/>
                  <w:vAlign w:val="center"/>
                </w:tcPr>
                <w:p w14:paraId="79ECEA5E">
                  <w:pPr>
                    <w:pStyle w:val="40"/>
                    <w:bidi w:val="0"/>
                    <w:ind w:firstLine="0" w:firstLineChars="0"/>
                    <w:rPr>
                      <w:rFonts w:hint="eastAsia"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highlight w:val="none"/>
                      <w:lang w:val="en-US" w:eastAsia="zh-CN"/>
                    </w:rPr>
                    <w:t>颗粒物</w:t>
                  </w:r>
                </w:p>
              </w:tc>
              <w:tc>
                <w:tcPr>
                  <w:tcW w:w="512" w:type="pct"/>
                  <w:tcBorders>
                    <w:tl2br w:val="nil"/>
                    <w:tr2bl w:val="nil"/>
                  </w:tcBorders>
                  <w:noWrap w:val="0"/>
                  <w:vAlign w:val="center"/>
                </w:tcPr>
                <w:p w14:paraId="7A73C09D">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108</w:t>
                  </w:r>
                </w:p>
              </w:tc>
              <w:tc>
                <w:tcPr>
                  <w:tcW w:w="462" w:type="pct"/>
                  <w:tcBorders>
                    <w:tl2br w:val="nil"/>
                    <w:tr2bl w:val="nil"/>
                  </w:tcBorders>
                  <w:noWrap w:val="0"/>
                  <w:vAlign w:val="center"/>
                </w:tcPr>
                <w:p w14:paraId="17557547">
                  <w:pPr>
                    <w:pStyle w:val="40"/>
                    <w:bidi w:val="0"/>
                    <w:rPr>
                      <w:rFonts w:hint="default" w:eastAsia="宋体"/>
                      <w:color w:val="auto"/>
                      <w:spacing w:val="-11"/>
                      <w:sz w:val="21"/>
                      <w:highlight w:val="none"/>
                      <w:lang w:val="en-US" w:eastAsia="zh-CN"/>
                    </w:rPr>
                  </w:pPr>
                  <w:r>
                    <w:rPr>
                      <w:rFonts w:hint="eastAsia"/>
                      <w:color w:val="auto"/>
                      <w:spacing w:val="-11"/>
                      <w:sz w:val="21"/>
                      <w:highlight w:val="none"/>
                      <w:lang w:val="en-US" w:eastAsia="zh-CN"/>
                    </w:rPr>
                    <w:t>4000</w:t>
                  </w:r>
                </w:p>
              </w:tc>
              <w:tc>
                <w:tcPr>
                  <w:tcW w:w="441" w:type="pct"/>
                  <w:tcBorders>
                    <w:tl2br w:val="nil"/>
                    <w:tr2bl w:val="nil"/>
                  </w:tcBorders>
                  <w:shd w:val="clear" w:color="auto" w:fill="auto"/>
                  <w:noWrap w:val="0"/>
                  <w:vAlign w:val="center"/>
                </w:tcPr>
                <w:p w14:paraId="38EFE92C">
                  <w:pPr>
                    <w:pStyle w:val="40"/>
                    <w:bidi w:val="0"/>
                    <w:ind w:firstLine="0" w:firstLineChars="0"/>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cs="Times New Roman"/>
                      <w:b w:val="0"/>
                      <w:bCs w:val="0"/>
                      <w:color w:val="auto"/>
                      <w:spacing w:val="-6"/>
                      <w:kern w:val="2"/>
                      <w:sz w:val="21"/>
                      <w:szCs w:val="21"/>
                      <w:highlight w:val="none"/>
                      <w:lang w:val="en-US" w:eastAsia="zh-CN" w:bidi="ar-SA"/>
                    </w:rPr>
                    <w:t>有组织</w:t>
                  </w:r>
                </w:p>
              </w:tc>
              <w:tc>
                <w:tcPr>
                  <w:tcW w:w="465" w:type="pct"/>
                  <w:tcBorders>
                    <w:tl2br w:val="nil"/>
                    <w:tr2bl w:val="nil"/>
                  </w:tcBorders>
                  <w:noWrap w:val="0"/>
                  <w:vAlign w:val="center"/>
                </w:tcPr>
                <w:p w14:paraId="3424B5A7">
                  <w:pPr>
                    <w:pStyle w:val="40"/>
                    <w:bidi w:val="0"/>
                    <w:rPr>
                      <w:rFonts w:hint="default" w:eastAsia="宋体"/>
                      <w:color w:val="auto"/>
                      <w:spacing w:val="-6"/>
                      <w:sz w:val="21"/>
                      <w:highlight w:val="none"/>
                      <w:lang w:val="en-US" w:eastAsia="zh-CN"/>
                    </w:rPr>
                  </w:pPr>
                  <w:r>
                    <w:rPr>
                      <w:rFonts w:hint="eastAsia"/>
                      <w:color w:val="auto"/>
                      <w:spacing w:val="-6"/>
                      <w:sz w:val="21"/>
                      <w:highlight w:val="none"/>
                      <w:lang w:val="en-US" w:eastAsia="zh-CN"/>
                    </w:rPr>
                    <w:t>3000</w:t>
                  </w:r>
                </w:p>
              </w:tc>
              <w:tc>
                <w:tcPr>
                  <w:tcW w:w="396" w:type="pct"/>
                  <w:tcBorders>
                    <w:tl2br w:val="nil"/>
                    <w:tr2bl w:val="nil"/>
                  </w:tcBorders>
                  <w:shd w:val="clear" w:color="auto" w:fill="auto"/>
                  <w:noWrap w:val="0"/>
                  <w:vAlign w:val="center"/>
                </w:tcPr>
                <w:p w14:paraId="587EC6EA">
                  <w:pPr>
                    <w:pStyle w:val="40"/>
                    <w:bidi w:val="0"/>
                    <w:ind w:firstLine="0" w:firstLineChars="0"/>
                    <w:rPr>
                      <w:rFonts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sz w:val="21"/>
                      <w:highlight w:val="none"/>
                      <w:lang w:val="en-US" w:eastAsia="zh-CN"/>
                    </w:rPr>
                    <w:t>99.7%</w:t>
                  </w:r>
                </w:p>
              </w:tc>
              <w:tc>
                <w:tcPr>
                  <w:tcW w:w="555" w:type="pct"/>
                  <w:tcBorders>
                    <w:tl2br w:val="nil"/>
                    <w:tr2bl w:val="nil"/>
                  </w:tcBorders>
                  <w:noWrap w:val="0"/>
                  <w:vAlign w:val="center"/>
                </w:tcPr>
                <w:p w14:paraId="79EE42B4">
                  <w:pPr>
                    <w:pStyle w:val="40"/>
                    <w:bidi w:val="0"/>
                    <w:rPr>
                      <w:rFonts w:hint="default" w:eastAsia="宋体"/>
                      <w:color w:val="auto"/>
                      <w:spacing w:val="-6"/>
                      <w:sz w:val="21"/>
                      <w:highlight w:val="none"/>
                      <w:lang w:val="en-US" w:eastAsia="zh-CN"/>
                    </w:rPr>
                  </w:pPr>
                  <w:r>
                    <w:rPr>
                      <w:rFonts w:hint="eastAsia"/>
                      <w:color w:val="auto"/>
                      <w:spacing w:val="-6"/>
                      <w:sz w:val="21"/>
                      <w:highlight w:val="none"/>
                      <w:lang w:val="en-US" w:eastAsia="zh-CN"/>
                    </w:rPr>
                    <w:t>10.8</w:t>
                  </w:r>
                </w:p>
              </w:tc>
              <w:tc>
                <w:tcPr>
                  <w:tcW w:w="398" w:type="pct"/>
                  <w:tcBorders>
                    <w:tl2br w:val="nil"/>
                    <w:tr2bl w:val="nil"/>
                  </w:tcBorders>
                  <w:noWrap w:val="0"/>
                  <w:vAlign w:val="center"/>
                </w:tcPr>
                <w:p w14:paraId="65244078">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0.324</w:t>
                  </w:r>
                </w:p>
              </w:tc>
              <w:tc>
                <w:tcPr>
                  <w:tcW w:w="459" w:type="pct"/>
                  <w:tcBorders>
                    <w:tl2br w:val="nil"/>
                    <w:tr2bl w:val="nil"/>
                  </w:tcBorders>
                  <w:noWrap w:val="0"/>
                  <w:vAlign w:val="center"/>
                </w:tcPr>
                <w:p w14:paraId="3B371CB9">
                  <w:pPr>
                    <w:pStyle w:val="40"/>
                    <w:bidi w:val="0"/>
                    <w:rPr>
                      <w:color w:val="auto"/>
                      <w:spacing w:val="-11"/>
                      <w:sz w:val="21"/>
                      <w:highlight w:val="none"/>
                    </w:rPr>
                  </w:pPr>
                  <w:r>
                    <w:rPr>
                      <w:rFonts w:hint="eastAsia"/>
                      <w:color w:val="auto"/>
                      <w:spacing w:val="-11"/>
                      <w:sz w:val="21"/>
                      <w:highlight w:val="none"/>
                      <w:lang w:val="en-US" w:eastAsia="zh-CN"/>
                    </w:rPr>
                    <w:t>DA004</w:t>
                  </w:r>
                </w:p>
              </w:tc>
            </w:tr>
            <w:tr w14:paraId="2EE231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2" w:type="pct"/>
                  <w:tcBorders>
                    <w:tl2br w:val="nil"/>
                    <w:tr2bl w:val="nil"/>
                  </w:tcBorders>
                  <w:noWrap w:val="0"/>
                  <w:vAlign w:val="center"/>
                </w:tcPr>
                <w:p w14:paraId="15CB46E7">
                  <w:pPr>
                    <w:pStyle w:val="40"/>
                    <w:bidi w:val="0"/>
                    <w:rPr>
                      <w:rFonts w:hint="default"/>
                      <w:color w:val="auto"/>
                      <w:spacing w:val="-11"/>
                      <w:sz w:val="21"/>
                      <w:highlight w:val="none"/>
                      <w:lang w:val="en-US" w:eastAsia="zh-CN"/>
                    </w:rPr>
                  </w:pPr>
                  <w:r>
                    <w:rPr>
                      <w:rFonts w:hint="eastAsia"/>
                      <w:color w:val="auto"/>
                      <w:spacing w:val="-11"/>
                      <w:sz w:val="21"/>
                      <w:highlight w:val="none"/>
                      <w:lang w:val="en-US" w:eastAsia="zh-CN"/>
                    </w:rPr>
                    <w:t>G13b</w:t>
                  </w:r>
                </w:p>
              </w:tc>
              <w:tc>
                <w:tcPr>
                  <w:tcW w:w="562" w:type="pct"/>
                  <w:vMerge w:val="continue"/>
                  <w:tcBorders>
                    <w:tl2br w:val="nil"/>
                    <w:tr2bl w:val="nil"/>
                  </w:tcBorders>
                  <w:noWrap w:val="0"/>
                  <w:vAlign w:val="center"/>
                </w:tcPr>
                <w:p w14:paraId="321D11CD">
                  <w:pPr>
                    <w:pStyle w:val="40"/>
                    <w:bidi w:val="0"/>
                    <w:rPr>
                      <w:rFonts w:hint="eastAsia"/>
                      <w:color w:val="auto"/>
                      <w:spacing w:val="-11"/>
                      <w:sz w:val="21"/>
                      <w:highlight w:val="none"/>
                      <w:lang w:val="en-US" w:eastAsia="zh-CN"/>
                    </w:rPr>
                  </w:pPr>
                </w:p>
              </w:tc>
              <w:tc>
                <w:tcPr>
                  <w:tcW w:w="412" w:type="pct"/>
                  <w:vMerge w:val="continue"/>
                  <w:tcBorders>
                    <w:tl2br w:val="nil"/>
                    <w:tr2bl w:val="nil"/>
                  </w:tcBorders>
                  <w:shd w:val="clear" w:color="auto" w:fill="auto"/>
                  <w:noWrap w:val="0"/>
                  <w:vAlign w:val="center"/>
                </w:tcPr>
                <w:p w14:paraId="0CBA740F">
                  <w:pPr>
                    <w:pStyle w:val="40"/>
                    <w:bidi w:val="0"/>
                    <w:ind w:firstLine="0" w:firstLineChars="0"/>
                    <w:rPr>
                      <w:rFonts w:hint="eastAsia" w:ascii="Times New Roman" w:hAnsi="Times New Roman" w:eastAsia="宋体" w:cs="Times New Roman"/>
                      <w:b w:val="0"/>
                      <w:bCs w:val="0"/>
                      <w:color w:val="auto"/>
                      <w:spacing w:val="-6"/>
                      <w:kern w:val="2"/>
                      <w:sz w:val="21"/>
                      <w:szCs w:val="21"/>
                      <w:highlight w:val="none"/>
                      <w:lang w:val="en-US" w:eastAsia="zh-CN" w:bidi="ar-SA"/>
                    </w:rPr>
                  </w:pPr>
                </w:p>
              </w:tc>
              <w:tc>
                <w:tcPr>
                  <w:tcW w:w="512" w:type="pct"/>
                  <w:tcBorders>
                    <w:tl2br w:val="nil"/>
                    <w:tr2bl w:val="nil"/>
                  </w:tcBorders>
                  <w:noWrap w:val="0"/>
                  <w:vAlign w:val="center"/>
                </w:tcPr>
                <w:p w14:paraId="5B7C495F">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12</w:t>
                  </w:r>
                </w:p>
              </w:tc>
              <w:tc>
                <w:tcPr>
                  <w:tcW w:w="462" w:type="pct"/>
                  <w:tcBorders>
                    <w:tl2br w:val="nil"/>
                    <w:tr2bl w:val="nil"/>
                  </w:tcBorders>
                  <w:noWrap w:val="0"/>
                  <w:vAlign w:val="center"/>
                </w:tcPr>
                <w:p w14:paraId="72CCDB08">
                  <w:pPr>
                    <w:pStyle w:val="40"/>
                    <w:bidi w:val="0"/>
                    <w:rPr>
                      <w:color w:val="auto"/>
                      <w:spacing w:val="-11"/>
                      <w:sz w:val="21"/>
                      <w:highlight w:val="none"/>
                    </w:rPr>
                  </w:pPr>
                  <w:r>
                    <w:rPr>
                      <w:rFonts w:hint="eastAsia"/>
                      <w:color w:val="auto"/>
                      <w:spacing w:val="-11"/>
                      <w:sz w:val="21"/>
                      <w:highlight w:val="none"/>
                      <w:lang w:val="en-US" w:eastAsia="zh-CN"/>
                    </w:rPr>
                    <w:t>/</w:t>
                  </w:r>
                </w:p>
              </w:tc>
              <w:tc>
                <w:tcPr>
                  <w:tcW w:w="441" w:type="pct"/>
                  <w:tcBorders>
                    <w:tl2br w:val="nil"/>
                    <w:tr2bl w:val="nil"/>
                  </w:tcBorders>
                  <w:shd w:val="clear" w:color="auto" w:fill="auto"/>
                  <w:noWrap w:val="0"/>
                  <w:vAlign w:val="center"/>
                </w:tcPr>
                <w:p w14:paraId="7BDE5D29">
                  <w:pPr>
                    <w:pStyle w:val="40"/>
                    <w:bidi w:val="0"/>
                    <w:ind w:firstLine="0" w:firstLineChars="0"/>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cs="Times New Roman"/>
                      <w:b w:val="0"/>
                      <w:bCs w:val="0"/>
                      <w:color w:val="auto"/>
                      <w:spacing w:val="-6"/>
                      <w:kern w:val="2"/>
                      <w:sz w:val="21"/>
                      <w:szCs w:val="21"/>
                      <w:highlight w:val="none"/>
                      <w:lang w:val="en-US" w:eastAsia="zh-CN" w:bidi="ar-SA"/>
                    </w:rPr>
                    <w:t>无组织</w:t>
                  </w:r>
                </w:p>
              </w:tc>
              <w:tc>
                <w:tcPr>
                  <w:tcW w:w="465" w:type="pct"/>
                  <w:tcBorders>
                    <w:tl2br w:val="nil"/>
                    <w:tr2bl w:val="nil"/>
                  </w:tcBorders>
                  <w:noWrap w:val="0"/>
                  <w:vAlign w:val="center"/>
                </w:tcPr>
                <w:p w14:paraId="3E5E124E">
                  <w:pPr>
                    <w:pStyle w:val="40"/>
                    <w:bidi w:val="0"/>
                    <w:rPr>
                      <w:color w:val="auto"/>
                      <w:spacing w:val="-6"/>
                      <w:sz w:val="21"/>
                      <w:highlight w:val="none"/>
                    </w:rPr>
                  </w:pPr>
                  <w:r>
                    <w:rPr>
                      <w:rFonts w:hint="eastAsia"/>
                      <w:color w:val="auto"/>
                      <w:spacing w:val="-6"/>
                      <w:sz w:val="21"/>
                      <w:highlight w:val="none"/>
                      <w:lang w:val="en-US" w:eastAsia="zh-CN"/>
                    </w:rPr>
                    <w:t>/</w:t>
                  </w:r>
                </w:p>
              </w:tc>
              <w:tc>
                <w:tcPr>
                  <w:tcW w:w="396" w:type="pct"/>
                  <w:tcBorders>
                    <w:tl2br w:val="nil"/>
                    <w:tr2bl w:val="nil"/>
                  </w:tcBorders>
                  <w:shd w:val="clear" w:color="auto" w:fill="auto"/>
                  <w:noWrap w:val="0"/>
                  <w:vAlign w:val="center"/>
                </w:tcPr>
                <w:p w14:paraId="3E7A9ABC">
                  <w:pPr>
                    <w:pStyle w:val="40"/>
                    <w:bidi w:val="0"/>
                    <w:ind w:firstLine="0" w:firstLineChars="0"/>
                    <w:rPr>
                      <w:rFonts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sz w:val="21"/>
                      <w:highlight w:val="none"/>
                      <w:lang w:val="en-US" w:eastAsia="zh-CN"/>
                    </w:rPr>
                    <w:t>90</w:t>
                  </w:r>
                  <w:r>
                    <w:rPr>
                      <w:color w:val="auto"/>
                      <w:spacing w:val="-6"/>
                      <w:sz w:val="21"/>
                      <w:highlight w:val="none"/>
                    </w:rPr>
                    <w:t>%</w:t>
                  </w:r>
                </w:p>
              </w:tc>
              <w:tc>
                <w:tcPr>
                  <w:tcW w:w="555" w:type="pct"/>
                  <w:tcBorders>
                    <w:tl2br w:val="nil"/>
                    <w:tr2bl w:val="nil"/>
                  </w:tcBorders>
                  <w:noWrap w:val="0"/>
                  <w:vAlign w:val="center"/>
                </w:tcPr>
                <w:p w14:paraId="17B859C7">
                  <w:pPr>
                    <w:pStyle w:val="40"/>
                    <w:bidi w:val="0"/>
                    <w:rPr>
                      <w:rFonts w:hint="default" w:eastAsia="宋体"/>
                      <w:color w:val="auto"/>
                      <w:spacing w:val="-6"/>
                      <w:sz w:val="21"/>
                      <w:highlight w:val="none"/>
                      <w:lang w:val="en-US" w:eastAsia="zh-CN"/>
                    </w:rPr>
                  </w:pPr>
                  <w:r>
                    <w:rPr>
                      <w:rFonts w:hint="eastAsia"/>
                      <w:color w:val="auto"/>
                      <w:spacing w:val="-6"/>
                      <w:sz w:val="21"/>
                      <w:highlight w:val="none"/>
                      <w:lang w:val="en-US" w:eastAsia="zh-CN"/>
                    </w:rPr>
                    <w:t>0.167</w:t>
                  </w:r>
                </w:p>
              </w:tc>
              <w:tc>
                <w:tcPr>
                  <w:tcW w:w="398" w:type="pct"/>
                  <w:tcBorders>
                    <w:tl2br w:val="nil"/>
                    <w:tr2bl w:val="nil"/>
                  </w:tcBorders>
                  <w:noWrap w:val="0"/>
                  <w:vAlign w:val="center"/>
                </w:tcPr>
                <w:p w14:paraId="1611E398">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1.2</w:t>
                  </w:r>
                </w:p>
              </w:tc>
              <w:tc>
                <w:tcPr>
                  <w:tcW w:w="459" w:type="pct"/>
                  <w:tcBorders>
                    <w:tl2br w:val="nil"/>
                    <w:tr2bl w:val="nil"/>
                  </w:tcBorders>
                  <w:noWrap w:val="0"/>
                  <w:vAlign w:val="center"/>
                </w:tcPr>
                <w:p w14:paraId="39856386">
                  <w:pPr>
                    <w:pStyle w:val="40"/>
                    <w:bidi w:val="0"/>
                    <w:rPr>
                      <w:color w:val="auto"/>
                      <w:spacing w:val="-11"/>
                      <w:sz w:val="21"/>
                      <w:highlight w:val="none"/>
                    </w:rPr>
                  </w:pPr>
                  <w:r>
                    <w:rPr>
                      <w:rFonts w:hint="eastAsia"/>
                      <w:color w:val="auto"/>
                      <w:spacing w:val="-11"/>
                      <w:sz w:val="21"/>
                      <w:highlight w:val="none"/>
                      <w:lang w:val="en-US" w:eastAsia="zh-CN"/>
                    </w:rPr>
                    <w:t>/</w:t>
                  </w:r>
                </w:p>
              </w:tc>
            </w:tr>
            <w:tr w14:paraId="544B30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2" w:type="pct"/>
                  <w:tcBorders>
                    <w:tl2br w:val="nil"/>
                    <w:tr2bl w:val="nil"/>
                  </w:tcBorders>
                  <w:noWrap w:val="0"/>
                  <w:vAlign w:val="center"/>
                </w:tcPr>
                <w:p w14:paraId="03A20E5B">
                  <w:pPr>
                    <w:pStyle w:val="40"/>
                    <w:bidi w:val="0"/>
                    <w:rPr>
                      <w:rFonts w:hint="default"/>
                      <w:color w:val="auto"/>
                      <w:spacing w:val="-11"/>
                      <w:sz w:val="21"/>
                      <w:highlight w:val="none"/>
                      <w:lang w:val="en-US" w:eastAsia="zh-CN"/>
                    </w:rPr>
                  </w:pPr>
                  <w:r>
                    <w:rPr>
                      <w:rFonts w:hint="eastAsia"/>
                      <w:color w:val="auto"/>
                      <w:spacing w:val="-11"/>
                      <w:sz w:val="21"/>
                      <w:highlight w:val="none"/>
                      <w:lang w:val="en-US" w:eastAsia="zh-CN"/>
                    </w:rPr>
                    <w:t>G14</w:t>
                  </w:r>
                </w:p>
              </w:tc>
              <w:tc>
                <w:tcPr>
                  <w:tcW w:w="562" w:type="pct"/>
                  <w:tcBorders>
                    <w:tl2br w:val="nil"/>
                    <w:tr2bl w:val="nil"/>
                  </w:tcBorders>
                  <w:noWrap w:val="0"/>
                  <w:vAlign w:val="center"/>
                </w:tcPr>
                <w:p w14:paraId="417CF384">
                  <w:pPr>
                    <w:pStyle w:val="40"/>
                    <w:bidi w:val="0"/>
                    <w:rPr>
                      <w:rFonts w:hint="default"/>
                      <w:color w:val="auto"/>
                      <w:spacing w:val="-11"/>
                      <w:sz w:val="21"/>
                      <w:highlight w:val="none"/>
                      <w:lang w:val="en-US" w:eastAsia="zh-CN"/>
                    </w:rPr>
                  </w:pPr>
                  <w:r>
                    <w:rPr>
                      <w:rFonts w:hint="eastAsia"/>
                      <w:color w:val="auto"/>
                      <w:spacing w:val="-11"/>
                      <w:sz w:val="21"/>
                      <w:highlight w:val="none"/>
                      <w:lang w:val="en-US" w:eastAsia="zh-CN"/>
                    </w:rPr>
                    <w:t>混凝土粉煤灰筒仓粉尘</w:t>
                  </w:r>
                </w:p>
              </w:tc>
              <w:tc>
                <w:tcPr>
                  <w:tcW w:w="412" w:type="pct"/>
                  <w:tcBorders>
                    <w:tl2br w:val="nil"/>
                    <w:tr2bl w:val="nil"/>
                  </w:tcBorders>
                  <w:shd w:val="clear" w:color="auto" w:fill="auto"/>
                  <w:noWrap w:val="0"/>
                  <w:vAlign w:val="center"/>
                </w:tcPr>
                <w:p w14:paraId="4AC30307">
                  <w:pPr>
                    <w:pStyle w:val="40"/>
                    <w:bidi w:val="0"/>
                    <w:ind w:firstLine="0" w:firstLineChars="0"/>
                    <w:rPr>
                      <w:rFonts w:hint="eastAsia"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highlight w:val="none"/>
                      <w:lang w:val="en-US" w:eastAsia="zh-CN"/>
                    </w:rPr>
                    <w:t>颗粒物</w:t>
                  </w:r>
                </w:p>
              </w:tc>
              <w:tc>
                <w:tcPr>
                  <w:tcW w:w="512" w:type="pct"/>
                  <w:tcBorders>
                    <w:tl2br w:val="nil"/>
                    <w:tr2bl w:val="nil"/>
                  </w:tcBorders>
                  <w:noWrap w:val="0"/>
                  <w:vAlign w:val="center"/>
                </w:tcPr>
                <w:p w14:paraId="39485120">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8.124</w:t>
                  </w:r>
                </w:p>
              </w:tc>
              <w:tc>
                <w:tcPr>
                  <w:tcW w:w="462" w:type="pct"/>
                  <w:tcBorders>
                    <w:tl2br w:val="nil"/>
                    <w:tr2bl w:val="nil"/>
                  </w:tcBorders>
                  <w:noWrap w:val="0"/>
                  <w:vAlign w:val="center"/>
                </w:tcPr>
                <w:p w14:paraId="29325C52">
                  <w:pPr>
                    <w:pStyle w:val="40"/>
                    <w:bidi w:val="0"/>
                    <w:rPr>
                      <w:color w:val="auto"/>
                      <w:spacing w:val="-11"/>
                      <w:sz w:val="21"/>
                      <w:highlight w:val="none"/>
                    </w:rPr>
                  </w:pPr>
                  <w:r>
                    <w:rPr>
                      <w:rFonts w:hint="eastAsia"/>
                      <w:color w:val="auto"/>
                      <w:spacing w:val="-11"/>
                      <w:sz w:val="21"/>
                      <w:highlight w:val="none"/>
                      <w:lang w:val="en-US" w:eastAsia="zh-CN"/>
                    </w:rPr>
                    <w:t>/</w:t>
                  </w:r>
                </w:p>
              </w:tc>
              <w:tc>
                <w:tcPr>
                  <w:tcW w:w="441" w:type="pct"/>
                  <w:tcBorders>
                    <w:tl2br w:val="nil"/>
                    <w:tr2bl w:val="nil"/>
                  </w:tcBorders>
                  <w:noWrap w:val="0"/>
                  <w:vAlign w:val="center"/>
                </w:tcPr>
                <w:p w14:paraId="792CC930">
                  <w:pPr>
                    <w:pStyle w:val="40"/>
                    <w:bidi w:val="0"/>
                    <w:rPr>
                      <w:color w:val="auto"/>
                      <w:spacing w:val="-6"/>
                      <w:sz w:val="21"/>
                      <w:highlight w:val="none"/>
                    </w:rPr>
                  </w:pPr>
                  <w:r>
                    <w:rPr>
                      <w:rFonts w:hint="eastAsia" w:cs="Times New Roman"/>
                      <w:b w:val="0"/>
                      <w:bCs w:val="0"/>
                      <w:color w:val="auto"/>
                      <w:spacing w:val="-6"/>
                      <w:kern w:val="2"/>
                      <w:sz w:val="21"/>
                      <w:szCs w:val="21"/>
                      <w:highlight w:val="none"/>
                      <w:lang w:val="en-US" w:eastAsia="zh-CN" w:bidi="ar-SA"/>
                    </w:rPr>
                    <w:t>无组织</w:t>
                  </w:r>
                </w:p>
              </w:tc>
              <w:tc>
                <w:tcPr>
                  <w:tcW w:w="465" w:type="pct"/>
                  <w:tcBorders>
                    <w:tl2br w:val="nil"/>
                    <w:tr2bl w:val="nil"/>
                  </w:tcBorders>
                  <w:noWrap w:val="0"/>
                  <w:vAlign w:val="center"/>
                </w:tcPr>
                <w:p w14:paraId="52BF6522">
                  <w:pPr>
                    <w:pStyle w:val="40"/>
                    <w:bidi w:val="0"/>
                    <w:rPr>
                      <w:color w:val="auto"/>
                      <w:spacing w:val="-6"/>
                      <w:sz w:val="21"/>
                      <w:highlight w:val="none"/>
                    </w:rPr>
                  </w:pPr>
                  <w:r>
                    <w:rPr>
                      <w:rFonts w:hint="eastAsia"/>
                      <w:color w:val="auto"/>
                      <w:spacing w:val="-6"/>
                      <w:sz w:val="21"/>
                      <w:highlight w:val="none"/>
                      <w:lang w:val="en-US" w:eastAsia="zh-CN"/>
                    </w:rPr>
                    <w:t>/</w:t>
                  </w:r>
                </w:p>
              </w:tc>
              <w:tc>
                <w:tcPr>
                  <w:tcW w:w="396" w:type="pct"/>
                  <w:tcBorders>
                    <w:tl2br w:val="nil"/>
                    <w:tr2bl w:val="nil"/>
                  </w:tcBorders>
                  <w:noWrap w:val="0"/>
                  <w:vAlign w:val="center"/>
                </w:tcPr>
                <w:p w14:paraId="75F1F0B9">
                  <w:pPr>
                    <w:pStyle w:val="40"/>
                    <w:bidi w:val="0"/>
                    <w:rPr>
                      <w:color w:val="auto"/>
                      <w:spacing w:val="-6"/>
                      <w:sz w:val="21"/>
                      <w:highlight w:val="none"/>
                    </w:rPr>
                  </w:pPr>
                  <w:r>
                    <w:rPr>
                      <w:rFonts w:hint="eastAsia"/>
                      <w:color w:val="auto"/>
                      <w:spacing w:val="-6"/>
                      <w:sz w:val="21"/>
                      <w:highlight w:val="none"/>
                      <w:lang w:val="en-US" w:eastAsia="zh-CN"/>
                    </w:rPr>
                    <w:t>99.7%</w:t>
                  </w:r>
                </w:p>
              </w:tc>
              <w:tc>
                <w:tcPr>
                  <w:tcW w:w="555" w:type="pct"/>
                  <w:tcBorders>
                    <w:tl2br w:val="nil"/>
                    <w:tr2bl w:val="nil"/>
                  </w:tcBorders>
                  <w:noWrap w:val="0"/>
                  <w:vAlign w:val="center"/>
                </w:tcPr>
                <w:p w14:paraId="1B65DB10">
                  <w:pPr>
                    <w:pStyle w:val="40"/>
                    <w:bidi w:val="0"/>
                    <w:rPr>
                      <w:rFonts w:hint="default" w:eastAsia="宋体"/>
                      <w:color w:val="auto"/>
                      <w:spacing w:val="-6"/>
                      <w:sz w:val="21"/>
                      <w:highlight w:val="none"/>
                      <w:lang w:val="en-US" w:eastAsia="zh-CN"/>
                    </w:rPr>
                  </w:pPr>
                  <w:r>
                    <w:rPr>
                      <w:rFonts w:hint="eastAsia"/>
                      <w:color w:val="auto"/>
                      <w:spacing w:val="-6"/>
                      <w:sz w:val="21"/>
                      <w:highlight w:val="none"/>
                      <w:lang w:val="en-US" w:eastAsia="zh-CN"/>
                    </w:rPr>
                    <w:t>0.052</w:t>
                  </w:r>
                </w:p>
              </w:tc>
              <w:tc>
                <w:tcPr>
                  <w:tcW w:w="398" w:type="pct"/>
                  <w:tcBorders>
                    <w:tl2br w:val="nil"/>
                    <w:tr2bl w:val="nil"/>
                  </w:tcBorders>
                  <w:noWrap w:val="0"/>
                  <w:vAlign w:val="center"/>
                </w:tcPr>
                <w:p w14:paraId="766AA348">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0.024</w:t>
                  </w:r>
                </w:p>
              </w:tc>
              <w:tc>
                <w:tcPr>
                  <w:tcW w:w="459" w:type="pct"/>
                  <w:tcBorders>
                    <w:tl2br w:val="nil"/>
                    <w:tr2bl w:val="nil"/>
                  </w:tcBorders>
                  <w:noWrap w:val="0"/>
                  <w:vAlign w:val="center"/>
                </w:tcPr>
                <w:p w14:paraId="76EFD414">
                  <w:pPr>
                    <w:pStyle w:val="40"/>
                    <w:bidi w:val="0"/>
                    <w:rPr>
                      <w:color w:val="auto"/>
                      <w:spacing w:val="-11"/>
                      <w:sz w:val="21"/>
                      <w:highlight w:val="none"/>
                    </w:rPr>
                  </w:pPr>
                  <w:r>
                    <w:rPr>
                      <w:rFonts w:hint="eastAsia"/>
                      <w:color w:val="auto"/>
                      <w:spacing w:val="-11"/>
                      <w:sz w:val="21"/>
                      <w:highlight w:val="none"/>
                      <w:lang w:val="en-US" w:eastAsia="zh-CN"/>
                    </w:rPr>
                    <w:t>/</w:t>
                  </w:r>
                </w:p>
              </w:tc>
            </w:tr>
            <w:tr w14:paraId="2CA42B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2" w:type="pct"/>
                  <w:tcBorders>
                    <w:tl2br w:val="nil"/>
                    <w:tr2bl w:val="nil"/>
                  </w:tcBorders>
                  <w:noWrap w:val="0"/>
                  <w:vAlign w:val="center"/>
                </w:tcPr>
                <w:p w14:paraId="6C8B2A6E">
                  <w:pPr>
                    <w:pStyle w:val="40"/>
                    <w:bidi w:val="0"/>
                    <w:rPr>
                      <w:rFonts w:hint="default"/>
                      <w:color w:val="auto"/>
                      <w:spacing w:val="-11"/>
                      <w:sz w:val="21"/>
                      <w:highlight w:val="none"/>
                      <w:lang w:val="en-US" w:eastAsia="zh-CN"/>
                    </w:rPr>
                  </w:pPr>
                  <w:r>
                    <w:rPr>
                      <w:rFonts w:hint="eastAsia"/>
                      <w:color w:val="auto"/>
                      <w:spacing w:val="-11"/>
                      <w:sz w:val="21"/>
                      <w:highlight w:val="none"/>
                      <w:lang w:val="en-US" w:eastAsia="zh-CN"/>
                    </w:rPr>
                    <w:t>G15</w:t>
                  </w:r>
                </w:p>
              </w:tc>
              <w:tc>
                <w:tcPr>
                  <w:tcW w:w="562" w:type="pct"/>
                  <w:tcBorders>
                    <w:tl2br w:val="nil"/>
                    <w:tr2bl w:val="nil"/>
                  </w:tcBorders>
                  <w:noWrap w:val="0"/>
                  <w:vAlign w:val="center"/>
                </w:tcPr>
                <w:p w14:paraId="3DBB4AFD">
                  <w:pPr>
                    <w:pStyle w:val="40"/>
                    <w:bidi w:val="0"/>
                    <w:rPr>
                      <w:rFonts w:hint="default"/>
                      <w:color w:val="auto"/>
                      <w:spacing w:val="-11"/>
                      <w:sz w:val="21"/>
                      <w:highlight w:val="none"/>
                      <w:lang w:val="en-US" w:eastAsia="zh-CN"/>
                    </w:rPr>
                  </w:pPr>
                  <w:r>
                    <w:rPr>
                      <w:rFonts w:hint="eastAsia"/>
                      <w:color w:val="auto"/>
                      <w:spacing w:val="-11"/>
                      <w:sz w:val="21"/>
                      <w:highlight w:val="none"/>
                      <w:lang w:val="en-US" w:eastAsia="zh-CN"/>
                    </w:rPr>
                    <w:t>水泥筒仓粉尘</w:t>
                  </w:r>
                </w:p>
              </w:tc>
              <w:tc>
                <w:tcPr>
                  <w:tcW w:w="412" w:type="pct"/>
                  <w:tcBorders>
                    <w:tl2br w:val="nil"/>
                    <w:tr2bl w:val="nil"/>
                  </w:tcBorders>
                  <w:shd w:val="clear" w:color="auto" w:fill="auto"/>
                  <w:noWrap w:val="0"/>
                  <w:vAlign w:val="center"/>
                </w:tcPr>
                <w:p w14:paraId="27D80F73">
                  <w:pPr>
                    <w:pStyle w:val="40"/>
                    <w:bidi w:val="0"/>
                    <w:ind w:firstLine="0" w:firstLineChars="0"/>
                    <w:rPr>
                      <w:rFonts w:hint="eastAsia"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highlight w:val="none"/>
                      <w:lang w:val="en-US" w:eastAsia="zh-CN"/>
                    </w:rPr>
                    <w:t>颗粒物</w:t>
                  </w:r>
                </w:p>
              </w:tc>
              <w:tc>
                <w:tcPr>
                  <w:tcW w:w="512" w:type="pct"/>
                  <w:tcBorders>
                    <w:tl2br w:val="nil"/>
                    <w:tr2bl w:val="nil"/>
                  </w:tcBorders>
                  <w:noWrap w:val="0"/>
                  <w:vAlign w:val="center"/>
                </w:tcPr>
                <w:p w14:paraId="04CADC63">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24.36</w:t>
                  </w:r>
                </w:p>
              </w:tc>
              <w:tc>
                <w:tcPr>
                  <w:tcW w:w="462" w:type="pct"/>
                  <w:tcBorders>
                    <w:tl2br w:val="nil"/>
                    <w:tr2bl w:val="nil"/>
                  </w:tcBorders>
                  <w:noWrap w:val="0"/>
                  <w:vAlign w:val="center"/>
                </w:tcPr>
                <w:p w14:paraId="0EE82F33">
                  <w:pPr>
                    <w:pStyle w:val="40"/>
                    <w:bidi w:val="0"/>
                    <w:rPr>
                      <w:color w:val="auto"/>
                      <w:spacing w:val="-11"/>
                      <w:sz w:val="21"/>
                      <w:highlight w:val="none"/>
                    </w:rPr>
                  </w:pPr>
                  <w:r>
                    <w:rPr>
                      <w:rFonts w:hint="eastAsia"/>
                      <w:color w:val="auto"/>
                      <w:spacing w:val="-11"/>
                      <w:sz w:val="21"/>
                      <w:highlight w:val="none"/>
                      <w:lang w:val="en-US" w:eastAsia="zh-CN"/>
                    </w:rPr>
                    <w:t>/</w:t>
                  </w:r>
                </w:p>
              </w:tc>
              <w:tc>
                <w:tcPr>
                  <w:tcW w:w="441" w:type="pct"/>
                  <w:tcBorders>
                    <w:tl2br w:val="nil"/>
                    <w:tr2bl w:val="nil"/>
                  </w:tcBorders>
                  <w:noWrap w:val="0"/>
                  <w:vAlign w:val="center"/>
                </w:tcPr>
                <w:p w14:paraId="3E5ABCC0">
                  <w:pPr>
                    <w:pStyle w:val="40"/>
                    <w:bidi w:val="0"/>
                    <w:rPr>
                      <w:color w:val="auto"/>
                      <w:spacing w:val="-6"/>
                      <w:sz w:val="21"/>
                      <w:highlight w:val="none"/>
                    </w:rPr>
                  </w:pPr>
                  <w:r>
                    <w:rPr>
                      <w:rFonts w:hint="eastAsia" w:cs="Times New Roman"/>
                      <w:b w:val="0"/>
                      <w:bCs w:val="0"/>
                      <w:color w:val="auto"/>
                      <w:spacing w:val="-6"/>
                      <w:kern w:val="2"/>
                      <w:sz w:val="21"/>
                      <w:szCs w:val="21"/>
                      <w:highlight w:val="none"/>
                      <w:lang w:val="en-US" w:eastAsia="zh-CN" w:bidi="ar-SA"/>
                    </w:rPr>
                    <w:t>无组织</w:t>
                  </w:r>
                </w:p>
              </w:tc>
              <w:tc>
                <w:tcPr>
                  <w:tcW w:w="465" w:type="pct"/>
                  <w:tcBorders>
                    <w:tl2br w:val="nil"/>
                    <w:tr2bl w:val="nil"/>
                  </w:tcBorders>
                  <w:noWrap w:val="0"/>
                  <w:vAlign w:val="center"/>
                </w:tcPr>
                <w:p w14:paraId="4F75A53F">
                  <w:pPr>
                    <w:pStyle w:val="40"/>
                    <w:bidi w:val="0"/>
                    <w:rPr>
                      <w:color w:val="auto"/>
                      <w:spacing w:val="-6"/>
                      <w:sz w:val="21"/>
                      <w:highlight w:val="none"/>
                    </w:rPr>
                  </w:pPr>
                  <w:r>
                    <w:rPr>
                      <w:rFonts w:hint="eastAsia"/>
                      <w:color w:val="auto"/>
                      <w:spacing w:val="-6"/>
                      <w:sz w:val="21"/>
                      <w:highlight w:val="none"/>
                      <w:lang w:val="en-US" w:eastAsia="zh-CN"/>
                    </w:rPr>
                    <w:t>/</w:t>
                  </w:r>
                </w:p>
              </w:tc>
              <w:tc>
                <w:tcPr>
                  <w:tcW w:w="396" w:type="pct"/>
                  <w:tcBorders>
                    <w:tl2br w:val="nil"/>
                    <w:tr2bl w:val="nil"/>
                  </w:tcBorders>
                  <w:noWrap w:val="0"/>
                  <w:vAlign w:val="center"/>
                </w:tcPr>
                <w:p w14:paraId="63C7A1B4">
                  <w:pPr>
                    <w:pStyle w:val="40"/>
                    <w:bidi w:val="0"/>
                    <w:rPr>
                      <w:color w:val="auto"/>
                      <w:spacing w:val="-6"/>
                      <w:sz w:val="21"/>
                      <w:highlight w:val="none"/>
                    </w:rPr>
                  </w:pPr>
                  <w:r>
                    <w:rPr>
                      <w:rFonts w:hint="eastAsia"/>
                      <w:color w:val="auto"/>
                      <w:spacing w:val="-6"/>
                      <w:sz w:val="21"/>
                      <w:highlight w:val="none"/>
                      <w:lang w:val="en-US" w:eastAsia="zh-CN"/>
                    </w:rPr>
                    <w:t>99.7%</w:t>
                  </w:r>
                </w:p>
              </w:tc>
              <w:tc>
                <w:tcPr>
                  <w:tcW w:w="555" w:type="pct"/>
                  <w:tcBorders>
                    <w:tl2br w:val="nil"/>
                    <w:tr2bl w:val="nil"/>
                  </w:tcBorders>
                  <w:noWrap w:val="0"/>
                  <w:vAlign w:val="center"/>
                </w:tcPr>
                <w:p w14:paraId="6F4172B2">
                  <w:pPr>
                    <w:pStyle w:val="40"/>
                    <w:bidi w:val="0"/>
                    <w:rPr>
                      <w:rFonts w:hint="default" w:eastAsia="宋体"/>
                      <w:color w:val="auto"/>
                      <w:spacing w:val="-6"/>
                      <w:sz w:val="21"/>
                      <w:highlight w:val="none"/>
                      <w:lang w:val="en-US" w:eastAsia="zh-CN"/>
                    </w:rPr>
                  </w:pPr>
                  <w:r>
                    <w:rPr>
                      <w:rFonts w:hint="eastAsia"/>
                      <w:color w:val="auto"/>
                      <w:spacing w:val="-6"/>
                      <w:sz w:val="21"/>
                      <w:highlight w:val="none"/>
                      <w:lang w:val="en-US" w:eastAsia="zh-CN"/>
                    </w:rPr>
                    <w:t>0.155</w:t>
                  </w:r>
                </w:p>
              </w:tc>
              <w:tc>
                <w:tcPr>
                  <w:tcW w:w="398" w:type="pct"/>
                  <w:tcBorders>
                    <w:tl2br w:val="nil"/>
                    <w:tr2bl w:val="nil"/>
                  </w:tcBorders>
                  <w:noWrap w:val="0"/>
                  <w:vAlign w:val="center"/>
                </w:tcPr>
                <w:p w14:paraId="4CA18B83">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0.073</w:t>
                  </w:r>
                </w:p>
              </w:tc>
              <w:tc>
                <w:tcPr>
                  <w:tcW w:w="459" w:type="pct"/>
                  <w:tcBorders>
                    <w:tl2br w:val="nil"/>
                    <w:tr2bl w:val="nil"/>
                  </w:tcBorders>
                  <w:noWrap w:val="0"/>
                  <w:vAlign w:val="center"/>
                </w:tcPr>
                <w:p w14:paraId="62148300">
                  <w:pPr>
                    <w:pStyle w:val="40"/>
                    <w:bidi w:val="0"/>
                    <w:rPr>
                      <w:color w:val="auto"/>
                      <w:spacing w:val="-11"/>
                      <w:sz w:val="21"/>
                      <w:highlight w:val="none"/>
                    </w:rPr>
                  </w:pPr>
                  <w:r>
                    <w:rPr>
                      <w:rFonts w:hint="eastAsia"/>
                      <w:color w:val="auto"/>
                      <w:spacing w:val="-11"/>
                      <w:sz w:val="21"/>
                      <w:highlight w:val="none"/>
                      <w:lang w:val="en-US" w:eastAsia="zh-CN"/>
                    </w:rPr>
                    <w:t>/</w:t>
                  </w:r>
                </w:p>
              </w:tc>
            </w:tr>
            <w:tr w14:paraId="4991AE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2" w:type="pct"/>
                  <w:tcBorders>
                    <w:tl2br w:val="nil"/>
                    <w:tr2bl w:val="nil"/>
                  </w:tcBorders>
                  <w:noWrap w:val="0"/>
                  <w:vAlign w:val="center"/>
                </w:tcPr>
                <w:p w14:paraId="3D4DA24F">
                  <w:pPr>
                    <w:pStyle w:val="40"/>
                    <w:bidi w:val="0"/>
                    <w:rPr>
                      <w:rFonts w:hint="default"/>
                      <w:color w:val="auto"/>
                      <w:spacing w:val="-11"/>
                      <w:sz w:val="21"/>
                      <w:highlight w:val="none"/>
                      <w:lang w:val="en-US" w:eastAsia="zh-CN"/>
                    </w:rPr>
                  </w:pPr>
                  <w:r>
                    <w:rPr>
                      <w:rFonts w:hint="eastAsia"/>
                      <w:color w:val="auto"/>
                      <w:spacing w:val="-11"/>
                      <w:sz w:val="21"/>
                      <w:highlight w:val="none"/>
                      <w:lang w:val="en-US" w:eastAsia="zh-CN"/>
                    </w:rPr>
                    <w:t>G16</w:t>
                  </w:r>
                </w:p>
              </w:tc>
              <w:tc>
                <w:tcPr>
                  <w:tcW w:w="562" w:type="pct"/>
                  <w:tcBorders>
                    <w:tl2br w:val="nil"/>
                    <w:tr2bl w:val="nil"/>
                  </w:tcBorders>
                  <w:noWrap w:val="0"/>
                  <w:vAlign w:val="center"/>
                </w:tcPr>
                <w:p w14:paraId="2DCBDE91">
                  <w:pPr>
                    <w:pStyle w:val="40"/>
                    <w:bidi w:val="0"/>
                    <w:rPr>
                      <w:rFonts w:hint="default"/>
                      <w:color w:val="auto"/>
                      <w:spacing w:val="-11"/>
                      <w:sz w:val="21"/>
                      <w:highlight w:val="none"/>
                      <w:lang w:val="en-US" w:eastAsia="zh-CN"/>
                    </w:rPr>
                  </w:pPr>
                  <w:r>
                    <w:rPr>
                      <w:rFonts w:hint="eastAsia"/>
                      <w:color w:val="auto"/>
                      <w:spacing w:val="-11"/>
                      <w:sz w:val="21"/>
                      <w:highlight w:val="none"/>
                      <w:lang w:val="en-US" w:eastAsia="zh-CN"/>
                    </w:rPr>
                    <w:t>砂石原料棚扬尘</w:t>
                  </w:r>
                </w:p>
              </w:tc>
              <w:tc>
                <w:tcPr>
                  <w:tcW w:w="412" w:type="pct"/>
                  <w:tcBorders>
                    <w:tl2br w:val="nil"/>
                    <w:tr2bl w:val="nil"/>
                  </w:tcBorders>
                  <w:shd w:val="clear" w:color="auto" w:fill="auto"/>
                  <w:noWrap w:val="0"/>
                  <w:vAlign w:val="center"/>
                </w:tcPr>
                <w:p w14:paraId="730E3780">
                  <w:pPr>
                    <w:pStyle w:val="40"/>
                    <w:bidi w:val="0"/>
                    <w:ind w:firstLine="0" w:firstLineChars="0"/>
                    <w:rPr>
                      <w:rFonts w:hint="eastAsia"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highlight w:val="none"/>
                      <w:lang w:val="en-US" w:eastAsia="zh-CN"/>
                    </w:rPr>
                    <w:t>颗粒物</w:t>
                  </w:r>
                </w:p>
              </w:tc>
              <w:tc>
                <w:tcPr>
                  <w:tcW w:w="512" w:type="pct"/>
                  <w:tcBorders>
                    <w:tl2br w:val="nil"/>
                    <w:tr2bl w:val="nil"/>
                  </w:tcBorders>
                  <w:noWrap w:val="0"/>
                  <w:vAlign w:val="center"/>
                </w:tcPr>
                <w:p w14:paraId="2D11A390">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1.733</w:t>
                  </w:r>
                </w:p>
              </w:tc>
              <w:tc>
                <w:tcPr>
                  <w:tcW w:w="462" w:type="pct"/>
                  <w:tcBorders>
                    <w:tl2br w:val="nil"/>
                    <w:tr2bl w:val="nil"/>
                  </w:tcBorders>
                  <w:noWrap w:val="0"/>
                  <w:vAlign w:val="center"/>
                </w:tcPr>
                <w:p w14:paraId="6F7E66F3">
                  <w:pPr>
                    <w:pStyle w:val="40"/>
                    <w:bidi w:val="0"/>
                    <w:rPr>
                      <w:color w:val="auto"/>
                      <w:spacing w:val="-11"/>
                      <w:sz w:val="21"/>
                      <w:highlight w:val="none"/>
                    </w:rPr>
                  </w:pPr>
                  <w:r>
                    <w:rPr>
                      <w:rFonts w:hint="eastAsia"/>
                      <w:color w:val="auto"/>
                      <w:spacing w:val="-11"/>
                      <w:sz w:val="21"/>
                      <w:highlight w:val="none"/>
                      <w:lang w:val="en-US" w:eastAsia="zh-CN"/>
                    </w:rPr>
                    <w:t>/</w:t>
                  </w:r>
                </w:p>
              </w:tc>
              <w:tc>
                <w:tcPr>
                  <w:tcW w:w="441" w:type="pct"/>
                  <w:tcBorders>
                    <w:tl2br w:val="nil"/>
                    <w:tr2bl w:val="nil"/>
                  </w:tcBorders>
                  <w:noWrap w:val="0"/>
                  <w:vAlign w:val="center"/>
                </w:tcPr>
                <w:p w14:paraId="742C2542">
                  <w:pPr>
                    <w:pStyle w:val="40"/>
                    <w:bidi w:val="0"/>
                    <w:rPr>
                      <w:color w:val="auto"/>
                      <w:spacing w:val="-6"/>
                      <w:sz w:val="21"/>
                      <w:highlight w:val="none"/>
                    </w:rPr>
                  </w:pPr>
                  <w:r>
                    <w:rPr>
                      <w:rFonts w:hint="eastAsia" w:cs="Times New Roman"/>
                      <w:b w:val="0"/>
                      <w:bCs w:val="0"/>
                      <w:color w:val="auto"/>
                      <w:spacing w:val="-6"/>
                      <w:kern w:val="2"/>
                      <w:sz w:val="21"/>
                      <w:szCs w:val="21"/>
                      <w:highlight w:val="none"/>
                      <w:lang w:val="en-US" w:eastAsia="zh-CN" w:bidi="ar-SA"/>
                    </w:rPr>
                    <w:t>无组织</w:t>
                  </w:r>
                </w:p>
              </w:tc>
              <w:tc>
                <w:tcPr>
                  <w:tcW w:w="465" w:type="pct"/>
                  <w:tcBorders>
                    <w:tl2br w:val="nil"/>
                    <w:tr2bl w:val="nil"/>
                  </w:tcBorders>
                  <w:noWrap w:val="0"/>
                  <w:vAlign w:val="center"/>
                </w:tcPr>
                <w:p w14:paraId="4173AF0F">
                  <w:pPr>
                    <w:pStyle w:val="40"/>
                    <w:bidi w:val="0"/>
                    <w:rPr>
                      <w:color w:val="auto"/>
                      <w:spacing w:val="-6"/>
                      <w:sz w:val="21"/>
                      <w:highlight w:val="none"/>
                    </w:rPr>
                  </w:pPr>
                  <w:r>
                    <w:rPr>
                      <w:rFonts w:hint="eastAsia"/>
                      <w:color w:val="auto"/>
                      <w:spacing w:val="-6"/>
                      <w:sz w:val="21"/>
                      <w:highlight w:val="none"/>
                      <w:lang w:val="en-US" w:eastAsia="zh-CN"/>
                    </w:rPr>
                    <w:t>/</w:t>
                  </w:r>
                </w:p>
              </w:tc>
              <w:tc>
                <w:tcPr>
                  <w:tcW w:w="396" w:type="pct"/>
                  <w:tcBorders>
                    <w:tl2br w:val="nil"/>
                    <w:tr2bl w:val="nil"/>
                  </w:tcBorders>
                  <w:shd w:val="clear" w:color="auto" w:fill="auto"/>
                  <w:noWrap w:val="0"/>
                  <w:vAlign w:val="center"/>
                </w:tcPr>
                <w:p w14:paraId="224B3271">
                  <w:pPr>
                    <w:pStyle w:val="40"/>
                    <w:bidi w:val="0"/>
                    <w:ind w:firstLine="0" w:firstLineChars="0"/>
                    <w:rPr>
                      <w:rFonts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sz w:val="21"/>
                      <w:highlight w:val="none"/>
                      <w:lang w:val="en-US" w:eastAsia="zh-CN"/>
                    </w:rPr>
                    <w:t>90</w:t>
                  </w:r>
                  <w:r>
                    <w:rPr>
                      <w:color w:val="auto"/>
                      <w:spacing w:val="-6"/>
                      <w:sz w:val="21"/>
                      <w:highlight w:val="none"/>
                    </w:rPr>
                    <w:t>%</w:t>
                  </w:r>
                </w:p>
              </w:tc>
              <w:tc>
                <w:tcPr>
                  <w:tcW w:w="555" w:type="pct"/>
                  <w:tcBorders>
                    <w:tl2br w:val="nil"/>
                    <w:tr2bl w:val="nil"/>
                  </w:tcBorders>
                  <w:noWrap w:val="0"/>
                  <w:vAlign w:val="center"/>
                </w:tcPr>
                <w:p w14:paraId="3108DB22">
                  <w:pPr>
                    <w:pStyle w:val="40"/>
                    <w:bidi w:val="0"/>
                    <w:rPr>
                      <w:rFonts w:hint="default" w:eastAsia="宋体"/>
                      <w:color w:val="auto"/>
                      <w:spacing w:val="-6"/>
                      <w:sz w:val="21"/>
                      <w:highlight w:val="none"/>
                      <w:lang w:val="en-US" w:eastAsia="zh-CN"/>
                    </w:rPr>
                  </w:pPr>
                  <w:r>
                    <w:rPr>
                      <w:rFonts w:hint="eastAsia"/>
                      <w:color w:val="auto"/>
                      <w:spacing w:val="-6"/>
                      <w:sz w:val="21"/>
                      <w:highlight w:val="none"/>
                      <w:lang w:val="en-US" w:eastAsia="zh-CN"/>
                    </w:rPr>
                    <w:t>0.079</w:t>
                  </w:r>
                </w:p>
              </w:tc>
              <w:tc>
                <w:tcPr>
                  <w:tcW w:w="398" w:type="pct"/>
                  <w:tcBorders>
                    <w:tl2br w:val="nil"/>
                    <w:tr2bl w:val="nil"/>
                  </w:tcBorders>
                  <w:noWrap w:val="0"/>
                  <w:vAlign w:val="center"/>
                </w:tcPr>
                <w:p w14:paraId="4F4BFE48">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0.173</w:t>
                  </w:r>
                </w:p>
              </w:tc>
              <w:tc>
                <w:tcPr>
                  <w:tcW w:w="459" w:type="pct"/>
                  <w:tcBorders>
                    <w:tl2br w:val="nil"/>
                    <w:tr2bl w:val="nil"/>
                  </w:tcBorders>
                  <w:noWrap w:val="0"/>
                  <w:vAlign w:val="center"/>
                </w:tcPr>
                <w:p w14:paraId="2630AAE4">
                  <w:pPr>
                    <w:pStyle w:val="40"/>
                    <w:bidi w:val="0"/>
                    <w:rPr>
                      <w:color w:val="auto"/>
                      <w:spacing w:val="-11"/>
                      <w:sz w:val="21"/>
                      <w:highlight w:val="none"/>
                    </w:rPr>
                  </w:pPr>
                  <w:r>
                    <w:rPr>
                      <w:rFonts w:hint="eastAsia"/>
                      <w:color w:val="auto"/>
                      <w:spacing w:val="-11"/>
                      <w:sz w:val="21"/>
                      <w:highlight w:val="none"/>
                      <w:lang w:val="en-US" w:eastAsia="zh-CN"/>
                    </w:rPr>
                    <w:t>/</w:t>
                  </w:r>
                </w:p>
              </w:tc>
            </w:tr>
            <w:tr w14:paraId="2BA068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2" w:type="pct"/>
                  <w:vMerge w:val="restart"/>
                  <w:tcBorders>
                    <w:tl2br w:val="nil"/>
                    <w:tr2bl w:val="nil"/>
                  </w:tcBorders>
                  <w:noWrap w:val="0"/>
                  <w:vAlign w:val="center"/>
                </w:tcPr>
                <w:p w14:paraId="68492233">
                  <w:pPr>
                    <w:pStyle w:val="40"/>
                    <w:bidi w:val="0"/>
                    <w:rPr>
                      <w:rFonts w:hint="default"/>
                      <w:color w:val="auto"/>
                      <w:spacing w:val="-11"/>
                      <w:sz w:val="21"/>
                      <w:highlight w:val="none"/>
                      <w:lang w:val="en-US" w:eastAsia="zh-CN"/>
                    </w:rPr>
                  </w:pPr>
                  <w:r>
                    <w:rPr>
                      <w:rFonts w:hint="eastAsia"/>
                      <w:color w:val="auto"/>
                      <w:spacing w:val="-11"/>
                      <w:sz w:val="21"/>
                      <w:highlight w:val="none"/>
                      <w:lang w:val="en-US" w:eastAsia="zh-CN"/>
                    </w:rPr>
                    <w:t>G17</w:t>
                  </w:r>
                </w:p>
              </w:tc>
              <w:tc>
                <w:tcPr>
                  <w:tcW w:w="562" w:type="pct"/>
                  <w:vMerge w:val="restart"/>
                  <w:tcBorders>
                    <w:tl2br w:val="nil"/>
                    <w:tr2bl w:val="nil"/>
                  </w:tcBorders>
                  <w:noWrap w:val="0"/>
                  <w:vAlign w:val="center"/>
                </w:tcPr>
                <w:p w14:paraId="1DA2797B">
                  <w:pPr>
                    <w:pStyle w:val="40"/>
                    <w:bidi w:val="0"/>
                    <w:rPr>
                      <w:rFonts w:hint="default"/>
                      <w:color w:val="auto"/>
                      <w:spacing w:val="-11"/>
                      <w:sz w:val="21"/>
                      <w:highlight w:val="none"/>
                      <w:lang w:val="en-US" w:eastAsia="zh-CN"/>
                    </w:rPr>
                  </w:pPr>
                  <w:r>
                    <w:rPr>
                      <w:rFonts w:hint="eastAsia"/>
                      <w:color w:val="auto"/>
                      <w:spacing w:val="-11"/>
                      <w:sz w:val="21"/>
                      <w:highlight w:val="none"/>
                      <w:lang w:val="en-US" w:eastAsia="zh-CN"/>
                    </w:rPr>
                    <w:t>混凝土搅拌粉尘</w:t>
                  </w:r>
                </w:p>
              </w:tc>
              <w:tc>
                <w:tcPr>
                  <w:tcW w:w="412" w:type="pct"/>
                  <w:vMerge w:val="restart"/>
                  <w:tcBorders>
                    <w:tl2br w:val="nil"/>
                    <w:tr2bl w:val="nil"/>
                  </w:tcBorders>
                  <w:shd w:val="clear" w:color="auto" w:fill="auto"/>
                  <w:noWrap w:val="0"/>
                  <w:vAlign w:val="center"/>
                </w:tcPr>
                <w:p w14:paraId="2C59E3D7">
                  <w:pPr>
                    <w:pStyle w:val="40"/>
                    <w:bidi w:val="0"/>
                    <w:ind w:firstLine="0" w:firstLineChars="0"/>
                    <w:rPr>
                      <w:rFonts w:hint="eastAsia"/>
                      <w:color w:val="auto"/>
                      <w:spacing w:val="-6"/>
                      <w:highlight w:val="none"/>
                      <w:lang w:val="en-US" w:eastAsia="zh-CN"/>
                    </w:rPr>
                  </w:pPr>
                  <w:r>
                    <w:rPr>
                      <w:rFonts w:hint="eastAsia"/>
                      <w:color w:val="auto"/>
                      <w:spacing w:val="-6"/>
                      <w:highlight w:val="none"/>
                      <w:lang w:val="en-US" w:eastAsia="zh-CN"/>
                    </w:rPr>
                    <w:t>颗粒物</w:t>
                  </w:r>
                </w:p>
              </w:tc>
              <w:tc>
                <w:tcPr>
                  <w:tcW w:w="512" w:type="pct"/>
                  <w:tcBorders>
                    <w:tl2br w:val="nil"/>
                    <w:tr2bl w:val="nil"/>
                  </w:tcBorders>
                  <w:noWrap w:val="0"/>
                  <w:vAlign w:val="center"/>
                </w:tcPr>
                <w:p w14:paraId="1C98D56B">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110.6235</w:t>
                  </w:r>
                </w:p>
              </w:tc>
              <w:tc>
                <w:tcPr>
                  <w:tcW w:w="462" w:type="pct"/>
                  <w:tcBorders>
                    <w:tl2br w:val="nil"/>
                    <w:tr2bl w:val="nil"/>
                  </w:tcBorders>
                  <w:noWrap w:val="0"/>
                  <w:vAlign w:val="center"/>
                </w:tcPr>
                <w:p w14:paraId="3DE7B745">
                  <w:pPr>
                    <w:pStyle w:val="40"/>
                    <w:bidi w:val="0"/>
                    <w:rPr>
                      <w:color w:val="auto"/>
                      <w:spacing w:val="-11"/>
                      <w:sz w:val="21"/>
                      <w:highlight w:val="none"/>
                    </w:rPr>
                  </w:pPr>
                  <w:r>
                    <w:rPr>
                      <w:rFonts w:hint="eastAsia"/>
                      <w:color w:val="auto"/>
                      <w:spacing w:val="-11"/>
                      <w:sz w:val="21"/>
                      <w:highlight w:val="none"/>
                      <w:lang w:val="en-US" w:eastAsia="zh-CN"/>
                    </w:rPr>
                    <w:t>/</w:t>
                  </w:r>
                </w:p>
              </w:tc>
              <w:tc>
                <w:tcPr>
                  <w:tcW w:w="441" w:type="pct"/>
                  <w:vMerge w:val="restart"/>
                  <w:tcBorders>
                    <w:tl2br w:val="nil"/>
                    <w:tr2bl w:val="nil"/>
                  </w:tcBorders>
                  <w:noWrap w:val="0"/>
                  <w:vAlign w:val="center"/>
                </w:tcPr>
                <w:p w14:paraId="54534306">
                  <w:pPr>
                    <w:pStyle w:val="40"/>
                    <w:bidi w:val="0"/>
                    <w:rPr>
                      <w:color w:val="auto"/>
                      <w:spacing w:val="-6"/>
                      <w:sz w:val="21"/>
                      <w:highlight w:val="none"/>
                    </w:rPr>
                  </w:pPr>
                  <w:r>
                    <w:rPr>
                      <w:rFonts w:hint="eastAsia" w:cs="Times New Roman"/>
                      <w:b w:val="0"/>
                      <w:bCs w:val="0"/>
                      <w:color w:val="auto"/>
                      <w:spacing w:val="-6"/>
                      <w:kern w:val="2"/>
                      <w:sz w:val="21"/>
                      <w:szCs w:val="21"/>
                      <w:highlight w:val="none"/>
                      <w:lang w:val="en-US" w:eastAsia="zh-CN" w:bidi="ar-SA"/>
                    </w:rPr>
                    <w:t>无组织</w:t>
                  </w:r>
                </w:p>
              </w:tc>
              <w:tc>
                <w:tcPr>
                  <w:tcW w:w="465" w:type="pct"/>
                  <w:tcBorders>
                    <w:tl2br w:val="nil"/>
                    <w:tr2bl w:val="nil"/>
                  </w:tcBorders>
                  <w:noWrap w:val="0"/>
                  <w:vAlign w:val="center"/>
                </w:tcPr>
                <w:p w14:paraId="39747699">
                  <w:pPr>
                    <w:pStyle w:val="40"/>
                    <w:bidi w:val="0"/>
                    <w:rPr>
                      <w:color w:val="auto"/>
                      <w:spacing w:val="-6"/>
                      <w:sz w:val="21"/>
                      <w:highlight w:val="none"/>
                    </w:rPr>
                  </w:pPr>
                  <w:r>
                    <w:rPr>
                      <w:rFonts w:hint="eastAsia"/>
                      <w:color w:val="auto"/>
                      <w:spacing w:val="-6"/>
                      <w:sz w:val="21"/>
                      <w:highlight w:val="none"/>
                      <w:lang w:val="en-US" w:eastAsia="zh-CN"/>
                    </w:rPr>
                    <w:t>/</w:t>
                  </w:r>
                </w:p>
              </w:tc>
              <w:tc>
                <w:tcPr>
                  <w:tcW w:w="396" w:type="pct"/>
                  <w:tcBorders>
                    <w:tl2br w:val="nil"/>
                    <w:tr2bl w:val="nil"/>
                  </w:tcBorders>
                  <w:noWrap w:val="0"/>
                  <w:vAlign w:val="center"/>
                </w:tcPr>
                <w:p w14:paraId="7992EDD9">
                  <w:pPr>
                    <w:pStyle w:val="40"/>
                    <w:bidi w:val="0"/>
                    <w:rPr>
                      <w:color w:val="auto"/>
                      <w:spacing w:val="-6"/>
                      <w:sz w:val="21"/>
                      <w:highlight w:val="none"/>
                    </w:rPr>
                  </w:pPr>
                  <w:r>
                    <w:rPr>
                      <w:rFonts w:hint="eastAsia"/>
                      <w:color w:val="auto"/>
                      <w:spacing w:val="-6"/>
                      <w:sz w:val="21"/>
                      <w:highlight w:val="none"/>
                      <w:lang w:val="en-US" w:eastAsia="zh-CN"/>
                    </w:rPr>
                    <w:t>99.7%</w:t>
                  </w:r>
                </w:p>
              </w:tc>
              <w:tc>
                <w:tcPr>
                  <w:tcW w:w="555" w:type="pct"/>
                  <w:vMerge w:val="restart"/>
                  <w:tcBorders>
                    <w:tl2br w:val="nil"/>
                    <w:tr2bl w:val="nil"/>
                  </w:tcBorders>
                  <w:noWrap w:val="0"/>
                  <w:vAlign w:val="center"/>
                </w:tcPr>
                <w:p w14:paraId="3B02021B">
                  <w:pPr>
                    <w:pStyle w:val="40"/>
                    <w:bidi w:val="0"/>
                    <w:rPr>
                      <w:rFonts w:hint="default" w:eastAsia="宋体"/>
                      <w:color w:val="auto"/>
                      <w:spacing w:val="-6"/>
                      <w:sz w:val="21"/>
                      <w:highlight w:val="none"/>
                      <w:lang w:val="en-US" w:eastAsia="zh-CN"/>
                    </w:rPr>
                  </w:pPr>
                  <w:r>
                    <w:rPr>
                      <w:rFonts w:hint="eastAsia"/>
                      <w:color w:val="auto"/>
                      <w:spacing w:val="-6"/>
                      <w:sz w:val="21"/>
                      <w:highlight w:val="none"/>
                      <w:lang w:val="en-US" w:eastAsia="zh-CN"/>
                    </w:rPr>
                    <w:t>0.574</w:t>
                  </w:r>
                </w:p>
              </w:tc>
              <w:tc>
                <w:tcPr>
                  <w:tcW w:w="398" w:type="pct"/>
                  <w:tcBorders>
                    <w:tl2br w:val="nil"/>
                    <w:tr2bl w:val="nil"/>
                  </w:tcBorders>
                  <w:noWrap w:val="0"/>
                  <w:vAlign w:val="center"/>
                </w:tcPr>
                <w:p w14:paraId="174D1CDA">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0.033</w:t>
                  </w:r>
                </w:p>
              </w:tc>
              <w:tc>
                <w:tcPr>
                  <w:tcW w:w="459" w:type="pct"/>
                  <w:vMerge w:val="restart"/>
                  <w:tcBorders>
                    <w:tl2br w:val="nil"/>
                    <w:tr2bl w:val="nil"/>
                  </w:tcBorders>
                  <w:noWrap w:val="0"/>
                  <w:vAlign w:val="center"/>
                </w:tcPr>
                <w:p w14:paraId="0BA16C71">
                  <w:pPr>
                    <w:pStyle w:val="40"/>
                    <w:bidi w:val="0"/>
                    <w:rPr>
                      <w:color w:val="auto"/>
                      <w:spacing w:val="-11"/>
                      <w:sz w:val="21"/>
                      <w:highlight w:val="none"/>
                    </w:rPr>
                  </w:pPr>
                  <w:r>
                    <w:rPr>
                      <w:rFonts w:hint="eastAsia"/>
                      <w:color w:val="auto"/>
                      <w:spacing w:val="-11"/>
                      <w:sz w:val="21"/>
                      <w:highlight w:val="none"/>
                      <w:lang w:val="en-US" w:eastAsia="zh-CN"/>
                    </w:rPr>
                    <w:t>/</w:t>
                  </w:r>
                </w:p>
              </w:tc>
            </w:tr>
            <w:tr w14:paraId="2263CA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2" w:type="pct"/>
                  <w:vMerge w:val="continue"/>
                  <w:tcBorders>
                    <w:tl2br w:val="nil"/>
                    <w:tr2bl w:val="nil"/>
                  </w:tcBorders>
                  <w:noWrap w:val="0"/>
                  <w:vAlign w:val="center"/>
                </w:tcPr>
                <w:p w14:paraId="4DCAAD6B">
                  <w:pPr>
                    <w:pStyle w:val="40"/>
                    <w:bidi w:val="0"/>
                    <w:rPr>
                      <w:rFonts w:hint="eastAsia"/>
                      <w:color w:val="auto"/>
                      <w:spacing w:val="-11"/>
                      <w:sz w:val="21"/>
                      <w:highlight w:val="none"/>
                      <w:lang w:val="en-US" w:eastAsia="zh-CN"/>
                    </w:rPr>
                  </w:pPr>
                </w:p>
              </w:tc>
              <w:tc>
                <w:tcPr>
                  <w:tcW w:w="562" w:type="pct"/>
                  <w:vMerge w:val="continue"/>
                  <w:tcBorders>
                    <w:tl2br w:val="nil"/>
                    <w:tr2bl w:val="nil"/>
                  </w:tcBorders>
                  <w:noWrap w:val="0"/>
                  <w:vAlign w:val="center"/>
                </w:tcPr>
                <w:p w14:paraId="3A765B3E">
                  <w:pPr>
                    <w:pStyle w:val="40"/>
                    <w:bidi w:val="0"/>
                    <w:rPr>
                      <w:rFonts w:hint="eastAsia"/>
                      <w:color w:val="auto"/>
                      <w:spacing w:val="-11"/>
                      <w:sz w:val="21"/>
                      <w:highlight w:val="none"/>
                      <w:lang w:val="en-US" w:eastAsia="zh-CN"/>
                    </w:rPr>
                  </w:pPr>
                </w:p>
              </w:tc>
              <w:tc>
                <w:tcPr>
                  <w:tcW w:w="412" w:type="pct"/>
                  <w:vMerge w:val="continue"/>
                  <w:tcBorders>
                    <w:tl2br w:val="nil"/>
                    <w:tr2bl w:val="nil"/>
                  </w:tcBorders>
                  <w:shd w:val="clear" w:color="auto" w:fill="auto"/>
                  <w:noWrap w:val="0"/>
                  <w:vAlign w:val="center"/>
                </w:tcPr>
                <w:p w14:paraId="6E60A477">
                  <w:pPr>
                    <w:pStyle w:val="40"/>
                    <w:bidi w:val="0"/>
                    <w:ind w:firstLine="0" w:firstLineChars="0"/>
                    <w:rPr>
                      <w:rFonts w:hint="eastAsia"/>
                      <w:color w:val="auto"/>
                      <w:spacing w:val="-6"/>
                      <w:highlight w:val="none"/>
                      <w:lang w:val="en-US" w:eastAsia="zh-CN"/>
                    </w:rPr>
                  </w:pPr>
                </w:p>
              </w:tc>
              <w:tc>
                <w:tcPr>
                  <w:tcW w:w="512" w:type="pct"/>
                  <w:tcBorders>
                    <w:tl2br w:val="nil"/>
                    <w:tr2bl w:val="nil"/>
                  </w:tcBorders>
                  <w:noWrap w:val="0"/>
                  <w:vAlign w:val="center"/>
                </w:tcPr>
                <w:p w14:paraId="010151B1">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12.2915</w:t>
                  </w:r>
                </w:p>
              </w:tc>
              <w:tc>
                <w:tcPr>
                  <w:tcW w:w="462" w:type="pct"/>
                  <w:tcBorders>
                    <w:tl2br w:val="nil"/>
                    <w:tr2bl w:val="nil"/>
                  </w:tcBorders>
                  <w:noWrap w:val="0"/>
                  <w:vAlign w:val="center"/>
                </w:tcPr>
                <w:p w14:paraId="5012C0D1">
                  <w:pPr>
                    <w:pStyle w:val="40"/>
                    <w:bidi w:val="0"/>
                    <w:rPr>
                      <w:color w:val="auto"/>
                      <w:spacing w:val="-6"/>
                      <w:sz w:val="21"/>
                      <w:highlight w:val="none"/>
                    </w:rPr>
                  </w:pPr>
                  <w:r>
                    <w:rPr>
                      <w:rFonts w:hint="eastAsia"/>
                      <w:color w:val="auto"/>
                      <w:spacing w:val="-6"/>
                      <w:sz w:val="21"/>
                      <w:highlight w:val="none"/>
                      <w:lang w:val="en-US" w:eastAsia="zh-CN"/>
                    </w:rPr>
                    <w:t>/</w:t>
                  </w:r>
                </w:p>
              </w:tc>
              <w:tc>
                <w:tcPr>
                  <w:tcW w:w="441" w:type="pct"/>
                  <w:vMerge w:val="continue"/>
                  <w:tcBorders>
                    <w:tl2br w:val="nil"/>
                    <w:tr2bl w:val="nil"/>
                  </w:tcBorders>
                  <w:noWrap w:val="0"/>
                  <w:vAlign w:val="center"/>
                </w:tcPr>
                <w:p w14:paraId="0E57DBBA">
                  <w:pPr>
                    <w:pStyle w:val="40"/>
                    <w:bidi w:val="0"/>
                    <w:rPr>
                      <w:color w:val="auto"/>
                      <w:spacing w:val="-6"/>
                      <w:sz w:val="21"/>
                      <w:highlight w:val="none"/>
                    </w:rPr>
                  </w:pPr>
                </w:p>
              </w:tc>
              <w:tc>
                <w:tcPr>
                  <w:tcW w:w="465" w:type="pct"/>
                  <w:tcBorders>
                    <w:tl2br w:val="nil"/>
                    <w:tr2bl w:val="nil"/>
                  </w:tcBorders>
                  <w:noWrap w:val="0"/>
                  <w:vAlign w:val="center"/>
                </w:tcPr>
                <w:p w14:paraId="79C61276">
                  <w:pPr>
                    <w:pStyle w:val="40"/>
                    <w:bidi w:val="0"/>
                    <w:rPr>
                      <w:color w:val="auto"/>
                      <w:spacing w:val="-6"/>
                      <w:sz w:val="21"/>
                      <w:highlight w:val="none"/>
                    </w:rPr>
                  </w:pPr>
                  <w:r>
                    <w:rPr>
                      <w:rFonts w:hint="eastAsia"/>
                      <w:color w:val="auto"/>
                      <w:spacing w:val="-6"/>
                      <w:sz w:val="21"/>
                      <w:highlight w:val="none"/>
                      <w:lang w:val="en-US" w:eastAsia="zh-CN"/>
                    </w:rPr>
                    <w:t>/</w:t>
                  </w:r>
                </w:p>
              </w:tc>
              <w:tc>
                <w:tcPr>
                  <w:tcW w:w="396" w:type="pct"/>
                  <w:tcBorders>
                    <w:tl2br w:val="nil"/>
                    <w:tr2bl w:val="nil"/>
                  </w:tcBorders>
                  <w:shd w:val="clear" w:color="auto" w:fill="auto"/>
                  <w:noWrap w:val="0"/>
                  <w:vAlign w:val="center"/>
                </w:tcPr>
                <w:p w14:paraId="7355B11E">
                  <w:pPr>
                    <w:pStyle w:val="40"/>
                    <w:bidi w:val="0"/>
                    <w:ind w:firstLine="0" w:firstLineChars="0"/>
                    <w:rPr>
                      <w:rFonts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sz w:val="21"/>
                      <w:highlight w:val="none"/>
                      <w:lang w:val="en-US" w:eastAsia="zh-CN"/>
                    </w:rPr>
                    <w:t>90</w:t>
                  </w:r>
                  <w:r>
                    <w:rPr>
                      <w:color w:val="auto"/>
                      <w:spacing w:val="-6"/>
                      <w:sz w:val="21"/>
                      <w:highlight w:val="none"/>
                    </w:rPr>
                    <w:t>%</w:t>
                  </w:r>
                </w:p>
              </w:tc>
              <w:tc>
                <w:tcPr>
                  <w:tcW w:w="555" w:type="pct"/>
                  <w:vMerge w:val="continue"/>
                  <w:tcBorders>
                    <w:tl2br w:val="nil"/>
                    <w:tr2bl w:val="nil"/>
                  </w:tcBorders>
                  <w:noWrap w:val="0"/>
                  <w:vAlign w:val="center"/>
                </w:tcPr>
                <w:p w14:paraId="36EDDA9B">
                  <w:pPr>
                    <w:pStyle w:val="40"/>
                    <w:bidi w:val="0"/>
                    <w:rPr>
                      <w:color w:val="auto"/>
                      <w:spacing w:val="-6"/>
                      <w:sz w:val="21"/>
                      <w:highlight w:val="none"/>
                    </w:rPr>
                  </w:pPr>
                </w:p>
              </w:tc>
              <w:tc>
                <w:tcPr>
                  <w:tcW w:w="398" w:type="pct"/>
                  <w:tcBorders>
                    <w:tl2br w:val="nil"/>
                    <w:tr2bl w:val="nil"/>
                  </w:tcBorders>
                  <w:noWrap w:val="0"/>
                  <w:vAlign w:val="center"/>
                </w:tcPr>
                <w:p w14:paraId="1EA87DD0">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1.229</w:t>
                  </w:r>
                </w:p>
              </w:tc>
              <w:tc>
                <w:tcPr>
                  <w:tcW w:w="459" w:type="pct"/>
                  <w:vMerge w:val="continue"/>
                  <w:tcBorders>
                    <w:tl2br w:val="nil"/>
                    <w:tr2bl w:val="nil"/>
                  </w:tcBorders>
                  <w:noWrap w:val="0"/>
                  <w:vAlign w:val="center"/>
                </w:tcPr>
                <w:p w14:paraId="3D6A0C42">
                  <w:pPr>
                    <w:pStyle w:val="40"/>
                    <w:bidi w:val="0"/>
                    <w:rPr>
                      <w:color w:val="auto"/>
                      <w:spacing w:val="-11"/>
                      <w:sz w:val="21"/>
                      <w:highlight w:val="none"/>
                    </w:rPr>
                  </w:pPr>
                </w:p>
              </w:tc>
            </w:tr>
          </w:tbl>
          <w:p w14:paraId="18FDB460">
            <w:pPr>
              <w:pStyle w:val="7"/>
              <w:bidi w:val="0"/>
              <w:rPr>
                <w:rFonts w:hint="eastAsia"/>
                <w:color w:val="auto"/>
                <w:highlight w:val="none"/>
                <w:lang w:val="en-US" w:eastAsia="zh-CN"/>
              </w:rPr>
            </w:pPr>
            <w:bookmarkStart w:id="52" w:name="_Ref12138"/>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2</w:t>
            </w:r>
            <w:r>
              <w:rPr>
                <w:color w:val="auto"/>
                <w:highlight w:val="none"/>
              </w:rPr>
              <w:fldChar w:fldCharType="end"/>
            </w:r>
            <w:bookmarkEnd w:id="52"/>
            <w:r>
              <w:rPr>
                <w:rFonts w:hint="eastAsia"/>
                <w:color w:val="auto"/>
                <w:highlight w:val="none"/>
                <w:lang w:val="en-US" w:eastAsia="zh-CN"/>
              </w:rPr>
              <w:t xml:space="preserve">   废气污染源排放汇总表</w:t>
            </w:r>
          </w:p>
          <w:tbl>
            <w:tblPr>
              <w:tblStyle w:val="25"/>
              <w:tblW w:w="8108"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005"/>
              <w:gridCol w:w="1701"/>
              <w:gridCol w:w="1701"/>
              <w:gridCol w:w="1701"/>
            </w:tblGrid>
            <w:tr w14:paraId="4CC156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05" w:type="dxa"/>
                  <w:tcBorders>
                    <w:tl2br w:val="nil"/>
                    <w:tr2bl w:val="nil"/>
                  </w:tcBorders>
                  <w:vAlign w:val="center"/>
                </w:tcPr>
                <w:p w14:paraId="62C1DC3F">
                  <w:pPr>
                    <w:pStyle w:val="40"/>
                    <w:bidi w:val="0"/>
                    <w:jc w:val="center"/>
                    <w:rPr>
                      <w:rFonts w:hint="default"/>
                      <w:color w:val="auto"/>
                      <w:highlight w:val="none"/>
                      <w:lang w:val="en-US" w:eastAsia="zh-CN"/>
                    </w:rPr>
                  </w:pPr>
                  <w:r>
                    <w:rPr>
                      <w:rFonts w:hint="eastAsia"/>
                      <w:color w:val="auto"/>
                      <w:highlight w:val="none"/>
                      <w:lang w:val="en-US" w:eastAsia="zh-CN"/>
                    </w:rPr>
                    <w:t>污染源</w:t>
                  </w:r>
                </w:p>
              </w:tc>
              <w:tc>
                <w:tcPr>
                  <w:tcW w:w="1701" w:type="dxa"/>
                  <w:tcBorders>
                    <w:tl2br w:val="nil"/>
                    <w:tr2bl w:val="nil"/>
                  </w:tcBorders>
                  <w:vAlign w:val="center"/>
                </w:tcPr>
                <w:p w14:paraId="12159705">
                  <w:pPr>
                    <w:pStyle w:val="40"/>
                    <w:bidi w:val="0"/>
                    <w:jc w:val="center"/>
                    <w:rPr>
                      <w:rFonts w:hint="default"/>
                      <w:color w:val="auto"/>
                      <w:highlight w:val="none"/>
                      <w:lang w:val="en-US" w:eastAsia="zh-CN"/>
                    </w:rPr>
                  </w:pPr>
                  <w:r>
                    <w:rPr>
                      <w:rFonts w:hint="eastAsia"/>
                      <w:color w:val="auto"/>
                      <w:highlight w:val="none"/>
                      <w:lang w:val="en-US" w:eastAsia="zh-CN"/>
                    </w:rPr>
                    <w:t>污染物种类</w:t>
                  </w:r>
                </w:p>
              </w:tc>
              <w:tc>
                <w:tcPr>
                  <w:tcW w:w="1701" w:type="dxa"/>
                  <w:tcBorders>
                    <w:tl2br w:val="nil"/>
                    <w:tr2bl w:val="nil"/>
                  </w:tcBorders>
                  <w:shd w:val="clear" w:color="auto" w:fill="auto"/>
                  <w:vAlign w:val="center"/>
                </w:tcPr>
                <w:p w14:paraId="5D9F9A44">
                  <w:pPr>
                    <w:pStyle w:val="40"/>
                    <w:bidi w:val="0"/>
                    <w:ind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排放形式</w:t>
                  </w:r>
                </w:p>
              </w:tc>
              <w:tc>
                <w:tcPr>
                  <w:tcW w:w="1701" w:type="dxa"/>
                  <w:tcBorders>
                    <w:tl2br w:val="nil"/>
                    <w:tr2bl w:val="nil"/>
                  </w:tcBorders>
                  <w:vAlign w:val="center"/>
                </w:tcPr>
                <w:p w14:paraId="6F8725DD">
                  <w:pPr>
                    <w:pStyle w:val="40"/>
                    <w:bidi w:val="0"/>
                    <w:jc w:val="center"/>
                    <w:rPr>
                      <w:rFonts w:hint="default"/>
                      <w:color w:val="auto"/>
                      <w:highlight w:val="none"/>
                      <w:lang w:val="en-US" w:eastAsia="zh-CN"/>
                    </w:rPr>
                  </w:pPr>
                  <w:r>
                    <w:rPr>
                      <w:rFonts w:hint="eastAsia"/>
                      <w:color w:val="auto"/>
                      <w:highlight w:val="none"/>
                      <w:lang w:val="en-US" w:eastAsia="zh-CN"/>
                    </w:rPr>
                    <w:t>排放量</w:t>
                  </w:r>
                  <w:r>
                    <w:rPr>
                      <w:color w:val="auto"/>
                      <w:spacing w:val="-11"/>
                      <w:sz w:val="21"/>
                      <w:highlight w:val="none"/>
                    </w:rPr>
                    <w:t>t/a</w:t>
                  </w:r>
                </w:p>
              </w:tc>
            </w:tr>
            <w:tr w14:paraId="270A32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05" w:type="dxa"/>
                  <w:vMerge w:val="restart"/>
                  <w:tcBorders>
                    <w:tl2br w:val="nil"/>
                    <w:tr2bl w:val="nil"/>
                  </w:tcBorders>
                  <w:vAlign w:val="center"/>
                </w:tcPr>
                <w:p w14:paraId="0C2EB7B0">
                  <w:pPr>
                    <w:pStyle w:val="40"/>
                    <w:bidi w:val="0"/>
                    <w:jc w:val="center"/>
                    <w:rPr>
                      <w:rFonts w:hint="default"/>
                      <w:color w:val="auto"/>
                      <w:highlight w:val="none"/>
                      <w:lang w:val="en-US" w:eastAsia="zh-CN"/>
                    </w:rPr>
                  </w:pPr>
                  <w:r>
                    <w:rPr>
                      <w:rFonts w:hint="eastAsia"/>
                      <w:color w:val="auto"/>
                      <w:highlight w:val="none"/>
                      <w:lang w:val="en-US" w:eastAsia="zh-CN"/>
                    </w:rPr>
                    <w:t>蒸压硅酸盐功能骨料生产车间</w:t>
                  </w:r>
                </w:p>
              </w:tc>
              <w:tc>
                <w:tcPr>
                  <w:tcW w:w="1701" w:type="dxa"/>
                  <w:tcBorders>
                    <w:tl2br w:val="nil"/>
                    <w:tr2bl w:val="nil"/>
                  </w:tcBorders>
                  <w:vAlign w:val="center"/>
                </w:tcPr>
                <w:p w14:paraId="2131D2B2">
                  <w:pPr>
                    <w:pStyle w:val="40"/>
                    <w:bidi w:val="0"/>
                    <w:jc w:val="center"/>
                    <w:rPr>
                      <w:rFonts w:hint="default"/>
                      <w:color w:val="auto"/>
                      <w:highlight w:val="none"/>
                      <w:lang w:val="en-US" w:eastAsia="zh-CN"/>
                    </w:rPr>
                  </w:pPr>
                  <w:r>
                    <w:rPr>
                      <w:rFonts w:hint="eastAsia"/>
                      <w:color w:val="auto"/>
                      <w:highlight w:val="none"/>
                      <w:lang w:val="en-US" w:eastAsia="zh-CN"/>
                    </w:rPr>
                    <w:t>颗粒物</w:t>
                  </w:r>
                </w:p>
              </w:tc>
              <w:tc>
                <w:tcPr>
                  <w:tcW w:w="1701" w:type="dxa"/>
                  <w:tcBorders>
                    <w:tl2br w:val="nil"/>
                    <w:tr2bl w:val="nil"/>
                  </w:tcBorders>
                  <w:shd w:val="clear" w:color="auto" w:fill="auto"/>
                  <w:vAlign w:val="center"/>
                </w:tcPr>
                <w:p w14:paraId="29AABE7A">
                  <w:pPr>
                    <w:pStyle w:val="40"/>
                    <w:bidi w:val="0"/>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有组织</w:t>
                  </w:r>
                </w:p>
              </w:tc>
              <w:tc>
                <w:tcPr>
                  <w:tcW w:w="1701" w:type="dxa"/>
                  <w:tcBorders>
                    <w:tl2br w:val="nil"/>
                    <w:tr2bl w:val="nil"/>
                  </w:tcBorders>
                  <w:vAlign w:val="center"/>
                </w:tcPr>
                <w:p w14:paraId="3EB6A2AA">
                  <w:pPr>
                    <w:pStyle w:val="40"/>
                    <w:bidi w:val="0"/>
                    <w:jc w:val="center"/>
                    <w:rPr>
                      <w:rFonts w:hint="default"/>
                      <w:color w:val="auto"/>
                      <w:highlight w:val="none"/>
                      <w:lang w:val="en-US" w:eastAsia="zh-CN"/>
                    </w:rPr>
                  </w:pPr>
                  <w:r>
                    <w:rPr>
                      <w:rFonts w:hint="eastAsia"/>
                      <w:color w:val="auto"/>
                      <w:highlight w:val="none"/>
                      <w:lang w:val="en-US" w:eastAsia="zh-CN"/>
                    </w:rPr>
                    <w:t>16.612</w:t>
                  </w:r>
                </w:p>
              </w:tc>
            </w:tr>
            <w:tr w14:paraId="2270A9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05" w:type="dxa"/>
                  <w:vMerge w:val="continue"/>
                  <w:tcBorders>
                    <w:tl2br w:val="nil"/>
                    <w:tr2bl w:val="nil"/>
                  </w:tcBorders>
                  <w:vAlign w:val="center"/>
                </w:tcPr>
                <w:p w14:paraId="1B99EB90">
                  <w:pPr>
                    <w:pStyle w:val="40"/>
                    <w:bidi w:val="0"/>
                    <w:jc w:val="center"/>
                    <w:rPr>
                      <w:rFonts w:hint="default"/>
                      <w:color w:val="auto"/>
                      <w:highlight w:val="none"/>
                      <w:lang w:val="en-US" w:eastAsia="zh-CN"/>
                    </w:rPr>
                  </w:pPr>
                </w:p>
              </w:tc>
              <w:tc>
                <w:tcPr>
                  <w:tcW w:w="1701" w:type="dxa"/>
                  <w:tcBorders>
                    <w:tl2br w:val="nil"/>
                    <w:tr2bl w:val="nil"/>
                  </w:tcBorders>
                  <w:vAlign w:val="center"/>
                </w:tcPr>
                <w:p w14:paraId="5AA1C1FB">
                  <w:pPr>
                    <w:pStyle w:val="40"/>
                    <w:bidi w:val="0"/>
                    <w:jc w:val="center"/>
                    <w:rPr>
                      <w:rFonts w:hint="default"/>
                      <w:color w:val="auto"/>
                      <w:highlight w:val="none"/>
                      <w:lang w:val="en-US" w:eastAsia="zh-CN"/>
                    </w:rPr>
                  </w:pPr>
                  <w:r>
                    <w:rPr>
                      <w:rFonts w:hint="eastAsia"/>
                      <w:color w:val="auto"/>
                      <w:highlight w:val="none"/>
                      <w:lang w:val="en-US" w:eastAsia="zh-CN"/>
                    </w:rPr>
                    <w:t>颗粒物</w:t>
                  </w:r>
                </w:p>
              </w:tc>
              <w:tc>
                <w:tcPr>
                  <w:tcW w:w="1701" w:type="dxa"/>
                  <w:tcBorders>
                    <w:tl2br w:val="nil"/>
                    <w:tr2bl w:val="nil"/>
                  </w:tcBorders>
                  <w:shd w:val="clear" w:color="auto" w:fill="auto"/>
                  <w:vAlign w:val="center"/>
                </w:tcPr>
                <w:p w14:paraId="00B0EFBF">
                  <w:pPr>
                    <w:pStyle w:val="40"/>
                    <w:bidi w:val="0"/>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无组织</w:t>
                  </w:r>
                </w:p>
              </w:tc>
              <w:tc>
                <w:tcPr>
                  <w:tcW w:w="1701" w:type="dxa"/>
                  <w:tcBorders>
                    <w:tl2br w:val="nil"/>
                    <w:tr2bl w:val="nil"/>
                  </w:tcBorders>
                  <w:vAlign w:val="center"/>
                </w:tcPr>
                <w:p w14:paraId="1F5BD57D">
                  <w:pPr>
                    <w:pStyle w:val="40"/>
                    <w:bidi w:val="0"/>
                    <w:jc w:val="center"/>
                    <w:rPr>
                      <w:rFonts w:hint="default"/>
                      <w:color w:val="auto"/>
                      <w:highlight w:val="none"/>
                      <w:lang w:val="en-US" w:eastAsia="zh-CN"/>
                    </w:rPr>
                  </w:pPr>
                  <w:r>
                    <w:rPr>
                      <w:rFonts w:hint="eastAsia"/>
                      <w:color w:val="auto"/>
                      <w:highlight w:val="none"/>
                      <w:lang w:val="en-US" w:eastAsia="zh-CN"/>
                    </w:rPr>
                    <w:t>13.125</w:t>
                  </w:r>
                </w:p>
              </w:tc>
            </w:tr>
            <w:tr w14:paraId="203129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05" w:type="dxa"/>
                  <w:tcBorders>
                    <w:tl2br w:val="nil"/>
                    <w:tr2bl w:val="nil"/>
                  </w:tcBorders>
                  <w:vAlign w:val="center"/>
                </w:tcPr>
                <w:p w14:paraId="70B97760">
                  <w:pPr>
                    <w:pStyle w:val="40"/>
                    <w:bidi w:val="0"/>
                    <w:jc w:val="center"/>
                    <w:rPr>
                      <w:rFonts w:hint="default"/>
                      <w:color w:val="auto"/>
                      <w:highlight w:val="none"/>
                      <w:lang w:val="en-US" w:eastAsia="zh-CN"/>
                    </w:rPr>
                  </w:pPr>
                  <w:r>
                    <w:rPr>
                      <w:rFonts w:hint="eastAsia"/>
                      <w:color w:val="auto"/>
                      <w:highlight w:val="none"/>
                      <w:lang w:val="en-US" w:eastAsia="zh-CN"/>
                    </w:rPr>
                    <w:t>混凝土生产线</w:t>
                  </w:r>
                </w:p>
              </w:tc>
              <w:tc>
                <w:tcPr>
                  <w:tcW w:w="1701" w:type="dxa"/>
                  <w:tcBorders>
                    <w:tl2br w:val="nil"/>
                    <w:tr2bl w:val="nil"/>
                  </w:tcBorders>
                  <w:vAlign w:val="center"/>
                </w:tcPr>
                <w:p w14:paraId="41D837D3">
                  <w:pPr>
                    <w:pStyle w:val="40"/>
                    <w:bidi w:val="0"/>
                    <w:jc w:val="center"/>
                    <w:rPr>
                      <w:rFonts w:hint="default"/>
                      <w:color w:val="auto"/>
                      <w:highlight w:val="none"/>
                      <w:lang w:val="en-US" w:eastAsia="zh-CN"/>
                    </w:rPr>
                  </w:pPr>
                  <w:r>
                    <w:rPr>
                      <w:rFonts w:hint="eastAsia"/>
                      <w:color w:val="auto"/>
                      <w:highlight w:val="none"/>
                      <w:lang w:val="en-US" w:eastAsia="zh-CN"/>
                    </w:rPr>
                    <w:t>颗粒物</w:t>
                  </w:r>
                </w:p>
              </w:tc>
              <w:tc>
                <w:tcPr>
                  <w:tcW w:w="1701" w:type="dxa"/>
                  <w:tcBorders>
                    <w:tl2br w:val="nil"/>
                    <w:tr2bl w:val="nil"/>
                  </w:tcBorders>
                  <w:shd w:val="clear" w:color="auto" w:fill="auto"/>
                  <w:vAlign w:val="center"/>
                </w:tcPr>
                <w:p w14:paraId="2138C8E7">
                  <w:pPr>
                    <w:pStyle w:val="40"/>
                    <w:bidi w:val="0"/>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无组织</w:t>
                  </w:r>
                </w:p>
              </w:tc>
              <w:tc>
                <w:tcPr>
                  <w:tcW w:w="1701" w:type="dxa"/>
                  <w:tcBorders>
                    <w:tl2br w:val="nil"/>
                    <w:tr2bl w:val="nil"/>
                  </w:tcBorders>
                  <w:vAlign w:val="center"/>
                </w:tcPr>
                <w:p w14:paraId="46844808">
                  <w:pPr>
                    <w:pStyle w:val="40"/>
                    <w:bidi w:val="0"/>
                    <w:jc w:val="center"/>
                    <w:rPr>
                      <w:rFonts w:hint="default"/>
                      <w:color w:val="auto"/>
                      <w:highlight w:val="none"/>
                      <w:lang w:val="en-US" w:eastAsia="zh-CN"/>
                    </w:rPr>
                  </w:pPr>
                  <w:r>
                    <w:rPr>
                      <w:rFonts w:hint="eastAsia"/>
                      <w:color w:val="auto"/>
                      <w:highlight w:val="none"/>
                      <w:lang w:val="en-US" w:eastAsia="zh-CN"/>
                    </w:rPr>
                    <w:t>1.532</w:t>
                  </w:r>
                </w:p>
              </w:tc>
            </w:tr>
            <w:tr w14:paraId="723996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05" w:type="dxa"/>
                  <w:vMerge w:val="restart"/>
                  <w:tcBorders>
                    <w:tl2br w:val="nil"/>
                    <w:tr2bl w:val="nil"/>
                  </w:tcBorders>
                  <w:vAlign w:val="center"/>
                </w:tcPr>
                <w:p w14:paraId="0EDBBA6C">
                  <w:pPr>
                    <w:pStyle w:val="40"/>
                    <w:bidi w:val="0"/>
                    <w:jc w:val="center"/>
                    <w:rPr>
                      <w:rFonts w:hint="default"/>
                      <w:color w:val="auto"/>
                      <w:highlight w:val="none"/>
                      <w:lang w:val="en-US" w:eastAsia="zh-CN"/>
                    </w:rPr>
                  </w:pPr>
                  <w:r>
                    <w:rPr>
                      <w:rFonts w:hint="eastAsia"/>
                      <w:color w:val="auto"/>
                      <w:highlight w:val="none"/>
                      <w:lang w:val="en-US" w:eastAsia="zh-CN"/>
                    </w:rPr>
                    <w:t>锅炉</w:t>
                  </w:r>
                </w:p>
              </w:tc>
              <w:tc>
                <w:tcPr>
                  <w:tcW w:w="1701" w:type="dxa"/>
                  <w:tcBorders>
                    <w:tl2br w:val="nil"/>
                    <w:tr2bl w:val="nil"/>
                  </w:tcBorders>
                  <w:shd w:val="clear" w:color="auto" w:fill="auto"/>
                  <w:vAlign w:val="center"/>
                </w:tcPr>
                <w:p w14:paraId="16F0B812">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SO</w:t>
                  </w:r>
                  <w:r>
                    <w:rPr>
                      <w:rFonts w:hint="eastAsia" w:cs="Times New Roman"/>
                      <w:b w:val="0"/>
                      <w:bCs w:val="0"/>
                      <w:color w:val="auto"/>
                      <w:kern w:val="2"/>
                      <w:sz w:val="21"/>
                      <w:szCs w:val="21"/>
                      <w:highlight w:val="none"/>
                      <w:vertAlign w:val="subscript"/>
                      <w:lang w:val="en-US" w:eastAsia="zh-CN" w:bidi="ar-SA"/>
                    </w:rPr>
                    <w:t>2</w:t>
                  </w:r>
                </w:p>
              </w:tc>
              <w:tc>
                <w:tcPr>
                  <w:tcW w:w="1701" w:type="dxa"/>
                  <w:vMerge w:val="restart"/>
                  <w:tcBorders>
                    <w:tl2br w:val="nil"/>
                    <w:tr2bl w:val="nil"/>
                  </w:tcBorders>
                  <w:shd w:val="clear" w:color="auto" w:fill="auto"/>
                  <w:vAlign w:val="center"/>
                </w:tcPr>
                <w:p w14:paraId="7A05A528">
                  <w:pPr>
                    <w:pStyle w:val="40"/>
                    <w:bidi w:val="0"/>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有组织</w:t>
                  </w:r>
                </w:p>
              </w:tc>
              <w:tc>
                <w:tcPr>
                  <w:tcW w:w="1701" w:type="dxa"/>
                  <w:tcBorders>
                    <w:tl2br w:val="nil"/>
                    <w:tr2bl w:val="nil"/>
                  </w:tcBorders>
                  <w:shd w:val="clear" w:color="auto" w:fill="auto"/>
                  <w:vAlign w:val="center"/>
                </w:tcPr>
                <w:p w14:paraId="065B7005">
                  <w:pPr>
                    <w:pStyle w:val="40"/>
                    <w:bidi w:val="0"/>
                    <w:ind w:firstLine="0" w:firstLineChars="0"/>
                    <w:rPr>
                      <w:rFonts w:hint="default" w:ascii="Times New Roman" w:hAnsi="Times New Roman" w:eastAsia="宋体" w:cs="Times New Roman"/>
                      <w:b w:val="0"/>
                      <w:bCs w:val="0"/>
                      <w:color w:val="auto"/>
                      <w:spacing w:val="-11"/>
                      <w:kern w:val="2"/>
                      <w:sz w:val="21"/>
                      <w:szCs w:val="21"/>
                      <w:highlight w:val="none"/>
                      <w:lang w:val="en-US" w:eastAsia="zh-CN" w:bidi="ar-SA"/>
                    </w:rPr>
                  </w:pPr>
                  <w:r>
                    <w:rPr>
                      <w:rFonts w:hint="eastAsia"/>
                      <w:color w:val="auto"/>
                      <w:spacing w:val="-6"/>
                      <w:sz w:val="21"/>
                      <w:highlight w:val="none"/>
                      <w:lang w:val="en-US" w:eastAsia="zh-CN"/>
                    </w:rPr>
                    <w:t>3.77</w:t>
                  </w:r>
                </w:p>
              </w:tc>
            </w:tr>
            <w:tr w14:paraId="24C516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05" w:type="dxa"/>
                  <w:vMerge w:val="continue"/>
                  <w:tcBorders>
                    <w:tl2br w:val="nil"/>
                    <w:tr2bl w:val="nil"/>
                  </w:tcBorders>
                  <w:vAlign w:val="center"/>
                </w:tcPr>
                <w:p w14:paraId="344FA9A0">
                  <w:pPr>
                    <w:pStyle w:val="40"/>
                    <w:bidi w:val="0"/>
                    <w:jc w:val="center"/>
                    <w:rPr>
                      <w:rFonts w:hint="eastAsia"/>
                      <w:color w:val="auto"/>
                      <w:highlight w:val="none"/>
                      <w:lang w:val="en-US" w:eastAsia="zh-CN"/>
                    </w:rPr>
                  </w:pPr>
                </w:p>
              </w:tc>
              <w:tc>
                <w:tcPr>
                  <w:tcW w:w="1701" w:type="dxa"/>
                  <w:tcBorders>
                    <w:tl2br w:val="nil"/>
                    <w:tr2bl w:val="nil"/>
                  </w:tcBorders>
                  <w:shd w:val="clear" w:color="auto" w:fill="auto"/>
                  <w:vAlign w:val="center"/>
                </w:tcPr>
                <w:p w14:paraId="0F67DE38">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颗粒物</w:t>
                  </w:r>
                </w:p>
              </w:tc>
              <w:tc>
                <w:tcPr>
                  <w:tcW w:w="1701" w:type="dxa"/>
                  <w:vMerge w:val="continue"/>
                  <w:tcBorders>
                    <w:tl2br w:val="nil"/>
                    <w:tr2bl w:val="nil"/>
                  </w:tcBorders>
                  <w:shd w:val="clear" w:color="auto" w:fill="auto"/>
                  <w:vAlign w:val="center"/>
                </w:tcPr>
                <w:p w14:paraId="75A34D8A">
                  <w:pPr>
                    <w:pStyle w:val="40"/>
                    <w:bidi w:val="0"/>
                    <w:ind w:firstLine="0" w:firstLineChars="0"/>
                    <w:jc w:val="center"/>
                    <w:rPr>
                      <w:rFonts w:hint="eastAsia"/>
                      <w:color w:val="auto"/>
                      <w:highlight w:val="none"/>
                      <w:lang w:val="en-US" w:eastAsia="zh-CN"/>
                    </w:rPr>
                  </w:pPr>
                </w:p>
              </w:tc>
              <w:tc>
                <w:tcPr>
                  <w:tcW w:w="1701" w:type="dxa"/>
                  <w:tcBorders>
                    <w:tl2br w:val="nil"/>
                    <w:tr2bl w:val="nil"/>
                  </w:tcBorders>
                  <w:shd w:val="clear" w:color="auto" w:fill="auto"/>
                  <w:vAlign w:val="center"/>
                </w:tcPr>
                <w:p w14:paraId="3158826B">
                  <w:pPr>
                    <w:pStyle w:val="40"/>
                    <w:bidi w:val="0"/>
                    <w:ind w:firstLine="0" w:firstLineChars="0"/>
                    <w:rPr>
                      <w:rFonts w:hint="default" w:ascii="Times New Roman" w:hAnsi="Times New Roman" w:eastAsia="宋体" w:cs="Times New Roman"/>
                      <w:b w:val="0"/>
                      <w:bCs w:val="0"/>
                      <w:color w:val="auto"/>
                      <w:spacing w:val="-11"/>
                      <w:kern w:val="2"/>
                      <w:sz w:val="21"/>
                      <w:szCs w:val="21"/>
                      <w:highlight w:val="none"/>
                      <w:lang w:val="en-US" w:eastAsia="zh-CN" w:bidi="ar-SA"/>
                    </w:rPr>
                  </w:pPr>
                  <w:r>
                    <w:rPr>
                      <w:rFonts w:hint="eastAsia"/>
                      <w:color w:val="auto"/>
                      <w:spacing w:val="-6"/>
                      <w:sz w:val="21"/>
                      <w:highlight w:val="none"/>
                      <w:lang w:val="en-US" w:eastAsia="zh-CN"/>
                    </w:rPr>
                    <w:t>0.914</w:t>
                  </w:r>
                </w:p>
              </w:tc>
            </w:tr>
            <w:tr w14:paraId="330623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05" w:type="dxa"/>
                  <w:vMerge w:val="continue"/>
                  <w:tcBorders>
                    <w:tl2br w:val="nil"/>
                    <w:tr2bl w:val="nil"/>
                  </w:tcBorders>
                  <w:vAlign w:val="center"/>
                </w:tcPr>
                <w:p w14:paraId="240FB767">
                  <w:pPr>
                    <w:pStyle w:val="40"/>
                    <w:bidi w:val="0"/>
                    <w:jc w:val="center"/>
                    <w:rPr>
                      <w:rFonts w:hint="default"/>
                      <w:color w:val="auto"/>
                      <w:highlight w:val="none"/>
                      <w:lang w:val="en-US" w:eastAsia="zh-CN"/>
                    </w:rPr>
                  </w:pPr>
                </w:p>
              </w:tc>
              <w:tc>
                <w:tcPr>
                  <w:tcW w:w="1701" w:type="dxa"/>
                  <w:tcBorders>
                    <w:tl2br w:val="nil"/>
                    <w:tr2bl w:val="nil"/>
                  </w:tcBorders>
                  <w:shd w:val="clear" w:color="auto" w:fill="auto"/>
                  <w:vAlign w:val="center"/>
                </w:tcPr>
                <w:p w14:paraId="145090E2">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NO</w:t>
                  </w:r>
                  <w:r>
                    <w:rPr>
                      <w:rFonts w:hint="eastAsia" w:cs="Times New Roman"/>
                      <w:b w:val="0"/>
                      <w:bCs w:val="0"/>
                      <w:color w:val="auto"/>
                      <w:kern w:val="2"/>
                      <w:sz w:val="21"/>
                      <w:szCs w:val="21"/>
                      <w:highlight w:val="none"/>
                      <w:vertAlign w:val="subscript"/>
                      <w:lang w:val="en-US" w:eastAsia="zh-CN" w:bidi="ar-SA"/>
                    </w:rPr>
                    <w:t>X</w:t>
                  </w:r>
                </w:p>
              </w:tc>
              <w:tc>
                <w:tcPr>
                  <w:tcW w:w="1701" w:type="dxa"/>
                  <w:vMerge w:val="continue"/>
                  <w:tcBorders>
                    <w:tl2br w:val="nil"/>
                    <w:tr2bl w:val="nil"/>
                  </w:tcBorders>
                  <w:shd w:val="clear" w:color="auto" w:fill="auto"/>
                  <w:vAlign w:val="center"/>
                </w:tcPr>
                <w:p w14:paraId="0D9AED09">
                  <w:pPr>
                    <w:pStyle w:val="40"/>
                    <w:bidi w:val="0"/>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p>
              </w:tc>
              <w:tc>
                <w:tcPr>
                  <w:tcW w:w="1701" w:type="dxa"/>
                  <w:tcBorders>
                    <w:tl2br w:val="nil"/>
                    <w:tr2bl w:val="nil"/>
                  </w:tcBorders>
                  <w:shd w:val="clear" w:color="auto" w:fill="auto"/>
                  <w:vAlign w:val="center"/>
                </w:tcPr>
                <w:p w14:paraId="68AE1D00">
                  <w:pPr>
                    <w:pStyle w:val="40"/>
                    <w:bidi w:val="0"/>
                    <w:ind w:firstLine="0" w:firstLineChars="0"/>
                    <w:rPr>
                      <w:rFonts w:hint="default" w:ascii="Times New Roman" w:hAnsi="Times New Roman" w:eastAsia="宋体" w:cs="Times New Roman"/>
                      <w:b w:val="0"/>
                      <w:bCs w:val="0"/>
                      <w:color w:val="auto"/>
                      <w:spacing w:val="-11"/>
                      <w:kern w:val="2"/>
                      <w:sz w:val="21"/>
                      <w:szCs w:val="21"/>
                      <w:highlight w:val="none"/>
                      <w:lang w:val="en-US" w:eastAsia="zh-CN" w:bidi="ar-SA"/>
                    </w:rPr>
                  </w:pPr>
                  <w:r>
                    <w:rPr>
                      <w:rFonts w:hint="eastAsia"/>
                      <w:color w:val="auto"/>
                      <w:spacing w:val="-6"/>
                      <w:sz w:val="21"/>
                      <w:highlight w:val="none"/>
                      <w:lang w:val="en-US" w:eastAsia="zh-CN"/>
                    </w:rPr>
                    <w:t>12.97</w:t>
                  </w:r>
                </w:p>
              </w:tc>
            </w:tr>
          </w:tbl>
          <w:p w14:paraId="38768041">
            <w:pPr>
              <w:pStyle w:val="41"/>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color w:val="auto"/>
                <w:highlight w:val="none"/>
                <w:lang w:val="en-US" w:eastAsia="zh-CN"/>
              </w:rPr>
            </w:pPr>
            <w:r>
              <w:rPr>
                <w:rFonts w:hint="eastAsia"/>
                <w:color w:val="auto"/>
                <w:highlight w:val="none"/>
                <w:lang w:val="en-US" w:eastAsia="zh-CN"/>
              </w:rPr>
              <w:t>2、排放标准</w:t>
            </w:r>
          </w:p>
          <w:p w14:paraId="7CE8FC8A">
            <w:pPr>
              <w:rPr>
                <w:rFonts w:hint="eastAsia"/>
                <w:color w:val="auto"/>
                <w:highlight w:val="none"/>
                <w:lang w:val="en-US" w:eastAsia="zh-CN"/>
              </w:rPr>
            </w:pPr>
            <w:r>
              <w:rPr>
                <w:rFonts w:hint="eastAsia"/>
                <w:color w:val="auto"/>
                <w:highlight w:val="none"/>
                <w:lang w:val="en-US" w:eastAsia="zh-CN"/>
              </w:rPr>
              <w:t>废气排放执行标准见</w:t>
            </w:r>
            <w:r>
              <w:rPr>
                <w:rFonts w:hint="eastAsia"/>
                <w:color w:val="auto"/>
                <w:highlight w:val="none"/>
                <w:lang w:val="en-US" w:eastAsia="zh-CN"/>
              </w:rPr>
              <w:fldChar w:fldCharType="begin"/>
            </w:r>
            <w:r>
              <w:rPr>
                <w:rFonts w:hint="eastAsia"/>
                <w:color w:val="auto"/>
                <w:highlight w:val="none"/>
                <w:lang w:val="en-US" w:eastAsia="zh-CN"/>
              </w:rPr>
              <w:instrText xml:space="preserve"> REF _Ref19327 \h </w:instrText>
            </w:r>
            <w:r>
              <w:rPr>
                <w:rFonts w:hint="eastAsia"/>
                <w:color w:val="auto"/>
                <w:highlight w:val="none"/>
                <w:lang w:val="en-US" w:eastAsia="zh-CN"/>
              </w:rPr>
              <w:fldChar w:fldCharType="separate"/>
            </w:r>
            <w:r>
              <w:rPr>
                <w:color w:val="auto"/>
                <w:highlight w:val="none"/>
              </w:rPr>
              <w:t>表4-3</w:t>
            </w:r>
            <w:r>
              <w:rPr>
                <w:rFonts w:hint="eastAsia"/>
                <w:color w:val="auto"/>
                <w:highlight w:val="none"/>
                <w:lang w:val="en-US" w:eastAsia="zh-CN"/>
              </w:rPr>
              <w:fldChar w:fldCharType="end"/>
            </w:r>
            <w:r>
              <w:rPr>
                <w:rFonts w:hint="eastAsia"/>
                <w:color w:val="auto"/>
                <w:highlight w:val="none"/>
                <w:lang w:val="en-US" w:eastAsia="zh-CN"/>
              </w:rPr>
              <w:t>。</w:t>
            </w:r>
          </w:p>
          <w:p w14:paraId="3F1989D5">
            <w:pPr>
              <w:pStyle w:val="7"/>
              <w:bidi w:val="0"/>
              <w:rPr>
                <w:color w:val="auto"/>
                <w:highlight w:val="none"/>
              </w:rPr>
            </w:pPr>
            <w:bookmarkStart w:id="53" w:name="_Ref19327"/>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3</w:t>
            </w:r>
            <w:r>
              <w:rPr>
                <w:color w:val="auto"/>
                <w:highlight w:val="none"/>
              </w:rPr>
              <w:fldChar w:fldCharType="end"/>
            </w:r>
            <w:bookmarkEnd w:id="53"/>
            <w:r>
              <w:rPr>
                <w:rFonts w:hint="eastAsia"/>
                <w:color w:val="auto"/>
                <w:highlight w:val="none"/>
                <w:lang w:val="en-US" w:eastAsia="zh-CN"/>
              </w:rPr>
              <w:t xml:space="preserve">  </w:t>
            </w:r>
            <w:r>
              <w:rPr>
                <w:color w:val="auto"/>
                <w:highlight w:val="none"/>
              </w:rPr>
              <w:t>废气排放执行标准表</w:t>
            </w:r>
          </w:p>
          <w:tbl>
            <w:tblPr>
              <w:tblStyle w:val="25"/>
              <w:tblW w:w="814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5"/>
              <w:gridCol w:w="1100"/>
              <w:gridCol w:w="6359"/>
            </w:tblGrid>
            <w:tr w14:paraId="101A42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dxa"/>
                  <w:tcBorders>
                    <w:tl2br w:val="nil"/>
                    <w:tr2bl w:val="nil"/>
                  </w:tcBorders>
                  <w:vAlign w:val="center"/>
                </w:tcPr>
                <w:p w14:paraId="30F75F52">
                  <w:pPr>
                    <w:pStyle w:val="40"/>
                    <w:bidi w:val="0"/>
                    <w:jc w:val="center"/>
                    <w:rPr>
                      <w:rFonts w:hint="default"/>
                      <w:color w:val="auto"/>
                      <w:highlight w:val="none"/>
                      <w:lang w:val="en-US" w:eastAsia="zh-CN"/>
                    </w:rPr>
                  </w:pPr>
                  <w:r>
                    <w:rPr>
                      <w:rFonts w:hint="eastAsia"/>
                      <w:color w:val="auto"/>
                      <w:highlight w:val="none"/>
                      <w:lang w:val="en-US" w:eastAsia="zh-CN"/>
                    </w:rPr>
                    <w:t>序号</w:t>
                  </w:r>
                </w:p>
              </w:tc>
              <w:tc>
                <w:tcPr>
                  <w:tcW w:w="1100" w:type="dxa"/>
                  <w:tcBorders>
                    <w:tl2br w:val="nil"/>
                    <w:tr2bl w:val="nil"/>
                  </w:tcBorders>
                  <w:vAlign w:val="center"/>
                </w:tcPr>
                <w:p w14:paraId="1F729657">
                  <w:pPr>
                    <w:pStyle w:val="40"/>
                    <w:bidi w:val="0"/>
                    <w:jc w:val="center"/>
                    <w:rPr>
                      <w:rFonts w:hint="default"/>
                      <w:color w:val="auto"/>
                      <w:highlight w:val="none"/>
                      <w:lang w:val="en-US" w:eastAsia="zh-CN"/>
                    </w:rPr>
                  </w:pPr>
                  <w:r>
                    <w:rPr>
                      <w:rFonts w:hint="eastAsia"/>
                      <w:color w:val="auto"/>
                      <w:highlight w:val="none"/>
                      <w:lang w:val="en-US" w:eastAsia="zh-CN"/>
                    </w:rPr>
                    <w:t>排放形式</w:t>
                  </w:r>
                </w:p>
              </w:tc>
              <w:tc>
                <w:tcPr>
                  <w:tcW w:w="6359" w:type="dxa"/>
                  <w:tcBorders>
                    <w:tl2br w:val="nil"/>
                    <w:tr2bl w:val="nil"/>
                  </w:tcBorders>
                  <w:vAlign w:val="center"/>
                </w:tcPr>
                <w:p w14:paraId="5B11E2A6">
                  <w:pPr>
                    <w:pStyle w:val="40"/>
                    <w:bidi w:val="0"/>
                    <w:jc w:val="center"/>
                    <w:rPr>
                      <w:rFonts w:hint="default"/>
                      <w:color w:val="auto"/>
                      <w:highlight w:val="none"/>
                      <w:lang w:val="en-US" w:eastAsia="zh-CN"/>
                    </w:rPr>
                  </w:pPr>
                  <w:r>
                    <w:rPr>
                      <w:rFonts w:hint="eastAsia"/>
                      <w:color w:val="auto"/>
                      <w:highlight w:val="none"/>
                      <w:lang w:val="en-US" w:eastAsia="zh-CN"/>
                    </w:rPr>
                    <w:t>排放标准</w:t>
                  </w:r>
                </w:p>
              </w:tc>
            </w:tr>
            <w:tr w14:paraId="286342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dxa"/>
                  <w:vMerge w:val="restart"/>
                  <w:tcBorders>
                    <w:tl2br w:val="nil"/>
                    <w:tr2bl w:val="nil"/>
                  </w:tcBorders>
                  <w:vAlign w:val="center"/>
                </w:tcPr>
                <w:p w14:paraId="6D175166">
                  <w:pPr>
                    <w:pStyle w:val="40"/>
                    <w:bidi w:val="0"/>
                    <w:jc w:val="center"/>
                    <w:rPr>
                      <w:rFonts w:hint="default"/>
                      <w:color w:val="auto"/>
                      <w:highlight w:val="none"/>
                      <w:lang w:val="en-US" w:eastAsia="zh-CN"/>
                    </w:rPr>
                  </w:pPr>
                  <w:r>
                    <w:rPr>
                      <w:rFonts w:hint="eastAsia"/>
                      <w:color w:val="auto"/>
                      <w:highlight w:val="none"/>
                      <w:lang w:val="en-US" w:eastAsia="zh-CN"/>
                    </w:rPr>
                    <w:t>1</w:t>
                  </w:r>
                </w:p>
              </w:tc>
              <w:tc>
                <w:tcPr>
                  <w:tcW w:w="1100" w:type="dxa"/>
                  <w:vMerge w:val="restart"/>
                  <w:tcBorders>
                    <w:tl2br w:val="nil"/>
                    <w:tr2bl w:val="nil"/>
                  </w:tcBorders>
                  <w:vAlign w:val="center"/>
                </w:tcPr>
                <w:p w14:paraId="368F3699">
                  <w:pPr>
                    <w:pStyle w:val="40"/>
                    <w:bidi w:val="0"/>
                    <w:jc w:val="center"/>
                    <w:rPr>
                      <w:rFonts w:hint="default"/>
                      <w:color w:val="auto"/>
                      <w:highlight w:val="none"/>
                      <w:lang w:val="en-US" w:eastAsia="zh-CN"/>
                    </w:rPr>
                  </w:pPr>
                  <w:r>
                    <w:rPr>
                      <w:rFonts w:hint="eastAsia"/>
                      <w:color w:val="auto"/>
                      <w:highlight w:val="none"/>
                      <w:lang w:val="en-US" w:eastAsia="zh-CN"/>
                    </w:rPr>
                    <w:t>有组织</w:t>
                  </w:r>
                </w:p>
              </w:tc>
              <w:tc>
                <w:tcPr>
                  <w:tcW w:w="6359" w:type="dxa"/>
                  <w:tcBorders>
                    <w:tl2br w:val="nil"/>
                    <w:tr2bl w:val="nil"/>
                  </w:tcBorders>
                  <w:vAlign w:val="center"/>
                </w:tcPr>
                <w:p w14:paraId="47B1DCA8">
                  <w:pPr>
                    <w:pStyle w:val="40"/>
                    <w:bidi w:val="0"/>
                    <w:jc w:val="center"/>
                    <w:rPr>
                      <w:rFonts w:hint="eastAsia" w:eastAsia="宋体"/>
                      <w:color w:val="auto"/>
                      <w:highlight w:val="none"/>
                      <w:lang w:val="en-US" w:eastAsia="zh-CN"/>
                    </w:rPr>
                  </w:pPr>
                  <w:r>
                    <w:rPr>
                      <w:rFonts w:hint="eastAsia"/>
                      <w:color w:val="auto"/>
                      <w:highlight w:val="none"/>
                      <w:lang w:val="en-US" w:eastAsia="zh-CN"/>
                    </w:rPr>
                    <w:t>《水泥工业大气污染物排放标准》（GB 4915-2013）</w:t>
                  </w:r>
                  <w:r>
                    <w:rPr>
                      <w:rFonts w:cs="宋体"/>
                      <w:color w:val="auto"/>
                      <w:kern w:val="0"/>
                      <w:highlight w:val="none"/>
                    </w:rPr>
                    <w:t>≤20mg/m</w:t>
                  </w:r>
                  <w:r>
                    <w:rPr>
                      <w:rFonts w:hint="eastAsia" w:cs="宋体"/>
                      <w:color w:val="auto"/>
                      <w:kern w:val="0"/>
                      <w:highlight w:val="none"/>
                      <w:vertAlign w:val="superscript"/>
                      <w:lang w:val="en-US" w:eastAsia="zh-CN"/>
                    </w:rPr>
                    <w:t>3</w:t>
                  </w:r>
                </w:p>
              </w:tc>
            </w:tr>
            <w:tr w14:paraId="5383A6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dxa"/>
                  <w:vMerge w:val="continue"/>
                  <w:tcBorders>
                    <w:tl2br w:val="nil"/>
                    <w:tr2bl w:val="nil"/>
                  </w:tcBorders>
                  <w:vAlign w:val="center"/>
                </w:tcPr>
                <w:p w14:paraId="18B97C9C">
                  <w:pPr>
                    <w:pStyle w:val="40"/>
                    <w:bidi w:val="0"/>
                    <w:jc w:val="center"/>
                    <w:rPr>
                      <w:color w:val="auto"/>
                      <w:highlight w:val="none"/>
                    </w:rPr>
                  </w:pPr>
                </w:p>
              </w:tc>
              <w:tc>
                <w:tcPr>
                  <w:tcW w:w="1100" w:type="dxa"/>
                  <w:vMerge w:val="continue"/>
                  <w:tcBorders>
                    <w:tl2br w:val="nil"/>
                    <w:tr2bl w:val="nil"/>
                  </w:tcBorders>
                  <w:vAlign w:val="center"/>
                </w:tcPr>
                <w:p w14:paraId="668D4DB9">
                  <w:pPr>
                    <w:pStyle w:val="40"/>
                    <w:bidi w:val="0"/>
                    <w:jc w:val="center"/>
                    <w:rPr>
                      <w:color w:val="auto"/>
                      <w:highlight w:val="none"/>
                    </w:rPr>
                  </w:pPr>
                </w:p>
              </w:tc>
              <w:tc>
                <w:tcPr>
                  <w:tcW w:w="6359" w:type="dxa"/>
                  <w:tcBorders>
                    <w:tl2br w:val="nil"/>
                    <w:tr2bl w:val="nil"/>
                  </w:tcBorders>
                  <w:vAlign w:val="center"/>
                </w:tcPr>
                <w:p w14:paraId="3337BB20">
                  <w:pPr>
                    <w:pStyle w:val="40"/>
                    <w:bidi w:val="0"/>
                    <w:jc w:val="center"/>
                    <w:rPr>
                      <w:rFonts w:hint="eastAsia"/>
                      <w:color w:val="auto"/>
                      <w:highlight w:val="none"/>
                      <w:lang w:val="en-US" w:eastAsia="zh-CN"/>
                    </w:rPr>
                  </w:pPr>
                  <w:r>
                    <w:rPr>
                      <w:color w:val="auto"/>
                      <w:highlight w:val="none"/>
                    </w:rPr>
                    <w:t>《锅炉大气污染物排放标准》（DB61/1226-2018）表5</w:t>
                  </w:r>
                  <w:r>
                    <w:rPr>
                      <w:rFonts w:hint="eastAsia"/>
                      <w:color w:val="auto"/>
                      <w:highlight w:val="none"/>
                    </w:rPr>
                    <w:t>中的生物质</w:t>
                  </w:r>
                  <w:r>
                    <w:rPr>
                      <w:color w:val="auto"/>
                      <w:highlight w:val="none"/>
                    </w:rPr>
                    <w:t>锅炉</w:t>
                  </w:r>
                  <w:r>
                    <w:rPr>
                      <w:rFonts w:hint="eastAsia"/>
                      <w:color w:val="auto"/>
                      <w:highlight w:val="none"/>
                    </w:rPr>
                    <w:t>限值，其中SO</w:t>
                  </w:r>
                  <w:r>
                    <w:rPr>
                      <w:rFonts w:hint="eastAsia"/>
                      <w:color w:val="auto"/>
                      <w:highlight w:val="none"/>
                      <w:vertAlign w:val="subscript"/>
                    </w:rPr>
                    <w:t>2</w:t>
                  </w:r>
                  <w:r>
                    <w:rPr>
                      <w:rFonts w:hint="eastAsia"/>
                      <w:color w:val="auto"/>
                      <w:highlight w:val="none"/>
                    </w:rPr>
                    <w:t>为35mg/m</w:t>
                  </w:r>
                  <w:r>
                    <w:rPr>
                      <w:rFonts w:hint="eastAsia"/>
                      <w:color w:val="auto"/>
                      <w:highlight w:val="none"/>
                      <w:vertAlign w:val="superscript"/>
                    </w:rPr>
                    <w:t>3</w:t>
                  </w:r>
                  <w:r>
                    <w:rPr>
                      <w:rFonts w:hint="eastAsia"/>
                      <w:color w:val="auto"/>
                      <w:highlight w:val="none"/>
                    </w:rPr>
                    <w:t>，颗粒物为20mg/m</w:t>
                  </w:r>
                  <w:r>
                    <w:rPr>
                      <w:rFonts w:hint="eastAsia"/>
                      <w:color w:val="auto"/>
                      <w:highlight w:val="none"/>
                      <w:vertAlign w:val="superscript"/>
                    </w:rPr>
                    <w:t>3</w:t>
                  </w:r>
                  <w:r>
                    <w:rPr>
                      <w:rFonts w:hint="eastAsia"/>
                      <w:color w:val="auto"/>
                      <w:highlight w:val="none"/>
                    </w:rPr>
                    <w:t>，NO</w:t>
                  </w:r>
                  <w:r>
                    <w:rPr>
                      <w:rFonts w:hint="eastAsia"/>
                      <w:color w:val="auto"/>
                      <w:highlight w:val="none"/>
                      <w:vertAlign w:val="subscript"/>
                    </w:rPr>
                    <w:t>X</w:t>
                  </w:r>
                  <w:r>
                    <w:rPr>
                      <w:rFonts w:hint="eastAsia"/>
                      <w:color w:val="auto"/>
                      <w:highlight w:val="none"/>
                    </w:rPr>
                    <w:t>为150mg/m</w:t>
                  </w:r>
                  <w:r>
                    <w:rPr>
                      <w:rFonts w:hint="eastAsia"/>
                      <w:color w:val="auto"/>
                      <w:highlight w:val="none"/>
                      <w:vertAlign w:val="superscript"/>
                    </w:rPr>
                    <w:t>3</w:t>
                  </w:r>
                </w:p>
              </w:tc>
            </w:tr>
            <w:tr w14:paraId="3DF159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dxa"/>
                  <w:tcBorders>
                    <w:tl2br w:val="nil"/>
                    <w:tr2bl w:val="nil"/>
                  </w:tcBorders>
                  <w:vAlign w:val="center"/>
                </w:tcPr>
                <w:p w14:paraId="43F5BE55">
                  <w:pPr>
                    <w:pStyle w:val="40"/>
                    <w:bidi w:val="0"/>
                    <w:jc w:val="center"/>
                    <w:rPr>
                      <w:rFonts w:hint="default"/>
                      <w:color w:val="auto"/>
                      <w:highlight w:val="none"/>
                      <w:lang w:val="en-US" w:eastAsia="zh-CN"/>
                    </w:rPr>
                  </w:pPr>
                  <w:r>
                    <w:rPr>
                      <w:rFonts w:hint="eastAsia"/>
                      <w:color w:val="auto"/>
                      <w:highlight w:val="none"/>
                      <w:lang w:val="en-US" w:eastAsia="zh-CN"/>
                    </w:rPr>
                    <w:t>2</w:t>
                  </w:r>
                </w:p>
              </w:tc>
              <w:tc>
                <w:tcPr>
                  <w:tcW w:w="1100" w:type="dxa"/>
                  <w:tcBorders>
                    <w:tl2br w:val="nil"/>
                    <w:tr2bl w:val="nil"/>
                  </w:tcBorders>
                  <w:vAlign w:val="center"/>
                </w:tcPr>
                <w:p w14:paraId="764CF445">
                  <w:pPr>
                    <w:pStyle w:val="40"/>
                    <w:bidi w:val="0"/>
                    <w:jc w:val="center"/>
                    <w:rPr>
                      <w:rFonts w:hint="default"/>
                      <w:color w:val="auto"/>
                      <w:highlight w:val="none"/>
                      <w:lang w:val="en-US" w:eastAsia="zh-CN"/>
                    </w:rPr>
                  </w:pPr>
                  <w:r>
                    <w:rPr>
                      <w:rFonts w:hint="eastAsia"/>
                      <w:color w:val="auto"/>
                      <w:highlight w:val="none"/>
                      <w:lang w:val="en-US" w:eastAsia="zh-CN"/>
                    </w:rPr>
                    <w:t>无组织</w:t>
                  </w:r>
                </w:p>
              </w:tc>
              <w:tc>
                <w:tcPr>
                  <w:tcW w:w="6359" w:type="dxa"/>
                  <w:tcBorders>
                    <w:tl2br w:val="nil"/>
                    <w:tr2bl w:val="nil"/>
                  </w:tcBorders>
                  <w:vAlign w:val="center"/>
                </w:tcPr>
                <w:p w14:paraId="4C775607">
                  <w:pPr>
                    <w:pStyle w:val="40"/>
                    <w:bidi w:val="0"/>
                    <w:jc w:val="center"/>
                    <w:rPr>
                      <w:rFonts w:hint="default"/>
                      <w:color w:val="auto"/>
                      <w:highlight w:val="none"/>
                      <w:lang w:val="en-US" w:eastAsia="zh-CN"/>
                    </w:rPr>
                  </w:pPr>
                  <w:r>
                    <w:rPr>
                      <w:rFonts w:hint="eastAsia"/>
                      <w:color w:val="auto"/>
                      <w:highlight w:val="none"/>
                      <w:lang w:val="en-US" w:eastAsia="zh-CN"/>
                    </w:rPr>
                    <w:t>《水泥工业大气污染物排放标准》（GB 4915-2013）</w:t>
                  </w:r>
                  <w:r>
                    <w:rPr>
                      <w:rFonts w:hint="default"/>
                      <w:color w:val="auto"/>
                      <w:highlight w:val="none"/>
                    </w:rPr>
                    <w:t>监控点与参照点TSP</w:t>
                  </w:r>
                  <w:r>
                    <w:rPr>
                      <w:rFonts w:hint="eastAsia"/>
                      <w:color w:val="auto"/>
                      <w:highlight w:val="none"/>
                      <w:lang w:val="en-US" w:eastAsia="zh-CN"/>
                    </w:rPr>
                    <w:t xml:space="preserve"> </w:t>
                  </w:r>
                  <w:r>
                    <w:rPr>
                      <w:rFonts w:hint="default"/>
                      <w:color w:val="auto"/>
                      <w:highlight w:val="none"/>
                    </w:rPr>
                    <w:t>1小时浓度值的差值</w:t>
                  </w:r>
                  <w:r>
                    <w:rPr>
                      <w:rFonts w:cs="宋体"/>
                      <w:color w:val="auto"/>
                      <w:kern w:val="0"/>
                      <w:highlight w:val="none"/>
                    </w:rPr>
                    <w:t>≤</w:t>
                  </w:r>
                  <w:r>
                    <w:rPr>
                      <w:rFonts w:hint="eastAsia" w:cs="宋体"/>
                      <w:color w:val="auto"/>
                      <w:kern w:val="0"/>
                      <w:highlight w:val="none"/>
                      <w:lang w:val="en-US" w:eastAsia="zh-CN"/>
                    </w:rPr>
                    <w:t>0.5</w:t>
                  </w:r>
                  <w:r>
                    <w:rPr>
                      <w:rFonts w:cs="宋体"/>
                      <w:color w:val="auto"/>
                      <w:kern w:val="0"/>
                      <w:highlight w:val="none"/>
                    </w:rPr>
                    <w:t>mg/m</w:t>
                  </w:r>
                  <w:r>
                    <w:rPr>
                      <w:rFonts w:hint="eastAsia" w:cs="宋体"/>
                      <w:color w:val="auto"/>
                      <w:kern w:val="0"/>
                      <w:highlight w:val="none"/>
                      <w:vertAlign w:val="superscript"/>
                      <w:lang w:val="en-US" w:eastAsia="zh-CN"/>
                    </w:rPr>
                    <w:t>3</w:t>
                  </w:r>
                </w:p>
              </w:tc>
            </w:tr>
          </w:tbl>
          <w:p w14:paraId="5A32A5F4">
            <w:pPr>
              <w:pStyle w:val="41"/>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color w:val="auto"/>
                <w:highlight w:val="none"/>
                <w:lang w:eastAsia="zh-CN"/>
              </w:rPr>
            </w:pPr>
            <w:r>
              <w:rPr>
                <w:rFonts w:hint="eastAsia"/>
                <w:color w:val="auto"/>
                <w:highlight w:val="none"/>
                <w:lang w:val="en-US" w:eastAsia="zh-CN"/>
              </w:rPr>
              <w:t>3、</w:t>
            </w:r>
            <w:r>
              <w:rPr>
                <w:rFonts w:hint="eastAsia"/>
                <w:color w:val="auto"/>
                <w:highlight w:val="none"/>
              </w:rPr>
              <w:t>污染物产生源强核算过程</w:t>
            </w:r>
          </w:p>
          <w:p w14:paraId="431257BD">
            <w:pPr>
              <w:pStyle w:val="41"/>
              <w:bidi w:val="0"/>
              <w:rPr>
                <w:rFonts w:hint="eastAsia"/>
                <w:color w:val="auto"/>
                <w:highlight w:val="none"/>
                <w:lang w:val="en-US" w:eastAsia="zh-CN"/>
              </w:rPr>
            </w:pPr>
            <w:r>
              <w:rPr>
                <w:rFonts w:hint="eastAsia"/>
                <w:color w:val="auto"/>
                <w:highlight w:val="none"/>
                <w:lang w:val="en-US" w:eastAsia="zh-CN"/>
              </w:rPr>
              <w:t>（1）G1骨料粉煤灰筒仓粉尘</w:t>
            </w:r>
          </w:p>
          <w:p w14:paraId="0451BF35">
            <w:pPr>
              <w:bidi w:val="0"/>
              <w:rPr>
                <w:rFonts w:hint="eastAsia" w:eastAsia="宋体"/>
                <w:color w:val="auto"/>
                <w:highlight w:val="none"/>
                <w:lang w:val="en-US" w:eastAsia="zh-CN"/>
              </w:rPr>
            </w:pPr>
            <w:r>
              <w:rPr>
                <w:color w:val="auto"/>
                <w:highlight w:val="none"/>
                <w:lang w:val="en-US" w:eastAsia="zh-CN"/>
              </w:rPr>
              <w:t>参照中华人民共和国生态环境部2021年6月11日发布的《排放源统计调查产排污核算方法和系数手册》中</w:t>
            </w:r>
            <w:r>
              <w:rPr>
                <w:rFonts w:hint="eastAsia"/>
                <w:color w:val="auto"/>
                <w:highlight w:val="none"/>
                <w:lang w:val="en-US" w:eastAsia="zh-CN"/>
              </w:rPr>
              <w:t>3021水泥制品制造（含3022砼结构构件制造、3029其他水泥类似制造品）行业系数手册产排污系数计算，物料输送储存工序颗粒物的产污系数是0.12kg/t-产品。项目粉煤灰用量为50万t/a，则颗粒物产生量为60t/a。该手册</w:t>
            </w:r>
            <w:r>
              <w:rPr>
                <w:color w:val="auto"/>
                <w:highlight w:val="none"/>
                <w:lang w:val="en-US" w:eastAsia="zh-CN"/>
              </w:rPr>
              <w:t>中</w:t>
            </w:r>
            <w:r>
              <w:rPr>
                <w:rFonts w:hint="eastAsia"/>
                <w:color w:val="auto"/>
                <w:highlight w:val="none"/>
                <w:lang w:val="en-US" w:eastAsia="zh-CN"/>
              </w:rPr>
              <w:t>3021水泥制品制造（含3022砼结构构件制造、3029其他水泥类似制造品）行业系数手册中</w:t>
            </w:r>
            <w:r>
              <w:rPr>
                <w:color w:val="auto"/>
                <w:highlight w:val="none"/>
                <w:lang w:val="en-US" w:eastAsia="zh-CN"/>
              </w:rPr>
              <w:t>袋式除尘工艺的平均去除效率为99.7%</w:t>
            </w:r>
            <w:r>
              <w:rPr>
                <w:rFonts w:hint="eastAsia"/>
                <w:color w:val="auto"/>
                <w:highlight w:val="none"/>
                <w:lang w:val="en-US" w:eastAsia="zh-CN"/>
              </w:rPr>
              <w:t>，本项目取值</w:t>
            </w:r>
            <w:r>
              <w:rPr>
                <w:color w:val="auto"/>
                <w:highlight w:val="none"/>
                <w:lang w:val="en-US" w:eastAsia="zh-CN"/>
              </w:rPr>
              <w:t>99.7%</w:t>
            </w:r>
            <w:r>
              <w:rPr>
                <w:rFonts w:hint="eastAsia"/>
                <w:color w:val="auto"/>
                <w:highlight w:val="none"/>
                <w:lang w:val="en-US" w:eastAsia="zh-CN"/>
              </w:rPr>
              <w:t>，则筒仓经脉冲式布袋除尘器处理后排放量为0.18t/a；粉煤灰筒仓上料时间为1200h，则排放速率为0.15kg/h。</w:t>
            </w:r>
          </w:p>
          <w:p w14:paraId="00757099">
            <w:pPr>
              <w:pStyle w:val="41"/>
              <w:bidi w:val="0"/>
              <w:rPr>
                <w:rFonts w:hint="default"/>
                <w:color w:val="auto"/>
                <w:highlight w:val="none"/>
                <w:lang w:val="en-US" w:eastAsia="zh-CN"/>
              </w:rPr>
            </w:pPr>
            <w:r>
              <w:rPr>
                <w:rFonts w:hint="eastAsia"/>
                <w:color w:val="auto"/>
                <w:highlight w:val="none"/>
                <w:lang w:val="en-US" w:eastAsia="zh-CN"/>
              </w:rPr>
              <w:t>（2）G2骨料原料区扬尘</w:t>
            </w:r>
          </w:p>
          <w:p w14:paraId="720D628A">
            <w:pPr>
              <w:bidi w:val="0"/>
              <w:rPr>
                <w:rFonts w:hint="eastAsia"/>
                <w:color w:val="auto"/>
                <w:highlight w:val="none"/>
              </w:rPr>
            </w:pPr>
            <w:r>
              <w:rPr>
                <w:rFonts w:hint="eastAsia"/>
                <w:color w:val="auto"/>
                <w:highlight w:val="none"/>
              </w:rPr>
              <w:t>根据《逸散性工业粉尘控制技术》中混凝土分批搅拌厂逸散尘排放系数，</w:t>
            </w:r>
            <w:r>
              <w:rPr>
                <w:rFonts w:hint="eastAsia"/>
                <w:color w:val="auto"/>
                <w:highlight w:val="none"/>
                <w:lang w:val="en-US" w:eastAsia="zh-CN"/>
              </w:rPr>
              <w:t>原料堆存</w:t>
            </w:r>
            <w:r>
              <w:rPr>
                <w:rFonts w:hint="eastAsia"/>
                <w:color w:val="auto"/>
                <w:highlight w:val="none"/>
              </w:rPr>
              <w:t>过程中产尘系数为0.0</w:t>
            </w:r>
            <w:r>
              <w:rPr>
                <w:rFonts w:hint="eastAsia"/>
                <w:color w:val="auto"/>
                <w:highlight w:val="none"/>
                <w:lang w:val="en-US" w:eastAsia="zh-CN"/>
              </w:rPr>
              <w:t>1</w:t>
            </w:r>
            <w:r>
              <w:rPr>
                <w:rFonts w:hint="eastAsia"/>
                <w:color w:val="auto"/>
                <w:highlight w:val="none"/>
              </w:rPr>
              <w:t>kg/t</w:t>
            </w:r>
            <w:r>
              <w:rPr>
                <w:rFonts w:hint="eastAsia"/>
                <w:color w:val="auto"/>
                <w:highlight w:val="none"/>
                <w:lang w:val="en-US" w:eastAsia="zh-CN"/>
              </w:rPr>
              <w:t>-</w:t>
            </w:r>
            <w:r>
              <w:rPr>
                <w:rFonts w:hint="eastAsia"/>
                <w:color w:val="auto"/>
                <w:highlight w:val="none"/>
              </w:rPr>
              <w:t>原料，</w:t>
            </w:r>
            <w:r>
              <w:rPr>
                <w:rFonts w:hint="eastAsia"/>
                <w:color w:val="auto"/>
                <w:highlight w:val="none"/>
                <w:lang w:val="en-US" w:eastAsia="zh-CN"/>
              </w:rPr>
              <w:t>原料区贮存量为445000t，则粉尘产生总量为4.45t/a，</w:t>
            </w:r>
            <w:r>
              <w:rPr>
                <w:rFonts w:hint="eastAsia"/>
                <w:color w:val="auto"/>
                <w:highlight w:val="none"/>
              </w:rPr>
              <w:t>经喷雾降尘和封闭</w:t>
            </w:r>
            <w:r>
              <w:rPr>
                <w:rFonts w:hint="eastAsia"/>
                <w:color w:val="auto"/>
                <w:highlight w:val="none"/>
                <w:lang w:val="en-US" w:eastAsia="zh-CN"/>
              </w:rPr>
              <w:t>厂房</w:t>
            </w:r>
            <w:r>
              <w:rPr>
                <w:rFonts w:hint="eastAsia"/>
                <w:color w:val="auto"/>
                <w:highlight w:val="none"/>
              </w:rPr>
              <w:t>沉降后，</w:t>
            </w:r>
            <w:r>
              <w:rPr>
                <w:rFonts w:hint="eastAsia"/>
                <w:color w:val="auto"/>
                <w:highlight w:val="none"/>
                <w:lang w:val="en-US" w:eastAsia="zh-CN"/>
              </w:rPr>
              <w:t>除尘效率可达90%</w:t>
            </w:r>
            <w:r>
              <w:rPr>
                <w:rFonts w:hint="eastAsia"/>
                <w:color w:val="auto"/>
                <w:highlight w:val="none"/>
              </w:rPr>
              <w:t>，则无组织</w:t>
            </w:r>
            <w:r>
              <w:rPr>
                <w:rFonts w:hint="eastAsia"/>
                <w:color w:val="auto"/>
                <w:highlight w:val="none"/>
                <w:lang w:val="en-US" w:eastAsia="zh-CN"/>
              </w:rPr>
              <w:t>粉尘</w:t>
            </w:r>
            <w:r>
              <w:rPr>
                <w:rFonts w:hint="eastAsia"/>
                <w:color w:val="auto"/>
                <w:highlight w:val="none"/>
              </w:rPr>
              <w:t>排放量为</w:t>
            </w:r>
            <w:r>
              <w:rPr>
                <w:rFonts w:hint="eastAsia"/>
                <w:color w:val="auto"/>
                <w:highlight w:val="none"/>
                <w:lang w:val="en-US" w:eastAsia="zh-CN"/>
              </w:rPr>
              <w:t>0.445</w:t>
            </w:r>
            <w:r>
              <w:rPr>
                <w:rFonts w:hint="eastAsia"/>
                <w:color w:val="auto"/>
                <w:highlight w:val="none"/>
              </w:rPr>
              <w:t>t/a</w:t>
            </w:r>
            <w:r>
              <w:rPr>
                <w:rFonts w:hint="eastAsia"/>
                <w:color w:val="auto"/>
                <w:highlight w:val="none"/>
                <w:lang w:eastAsia="zh-CN"/>
              </w:rPr>
              <w:t>；</w:t>
            </w:r>
            <w:r>
              <w:rPr>
                <w:rFonts w:hint="eastAsia"/>
                <w:color w:val="auto"/>
                <w:highlight w:val="none"/>
                <w:lang w:val="en-US" w:eastAsia="zh-CN"/>
              </w:rPr>
              <w:t>原料区堆存时间为7200h，则排放速率为0.06kg/h</w:t>
            </w:r>
            <w:r>
              <w:rPr>
                <w:rFonts w:hint="eastAsia"/>
                <w:color w:val="auto"/>
                <w:highlight w:val="none"/>
              </w:rPr>
              <w:t>。</w:t>
            </w:r>
          </w:p>
          <w:p w14:paraId="6C7704DE">
            <w:pPr>
              <w:pStyle w:val="41"/>
              <w:bidi w:val="0"/>
              <w:rPr>
                <w:rFonts w:hint="default"/>
                <w:color w:val="auto"/>
                <w:highlight w:val="none"/>
                <w:lang w:val="en-US" w:eastAsia="zh-CN"/>
              </w:rPr>
            </w:pPr>
            <w:r>
              <w:rPr>
                <w:rFonts w:hint="eastAsia"/>
                <w:color w:val="auto"/>
                <w:highlight w:val="none"/>
                <w:lang w:val="en-US" w:eastAsia="zh-CN"/>
              </w:rPr>
              <w:t>（3）G3活化剂筒仓粉尘</w:t>
            </w:r>
          </w:p>
          <w:p w14:paraId="249B5328">
            <w:pPr>
              <w:bidi w:val="0"/>
              <w:rPr>
                <w:rFonts w:hint="eastAsia" w:eastAsia="宋体"/>
                <w:color w:val="auto"/>
                <w:highlight w:val="none"/>
                <w:lang w:val="en-US" w:eastAsia="zh-CN"/>
              </w:rPr>
            </w:pPr>
            <w:r>
              <w:rPr>
                <w:color w:val="auto"/>
                <w:highlight w:val="none"/>
                <w:lang w:val="en-US" w:eastAsia="zh-CN"/>
              </w:rPr>
              <w:t>参照《排放源统计调查产排污核算方法和系数手册》中</w:t>
            </w:r>
            <w:r>
              <w:rPr>
                <w:rFonts w:hint="eastAsia"/>
                <w:color w:val="auto"/>
                <w:highlight w:val="none"/>
                <w:lang w:val="en-US" w:eastAsia="zh-CN"/>
              </w:rPr>
              <w:t>3021水泥制品制造行业系数手册产排污系数计算，物料输送储存工序颗粒物的产污系数是0.12kg/t-产品。项目活化剂用量为5000t/a，则颗粒物产生量为0.6t/a。该手册</w:t>
            </w:r>
            <w:r>
              <w:rPr>
                <w:color w:val="auto"/>
                <w:highlight w:val="none"/>
                <w:lang w:val="en-US" w:eastAsia="zh-CN"/>
              </w:rPr>
              <w:t>中</w:t>
            </w:r>
            <w:r>
              <w:rPr>
                <w:rFonts w:hint="eastAsia"/>
                <w:color w:val="auto"/>
                <w:highlight w:val="none"/>
                <w:lang w:val="en-US" w:eastAsia="zh-CN"/>
              </w:rPr>
              <w:t>3021水泥制品制造行业系数手册中</w:t>
            </w:r>
            <w:r>
              <w:rPr>
                <w:color w:val="auto"/>
                <w:highlight w:val="none"/>
                <w:lang w:val="en-US" w:eastAsia="zh-CN"/>
              </w:rPr>
              <w:t>袋式除尘工艺的平均去除效率为99.7%</w:t>
            </w:r>
            <w:r>
              <w:rPr>
                <w:rFonts w:hint="eastAsia"/>
                <w:color w:val="auto"/>
                <w:highlight w:val="none"/>
                <w:lang w:val="en-US" w:eastAsia="zh-CN"/>
              </w:rPr>
              <w:t>，本项目取值</w:t>
            </w:r>
            <w:r>
              <w:rPr>
                <w:color w:val="auto"/>
                <w:highlight w:val="none"/>
                <w:lang w:val="en-US" w:eastAsia="zh-CN"/>
              </w:rPr>
              <w:t>99.7%</w:t>
            </w:r>
            <w:r>
              <w:rPr>
                <w:rFonts w:hint="eastAsia"/>
                <w:color w:val="auto"/>
                <w:highlight w:val="none"/>
                <w:lang w:val="en-US" w:eastAsia="zh-CN"/>
              </w:rPr>
              <w:t>，则筒仓经脉冲式布袋除尘器处理后排放量为0.0018t/a；活化剂筒仓上料时间为70h，则排放速率为0.026kg/h。</w:t>
            </w:r>
          </w:p>
          <w:p w14:paraId="4BEC874E">
            <w:pPr>
              <w:pStyle w:val="41"/>
              <w:bidi w:val="0"/>
              <w:rPr>
                <w:rFonts w:hint="eastAsia"/>
                <w:color w:val="auto"/>
                <w:highlight w:val="none"/>
                <w:lang w:val="en-US" w:eastAsia="zh-CN"/>
              </w:rPr>
            </w:pPr>
            <w:r>
              <w:rPr>
                <w:rFonts w:hint="eastAsia"/>
                <w:color w:val="auto"/>
                <w:highlight w:val="none"/>
                <w:lang w:val="en-US" w:eastAsia="zh-CN"/>
              </w:rPr>
              <w:t>（4）G4炉渣粗磨粉尘</w:t>
            </w:r>
          </w:p>
          <w:p w14:paraId="21957627">
            <w:pPr>
              <w:bidi w:val="0"/>
              <w:rPr>
                <w:rFonts w:hint="default"/>
                <w:color w:val="auto"/>
                <w:highlight w:val="none"/>
                <w:lang w:val="en-US" w:eastAsia="zh-CN"/>
              </w:rPr>
            </w:pPr>
            <w:r>
              <w:rPr>
                <w:color w:val="auto"/>
                <w:highlight w:val="none"/>
                <w:lang w:val="en-US" w:eastAsia="zh-CN"/>
              </w:rPr>
              <w:t>参照《排放源统计调查产排污核算方法和系数手册》中3024 轻质建筑材料制品制造行业系数手册</w:t>
            </w:r>
            <w:r>
              <w:rPr>
                <w:rFonts w:hint="eastAsia"/>
                <w:color w:val="auto"/>
                <w:highlight w:val="none"/>
                <w:lang w:val="en-US" w:eastAsia="zh-CN"/>
              </w:rPr>
              <w:t>产污系数计算，破碎粉磨工序的产污系数是：废气量为825Nm</w:t>
            </w:r>
            <w:r>
              <w:rPr>
                <w:rFonts w:hint="eastAsia"/>
                <w:color w:val="auto"/>
                <w:highlight w:val="none"/>
                <w:vertAlign w:val="superscript"/>
                <w:lang w:val="en-US" w:eastAsia="zh-CN"/>
              </w:rPr>
              <w:t>3</w:t>
            </w:r>
            <w:r>
              <w:rPr>
                <w:rFonts w:hint="eastAsia"/>
                <w:color w:val="auto"/>
                <w:highlight w:val="none"/>
                <w:lang w:val="en-US" w:eastAsia="zh-CN"/>
              </w:rPr>
              <w:t>/t-产品计算，颗粒物为4.08kg/t-产品。炉渣每年需消耗原料20万t，该工序产生的废气量为16500万Nm</w:t>
            </w:r>
            <w:r>
              <w:rPr>
                <w:rFonts w:hint="eastAsia"/>
                <w:color w:val="auto"/>
                <w:highlight w:val="none"/>
                <w:vertAlign w:val="superscript"/>
                <w:lang w:val="en-US" w:eastAsia="zh-CN"/>
              </w:rPr>
              <w:t>3</w:t>
            </w:r>
            <w:r>
              <w:rPr>
                <w:rFonts w:hint="eastAsia"/>
                <w:color w:val="auto"/>
                <w:highlight w:val="none"/>
                <w:lang w:val="en-US" w:eastAsia="zh-CN"/>
              </w:rPr>
              <w:t>/a，颗粒物为816t/a，产生浓度为4945.45mg/m</w:t>
            </w:r>
            <w:r>
              <w:rPr>
                <w:rFonts w:hint="eastAsia"/>
                <w:color w:val="auto"/>
                <w:highlight w:val="none"/>
                <w:vertAlign w:val="superscript"/>
                <w:lang w:val="en-US" w:eastAsia="zh-CN"/>
              </w:rPr>
              <w:t>3</w:t>
            </w:r>
            <w:r>
              <w:rPr>
                <w:rFonts w:hint="eastAsia"/>
                <w:color w:val="auto"/>
                <w:highlight w:val="none"/>
                <w:vertAlign w:val="baseline"/>
                <w:lang w:val="en-US" w:eastAsia="zh-CN"/>
              </w:rPr>
              <w:t>。</w:t>
            </w:r>
            <w:r>
              <w:rPr>
                <w:rFonts w:hint="eastAsia"/>
                <w:color w:val="auto"/>
                <w:highlight w:val="none"/>
                <w:lang w:val="en-US" w:eastAsia="zh-CN"/>
              </w:rPr>
              <w:t>该手册</w:t>
            </w:r>
            <w:r>
              <w:rPr>
                <w:color w:val="auto"/>
                <w:highlight w:val="none"/>
                <w:lang w:val="en-US" w:eastAsia="zh-CN"/>
              </w:rPr>
              <w:t>中3024 轻质建筑材料制品制造行业系数手册</w:t>
            </w:r>
            <w:r>
              <w:rPr>
                <w:rFonts w:hint="eastAsia"/>
                <w:color w:val="auto"/>
                <w:highlight w:val="none"/>
                <w:lang w:val="en-US" w:eastAsia="zh-CN"/>
              </w:rPr>
              <w:t>中</w:t>
            </w:r>
            <w:r>
              <w:rPr>
                <w:color w:val="auto"/>
                <w:highlight w:val="none"/>
                <w:lang w:val="en-US" w:eastAsia="zh-CN"/>
              </w:rPr>
              <w:t>袋式除尘工艺的平均去除效率为99.7%</w:t>
            </w:r>
            <w:r>
              <w:rPr>
                <w:rFonts w:hint="eastAsia"/>
                <w:color w:val="auto"/>
                <w:highlight w:val="none"/>
                <w:lang w:val="en-US" w:eastAsia="zh-CN"/>
              </w:rPr>
              <w:t>，则本项目</w:t>
            </w:r>
            <w:r>
              <w:rPr>
                <w:color w:val="auto"/>
                <w:highlight w:val="none"/>
                <w:lang w:val="en-US" w:eastAsia="zh-CN"/>
              </w:rPr>
              <w:t>除尘效率</w:t>
            </w:r>
            <w:r>
              <w:rPr>
                <w:rFonts w:hint="eastAsia"/>
                <w:color w:val="auto"/>
                <w:highlight w:val="none"/>
                <w:lang w:val="en-US" w:eastAsia="zh-CN"/>
              </w:rPr>
              <w:t>取值</w:t>
            </w:r>
            <w:r>
              <w:rPr>
                <w:color w:val="auto"/>
                <w:highlight w:val="none"/>
                <w:lang w:val="en-US" w:eastAsia="zh-CN"/>
              </w:rPr>
              <w:t>为99.7%。</w:t>
            </w:r>
            <w:r>
              <w:rPr>
                <w:rFonts w:hint="eastAsia"/>
                <w:color w:val="auto"/>
                <w:highlight w:val="none"/>
                <w:lang w:val="en-US" w:eastAsia="zh-CN"/>
              </w:rPr>
              <w:t>封闭负压，有组织收集效率为99.5%，则集气设施有效收集粉尘量为811.92t/a，未收集粉尘为4.08t/a。净化处理后，除尘器颗粒物排放量为2.436t/a，排放浓度为14.762mg/m</w:t>
            </w:r>
            <w:r>
              <w:rPr>
                <w:rFonts w:hint="eastAsia"/>
                <w:color w:val="auto"/>
                <w:highlight w:val="none"/>
                <w:vertAlign w:val="superscript"/>
                <w:lang w:val="en-US" w:eastAsia="zh-CN"/>
              </w:rPr>
              <w:t>3</w:t>
            </w:r>
            <w:r>
              <w:rPr>
                <w:rFonts w:hint="eastAsia"/>
                <w:color w:val="auto"/>
                <w:highlight w:val="none"/>
                <w:lang w:val="en-US" w:eastAsia="zh-CN"/>
              </w:rPr>
              <w:t>，</w:t>
            </w:r>
            <w:r>
              <w:rPr>
                <w:color w:val="auto"/>
                <w:sz w:val="24"/>
                <w:highlight w:val="none"/>
                <w:lang w:bidi="ar"/>
              </w:rPr>
              <w:t>满足</w:t>
            </w:r>
            <w:r>
              <w:rPr>
                <w:rFonts w:hint="eastAsia"/>
                <w:color w:val="auto"/>
                <w:highlight w:val="none"/>
                <w:lang w:val="en-US" w:eastAsia="zh-CN"/>
              </w:rPr>
              <w:t>《水泥工业大气污染物排放标准》（GB 4915-2013）表1散装水泥中转及水泥制品生产过程颗粒物排放限值（20mg/m</w:t>
            </w:r>
            <w:r>
              <w:rPr>
                <w:rFonts w:hint="eastAsia"/>
                <w:color w:val="auto"/>
                <w:highlight w:val="none"/>
                <w:vertAlign w:val="superscript"/>
                <w:lang w:val="en-US" w:eastAsia="zh-CN"/>
              </w:rPr>
              <w:t>3</w:t>
            </w:r>
            <w:r>
              <w:rPr>
                <w:rFonts w:hint="eastAsia"/>
                <w:color w:val="auto"/>
                <w:highlight w:val="none"/>
                <w:lang w:val="en-US" w:eastAsia="zh-CN"/>
              </w:rPr>
              <w:t>）要求。未收集粉尘</w:t>
            </w:r>
            <w:r>
              <w:rPr>
                <w:rFonts w:hint="eastAsia"/>
                <w:color w:val="auto"/>
                <w:highlight w:val="none"/>
              </w:rPr>
              <w:t>经喷雾降尘和封闭</w:t>
            </w:r>
            <w:r>
              <w:rPr>
                <w:rFonts w:hint="eastAsia"/>
                <w:color w:val="auto"/>
                <w:highlight w:val="none"/>
                <w:lang w:val="en-US" w:eastAsia="zh-CN"/>
              </w:rPr>
              <w:t>厂房</w:t>
            </w:r>
            <w:r>
              <w:rPr>
                <w:rFonts w:hint="eastAsia"/>
                <w:color w:val="auto"/>
                <w:highlight w:val="none"/>
              </w:rPr>
              <w:t>沉降后，</w:t>
            </w:r>
            <w:r>
              <w:rPr>
                <w:rFonts w:hint="eastAsia"/>
                <w:color w:val="auto"/>
                <w:highlight w:val="none"/>
                <w:lang w:val="en-US" w:eastAsia="zh-CN"/>
              </w:rPr>
              <w:t>除尘效率可达90%</w:t>
            </w:r>
            <w:r>
              <w:rPr>
                <w:rFonts w:hint="eastAsia"/>
                <w:color w:val="auto"/>
                <w:highlight w:val="none"/>
              </w:rPr>
              <w:t>，则无组织</w:t>
            </w:r>
            <w:r>
              <w:rPr>
                <w:rFonts w:hint="eastAsia"/>
                <w:color w:val="auto"/>
                <w:highlight w:val="none"/>
                <w:lang w:val="en-US" w:eastAsia="zh-CN"/>
              </w:rPr>
              <w:t>粉尘</w:t>
            </w:r>
            <w:r>
              <w:rPr>
                <w:rFonts w:hint="eastAsia"/>
                <w:color w:val="auto"/>
                <w:highlight w:val="none"/>
              </w:rPr>
              <w:t>排放量为</w:t>
            </w:r>
            <w:r>
              <w:rPr>
                <w:rFonts w:hint="eastAsia"/>
                <w:color w:val="auto"/>
                <w:highlight w:val="none"/>
                <w:lang w:val="en-US" w:eastAsia="zh-CN"/>
              </w:rPr>
              <w:t>0.408</w:t>
            </w:r>
            <w:r>
              <w:rPr>
                <w:rFonts w:hint="eastAsia"/>
                <w:color w:val="auto"/>
                <w:highlight w:val="none"/>
              </w:rPr>
              <w:t>t/a</w:t>
            </w:r>
            <w:r>
              <w:rPr>
                <w:rFonts w:hint="eastAsia"/>
                <w:color w:val="auto"/>
                <w:highlight w:val="none"/>
                <w:lang w:eastAsia="zh-CN"/>
              </w:rPr>
              <w:t>；</w:t>
            </w:r>
            <w:r>
              <w:rPr>
                <w:rFonts w:hint="eastAsia"/>
                <w:color w:val="auto"/>
                <w:highlight w:val="none"/>
                <w:lang w:val="en-US" w:eastAsia="zh-CN"/>
              </w:rPr>
              <w:t>工作时间为7200h，则排放速率为0.057kg/h</w:t>
            </w:r>
            <w:r>
              <w:rPr>
                <w:rFonts w:hint="eastAsia"/>
                <w:color w:val="auto"/>
                <w:highlight w:val="none"/>
              </w:rPr>
              <w:t>。</w:t>
            </w:r>
          </w:p>
          <w:p w14:paraId="3D8047BB">
            <w:pPr>
              <w:pStyle w:val="41"/>
              <w:bidi w:val="0"/>
              <w:rPr>
                <w:rFonts w:hint="default"/>
                <w:color w:val="auto"/>
                <w:highlight w:val="none"/>
                <w:lang w:val="en-US" w:eastAsia="zh-CN"/>
              </w:rPr>
            </w:pPr>
            <w:r>
              <w:rPr>
                <w:rFonts w:hint="eastAsia"/>
                <w:color w:val="auto"/>
                <w:highlight w:val="none"/>
                <w:lang w:val="en-US" w:eastAsia="zh-CN"/>
              </w:rPr>
              <w:t>（5）G5炉渣中间仓粉尘</w:t>
            </w:r>
          </w:p>
          <w:p w14:paraId="206AA6EE">
            <w:pPr>
              <w:bidi w:val="0"/>
              <w:rPr>
                <w:rFonts w:hint="eastAsia" w:eastAsia="宋体"/>
                <w:color w:val="auto"/>
                <w:highlight w:val="none"/>
                <w:lang w:val="en-US" w:eastAsia="zh-CN"/>
              </w:rPr>
            </w:pPr>
            <w:r>
              <w:rPr>
                <w:color w:val="auto"/>
                <w:highlight w:val="none"/>
                <w:lang w:val="en-US" w:eastAsia="zh-CN"/>
              </w:rPr>
              <w:t>参照《排放源统计调查产排污核算方法和系数手册》中</w:t>
            </w:r>
            <w:r>
              <w:rPr>
                <w:rFonts w:hint="eastAsia"/>
                <w:color w:val="auto"/>
                <w:highlight w:val="none"/>
                <w:lang w:val="en-US" w:eastAsia="zh-CN"/>
              </w:rPr>
              <w:t>3021水泥制品制造行业系数手册产排污系数计算，物料输送储存工序颗粒物的产污系数是0.12kg/t-产品。项目炉渣用量为20万t/a，则颗粒物产生量为24t/a。该手册</w:t>
            </w:r>
            <w:r>
              <w:rPr>
                <w:color w:val="auto"/>
                <w:highlight w:val="none"/>
                <w:lang w:val="en-US" w:eastAsia="zh-CN"/>
              </w:rPr>
              <w:t>中</w:t>
            </w:r>
            <w:r>
              <w:rPr>
                <w:rFonts w:hint="eastAsia"/>
                <w:color w:val="auto"/>
                <w:highlight w:val="none"/>
                <w:lang w:val="en-US" w:eastAsia="zh-CN"/>
              </w:rPr>
              <w:t>3021水泥制品制造行业系数手册中</w:t>
            </w:r>
            <w:r>
              <w:rPr>
                <w:color w:val="auto"/>
                <w:highlight w:val="none"/>
                <w:lang w:val="en-US" w:eastAsia="zh-CN"/>
              </w:rPr>
              <w:t>袋式除尘工艺的平均去除效率为99.7%</w:t>
            </w:r>
            <w:r>
              <w:rPr>
                <w:rFonts w:hint="eastAsia"/>
                <w:color w:val="auto"/>
                <w:highlight w:val="none"/>
                <w:lang w:val="en-US" w:eastAsia="zh-CN"/>
              </w:rPr>
              <w:t>，本项目取值</w:t>
            </w:r>
            <w:r>
              <w:rPr>
                <w:color w:val="auto"/>
                <w:highlight w:val="none"/>
                <w:lang w:val="en-US" w:eastAsia="zh-CN"/>
              </w:rPr>
              <w:t>99.7%</w:t>
            </w:r>
            <w:r>
              <w:rPr>
                <w:rFonts w:hint="eastAsia"/>
                <w:color w:val="auto"/>
                <w:highlight w:val="none"/>
                <w:lang w:val="en-US" w:eastAsia="zh-CN"/>
              </w:rPr>
              <w:t>，则筒仓经脉冲式布袋除尘器处理后排放量为0.072t/a；炉渣中间仓上料时间为7200h，则排放速率为0.01kg/h。</w:t>
            </w:r>
          </w:p>
          <w:p w14:paraId="176BAAB2">
            <w:pPr>
              <w:pStyle w:val="41"/>
              <w:bidi w:val="0"/>
              <w:rPr>
                <w:rFonts w:hint="default"/>
                <w:color w:val="auto"/>
                <w:highlight w:val="none"/>
                <w:lang w:val="en-US" w:eastAsia="zh-CN"/>
              </w:rPr>
            </w:pPr>
            <w:r>
              <w:rPr>
                <w:rFonts w:hint="eastAsia"/>
                <w:color w:val="auto"/>
                <w:highlight w:val="none"/>
                <w:lang w:val="en-US" w:eastAsia="zh-CN"/>
              </w:rPr>
              <w:t>（6）G6镁渣中间仓粉尘</w:t>
            </w:r>
          </w:p>
          <w:p w14:paraId="115A9DEB">
            <w:pPr>
              <w:bidi w:val="0"/>
              <w:rPr>
                <w:rFonts w:hint="eastAsia" w:eastAsia="宋体"/>
                <w:color w:val="auto"/>
                <w:highlight w:val="none"/>
                <w:lang w:val="en-US" w:eastAsia="zh-CN"/>
              </w:rPr>
            </w:pPr>
            <w:r>
              <w:rPr>
                <w:color w:val="auto"/>
                <w:highlight w:val="none"/>
                <w:lang w:val="en-US" w:eastAsia="zh-CN"/>
              </w:rPr>
              <w:t>参照《排放源统计调查产排污核算方法和系数手册》中</w:t>
            </w:r>
            <w:r>
              <w:rPr>
                <w:rFonts w:hint="eastAsia"/>
                <w:color w:val="auto"/>
                <w:highlight w:val="none"/>
                <w:lang w:val="en-US" w:eastAsia="zh-CN"/>
              </w:rPr>
              <w:t>3021水泥制品制造行业系数手册产排污系数计算，物料输送储存工序颗粒物的产污系数是0.12kg/t-产品。项目镁渣和脱硫石膏总用量为24.5万t/a，则颗粒物产生量为29.4t/a。该手册</w:t>
            </w:r>
            <w:r>
              <w:rPr>
                <w:color w:val="auto"/>
                <w:highlight w:val="none"/>
                <w:lang w:val="en-US" w:eastAsia="zh-CN"/>
              </w:rPr>
              <w:t>中</w:t>
            </w:r>
            <w:r>
              <w:rPr>
                <w:rFonts w:hint="eastAsia"/>
                <w:color w:val="auto"/>
                <w:highlight w:val="none"/>
                <w:lang w:val="en-US" w:eastAsia="zh-CN"/>
              </w:rPr>
              <w:t>3021水泥制品制造行业系数手册中</w:t>
            </w:r>
            <w:r>
              <w:rPr>
                <w:color w:val="auto"/>
                <w:highlight w:val="none"/>
                <w:lang w:val="en-US" w:eastAsia="zh-CN"/>
              </w:rPr>
              <w:t>袋式除尘工艺的平均去除效率为99.7%</w:t>
            </w:r>
            <w:r>
              <w:rPr>
                <w:rFonts w:hint="eastAsia"/>
                <w:color w:val="auto"/>
                <w:highlight w:val="none"/>
                <w:lang w:val="en-US" w:eastAsia="zh-CN"/>
              </w:rPr>
              <w:t>，本项目取值</w:t>
            </w:r>
            <w:r>
              <w:rPr>
                <w:color w:val="auto"/>
                <w:highlight w:val="none"/>
                <w:lang w:val="en-US" w:eastAsia="zh-CN"/>
              </w:rPr>
              <w:t>99.7%</w:t>
            </w:r>
            <w:r>
              <w:rPr>
                <w:rFonts w:hint="eastAsia"/>
                <w:color w:val="auto"/>
                <w:highlight w:val="none"/>
                <w:lang w:val="en-US" w:eastAsia="zh-CN"/>
              </w:rPr>
              <w:t>，则筒仓经脉冲式布袋除尘器处理后排放量为0.088t/a；镁渣中间仓上料时间为7200h，则排放速率为0.012kg/h。</w:t>
            </w:r>
          </w:p>
          <w:p w14:paraId="6BB7B2D3">
            <w:pPr>
              <w:pStyle w:val="41"/>
              <w:bidi w:val="0"/>
              <w:rPr>
                <w:rFonts w:hint="default"/>
                <w:color w:val="auto"/>
                <w:highlight w:val="none"/>
                <w:lang w:val="en-US" w:eastAsia="zh-CN"/>
              </w:rPr>
            </w:pPr>
            <w:r>
              <w:rPr>
                <w:rFonts w:hint="eastAsia"/>
                <w:color w:val="auto"/>
                <w:highlight w:val="none"/>
                <w:lang w:val="en-US" w:eastAsia="zh-CN"/>
              </w:rPr>
              <w:t>（7）G7球磨粉尘</w:t>
            </w:r>
          </w:p>
          <w:p w14:paraId="5F3BD226">
            <w:pPr>
              <w:bidi w:val="0"/>
              <w:rPr>
                <w:rFonts w:hint="default"/>
                <w:color w:val="auto"/>
                <w:highlight w:val="none"/>
                <w:lang w:val="en-US" w:eastAsia="zh-CN"/>
              </w:rPr>
            </w:pPr>
            <w:r>
              <w:rPr>
                <w:color w:val="auto"/>
                <w:highlight w:val="none"/>
                <w:lang w:val="en-US" w:eastAsia="zh-CN"/>
              </w:rPr>
              <w:t>参照《排放源统计调查产排污核算方法和系数手册》中3024 轻质建筑材料制品制造行业系数手册</w:t>
            </w:r>
            <w:r>
              <w:rPr>
                <w:rFonts w:hint="eastAsia"/>
                <w:color w:val="auto"/>
                <w:highlight w:val="none"/>
                <w:lang w:val="en-US" w:eastAsia="zh-CN"/>
              </w:rPr>
              <w:t>产污系数计算，破碎粉磨工序的产污系数是：废气量为825Nm</w:t>
            </w:r>
            <w:r>
              <w:rPr>
                <w:rFonts w:hint="eastAsia"/>
                <w:color w:val="auto"/>
                <w:highlight w:val="none"/>
                <w:vertAlign w:val="superscript"/>
                <w:lang w:val="en-US" w:eastAsia="zh-CN"/>
              </w:rPr>
              <w:t>3</w:t>
            </w:r>
            <w:r>
              <w:rPr>
                <w:rFonts w:hint="eastAsia"/>
                <w:color w:val="auto"/>
                <w:highlight w:val="none"/>
                <w:lang w:val="en-US" w:eastAsia="zh-CN"/>
              </w:rPr>
              <w:t>/t-产品计算，颗粒物为4.08kg/t-产品。每年需消耗原料95万t，该工序产生的废气量为78375万Nm</w:t>
            </w:r>
            <w:r>
              <w:rPr>
                <w:rFonts w:hint="eastAsia"/>
                <w:color w:val="auto"/>
                <w:highlight w:val="none"/>
                <w:vertAlign w:val="superscript"/>
                <w:lang w:val="en-US" w:eastAsia="zh-CN"/>
              </w:rPr>
              <w:t>3</w:t>
            </w:r>
            <w:r>
              <w:rPr>
                <w:rFonts w:hint="eastAsia"/>
                <w:color w:val="auto"/>
                <w:highlight w:val="none"/>
                <w:lang w:val="en-US" w:eastAsia="zh-CN"/>
              </w:rPr>
              <w:t>/a，颗粒物为3876t/a，产生浓度为4945.45mg/m</w:t>
            </w:r>
            <w:r>
              <w:rPr>
                <w:rFonts w:hint="eastAsia"/>
                <w:color w:val="auto"/>
                <w:highlight w:val="none"/>
                <w:vertAlign w:val="superscript"/>
                <w:lang w:val="en-US" w:eastAsia="zh-CN"/>
              </w:rPr>
              <w:t>3</w:t>
            </w:r>
            <w:r>
              <w:rPr>
                <w:rFonts w:hint="eastAsia"/>
                <w:color w:val="auto"/>
                <w:highlight w:val="none"/>
                <w:vertAlign w:val="baseline"/>
                <w:lang w:val="en-US" w:eastAsia="zh-CN"/>
              </w:rPr>
              <w:t>。</w:t>
            </w:r>
            <w:r>
              <w:rPr>
                <w:rFonts w:hint="eastAsia"/>
                <w:color w:val="auto"/>
                <w:highlight w:val="none"/>
                <w:lang w:val="en-US" w:eastAsia="zh-CN"/>
              </w:rPr>
              <w:t>封闭负压，有组织收集效率为99.5%，则集气设施有效收集粉尘量为3856.62t/a，未收集粉尘为19.38t/a。该手册</w:t>
            </w:r>
            <w:r>
              <w:rPr>
                <w:color w:val="auto"/>
                <w:highlight w:val="none"/>
                <w:lang w:val="en-US" w:eastAsia="zh-CN"/>
              </w:rPr>
              <w:t>中3024 轻质建筑材料制品制造行业系数手册</w:t>
            </w:r>
            <w:r>
              <w:rPr>
                <w:rFonts w:hint="eastAsia"/>
                <w:color w:val="auto"/>
                <w:highlight w:val="none"/>
                <w:lang w:val="en-US" w:eastAsia="zh-CN"/>
              </w:rPr>
              <w:t>中</w:t>
            </w:r>
            <w:r>
              <w:rPr>
                <w:color w:val="auto"/>
                <w:highlight w:val="none"/>
                <w:lang w:val="en-US" w:eastAsia="zh-CN"/>
              </w:rPr>
              <w:t>袋式除尘工艺的平均去除效率为99.7%</w:t>
            </w:r>
            <w:r>
              <w:rPr>
                <w:rFonts w:hint="eastAsia"/>
                <w:color w:val="auto"/>
                <w:highlight w:val="none"/>
                <w:lang w:val="en-US" w:eastAsia="zh-CN"/>
              </w:rPr>
              <w:t>，则本项目</w:t>
            </w:r>
            <w:r>
              <w:rPr>
                <w:color w:val="auto"/>
                <w:highlight w:val="none"/>
                <w:lang w:val="en-US" w:eastAsia="zh-CN"/>
              </w:rPr>
              <w:t>除尘效率</w:t>
            </w:r>
            <w:r>
              <w:rPr>
                <w:rFonts w:hint="eastAsia"/>
                <w:color w:val="auto"/>
                <w:highlight w:val="none"/>
                <w:lang w:val="en-US" w:eastAsia="zh-CN"/>
              </w:rPr>
              <w:t>取值</w:t>
            </w:r>
            <w:r>
              <w:rPr>
                <w:color w:val="auto"/>
                <w:highlight w:val="none"/>
                <w:lang w:val="en-US" w:eastAsia="zh-CN"/>
              </w:rPr>
              <w:t>为99.7%。</w:t>
            </w:r>
            <w:r>
              <w:rPr>
                <w:rFonts w:hint="eastAsia"/>
                <w:color w:val="auto"/>
                <w:highlight w:val="none"/>
                <w:lang w:val="en-US" w:eastAsia="zh-CN"/>
              </w:rPr>
              <w:t>净化处理后，颗粒物排放量为11.57t/a，排放浓度为14.762mg/m</w:t>
            </w:r>
            <w:r>
              <w:rPr>
                <w:rFonts w:hint="eastAsia"/>
                <w:color w:val="auto"/>
                <w:highlight w:val="none"/>
                <w:vertAlign w:val="superscript"/>
                <w:lang w:val="en-US" w:eastAsia="zh-CN"/>
              </w:rPr>
              <w:t>3</w:t>
            </w:r>
            <w:r>
              <w:rPr>
                <w:rFonts w:hint="eastAsia"/>
                <w:color w:val="auto"/>
                <w:highlight w:val="none"/>
                <w:lang w:val="en-US" w:eastAsia="zh-CN"/>
              </w:rPr>
              <w:t>，</w:t>
            </w:r>
            <w:r>
              <w:rPr>
                <w:color w:val="auto"/>
                <w:sz w:val="24"/>
                <w:highlight w:val="none"/>
                <w:lang w:bidi="ar"/>
              </w:rPr>
              <w:t>满足</w:t>
            </w:r>
            <w:r>
              <w:rPr>
                <w:rFonts w:hint="eastAsia"/>
                <w:color w:val="auto"/>
                <w:highlight w:val="none"/>
                <w:lang w:val="en-US" w:eastAsia="zh-CN"/>
              </w:rPr>
              <w:t>《水泥工业大气污染物排放标准》（GB 4915-2013）表1散装水泥中转及水泥制品生产过程颗粒物排放限值（20mg/m</w:t>
            </w:r>
            <w:r>
              <w:rPr>
                <w:rFonts w:hint="eastAsia"/>
                <w:color w:val="auto"/>
                <w:highlight w:val="none"/>
                <w:vertAlign w:val="superscript"/>
                <w:lang w:val="en-US" w:eastAsia="zh-CN"/>
              </w:rPr>
              <w:t>3</w:t>
            </w:r>
            <w:r>
              <w:rPr>
                <w:rFonts w:hint="eastAsia"/>
                <w:color w:val="auto"/>
                <w:highlight w:val="none"/>
                <w:lang w:val="en-US" w:eastAsia="zh-CN"/>
              </w:rPr>
              <w:t>）要求。未收集粉尘</w:t>
            </w:r>
            <w:r>
              <w:rPr>
                <w:rFonts w:hint="eastAsia"/>
                <w:color w:val="auto"/>
                <w:highlight w:val="none"/>
              </w:rPr>
              <w:t>经喷雾降尘和封闭</w:t>
            </w:r>
            <w:r>
              <w:rPr>
                <w:rFonts w:hint="eastAsia"/>
                <w:color w:val="auto"/>
                <w:highlight w:val="none"/>
                <w:lang w:val="en-US" w:eastAsia="zh-CN"/>
              </w:rPr>
              <w:t>厂房</w:t>
            </w:r>
            <w:r>
              <w:rPr>
                <w:rFonts w:hint="eastAsia"/>
                <w:color w:val="auto"/>
                <w:highlight w:val="none"/>
              </w:rPr>
              <w:t>沉降后，</w:t>
            </w:r>
            <w:r>
              <w:rPr>
                <w:rFonts w:hint="eastAsia"/>
                <w:color w:val="auto"/>
                <w:highlight w:val="none"/>
                <w:lang w:val="en-US" w:eastAsia="zh-CN"/>
              </w:rPr>
              <w:t>除尘效率可达90%</w:t>
            </w:r>
            <w:r>
              <w:rPr>
                <w:rFonts w:hint="eastAsia"/>
                <w:color w:val="auto"/>
                <w:highlight w:val="none"/>
              </w:rPr>
              <w:t>，则无组织</w:t>
            </w:r>
            <w:r>
              <w:rPr>
                <w:rFonts w:hint="eastAsia"/>
                <w:color w:val="auto"/>
                <w:highlight w:val="none"/>
                <w:lang w:val="en-US" w:eastAsia="zh-CN"/>
              </w:rPr>
              <w:t>粉尘</w:t>
            </w:r>
            <w:r>
              <w:rPr>
                <w:rFonts w:hint="eastAsia"/>
                <w:color w:val="auto"/>
                <w:highlight w:val="none"/>
              </w:rPr>
              <w:t>排放量为</w:t>
            </w:r>
            <w:r>
              <w:rPr>
                <w:rFonts w:hint="eastAsia"/>
                <w:color w:val="auto"/>
                <w:highlight w:val="none"/>
                <w:lang w:val="en-US" w:eastAsia="zh-CN"/>
              </w:rPr>
              <w:t>1.938</w:t>
            </w:r>
            <w:r>
              <w:rPr>
                <w:rFonts w:hint="eastAsia"/>
                <w:color w:val="auto"/>
                <w:highlight w:val="none"/>
              </w:rPr>
              <w:t>t/a</w:t>
            </w:r>
            <w:r>
              <w:rPr>
                <w:rFonts w:hint="eastAsia"/>
                <w:color w:val="auto"/>
                <w:highlight w:val="none"/>
                <w:lang w:eastAsia="zh-CN"/>
              </w:rPr>
              <w:t>；</w:t>
            </w:r>
            <w:r>
              <w:rPr>
                <w:rFonts w:hint="eastAsia"/>
                <w:color w:val="auto"/>
                <w:highlight w:val="none"/>
                <w:lang w:val="en-US" w:eastAsia="zh-CN"/>
              </w:rPr>
              <w:t>工作时间为7200h，则排放速率为0.269kg/h</w:t>
            </w:r>
            <w:r>
              <w:rPr>
                <w:rFonts w:hint="eastAsia"/>
                <w:color w:val="auto"/>
                <w:highlight w:val="none"/>
              </w:rPr>
              <w:t>。</w:t>
            </w:r>
          </w:p>
          <w:p w14:paraId="371F3F7C">
            <w:pPr>
              <w:pStyle w:val="41"/>
              <w:bidi w:val="0"/>
              <w:rPr>
                <w:rFonts w:hint="default"/>
                <w:color w:val="auto"/>
                <w:highlight w:val="none"/>
                <w:lang w:val="en-US" w:eastAsia="zh-CN"/>
              </w:rPr>
            </w:pPr>
            <w:r>
              <w:rPr>
                <w:rFonts w:hint="eastAsia"/>
                <w:color w:val="auto"/>
                <w:highlight w:val="none"/>
                <w:lang w:val="en-US" w:eastAsia="zh-CN"/>
              </w:rPr>
              <w:t>（8）G8预处理灰仓粉尘</w:t>
            </w:r>
          </w:p>
          <w:p w14:paraId="656EC191">
            <w:pPr>
              <w:bidi w:val="0"/>
              <w:rPr>
                <w:rFonts w:hint="eastAsia" w:eastAsia="宋体"/>
                <w:color w:val="auto"/>
                <w:highlight w:val="none"/>
                <w:lang w:val="en-US" w:eastAsia="zh-CN"/>
              </w:rPr>
            </w:pPr>
            <w:r>
              <w:rPr>
                <w:color w:val="auto"/>
                <w:highlight w:val="none"/>
                <w:lang w:val="en-US" w:eastAsia="zh-CN"/>
              </w:rPr>
              <w:t>参照《排放源统计调查产排污核算方法和系数手册》中</w:t>
            </w:r>
            <w:r>
              <w:rPr>
                <w:rFonts w:hint="eastAsia"/>
                <w:color w:val="auto"/>
                <w:highlight w:val="none"/>
                <w:lang w:val="en-US" w:eastAsia="zh-CN"/>
              </w:rPr>
              <w:t>3021水泥制品制造行业系数手册产排污系数计算，物料输送储存工序颗粒物的产污系数是0.12kg/t-产品。预处理灰仓入料量为95万t/a，则颗粒物产生量为114t/a。该手册</w:t>
            </w:r>
            <w:r>
              <w:rPr>
                <w:color w:val="auto"/>
                <w:highlight w:val="none"/>
                <w:lang w:val="en-US" w:eastAsia="zh-CN"/>
              </w:rPr>
              <w:t>中</w:t>
            </w:r>
            <w:r>
              <w:rPr>
                <w:rFonts w:hint="eastAsia"/>
                <w:color w:val="auto"/>
                <w:highlight w:val="none"/>
                <w:lang w:val="en-US" w:eastAsia="zh-CN"/>
              </w:rPr>
              <w:t>3021水泥制品制造行业系数手册中</w:t>
            </w:r>
            <w:r>
              <w:rPr>
                <w:color w:val="auto"/>
                <w:highlight w:val="none"/>
                <w:lang w:val="en-US" w:eastAsia="zh-CN"/>
              </w:rPr>
              <w:t>袋式除尘工艺的平均去除效率为99.7%</w:t>
            </w:r>
            <w:r>
              <w:rPr>
                <w:rFonts w:hint="eastAsia"/>
                <w:color w:val="auto"/>
                <w:highlight w:val="none"/>
                <w:lang w:val="en-US" w:eastAsia="zh-CN"/>
              </w:rPr>
              <w:t>，本项目取值</w:t>
            </w:r>
            <w:r>
              <w:rPr>
                <w:color w:val="auto"/>
                <w:highlight w:val="none"/>
                <w:lang w:val="en-US" w:eastAsia="zh-CN"/>
              </w:rPr>
              <w:t>99.7%</w:t>
            </w:r>
            <w:r>
              <w:rPr>
                <w:rFonts w:hint="eastAsia"/>
                <w:color w:val="auto"/>
                <w:highlight w:val="none"/>
                <w:lang w:val="en-US" w:eastAsia="zh-CN"/>
              </w:rPr>
              <w:t>，则筒仓经脉冲式布袋除尘器处理后排放量为0.342t/a；镁渣中间仓上料时间为7200h，则排放速率为0.048kg/h。</w:t>
            </w:r>
          </w:p>
          <w:p w14:paraId="73DDA981">
            <w:pPr>
              <w:pStyle w:val="41"/>
              <w:bidi w:val="0"/>
              <w:rPr>
                <w:rFonts w:hint="default"/>
                <w:color w:val="auto"/>
                <w:highlight w:val="none"/>
                <w:lang w:val="en-US" w:eastAsia="zh-CN"/>
              </w:rPr>
            </w:pPr>
            <w:r>
              <w:rPr>
                <w:rFonts w:hint="eastAsia"/>
                <w:color w:val="auto"/>
                <w:highlight w:val="none"/>
                <w:lang w:val="en-US" w:eastAsia="zh-CN"/>
              </w:rPr>
              <w:t>（9）G9骨料搅拌粉尘</w:t>
            </w:r>
          </w:p>
          <w:p w14:paraId="623631EC">
            <w:pPr>
              <w:bidi w:val="0"/>
              <w:rPr>
                <w:rFonts w:hint="default"/>
                <w:color w:val="auto"/>
                <w:highlight w:val="none"/>
                <w:lang w:val="en-US" w:eastAsia="zh-CN"/>
              </w:rPr>
            </w:pPr>
            <w:r>
              <w:rPr>
                <w:color w:val="auto"/>
                <w:highlight w:val="none"/>
              </w:rPr>
              <w:t>参照中华人民共和国生态环境部2021年6月11日发布的《排放源统计调查产排污核算方法和系数手册》中</w:t>
            </w:r>
            <w:r>
              <w:rPr>
                <w:rFonts w:hint="eastAsia"/>
                <w:color w:val="auto"/>
                <w:highlight w:val="none"/>
              </w:rPr>
              <w:t>3024 轻质建筑材料制品制造行业系数手册产污系数计算</w:t>
            </w:r>
            <w:r>
              <w:rPr>
                <w:rFonts w:hint="eastAsia"/>
                <w:color w:val="auto"/>
                <w:highlight w:val="none"/>
                <w:lang w:eastAsia="zh-CN"/>
              </w:rPr>
              <w:t>，</w:t>
            </w:r>
            <w:r>
              <w:rPr>
                <w:rFonts w:hint="eastAsia"/>
                <w:color w:val="auto"/>
                <w:highlight w:val="none"/>
                <w:lang w:val="en-US" w:eastAsia="zh-CN"/>
              </w:rPr>
              <w:t>物料混合搅拌工序的产污系数是：废气量为76.9Nm</w:t>
            </w:r>
            <w:r>
              <w:rPr>
                <w:rFonts w:hint="eastAsia"/>
                <w:color w:val="auto"/>
                <w:highlight w:val="none"/>
                <w:vertAlign w:val="superscript"/>
                <w:lang w:val="en-US" w:eastAsia="zh-CN"/>
              </w:rPr>
              <w:t>3</w:t>
            </w:r>
            <w:r>
              <w:rPr>
                <w:rFonts w:hint="eastAsia"/>
                <w:color w:val="auto"/>
                <w:highlight w:val="none"/>
                <w:lang w:val="en-US" w:eastAsia="zh-CN"/>
              </w:rPr>
              <w:t>/t-产品计算，颗粒物为0.325kg/t-产品。搅拌机入料量为100万t/a，产生的废气量为7690万</w:t>
            </w:r>
            <w:r>
              <w:rPr>
                <w:color w:val="auto"/>
                <w:highlight w:val="none"/>
              </w:rPr>
              <w:t>m</w:t>
            </w:r>
            <w:r>
              <w:rPr>
                <w:color w:val="auto"/>
                <w:highlight w:val="none"/>
                <w:vertAlign w:val="superscript"/>
              </w:rPr>
              <w:t>3</w:t>
            </w:r>
            <w:r>
              <w:rPr>
                <w:color w:val="auto"/>
                <w:highlight w:val="none"/>
              </w:rPr>
              <w:t>/a，颗粒物为</w:t>
            </w:r>
            <w:r>
              <w:rPr>
                <w:rFonts w:hint="eastAsia"/>
                <w:color w:val="auto"/>
                <w:highlight w:val="none"/>
                <w:lang w:val="en-US" w:eastAsia="zh-CN"/>
              </w:rPr>
              <w:t>325</w:t>
            </w:r>
            <w:r>
              <w:rPr>
                <w:color w:val="auto"/>
                <w:highlight w:val="none"/>
              </w:rPr>
              <w:t>t/a，产生浓度为</w:t>
            </w:r>
            <w:r>
              <w:rPr>
                <w:rFonts w:hint="eastAsia"/>
                <w:color w:val="auto"/>
                <w:highlight w:val="none"/>
                <w:lang w:val="en-US" w:eastAsia="zh-CN"/>
              </w:rPr>
              <w:t>4226.67</w:t>
            </w:r>
            <w:r>
              <w:rPr>
                <w:color w:val="auto"/>
                <w:highlight w:val="none"/>
              </w:rPr>
              <w:t>mg/m</w:t>
            </w:r>
            <w:r>
              <w:rPr>
                <w:color w:val="auto"/>
                <w:highlight w:val="none"/>
                <w:vertAlign w:val="superscript"/>
              </w:rPr>
              <w:t>3</w:t>
            </w:r>
            <w:r>
              <w:rPr>
                <w:color w:val="auto"/>
                <w:highlight w:val="none"/>
              </w:rPr>
              <w:t>。</w:t>
            </w:r>
            <w:r>
              <w:rPr>
                <w:rFonts w:hint="eastAsia"/>
                <w:color w:val="auto"/>
                <w:highlight w:val="none"/>
                <w:lang w:val="en-US" w:eastAsia="zh-CN"/>
              </w:rPr>
              <w:t>搅拌设备有固定排放口直接与风管连接，有组织收集效率为90%，则集气设施有效收集粉尘量为292.5t/a，未收集粉尘为32.5t/a。</w:t>
            </w:r>
            <w:r>
              <w:rPr>
                <w:rFonts w:hint="eastAsia"/>
                <w:color w:val="auto"/>
                <w:highlight w:val="none"/>
              </w:rPr>
              <w:t>该手册</w:t>
            </w:r>
            <w:r>
              <w:rPr>
                <w:color w:val="auto"/>
                <w:highlight w:val="none"/>
              </w:rPr>
              <w:t>中</w:t>
            </w:r>
            <w:r>
              <w:rPr>
                <w:rFonts w:hint="eastAsia"/>
                <w:color w:val="auto"/>
                <w:highlight w:val="none"/>
              </w:rPr>
              <w:t>3024 轻质建筑材料制品制造行业系数手册中</w:t>
            </w:r>
            <w:r>
              <w:rPr>
                <w:color w:val="auto"/>
                <w:highlight w:val="none"/>
              </w:rPr>
              <w:t>袋式除尘工艺的平均去除效率为99.7%，</w:t>
            </w:r>
            <w:r>
              <w:rPr>
                <w:rFonts w:hint="eastAsia"/>
                <w:color w:val="auto"/>
                <w:highlight w:val="none"/>
              </w:rPr>
              <w:t>则本项目</w:t>
            </w:r>
            <w:r>
              <w:rPr>
                <w:color w:val="auto"/>
                <w:highlight w:val="none"/>
              </w:rPr>
              <w:t>除尘效率</w:t>
            </w:r>
            <w:r>
              <w:rPr>
                <w:rFonts w:hint="eastAsia"/>
                <w:color w:val="auto"/>
                <w:highlight w:val="none"/>
              </w:rPr>
              <w:t>取值</w:t>
            </w:r>
            <w:r>
              <w:rPr>
                <w:color w:val="auto"/>
                <w:highlight w:val="none"/>
              </w:rPr>
              <w:t>为99.7%。</w:t>
            </w:r>
            <w:r>
              <w:rPr>
                <w:rFonts w:hint="eastAsia"/>
                <w:color w:val="auto"/>
                <w:highlight w:val="none"/>
                <w:lang w:val="en-US" w:eastAsia="zh-CN"/>
              </w:rPr>
              <w:t>净化处理后，颗粒物排放量为0.878t/a，排放浓度为11.411mg/m</w:t>
            </w:r>
            <w:r>
              <w:rPr>
                <w:rFonts w:hint="eastAsia"/>
                <w:color w:val="auto"/>
                <w:highlight w:val="none"/>
                <w:vertAlign w:val="superscript"/>
                <w:lang w:val="en-US" w:eastAsia="zh-CN"/>
              </w:rPr>
              <w:t>3</w:t>
            </w:r>
            <w:r>
              <w:rPr>
                <w:rFonts w:hint="eastAsia"/>
                <w:color w:val="auto"/>
                <w:highlight w:val="none"/>
                <w:lang w:val="en-US" w:eastAsia="zh-CN"/>
              </w:rPr>
              <w:t>，</w:t>
            </w:r>
            <w:r>
              <w:rPr>
                <w:color w:val="auto"/>
                <w:sz w:val="24"/>
                <w:highlight w:val="none"/>
                <w:lang w:bidi="ar"/>
              </w:rPr>
              <w:t>满足</w:t>
            </w:r>
            <w:r>
              <w:rPr>
                <w:rFonts w:hint="eastAsia"/>
                <w:color w:val="auto"/>
                <w:highlight w:val="none"/>
                <w:lang w:val="en-US" w:eastAsia="zh-CN"/>
              </w:rPr>
              <w:t>《水泥工业大气污染物排放标准》（GB 4915-2013）表1散装水泥中转及水泥制品生产过程颗粒物排放限值（20mg/m</w:t>
            </w:r>
            <w:r>
              <w:rPr>
                <w:rFonts w:hint="eastAsia"/>
                <w:color w:val="auto"/>
                <w:highlight w:val="none"/>
                <w:vertAlign w:val="superscript"/>
                <w:lang w:val="en-US" w:eastAsia="zh-CN"/>
              </w:rPr>
              <w:t>3</w:t>
            </w:r>
            <w:r>
              <w:rPr>
                <w:rFonts w:hint="eastAsia"/>
                <w:color w:val="auto"/>
                <w:highlight w:val="none"/>
                <w:lang w:val="en-US" w:eastAsia="zh-CN"/>
              </w:rPr>
              <w:t>）要求。未收集粉尘</w:t>
            </w:r>
            <w:r>
              <w:rPr>
                <w:rFonts w:hint="eastAsia"/>
                <w:color w:val="auto"/>
                <w:highlight w:val="none"/>
              </w:rPr>
              <w:t>经喷雾降尘和封闭</w:t>
            </w:r>
            <w:r>
              <w:rPr>
                <w:rFonts w:hint="eastAsia"/>
                <w:color w:val="auto"/>
                <w:highlight w:val="none"/>
                <w:lang w:val="en-US" w:eastAsia="zh-CN"/>
              </w:rPr>
              <w:t>厂房</w:t>
            </w:r>
            <w:r>
              <w:rPr>
                <w:rFonts w:hint="eastAsia"/>
                <w:color w:val="auto"/>
                <w:highlight w:val="none"/>
              </w:rPr>
              <w:t>沉降后，</w:t>
            </w:r>
            <w:r>
              <w:rPr>
                <w:rFonts w:hint="eastAsia"/>
                <w:color w:val="auto"/>
                <w:highlight w:val="none"/>
                <w:lang w:val="en-US" w:eastAsia="zh-CN"/>
              </w:rPr>
              <w:t>除尘效率可达90%</w:t>
            </w:r>
            <w:r>
              <w:rPr>
                <w:rFonts w:hint="eastAsia"/>
                <w:color w:val="auto"/>
                <w:highlight w:val="none"/>
              </w:rPr>
              <w:t>，则无组织</w:t>
            </w:r>
            <w:r>
              <w:rPr>
                <w:rFonts w:hint="eastAsia"/>
                <w:color w:val="auto"/>
                <w:highlight w:val="none"/>
                <w:lang w:val="en-US" w:eastAsia="zh-CN"/>
              </w:rPr>
              <w:t>粉尘</w:t>
            </w:r>
            <w:r>
              <w:rPr>
                <w:rFonts w:hint="eastAsia"/>
                <w:color w:val="auto"/>
                <w:highlight w:val="none"/>
              </w:rPr>
              <w:t>排放量为</w:t>
            </w:r>
            <w:r>
              <w:rPr>
                <w:rFonts w:hint="eastAsia"/>
                <w:color w:val="auto"/>
                <w:highlight w:val="none"/>
                <w:lang w:val="en-US" w:eastAsia="zh-CN"/>
              </w:rPr>
              <w:t>3.25</w:t>
            </w:r>
            <w:r>
              <w:rPr>
                <w:rFonts w:hint="eastAsia"/>
                <w:color w:val="auto"/>
                <w:highlight w:val="none"/>
              </w:rPr>
              <w:t>t/a</w:t>
            </w:r>
            <w:r>
              <w:rPr>
                <w:rFonts w:hint="eastAsia"/>
                <w:color w:val="auto"/>
                <w:highlight w:val="none"/>
                <w:lang w:eastAsia="zh-CN"/>
              </w:rPr>
              <w:t>；</w:t>
            </w:r>
            <w:r>
              <w:rPr>
                <w:rFonts w:hint="eastAsia"/>
                <w:color w:val="auto"/>
                <w:highlight w:val="none"/>
                <w:lang w:val="en-US" w:eastAsia="zh-CN"/>
              </w:rPr>
              <w:t>工作时间为7200h，则排放速率为0.451kg/h</w:t>
            </w:r>
            <w:r>
              <w:rPr>
                <w:rFonts w:hint="eastAsia"/>
                <w:color w:val="auto"/>
                <w:highlight w:val="none"/>
              </w:rPr>
              <w:t>。</w:t>
            </w:r>
          </w:p>
          <w:p w14:paraId="657C807B">
            <w:pPr>
              <w:pStyle w:val="41"/>
              <w:bidi w:val="0"/>
              <w:rPr>
                <w:rFonts w:hint="eastAsia"/>
                <w:color w:val="auto"/>
                <w:highlight w:val="none"/>
                <w:lang w:val="en-US" w:eastAsia="zh-CN"/>
              </w:rPr>
            </w:pPr>
            <w:r>
              <w:rPr>
                <w:rFonts w:hint="eastAsia"/>
                <w:color w:val="auto"/>
                <w:highlight w:val="none"/>
                <w:lang w:val="en-US" w:eastAsia="zh-CN"/>
              </w:rPr>
              <w:t>（10）G10成球包膜粉尘</w:t>
            </w:r>
          </w:p>
          <w:p w14:paraId="18CEC8FF">
            <w:pPr>
              <w:bidi w:val="0"/>
              <w:rPr>
                <w:rFonts w:hint="default"/>
                <w:color w:val="auto"/>
                <w:highlight w:val="none"/>
                <w:lang w:val="en-US" w:eastAsia="zh-CN"/>
              </w:rPr>
            </w:pPr>
            <w:r>
              <w:rPr>
                <w:color w:val="auto"/>
                <w:highlight w:val="none"/>
              </w:rPr>
              <w:t>中华人民共和国生态环境部2021年6月11日发布的《排放源统计调查产排污核算方法和系数手册》中</w:t>
            </w:r>
            <w:r>
              <w:rPr>
                <w:rFonts w:hint="eastAsia"/>
                <w:color w:val="auto"/>
                <w:highlight w:val="none"/>
              </w:rPr>
              <w:t>3024 轻质建筑材料制品制造行业系数手册中无</w:t>
            </w:r>
            <w:r>
              <w:rPr>
                <w:rFonts w:hint="eastAsia"/>
                <w:color w:val="auto"/>
                <w:highlight w:val="none"/>
                <w:lang w:val="en-US" w:eastAsia="zh-CN"/>
              </w:rPr>
              <w:t>成球机和包膜机</w:t>
            </w:r>
            <w:r>
              <w:rPr>
                <w:rFonts w:hint="eastAsia"/>
                <w:color w:val="auto"/>
                <w:highlight w:val="none"/>
              </w:rPr>
              <w:t>产排污系数</w:t>
            </w:r>
            <w:r>
              <w:rPr>
                <w:rFonts w:hint="eastAsia"/>
                <w:color w:val="auto"/>
                <w:highlight w:val="none"/>
                <w:lang w:eastAsia="zh-CN"/>
              </w:rPr>
              <w:t>，</w:t>
            </w:r>
            <w:r>
              <w:rPr>
                <w:rFonts w:hint="eastAsia"/>
                <w:color w:val="auto"/>
                <w:highlight w:val="none"/>
                <w:lang w:val="en-US" w:eastAsia="zh-CN"/>
              </w:rPr>
              <w:t>根据可研提供资料，成球包膜区产生的废气量为10800万</w:t>
            </w:r>
            <w:r>
              <w:rPr>
                <w:color w:val="auto"/>
                <w:highlight w:val="none"/>
              </w:rPr>
              <w:t>Nm</w:t>
            </w:r>
            <w:r>
              <w:rPr>
                <w:color w:val="auto"/>
                <w:highlight w:val="none"/>
                <w:vertAlign w:val="superscript"/>
              </w:rPr>
              <w:t>3</w:t>
            </w:r>
            <w:r>
              <w:rPr>
                <w:color w:val="auto"/>
                <w:highlight w:val="none"/>
              </w:rPr>
              <w:t>/a，颗粒物为</w:t>
            </w:r>
            <w:r>
              <w:rPr>
                <w:rFonts w:hint="eastAsia"/>
                <w:color w:val="auto"/>
                <w:highlight w:val="none"/>
                <w:lang w:val="en-US" w:eastAsia="zh-CN"/>
              </w:rPr>
              <w:t>360</w:t>
            </w:r>
            <w:r>
              <w:rPr>
                <w:color w:val="auto"/>
                <w:highlight w:val="none"/>
              </w:rPr>
              <w:t>t/a</w:t>
            </w:r>
            <w:r>
              <w:rPr>
                <w:rFonts w:hint="eastAsia"/>
                <w:color w:val="auto"/>
                <w:highlight w:val="none"/>
                <w:lang w:eastAsia="zh-CN"/>
              </w:rPr>
              <w:t>，</w:t>
            </w:r>
            <w:r>
              <w:rPr>
                <w:color w:val="auto"/>
                <w:highlight w:val="none"/>
              </w:rPr>
              <w:t>产生浓度为</w:t>
            </w:r>
            <w:r>
              <w:rPr>
                <w:rFonts w:hint="eastAsia"/>
                <w:color w:val="auto"/>
                <w:highlight w:val="none"/>
                <w:lang w:val="en-US" w:eastAsia="zh-CN"/>
              </w:rPr>
              <w:t>3333.33</w:t>
            </w:r>
            <w:r>
              <w:rPr>
                <w:color w:val="auto"/>
                <w:highlight w:val="none"/>
              </w:rPr>
              <w:t>mg/m</w:t>
            </w:r>
            <w:r>
              <w:rPr>
                <w:color w:val="auto"/>
                <w:highlight w:val="none"/>
                <w:vertAlign w:val="superscript"/>
              </w:rPr>
              <w:t>3</w:t>
            </w:r>
            <w:r>
              <w:rPr>
                <w:rFonts w:hint="eastAsia"/>
                <w:color w:val="auto"/>
                <w:highlight w:val="none"/>
                <w:lang w:eastAsia="zh-CN"/>
              </w:rPr>
              <w:t>。</w:t>
            </w:r>
            <w:r>
              <w:rPr>
                <w:rFonts w:hint="eastAsia"/>
                <w:color w:val="auto"/>
                <w:highlight w:val="none"/>
                <w:lang w:val="en-US" w:eastAsia="zh-CN"/>
              </w:rPr>
              <w:t>设备有固定排放口直接与风管连接，有组织收集效率为90%，则集气设施有效收集粉尘量为324t/a，未收集粉尘为36t/a。</w:t>
            </w:r>
            <w:r>
              <w:rPr>
                <w:color w:val="auto"/>
                <w:highlight w:val="none"/>
                <w:lang w:val="en-US" w:eastAsia="zh-CN"/>
              </w:rPr>
              <w:t>3024 轻质建筑材料制品制造行业系数手册</w:t>
            </w:r>
            <w:r>
              <w:rPr>
                <w:rFonts w:hint="eastAsia"/>
                <w:color w:val="auto"/>
                <w:highlight w:val="none"/>
                <w:lang w:val="en-US" w:eastAsia="zh-CN"/>
              </w:rPr>
              <w:t>中</w:t>
            </w:r>
            <w:r>
              <w:rPr>
                <w:color w:val="auto"/>
                <w:highlight w:val="none"/>
                <w:lang w:val="en-US" w:eastAsia="zh-CN"/>
              </w:rPr>
              <w:t>袋式除尘工艺的平均去除效率为99.7%</w:t>
            </w:r>
            <w:r>
              <w:rPr>
                <w:rFonts w:hint="eastAsia"/>
                <w:color w:val="auto"/>
                <w:highlight w:val="none"/>
                <w:lang w:val="en-US" w:eastAsia="zh-CN"/>
              </w:rPr>
              <w:t>，则本项目</w:t>
            </w:r>
            <w:r>
              <w:rPr>
                <w:color w:val="auto"/>
                <w:highlight w:val="none"/>
                <w:lang w:val="en-US" w:eastAsia="zh-CN"/>
              </w:rPr>
              <w:t>除尘效率</w:t>
            </w:r>
            <w:r>
              <w:rPr>
                <w:rFonts w:hint="eastAsia"/>
                <w:color w:val="auto"/>
                <w:highlight w:val="none"/>
                <w:lang w:val="en-US" w:eastAsia="zh-CN"/>
              </w:rPr>
              <w:t>取值</w:t>
            </w:r>
            <w:r>
              <w:rPr>
                <w:color w:val="auto"/>
                <w:highlight w:val="none"/>
                <w:lang w:val="en-US" w:eastAsia="zh-CN"/>
              </w:rPr>
              <w:t>为99.7%。</w:t>
            </w:r>
            <w:r>
              <w:rPr>
                <w:rFonts w:hint="eastAsia"/>
                <w:color w:val="auto"/>
                <w:highlight w:val="none"/>
                <w:lang w:val="en-US" w:eastAsia="zh-CN"/>
              </w:rPr>
              <w:t>净化处理后，颗粒物排放量为0.972t/a，排放浓度为9mg/m</w:t>
            </w:r>
            <w:r>
              <w:rPr>
                <w:rFonts w:hint="eastAsia"/>
                <w:color w:val="auto"/>
                <w:highlight w:val="none"/>
                <w:vertAlign w:val="superscript"/>
                <w:lang w:val="en-US" w:eastAsia="zh-CN"/>
              </w:rPr>
              <w:t>3</w:t>
            </w:r>
            <w:r>
              <w:rPr>
                <w:rFonts w:hint="eastAsia"/>
                <w:color w:val="auto"/>
                <w:highlight w:val="none"/>
                <w:lang w:val="en-US" w:eastAsia="zh-CN"/>
              </w:rPr>
              <w:t>，</w:t>
            </w:r>
            <w:r>
              <w:rPr>
                <w:color w:val="auto"/>
                <w:sz w:val="24"/>
                <w:highlight w:val="none"/>
                <w:lang w:bidi="ar"/>
              </w:rPr>
              <w:t>满足</w:t>
            </w:r>
            <w:r>
              <w:rPr>
                <w:rFonts w:hint="eastAsia"/>
                <w:color w:val="auto"/>
                <w:highlight w:val="none"/>
                <w:lang w:val="en-US" w:eastAsia="zh-CN"/>
              </w:rPr>
              <w:t>《水泥工业大气污染物排放标准》（GB 4915-2013）表1散装水泥中转及水泥制品生产过程颗粒物排放限值（20mg/m</w:t>
            </w:r>
            <w:r>
              <w:rPr>
                <w:rFonts w:hint="eastAsia"/>
                <w:color w:val="auto"/>
                <w:highlight w:val="none"/>
                <w:vertAlign w:val="superscript"/>
                <w:lang w:val="en-US" w:eastAsia="zh-CN"/>
              </w:rPr>
              <w:t>3</w:t>
            </w:r>
            <w:r>
              <w:rPr>
                <w:rFonts w:hint="eastAsia"/>
                <w:color w:val="auto"/>
                <w:highlight w:val="none"/>
                <w:lang w:val="en-US" w:eastAsia="zh-CN"/>
              </w:rPr>
              <w:t>）要求。未收集粉尘</w:t>
            </w:r>
            <w:r>
              <w:rPr>
                <w:rFonts w:hint="eastAsia"/>
                <w:color w:val="auto"/>
                <w:highlight w:val="none"/>
              </w:rPr>
              <w:t>经喷雾降尘和封闭</w:t>
            </w:r>
            <w:r>
              <w:rPr>
                <w:rFonts w:hint="eastAsia"/>
                <w:color w:val="auto"/>
                <w:highlight w:val="none"/>
                <w:lang w:val="en-US" w:eastAsia="zh-CN"/>
              </w:rPr>
              <w:t>厂房</w:t>
            </w:r>
            <w:r>
              <w:rPr>
                <w:rFonts w:hint="eastAsia"/>
                <w:color w:val="auto"/>
                <w:highlight w:val="none"/>
              </w:rPr>
              <w:t>沉降后，</w:t>
            </w:r>
            <w:r>
              <w:rPr>
                <w:rFonts w:hint="eastAsia"/>
                <w:color w:val="auto"/>
                <w:highlight w:val="none"/>
                <w:lang w:val="en-US" w:eastAsia="zh-CN"/>
              </w:rPr>
              <w:t>除尘效率可达90%</w:t>
            </w:r>
            <w:r>
              <w:rPr>
                <w:rFonts w:hint="eastAsia"/>
                <w:color w:val="auto"/>
                <w:highlight w:val="none"/>
              </w:rPr>
              <w:t>，则无组织</w:t>
            </w:r>
            <w:r>
              <w:rPr>
                <w:rFonts w:hint="eastAsia"/>
                <w:color w:val="auto"/>
                <w:highlight w:val="none"/>
                <w:lang w:val="en-US" w:eastAsia="zh-CN"/>
              </w:rPr>
              <w:t>粉尘</w:t>
            </w:r>
            <w:r>
              <w:rPr>
                <w:rFonts w:hint="eastAsia"/>
                <w:color w:val="auto"/>
                <w:highlight w:val="none"/>
              </w:rPr>
              <w:t>排放量为</w:t>
            </w:r>
            <w:r>
              <w:rPr>
                <w:rFonts w:hint="eastAsia"/>
                <w:color w:val="auto"/>
                <w:highlight w:val="none"/>
                <w:lang w:val="en-US" w:eastAsia="zh-CN"/>
              </w:rPr>
              <w:t>3.6</w:t>
            </w:r>
            <w:r>
              <w:rPr>
                <w:rFonts w:hint="eastAsia"/>
                <w:color w:val="auto"/>
                <w:highlight w:val="none"/>
              </w:rPr>
              <w:t>t/a</w:t>
            </w:r>
            <w:r>
              <w:rPr>
                <w:rFonts w:hint="eastAsia"/>
                <w:color w:val="auto"/>
                <w:highlight w:val="none"/>
                <w:lang w:eastAsia="zh-CN"/>
              </w:rPr>
              <w:t>；</w:t>
            </w:r>
            <w:r>
              <w:rPr>
                <w:rFonts w:hint="eastAsia"/>
                <w:color w:val="auto"/>
                <w:highlight w:val="none"/>
                <w:lang w:val="en-US" w:eastAsia="zh-CN"/>
              </w:rPr>
              <w:t>工作时间为7200h，则排放速率为0.5kg/h</w:t>
            </w:r>
            <w:r>
              <w:rPr>
                <w:rFonts w:hint="eastAsia"/>
                <w:color w:val="auto"/>
                <w:highlight w:val="none"/>
              </w:rPr>
              <w:t>。</w:t>
            </w:r>
          </w:p>
          <w:p w14:paraId="56161FF6">
            <w:pPr>
              <w:pStyle w:val="41"/>
              <w:bidi w:val="0"/>
              <w:rPr>
                <w:rFonts w:hint="default"/>
                <w:color w:val="auto"/>
                <w:highlight w:val="none"/>
                <w:lang w:val="en-US" w:eastAsia="zh-CN"/>
              </w:rPr>
            </w:pPr>
            <w:r>
              <w:rPr>
                <w:rFonts w:hint="eastAsia"/>
                <w:color w:val="auto"/>
                <w:highlight w:val="none"/>
                <w:lang w:val="en-US" w:eastAsia="zh-CN"/>
              </w:rPr>
              <w:t>（11）G11生料球筛分粉尘</w:t>
            </w:r>
          </w:p>
          <w:p w14:paraId="56808768">
            <w:pPr>
              <w:bidi w:val="0"/>
              <w:rPr>
                <w:rFonts w:hint="default"/>
                <w:color w:val="auto"/>
                <w:highlight w:val="none"/>
                <w:lang w:val="en-US" w:eastAsia="zh-CN"/>
              </w:rPr>
            </w:pPr>
            <w:r>
              <w:rPr>
                <w:rFonts w:hint="eastAsia"/>
                <w:color w:val="auto"/>
                <w:highlight w:val="none"/>
                <w:lang w:val="en-US" w:eastAsia="zh-CN"/>
              </w:rPr>
              <w:t>根据可研提供资料，生料球筛分过程产生的废气量为4000万</w:t>
            </w:r>
            <w:r>
              <w:rPr>
                <w:color w:val="auto"/>
                <w:highlight w:val="none"/>
              </w:rPr>
              <w:t>Nm</w:t>
            </w:r>
            <w:r>
              <w:rPr>
                <w:color w:val="auto"/>
                <w:highlight w:val="none"/>
                <w:vertAlign w:val="superscript"/>
              </w:rPr>
              <w:t>3</w:t>
            </w:r>
            <w:r>
              <w:rPr>
                <w:color w:val="auto"/>
                <w:highlight w:val="none"/>
              </w:rPr>
              <w:t>/a，颗粒物为</w:t>
            </w:r>
            <w:r>
              <w:rPr>
                <w:rFonts w:hint="eastAsia"/>
                <w:color w:val="auto"/>
                <w:highlight w:val="none"/>
                <w:lang w:val="en-US" w:eastAsia="zh-CN"/>
              </w:rPr>
              <w:t>160</w:t>
            </w:r>
            <w:r>
              <w:rPr>
                <w:color w:val="auto"/>
                <w:highlight w:val="none"/>
              </w:rPr>
              <w:t>t/a</w:t>
            </w:r>
            <w:r>
              <w:rPr>
                <w:rFonts w:hint="eastAsia"/>
                <w:color w:val="auto"/>
                <w:highlight w:val="none"/>
                <w:lang w:eastAsia="zh-CN"/>
              </w:rPr>
              <w:t>，</w:t>
            </w:r>
            <w:r>
              <w:rPr>
                <w:color w:val="auto"/>
                <w:highlight w:val="none"/>
              </w:rPr>
              <w:t>产生浓度为</w:t>
            </w:r>
            <w:r>
              <w:rPr>
                <w:rFonts w:hint="eastAsia"/>
                <w:color w:val="auto"/>
                <w:highlight w:val="none"/>
                <w:lang w:val="en-US" w:eastAsia="zh-CN"/>
              </w:rPr>
              <w:t>4000</w:t>
            </w:r>
            <w:r>
              <w:rPr>
                <w:color w:val="auto"/>
                <w:highlight w:val="none"/>
              </w:rPr>
              <w:t>mg/m</w:t>
            </w:r>
            <w:r>
              <w:rPr>
                <w:color w:val="auto"/>
                <w:highlight w:val="none"/>
                <w:vertAlign w:val="superscript"/>
              </w:rPr>
              <w:t>3</w:t>
            </w:r>
            <w:r>
              <w:rPr>
                <w:rFonts w:hint="eastAsia"/>
                <w:color w:val="auto"/>
                <w:highlight w:val="none"/>
                <w:lang w:eastAsia="zh-CN"/>
              </w:rPr>
              <w:t>。</w:t>
            </w:r>
            <w:r>
              <w:rPr>
                <w:rFonts w:hint="eastAsia"/>
                <w:color w:val="auto"/>
                <w:highlight w:val="none"/>
                <w:lang w:val="en-US" w:eastAsia="zh-CN"/>
              </w:rPr>
              <w:t>设备有固定排放口直接与风管连接，有组织收集效率为90%，则集气设施有效收集粉尘量为144t/a，未收集粉尘为16t/a。</w:t>
            </w:r>
            <w:r>
              <w:rPr>
                <w:color w:val="auto"/>
                <w:highlight w:val="none"/>
                <w:lang w:val="en-US" w:eastAsia="zh-CN"/>
              </w:rPr>
              <w:t>3024 轻质建筑材料制品制造行业系数手册</w:t>
            </w:r>
            <w:r>
              <w:rPr>
                <w:rFonts w:hint="eastAsia"/>
                <w:color w:val="auto"/>
                <w:highlight w:val="none"/>
                <w:lang w:val="en-US" w:eastAsia="zh-CN"/>
              </w:rPr>
              <w:t>中</w:t>
            </w:r>
            <w:r>
              <w:rPr>
                <w:color w:val="auto"/>
                <w:highlight w:val="none"/>
                <w:lang w:val="en-US" w:eastAsia="zh-CN"/>
              </w:rPr>
              <w:t>袋式除尘工艺的平均去除效率为99.7%</w:t>
            </w:r>
            <w:r>
              <w:rPr>
                <w:rFonts w:hint="eastAsia"/>
                <w:color w:val="auto"/>
                <w:highlight w:val="none"/>
                <w:lang w:val="en-US" w:eastAsia="zh-CN"/>
              </w:rPr>
              <w:t>，则本项目</w:t>
            </w:r>
            <w:r>
              <w:rPr>
                <w:color w:val="auto"/>
                <w:highlight w:val="none"/>
                <w:lang w:val="en-US" w:eastAsia="zh-CN"/>
              </w:rPr>
              <w:t>除尘效率</w:t>
            </w:r>
            <w:r>
              <w:rPr>
                <w:rFonts w:hint="eastAsia"/>
                <w:color w:val="auto"/>
                <w:highlight w:val="none"/>
                <w:lang w:val="en-US" w:eastAsia="zh-CN"/>
              </w:rPr>
              <w:t>取值</w:t>
            </w:r>
            <w:r>
              <w:rPr>
                <w:color w:val="auto"/>
                <w:highlight w:val="none"/>
                <w:lang w:val="en-US" w:eastAsia="zh-CN"/>
              </w:rPr>
              <w:t>为99.7%。</w:t>
            </w:r>
            <w:r>
              <w:rPr>
                <w:rFonts w:hint="eastAsia"/>
                <w:color w:val="auto"/>
                <w:highlight w:val="none"/>
                <w:lang w:val="en-US" w:eastAsia="zh-CN"/>
              </w:rPr>
              <w:t>净化处理后，颗粒物排放量为0.432t/a，排放浓度为10.8mg/m</w:t>
            </w:r>
            <w:r>
              <w:rPr>
                <w:rFonts w:hint="eastAsia"/>
                <w:color w:val="auto"/>
                <w:highlight w:val="none"/>
                <w:vertAlign w:val="superscript"/>
                <w:lang w:val="en-US" w:eastAsia="zh-CN"/>
              </w:rPr>
              <w:t>3</w:t>
            </w:r>
            <w:r>
              <w:rPr>
                <w:rFonts w:hint="eastAsia"/>
                <w:color w:val="auto"/>
                <w:highlight w:val="none"/>
                <w:lang w:val="en-US" w:eastAsia="zh-CN"/>
              </w:rPr>
              <w:t>，</w:t>
            </w:r>
            <w:r>
              <w:rPr>
                <w:color w:val="auto"/>
                <w:sz w:val="24"/>
                <w:highlight w:val="none"/>
                <w:lang w:bidi="ar"/>
              </w:rPr>
              <w:t>满足</w:t>
            </w:r>
            <w:r>
              <w:rPr>
                <w:rFonts w:hint="eastAsia"/>
                <w:color w:val="auto"/>
                <w:highlight w:val="none"/>
                <w:lang w:val="en-US" w:eastAsia="zh-CN"/>
              </w:rPr>
              <w:t>《水泥工业大气污染物排放标准》（GB 4915-2013）表1散装水泥中转及水泥制品生产过程颗粒物排放限值（20mg/m</w:t>
            </w:r>
            <w:r>
              <w:rPr>
                <w:rFonts w:hint="eastAsia"/>
                <w:color w:val="auto"/>
                <w:highlight w:val="none"/>
                <w:vertAlign w:val="superscript"/>
                <w:lang w:val="en-US" w:eastAsia="zh-CN"/>
              </w:rPr>
              <w:t>3</w:t>
            </w:r>
            <w:r>
              <w:rPr>
                <w:rFonts w:hint="eastAsia"/>
                <w:color w:val="auto"/>
                <w:highlight w:val="none"/>
                <w:lang w:val="en-US" w:eastAsia="zh-CN"/>
              </w:rPr>
              <w:t>）要求。未收集粉尘</w:t>
            </w:r>
            <w:r>
              <w:rPr>
                <w:rFonts w:hint="eastAsia"/>
                <w:color w:val="auto"/>
                <w:highlight w:val="none"/>
              </w:rPr>
              <w:t>经喷雾降尘和封闭</w:t>
            </w:r>
            <w:r>
              <w:rPr>
                <w:rFonts w:hint="eastAsia"/>
                <w:color w:val="auto"/>
                <w:highlight w:val="none"/>
                <w:lang w:val="en-US" w:eastAsia="zh-CN"/>
              </w:rPr>
              <w:t>厂房</w:t>
            </w:r>
            <w:r>
              <w:rPr>
                <w:rFonts w:hint="eastAsia"/>
                <w:color w:val="auto"/>
                <w:highlight w:val="none"/>
              </w:rPr>
              <w:t>沉降后，</w:t>
            </w:r>
            <w:r>
              <w:rPr>
                <w:rFonts w:hint="eastAsia"/>
                <w:color w:val="auto"/>
                <w:highlight w:val="none"/>
                <w:lang w:val="en-US" w:eastAsia="zh-CN"/>
              </w:rPr>
              <w:t>除尘效率可达90%</w:t>
            </w:r>
            <w:r>
              <w:rPr>
                <w:rFonts w:hint="eastAsia"/>
                <w:color w:val="auto"/>
                <w:highlight w:val="none"/>
              </w:rPr>
              <w:t>，则无组织</w:t>
            </w:r>
            <w:r>
              <w:rPr>
                <w:rFonts w:hint="eastAsia"/>
                <w:color w:val="auto"/>
                <w:highlight w:val="none"/>
                <w:lang w:val="en-US" w:eastAsia="zh-CN"/>
              </w:rPr>
              <w:t>粉尘</w:t>
            </w:r>
            <w:r>
              <w:rPr>
                <w:rFonts w:hint="eastAsia"/>
                <w:color w:val="auto"/>
                <w:highlight w:val="none"/>
              </w:rPr>
              <w:t>排放量为</w:t>
            </w:r>
            <w:r>
              <w:rPr>
                <w:rFonts w:hint="eastAsia"/>
                <w:color w:val="auto"/>
                <w:highlight w:val="none"/>
                <w:lang w:val="en-US" w:eastAsia="zh-CN"/>
              </w:rPr>
              <w:t>1.6</w:t>
            </w:r>
            <w:r>
              <w:rPr>
                <w:rFonts w:hint="eastAsia"/>
                <w:color w:val="auto"/>
                <w:highlight w:val="none"/>
              </w:rPr>
              <w:t>t/a</w:t>
            </w:r>
            <w:r>
              <w:rPr>
                <w:rFonts w:hint="eastAsia"/>
                <w:color w:val="auto"/>
                <w:highlight w:val="none"/>
                <w:lang w:eastAsia="zh-CN"/>
              </w:rPr>
              <w:t>；</w:t>
            </w:r>
            <w:r>
              <w:rPr>
                <w:rFonts w:hint="eastAsia"/>
                <w:color w:val="auto"/>
                <w:highlight w:val="none"/>
                <w:lang w:val="en-US" w:eastAsia="zh-CN"/>
              </w:rPr>
              <w:t>工作时间为7200h，则排放速率为0.222kg/h</w:t>
            </w:r>
            <w:r>
              <w:rPr>
                <w:rFonts w:hint="eastAsia"/>
                <w:color w:val="auto"/>
                <w:highlight w:val="none"/>
              </w:rPr>
              <w:t>。</w:t>
            </w:r>
          </w:p>
          <w:p w14:paraId="4C419B17">
            <w:pPr>
              <w:pStyle w:val="41"/>
              <w:bidi w:val="0"/>
              <w:rPr>
                <w:rFonts w:hint="default"/>
                <w:color w:val="auto"/>
                <w:highlight w:val="none"/>
                <w:lang w:val="en-US" w:eastAsia="zh-CN"/>
              </w:rPr>
            </w:pPr>
            <w:r>
              <w:rPr>
                <w:rFonts w:hint="eastAsia"/>
                <w:color w:val="auto"/>
                <w:highlight w:val="none"/>
                <w:lang w:val="en-US" w:eastAsia="zh-CN"/>
              </w:rPr>
              <w:t>（12）G12锅炉烟气</w:t>
            </w:r>
          </w:p>
          <w:p w14:paraId="737CE0B8">
            <w:pPr>
              <w:bidi w:val="0"/>
              <w:rPr>
                <w:rFonts w:hint="default" w:ascii="Times New Roman" w:hAnsi="Times New Roman" w:eastAsia="宋体"/>
                <w:color w:val="auto"/>
                <w:highlight w:val="none"/>
                <w:lang w:val="en-US" w:eastAsia="zh-CN"/>
              </w:rPr>
            </w:pPr>
            <w:r>
              <w:rPr>
                <w:rFonts w:hint="eastAsia"/>
                <w:color w:val="auto"/>
                <w:highlight w:val="none"/>
                <w:lang w:val="en-US" w:eastAsia="zh-CN"/>
              </w:rPr>
              <w:t>①</w:t>
            </w:r>
            <w:r>
              <w:rPr>
                <w:rFonts w:hint="eastAsia" w:ascii="Times New Roman" w:hAnsi="Times New Roman" w:eastAsia="宋体"/>
                <w:color w:val="auto"/>
                <w:highlight w:val="none"/>
                <w:lang w:val="en-US" w:eastAsia="zh-CN"/>
              </w:rPr>
              <w:t>烟气量</w:t>
            </w:r>
          </w:p>
          <w:p w14:paraId="54CA55C5">
            <w:pPr>
              <w:bidi w:val="0"/>
              <w:rPr>
                <w:rFonts w:hint="eastAsia"/>
                <w:color w:val="auto"/>
                <w:highlight w:val="none"/>
                <w:lang w:val="en-US" w:eastAsia="zh-CN"/>
              </w:rPr>
            </w:pPr>
            <w:r>
              <w:rPr>
                <w:rFonts w:hint="default" w:ascii="Times New Roman" w:hAnsi="Times New Roman" w:eastAsia="宋体"/>
                <w:color w:val="auto"/>
                <w:highlight w:val="none"/>
                <w:lang w:val="en-US" w:eastAsia="zh-CN"/>
              </w:rPr>
              <w:t>采用《排污许可证申请与核发技术规范 锅炉》</w:t>
            </w:r>
            <w:r>
              <w:rPr>
                <w:rFonts w:hint="eastAsia"/>
                <w:color w:val="auto"/>
                <w:highlight w:val="none"/>
                <w:lang w:val="en-US" w:eastAsia="zh-CN"/>
              </w:rPr>
              <w:t>（</w:t>
            </w:r>
            <w:r>
              <w:rPr>
                <w:rFonts w:hint="default"/>
                <w:color w:val="auto"/>
                <w:highlight w:val="none"/>
                <w:lang w:val="en-US" w:eastAsia="zh-CN"/>
              </w:rPr>
              <w:t>HJ</w:t>
            </w:r>
            <w:r>
              <w:rPr>
                <w:rFonts w:hint="eastAsia"/>
                <w:color w:val="auto"/>
                <w:highlight w:val="none"/>
                <w:lang w:val="en-US" w:eastAsia="zh-CN"/>
              </w:rPr>
              <w:t xml:space="preserve"> </w:t>
            </w:r>
            <w:r>
              <w:rPr>
                <w:rFonts w:hint="default"/>
                <w:color w:val="auto"/>
                <w:highlight w:val="none"/>
                <w:lang w:val="en-US" w:eastAsia="zh-CN"/>
              </w:rPr>
              <w:t>953</w:t>
            </w:r>
            <w:r>
              <w:rPr>
                <w:rFonts w:hint="eastAsia"/>
                <w:color w:val="auto"/>
                <w:highlight w:val="none"/>
                <w:lang w:val="en-US" w:eastAsia="zh-CN"/>
              </w:rPr>
              <w:t>-</w:t>
            </w:r>
            <w:r>
              <w:rPr>
                <w:rFonts w:hint="default"/>
                <w:color w:val="auto"/>
                <w:highlight w:val="none"/>
                <w:lang w:val="en-US" w:eastAsia="zh-CN"/>
              </w:rPr>
              <w:t>2018</w:t>
            </w:r>
            <w:r>
              <w:rPr>
                <w:rFonts w:hint="eastAsia"/>
                <w:color w:val="auto"/>
                <w:highlight w:val="none"/>
                <w:lang w:val="en-US" w:eastAsia="zh-CN"/>
              </w:rPr>
              <w:t>）</w:t>
            </w:r>
            <w:r>
              <w:rPr>
                <w:rFonts w:hint="default" w:ascii="Times New Roman" w:hAnsi="Times New Roman" w:eastAsia="宋体"/>
                <w:color w:val="auto"/>
                <w:highlight w:val="none"/>
                <w:lang w:val="en-US" w:eastAsia="zh-CN"/>
              </w:rPr>
              <w:t>表5中的经验公式估算法。本项目采用的生物质颗粒收到基低位发热量为</w:t>
            </w:r>
            <w:r>
              <w:rPr>
                <w:rFonts w:hint="eastAsia"/>
                <w:color w:val="auto"/>
                <w:highlight w:val="none"/>
                <w:lang w:val="en-US" w:eastAsia="zh-CN"/>
              </w:rPr>
              <w:t>17.24MJ/kg</w:t>
            </w:r>
            <w:r>
              <w:rPr>
                <w:rFonts w:hint="default" w:ascii="Times New Roman" w:hAnsi="Times New Roman" w:eastAsia="宋体"/>
                <w:color w:val="auto"/>
                <w:highlight w:val="none"/>
                <w:lang w:val="en-US" w:eastAsia="zh-CN"/>
              </w:rPr>
              <w:t>，</w:t>
            </w:r>
            <w:r>
              <w:rPr>
                <w:rFonts w:hint="eastAsia"/>
                <w:color w:val="auto"/>
                <w:highlight w:val="none"/>
                <w:lang w:val="en-US" w:eastAsia="zh-CN"/>
              </w:rPr>
              <w:t>燃料干燥无灰基挥发分为83.91%，因此采用以下公式计算基准烟气量：</w:t>
            </w:r>
          </w:p>
          <w:p w14:paraId="7EF858E9">
            <w:pPr>
              <w:bidi w:val="0"/>
              <w:ind w:left="0" w:leftChars="0" w:firstLine="0" w:firstLineChars="0"/>
              <w:rPr>
                <w:rFonts w:hint="default" w:eastAsia="宋体"/>
                <w:color w:val="auto"/>
                <w:highlight w:val="none"/>
                <w:lang w:val="en-US" w:eastAsia="zh-CN"/>
              </w:rPr>
            </w:pPr>
            <m:oMathPara>
              <m:oMath>
                <m:sSub>
                  <m:sSubPr>
                    <m:ctrlPr>
                      <w:rPr>
                        <w:rFonts w:ascii="Cambria Math" w:hAnsi="Cambria Math"/>
                        <w:i/>
                        <w:color w:val="auto"/>
                        <w:highlight w:val="none"/>
                        <w:lang w:val="en-US"/>
                      </w:rPr>
                    </m:ctrlPr>
                  </m:sSubPr>
                  <m:e>
                    <m:r>
                      <m:rPr/>
                      <w:rPr>
                        <w:rFonts w:hint="default" w:ascii="Cambria Math" w:hAnsi="Cambria Math"/>
                        <w:color w:val="auto"/>
                        <w:highlight w:val="none"/>
                        <w:lang w:val="en-US" w:eastAsia="zh-CN"/>
                      </w:rPr>
                      <m:t>V</m:t>
                    </m:r>
                    <m:ctrlPr>
                      <w:rPr>
                        <w:rFonts w:ascii="Cambria Math" w:hAnsi="Cambria Math"/>
                        <w:i/>
                        <w:color w:val="auto"/>
                        <w:highlight w:val="none"/>
                        <w:lang w:val="en-US"/>
                      </w:rPr>
                    </m:ctrlPr>
                  </m:e>
                  <m:sub>
                    <m:r>
                      <m:rPr/>
                      <w:rPr>
                        <w:rFonts w:hint="default" w:ascii="Cambria Math" w:hAnsi="Cambria Math"/>
                        <w:color w:val="auto"/>
                        <w:highlight w:val="none"/>
                        <w:lang w:val="en-US" w:eastAsia="zh-CN"/>
                      </w:rPr>
                      <m:t>gy</m:t>
                    </m:r>
                    <m:ctrlPr>
                      <w:rPr>
                        <w:rFonts w:ascii="Cambria Math" w:hAnsi="Cambria Math"/>
                        <w:i/>
                        <w:color w:val="auto"/>
                        <w:highlight w:val="none"/>
                        <w:lang w:val="en-US"/>
                      </w:rPr>
                    </m:ctrlPr>
                  </m:sub>
                </m:sSub>
                <m:r>
                  <m:rPr/>
                  <w:rPr>
                    <w:rFonts w:hint="default" w:ascii="Cambria Math" w:hAnsi="Cambria Math" w:cs="Cambria Math"/>
                    <w:color w:val="auto"/>
                    <w:highlight w:val="none"/>
                    <w:lang w:val="en-US"/>
                  </w:rPr>
                  <m:t>=</m:t>
                </m:r>
                <m:r>
                  <m:rPr/>
                  <w:rPr>
                    <w:rFonts w:hint="default" w:ascii="Cambria Math" w:hAnsi="Cambria Math" w:cs="Cambria Math"/>
                    <w:color w:val="auto"/>
                    <w:highlight w:val="none"/>
                    <w:lang w:val="en-US" w:eastAsia="zh-CN"/>
                  </w:rPr>
                  <m:t>0.393</m:t>
                </m:r>
                <m:sSub>
                  <m:sSubPr>
                    <m:ctrlPr>
                      <w:rPr>
                        <w:rFonts w:hint="default" w:ascii="Cambria Math" w:hAnsi="Cambria Math" w:cs="Cambria Math"/>
                        <w:i/>
                        <w:color w:val="auto"/>
                        <w:highlight w:val="none"/>
                        <w:lang w:val="en-US" w:eastAsia="zh-CN"/>
                      </w:rPr>
                    </m:ctrlPr>
                  </m:sSubPr>
                  <m:e>
                    <m:r>
                      <m:rPr/>
                      <w:rPr>
                        <w:rFonts w:hint="default" w:ascii="Cambria Math" w:hAnsi="Cambria Math" w:cs="Cambria Math"/>
                        <w:color w:val="auto"/>
                        <w:highlight w:val="none"/>
                        <w:lang w:val="en-US" w:eastAsia="zh-CN"/>
                      </w:rPr>
                      <m:t>Q</m:t>
                    </m:r>
                    <m:ctrlPr>
                      <w:rPr>
                        <w:rFonts w:hint="default" w:ascii="Cambria Math" w:hAnsi="Cambria Math" w:cs="Cambria Math"/>
                        <w:i/>
                        <w:color w:val="auto"/>
                        <w:highlight w:val="none"/>
                        <w:lang w:val="en-US" w:eastAsia="zh-CN"/>
                      </w:rPr>
                    </m:ctrlPr>
                  </m:e>
                  <m:sub>
                    <m:r>
                      <m:rPr/>
                      <w:rPr>
                        <w:rFonts w:hint="default" w:ascii="Cambria Math" w:hAnsi="Cambria Math" w:cs="Cambria Math"/>
                        <w:color w:val="auto"/>
                        <w:highlight w:val="none"/>
                        <w:lang w:val="en-US" w:eastAsia="zh-CN"/>
                      </w:rPr>
                      <m:t>net,ar</m:t>
                    </m:r>
                    <m:ctrlPr>
                      <w:rPr>
                        <w:rFonts w:hint="default" w:ascii="Cambria Math" w:hAnsi="Cambria Math" w:cs="Cambria Math"/>
                        <w:i/>
                        <w:color w:val="auto"/>
                        <w:highlight w:val="none"/>
                        <w:lang w:val="en-US" w:eastAsia="zh-CN"/>
                      </w:rPr>
                    </m:ctrlPr>
                  </m:sub>
                </m:sSub>
                <m:r>
                  <m:rPr/>
                  <w:rPr>
                    <w:rFonts w:hint="default" w:ascii="Cambria Math" w:hAnsi="Cambria Math" w:cs="Cambria Math"/>
                    <w:color w:val="auto"/>
                    <w:highlight w:val="none"/>
                    <w:lang w:val="en-US" w:eastAsia="zh-CN"/>
                  </w:rPr>
                  <m:t>+0.876</m:t>
                </m:r>
              </m:oMath>
            </m:oMathPara>
          </w:p>
          <w:p w14:paraId="0FA0157C">
            <w:pPr>
              <w:bidi w:val="0"/>
              <w:rPr>
                <w:rFonts w:hint="eastAsia"/>
                <w:color w:val="auto"/>
                <w:highlight w:val="none"/>
                <w:lang w:val="en-US" w:eastAsia="zh-CN"/>
              </w:rPr>
            </w:pPr>
            <w:r>
              <w:rPr>
                <w:rFonts w:hint="eastAsia"/>
                <w:color w:val="auto"/>
                <w:highlight w:val="none"/>
                <w:lang w:val="en-US" w:eastAsia="zh-CN"/>
              </w:rPr>
              <w:t>式中：V</w:t>
            </w:r>
            <w:r>
              <w:rPr>
                <w:rFonts w:hint="eastAsia"/>
                <w:color w:val="auto"/>
                <w:highlight w:val="none"/>
                <w:vertAlign w:val="subscript"/>
                <w:lang w:val="en-US" w:eastAsia="zh-CN"/>
              </w:rPr>
              <w:t>gy</w:t>
            </w:r>
            <w:r>
              <w:rPr>
                <w:rFonts w:hint="eastAsia"/>
                <w:color w:val="auto"/>
                <w:highlight w:val="none"/>
                <w:lang w:val="en-US" w:eastAsia="zh-CN"/>
              </w:rPr>
              <w:t>—基准烟气量，Nm</w:t>
            </w:r>
            <w:r>
              <w:rPr>
                <w:rFonts w:hint="eastAsia"/>
                <w:color w:val="auto"/>
                <w:highlight w:val="none"/>
                <w:vertAlign w:val="superscript"/>
                <w:lang w:val="en-US" w:eastAsia="zh-CN"/>
              </w:rPr>
              <w:t>3</w:t>
            </w:r>
            <w:r>
              <w:rPr>
                <w:rFonts w:hint="eastAsia"/>
                <w:color w:val="auto"/>
                <w:highlight w:val="none"/>
                <w:lang w:val="en-US" w:eastAsia="zh-CN"/>
              </w:rPr>
              <w:t>/kg或Nm</w:t>
            </w:r>
            <w:r>
              <w:rPr>
                <w:rFonts w:hint="eastAsia"/>
                <w:color w:val="auto"/>
                <w:highlight w:val="none"/>
                <w:vertAlign w:val="superscript"/>
                <w:lang w:val="en-US" w:eastAsia="zh-CN"/>
              </w:rPr>
              <w:t>3</w:t>
            </w:r>
            <w:r>
              <w:rPr>
                <w:rFonts w:hint="eastAsia"/>
                <w:color w:val="auto"/>
                <w:highlight w:val="none"/>
                <w:lang w:val="en-US" w:eastAsia="zh-CN"/>
              </w:rPr>
              <w:t>/m</w:t>
            </w:r>
            <w:r>
              <w:rPr>
                <w:rFonts w:hint="eastAsia"/>
                <w:color w:val="auto"/>
                <w:highlight w:val="none"/>
                <w:vertAlign w:val="superscript"/>
                <w:lang w:val="en-US" w:eastAsia="zh-CN"/>
              </w:rPr>
              <w:t>3</w:t>
            </w:r>
            <w:r>
              <w:rPr>
                <w:rFonts w:hint="eastAsia"/>
                <w:color w:val="auto"/>
                <w:highlight w:val="none"/>
                <w:lang w:val="en-US" w:eastAsia="zh-CN"/>
              </w:rPr>
              <w:t>；</w:t>
            </w:r>
          </w:p>
          <w:p w14:paraId="69AA4839">
            <w:pPr>
              <w:bidi w:val="0"/>
              <w:ind w:leftChars="300"/>
              <w:rPr>
                <w:rFonts w:hint="default"/>
                <w:color w:val="auto"/>
                <w:highlight w:val="none"/>
                <w:lang w:val="en-US" w:eastAsia="zh-CN"/>
              </w:rPr>
            </w:pPr>
            <w:r>
              <w:rPr>
                <w:rFonts w:hint="eastAsia"/>
                <w:color w:val="auto"/>
                <w:highlight w:val="none"/>
                <w:lang w:val="en-US" w:eastAsia="zh-CN"/>
              </w:rPr>
              <w:t>Q</w:t>
            </w:r>
            <w:r>
              <w:rPr>
                <w:rFonts w:hint="eastAsia"/>
                <w:color w:val="auto"/>
                <w:highlight w:val="none"/>
                <w:vertAlign w:val="subscript"/>
                <w:lang w:val="en-US" w:eastAsia="zh-CN"/>
              </w:rPr>
              <w:t>net,ar</w:t>
            </w:r>
            <w:r>
              <w:rPr>
                <w:rFonts w:hint="eastAsia"/>
                <w:color w:val="auto"/>
                <w:highlight w:val="none"/>
                <w:lang w:val="en-US" w:eastAsia="zh-CN"/>
              </w:rPr>
              <w:t>—固体/液体燃料收到基低位发热量，MJ/kg。</w:t>
            </w:r>
          </w:p>
          <w:p w14:paraId="14EEF1C0">
            <w:pPr>
              <w:bidi w:val="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因此基准烟气量为</w:t>
            </w:r>
            <w:r>
              <w:rPr>
                <w:rFonts w:hint="eastAsia"/>
                <w:color w:val="auto"/>
                <w:highlight w:val="none"/>
                <w:lang w:val="en-US" w:eastAsia="zh-CN"/>
              </w:rPr>
              <w:t>7.65132</w:t>
            </w:r>
            <w:r>
              <w:rPr>
                <w:rFonts w:hint="default" w:ascii="Times New Roman" w:hAnsi="Times New Roman" w:eastAsia="宋体"/>
                <w:color w:val="auto"/>
                <w:highlight w:val="none"/>
                <w:lang w:val="en-US" w:eastAsia="zh-CN"/>
              </w:rPr>
              <w:t>Nm</w:t>
            </w:r>
            <w:r>
              <w:rPr>
                <w:rFonts w:hint="default" w:ascii="Times New Roman" w:hAnsi="Times New Roman" w:eastAsia="宋体"/>
                <w:color w:val="auto"/>
                <w:highlight w:val="none"/>
                <w:vertAlign w:val="superscript"/>
                <w:lang w:val="en-US" w:eastAsia="zh-CN"/>
              </w:rPr>
              <w:t>3</w:t>
            </w:r>
            <w:r>
              <w:rPr>
                <w:rFonts w:hint="default" w:ascii="Times New Roman" w:hAnsi="Times New Roman" w:eastAsia="宋体"/>
                <w:color w:val="auto"/>
                <w:highlight w:val="none"/>
                <w:lang w:val="en-US" w:eastAsia="zh-CN"/>
              </w:rPr>
              <w:t>/kg</w:t>
            </w:r>
            <w:r>
              <w:rPr>
                <w:rFonts w:hint="eastAsia"/>
                <w:color w:val="auto"/>
                <w:highlight w:val="none"/>
                <w:lang w:val="en-US" w:eastAsia="zh-CN"/>
              </w:rPr>
              <w:t>，生物质颗粒使用量</w:t>
            </w:r>
            <w:r>
              <w:rPr>
                <w:rFonts w:hint="default" w:ascii="Times New Roman" w:hAnsi="Times New Roman" w:eastAsia="宋体"/>
                <w:color w:val="auto"/>
                <w:highlight w:val="none"/>
                <w:lang w:val="en-US" w:eastAsia="zh-CN"/>
              </w:rPr>
              <w:t>为</w:t>
            </w:r>
            <w:r>
              <w:rPr>
                <w:rFonts w:hint="eastAsia"/>
                <w:color w:val="auto"/>
                <w:highlight w:val="none"/>
                <w:lang w:val="en-US" w:eastAsia="zh-CN"/>
              </w:rPr>
              <w:t>18272.6758</w:t>
            </w:r>
            <w:r>
              <w:rPr>
                <w:rFonts w:hint="default" w:ascii="Times New Roman" w:hAnsi="Times New Roman" w:eastAsia="宋体"/>
                <w:color w:val="auto"/>
                <w:highlight w:val="none"/>
                <w:lang w:val="en-US" w:eastAsia="zh-CN"/>
              </w:rPr>
              <w:t>t/a，则烟气量为</w:t>
            </w:r>
            <w:r>
              <w:rPr>
                <w:rFonts w:hint="eastAsia"/>
                <w:color w:val="auto"/>
                <w:highlight w:val="none"/>
                <w:lang w:val="en-US" w:eastAsia="zh-CN"/>
              </w:rPr>
              <w:t>139810089.8</w:t>
            </w:r>
            <w:r>
              <w:rPr>
                <w:rFonts w:hint="default" w:ascii="Times New Roman" w:hAnsi="Times New Roman" w:eastAsia="宋体"/>
                <w:color w:val="auto"/>
                <w:highlight w:val="none"/>
                <w:lang w:val="en-US" w:eastAsia="zh-CN"/>
              </w:rPr>
              <w:t>m</w:t>
            </w:r>
            <w:r>
              <w:rPr>
                <w:rFonts w:hint="default" w:ascii="Times New Roman" w:hAnsi="Times New Roman" w:eastAsia="宋体"/>
                <w:color w:val="auto"/>
                <w:highlight w:val="none"/>
                <w:vertAlign w:val="superscript"/>
                <w:lang w:val="en-US" w:eastAsia="zh-CN"/>
              </w:rPr>
              <w:t>3</w:t>
            </w:r>
            <w:r>
              <w:rPr>
                <w:rFonts w:hint="default" w:ascii="Times New Roman" w:hAnsi="Times New Roman" w:eastAsia="宋体"/>
                <w:color w:val="auto"/>
                <w:highlight w:val="none"/>
                <w:lang w:val="en-US" w:eastAsia="zh-CN"/>
              </w:rPr>
              <w:t>/a。</w:t>
            </w:r>
          </w:p>
          <w:p w14:paraId="5C615AA5">
            <w:pPr>
              <w:bidi w:val="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本项目所用锅炉为15t/h</w:t>
            </w:r>
            <w:r>
              <w:rPr>
                <w:rFonts w:hint="default" w:ascii="Times New Roman" w:hAnsi="Times New Roman" w:eastAsia="宋体"/>
                <w:color w:val="auto"/>
                <w:highlight w:val="none"/>
                <w:lang w:val="en-US" w:eastAsia="zh-CN"/>
              </w:rPr>
              <w:t>，年运行</w:t>
            </w:r>
            <w:r>
              <w:rPr>
                <w:rFonts w:hint="eastAsia" w:ascii="Times New Roman" w:hAnsi="Times New Roman" w:eastAsia="宋体"/>
                <w:color w:val="auto"/>
                <w:highlight w:val="none"/>
                <w:lang w:val="en-US" w:eastAsia="zh-CN"/>
              </w:rPr>
              <w:t>7200</w:t>
            </w:r>
            <w:r>
              <w:rPr>
                <w:rFonts w:hint="default" w:ascii="Times New Roman" w:hAnsi="Times New Roman" w:eastAsia="宋体"/>
                <w:color w:val="auto"/>
                <w:highlight w:val="none"/>
                <w:lang w:val="en-US" w:eastAsia="zh-CN"/>
              </w:rPr>
              <w:t>h，则小时烟气量为</w:t>
            </w:r>
            <w:r>
              <w:rPr>
                <w:rFonts w:hint="eastAsia"/>
                <w:color w:val="auto"/>
                <w:highlight w:val="none"/>
                <w:lang w:val="en-US" w:eastAsia="zh-CN"/>
              </w:rPr>
              <w:t>19418.1</w:t>
            </w:r>
            <w:r>
              <w:rPr>
                <w:rFonts w:hint="default" w:ascii="Times New Roman" w:hAnsi="Times New Roman" w:eastAsia="宋体"/>
                <w:color w:val="auto"/>
                <w:highlight w:val="none"/>
                <w:lang w:val="en-US" w:eastAsia="zh-CN"/>
              </w:rPr>
              <w:t>m</w:t>
            </w:r>
            <w:r>
              <w:rPr>
                <w:rFonts w:hint="default" w:ascii="Times New Roman" w:hAnsi="Times New Roman" w:eastAsia="宋体"/>
                <w:color w:val="auto"/>
                <w:highlight w:val="none"/>
                <w:vertAlign w:val="superscript"/>
                <w:lang w:val="en-US" w:eastAsia="zh-CN"/>
              </w:rPr>
              <w:t>3</w:t>
            </w:r>
            <w:r>
              <w:rPr>
                <w:rFonts w:hint="default" w:ascii="Times New Roman" w:hAnsi="Times New Roman" w:eastAsia="宋体"/>
                <w:color w:val="auto"/>
                <w:highlight w:val="none"/>
                <w:lang w:val="en-US" w:eastAsia="zh-CN"/>
              </w:rPr>
              <w:t>/h。</w:t>
            </w:r>
          </w:p>
          <w:p w14:paraId="112556B5">
            <w:pPr>
              <w:bidi w:val="0"/>
              <w:rPr>
                <w:rFonts w:hint="default" w:ascii="Times New Roman" w:hAnsi="Times New Roman" w:eastAsia="宋体"/>
                <w:color w:val="auto"/>
                <w:highlight w:val="none"/>
                <w:lang w:val="en-US" w:eastAsia="zh-CN"/>
              </w:rPr>
            </w:pPr>
            <w:r>
              <w:rPr>
                <w:rFonts w:hint="eastAsia"/>
                <w:color w:val="auto"/>
                <w:highlight w:val="none"/>
                <w:lang w:val="en-US" w:eastAsia="zh-CN"/>
              </w:rPr>
              <w:t>②</w:t>
            </w:r>
            <w:r>
              <w:rPr>
                <w:rFonts w:hint="default" w:ascii="Times New Roman" w:hAnsi="Times New Roman" w:eastAsia="宋体"/>
                <w:color w:val="auto"/>
                <w:highlight w:val="none"/>
                <w:lang w:val="en-US" w:eastAsia="zh-CN"/>
              </w:rPr>
              <w:t>污染物产生排放量计算</w:t>
            </w:r>
          </w:p>
          <w:p w14:paraId="7D73DF5C">
            <w:pPr>
              <w:bidi w:val="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采用《排污许可证申请与核发技术规范 锅炉》中的相关方法计算。SO</w:t>
            </w:r>
            <w:r>
              <w:rPr>
                <w:rFonts w:hint="default" w:ascii="Times New Roman" w:hAnsi="Times New Roman" w:eastAsia="宋体"/>
                <w:color w:val="auto"/>
                <w:highlight w:val="none"/>
                <w:vertAlign w:val="subscript"/>
                <w:lang w:val="en-US" w:eastAsia="zh-CN"/>
              </w:rPr>
              <w:t>2</w:t>
            </w:r>
            <w:r>
              <w:rPr>
                <w:rFonts w:hint="default" w:ascii="Times New Roman" w:hAnsi="Times New Roman" w:eastAsia="宋体"/>
                <w:color w:val="auto"/>
                <w:highlight w:val="none"/>
                <w:lang w:val="en-US" w:eastAsia="zh-CN"/>
              </w:rPr>
              <w:t>采用9.2.1.2的物料衡算法（公式13）；颗粒物和氮氧化物采用9.2.1.3产排污系数法进行计算，结合表F.4燃生物质工业锅炉的废气产排污系数，锅炉烟气各污染物产生排放情况如下：</w:t>
            </w:r>
          </w:p>
          <w:p w14:paraId="137E84B0">
            <w:pPr>
              <w:bidi w:val="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a、SO</w:t>
            </w:r>
            <w:r>
              <w:rPr>
                <w:rFonts w:hint="eastAsia" w:ascii="Times New Roman" w:hAnsi="Times New Roman" w:eastAsia="宋体"/>
                <w:color w:val="auto"/>
                <w:highlight w:val="none"/>
                <w:vertAlign w:val="subscript"/>
                <w:lang w:val="en-US" w:eastAsia="zh-CN"/>
              </w:rPr>
              <w:t>2</w:t>
            </w:r>
            <w:r>
              <w:rPr>
                <w:rFonts w:hint="eastAsia" w:ascii="Times New Roman" w:hAnsi="Times New Roman" w:eastAsia="宋体"/>
                <w:color w:val="auto"/>
                <w:highlight w:val="none"/>
                <w:lang w:val="en-US" w:eastAsia="zh-CN"/>
              </w:rPr>
              <w:t>产生排放情况</w:t>
            </w:r>
          </w:p>
          <w:p w14:paraId="74998884">
            <w:pPr>
              <w:bidi w:val="0"/>
              <w:rPr>
                <w:rFonts w:hint="eastAsia"/>
                <w:color w:val="auto"/>
                <w:highlight w:val="none"/>
                <w:lang w:val="en-US" w:eastAsia="zh-CN"/>
              </w:rPr>
            </w:pPr>
            <w:r>
              <w:rPr>
                <w:rFonts w:hint="eastAsia"/>
                <w:color w:val="auto"/>
                <w:highlight w:val="none"/>
                <w:lang w:val="en-US" w:eastAsia="zh-CN"/>
              </w:rPr>
              <w:t>采用物料衡算法，公式如下：</w:t>
            </w:r>
          </w:p>
          <w:p w14:paraId="01E1757C">
            <w:pPr>
              <w:bidi w:val="0"/>
              <w:rPr>
                <w:rFonts w:hint="default" w:eastAsia="宋体"/>
                <w:color w:val="auto"/>
                <w:highlight w:val="none"/>
                <w:lang w:val="en-US" w:eastAsia="zh-CN"/>
              </w:rPr>
            </w:pPr>
            <m:oMathPara>
              <m:oMath>
                <m:sSub>
                  <m:sSubPr>
                    <m:ctrlPr>
                      <w:rPr>
                        <w:rFonts w:ascii="Cambria Math" w:hAnsi="Cambria Math"/>
                        <w:i/>
                        <w:color w:val="auto"/>
                        <w:highlight w:val="none"/>
                        <w:lang w:val="en-US"/>
                      </w:rPr>
                    </m:ctrlPr>
                  </m:sSubPr>
                  <m:e>
                    <m:r>
                      <m:rPr/>
                      <w:rPr>
                        <w:rFonts w:hint="default" w:ascii="Cambria Math" w:hAnsi="Cambria Math"/>
                        <w:color w:val="auto"/>
                        <w:highlight w:val="none"/>
                        <w:lang w:val="en-US" w:eastAsia="zh-CN"/>
                      </w:rPr>
                      <m:t>E</m:t>
                    </m:r>
                    <m:ctrlPr>
                      <w:rPr>
                        <w:rFonts w:ascii="Cambria Math" w:hAnsi="Cambria Math"/>
                        <w:i/>
                        <w:color w:val="auto"/>
                        <w:highlight w:val="none"/>
                        <w:lang w:val="en-US"/>
                      </w:rPr>
                    </m:ctrlPr>
                  </m:e>
                  <m:sub>
                    <m:sSub>
                      <m:sSubPr>
                        <m:ctrlPr>
                          <w:rPr>
                            <w:rFonts w:ascii="Cambria Math" w:hAnsi="Cambria Math"/>
                            <w:i/>
                            <w:color w:val="auto"/>
                            <w:highlight w:val="none"/>
                            <w:lang w:val="en-US"/>
                          </w:rPr>
                        </m:ctrlPr>
                      </m:sSubPr>
                      <m:e>
                        <m:r>
                          <m:rPr/>
                          <w:rPr>
                            <w:rFonts w:hint="default" w:ascii="Cambria Math" w:hAnsi="Cambria Math"/>
                            <w:color w:val="auto"/>
                            <w:highlight w:val="none"/>
                            <w:lang w:val="en-US" w:eastAsia="zh-CN"/>
                          </w:rPr>
                          <m:t>SO</m:t>
                        </m:r>
                        <m:ctrlPr>
                          <w:rPr>
                            <w:rFonts w:ascii="Cambria Math" w:hAnsi="Cambria Math"/>
                            <w:i/>
                            <w:color w:val="auto"/>
                            <w:highlight w:val="none"/>
                            <w:lang w:val="en-US"/>
                          </w:rPr>
                        </m:ctrlPr>
                      </m:e>
                      <m:sub>
                        <m:r>
                          <m:rPr/>
                          <w:rPr>
                            <w:rFonts w:hint="default" w:ascii="Cambria Math" w:hAnsi="Cambria Math"/>
                            <w:color w:val="auto"/>
                            <w:highlight w:val="none"/>
                            <w:lang w:val="en-US" w:eastAsia="zh-CN"/>
                          </w:rPr>
                          <m:t>2</m:t>
                        </m:r>
                        <m:ctrlPr>
                          <w:rPr>
                            <w:rFonts w:ascii="Cambria Math" w:hAnsi="Cambria Math"/>
                            <w:i/>
                            <w:color w:val="auto"/>
                            <w:highlight w:val="none"/>
                            <w:lang w:val="en-US"/>
                          </w:rPr>
                        </m:ctrlPr>
                      </m:sub>
                    </m:sSub>
                    <m:ctrlPr>
                      <w:rPr>
                        <w:rFonts w:ascii="Cambria Math" w:hAnsi="Cambria Math"/>
                        <w:i/>
                        <w:color w:val="auto"/>
                        <w:highlight w:val="none"/>
                        <w:lang w:val="en-US"/>
                      </w:rPr>
                    </m:ctrlPr>
                  </m:sub>
                </m:sSub>
                <m:r>
                  <m:rPr/>
                  <w:rPr>
                    <w:rFonts w:hint="default" w:ascii="Cambria Math" w:hAnsi="Cambria Math" w:cs="Cambria Math"/>
                    <w:color w:val="auto"/>
                    <w:highlight w:val="none"/>
                    <w:lang w:val="en-US"/>
                  </w:rPr>
                  <m:t>=</m:t>
                </m:r>
                <m:r>
                  <m:rPr/>
                  <w:rPr>
                    <w:rFonts w:hint="default" w:ascii="Cambria Math" w:hAnsi="Cambria Math"/>
                    <w:color w:val="auto"/>
                    <w:highlight w:val="none"/>
                    <w:lang w:val="en-US" w:eastAsia="zh-CN"/>
                  </w:rPr>
                  <m:t>2R</m:t>
                </m:r>
                <m:r>
                  <m:rPr/>
                  <w:rPr>
                    <w:rFonts w:hint="default" w:ascii="Cambria Math" w:hAnsi="Cambria Math" w:cs="Cambria Math"/>
                    <w:color w:val="auto"/>
                    <w:highlight w:val="none"/>
                    <w:lang w:val="en-US" w:eastAsia="zh-CN"/>
                  </w:rPr>
                  <m:t>×</m:t>
                </m:r>
                <m:f>
                  <m:fPr>
                    <m:ctrlPr>
                      <w:rPr>
                        <w:rFonts w:hint="default" w:ascii="Cambria Math" w:hAnsi="Cambria Math" w:cs="Cambria Math"/>
                        <w:i/>
                        <w:color w:val="auto"/>
                        <w:highlight w:val="none"/>
                        <w:lang w:val="en-US" w:eastAsia="zh-CN"/>
                      </w:rPr>
                    </m:ctrlPr>
                  </m:fPr>
                  <m:num>
                    <m:sSub>
                      <m:sSubPr>
                        <m:ctrlPr>
                          <w:rPr>
                            <w:rFonts w:hint="default" w:ascii="Cambria Math" w:hAnsi="Cambria Math" w:cs="Cambria Math"/>
                            <w:i/>
                            <w:color w:val="auto"/>
                            <w:highlight w:val="none"/>
                            <w:lang w:val="en-US" w:eastAsia="zh-CN"/>
                          </w:rPr>
                        </m:ctrlPr>
                      </m:sSubPr>
                      <m:e>
                        <m:r>
                          <m:rPr/>
                          <w:rPr>
                            <w:rFonts w:hint="default" w:ascii="Cambria Math" w:hAnsi="Cambria Math" w:cs="Cambria Math"/>
                            <w:color w:val="auto"/>
                            <w:highlight w:val="none"/>
                            <w:lang w:val="en-US" w:eastAsia="zh-CN"/>
                          </w:rPr>
                          <m:t>S</m:t>
                        </m:r>
                        <m:ctrlPr>
                          <w:rPr>
                            <w:rFonts w:hint="default" w:ascii="Cambria Math" w:hAnsi="Cambria Math" w:cs="Cambria Math"/>
                            <w:i/>
                            <w:color w:val="auto"/>
                            <w:highlight w:val="none"/>
                            <w:lang w:val="en-US" w:eastAsia="zh-CN"/>
                          </w:rPr>
                        </m:ctrlPr>
                      </m:e>
                      <m:sub>
                        <m:r>
                          <m:rPr/>
                          <w:rPr>
                            <w:rFonts w:hint="default" w:ascii="Cambria Math" w:hAnsi="Cambria Math" w:cs="Cambria Math"/>
                            <w:color w:val="auto"/>
                            <w:highlight w:val="none"/>
                            <w:lang w:val="en-US" w:eastAsia="zh-CN"/>
                          </w:rPr>
                          <m:t>ar</m:t>
                        </m:r>
                        <m:ctrlPr>
                          <w:rPr>
                            <w:rFonts w:hint="default" w:ascii="Cambria Math" w:hAnsi="Cambria Math" w:cs="Cambria Math"/>
                            <w:i/>
                            <w:color w:val="auto"/>
                            <w:highlight w:val="none"/>
                            <w:lang w:val="en-US" w:eastAsia="zh-CN"/>
                          </w:rPr>
                        </m:ctrlPr>
                      </m:sub>
                    </m:sSub>
                    <m:ctrlPr>
                      <w:rPr>
                        <w:rFonts w:hint="default" w:ascii="Cambria Math" w:hAnsi="Cambria Math" w:cs="Cambria Math"/>
                        <w:i/>
                        <w:color w:val="auto"/>
                        <w:highlight w:val="none"/>
                        <w:lang w:val="en-US" w:eastAsia="zh-CN"/>
                      </w:rPr>
                    </m:ctrlPr>
                  </m:num>
                  <m:den>
                    <m:r>
                      <m:rPr/>
                      <w:rPr>
                        <w:rFonts w:hint="default" w:ascii="Cambria Math" w:hAnsi="Cambria Math" w:cs="Cambria Math"/>
                        <w:color w:val="auto"/>
                        <w:highlight w:val="none"/>
                        <w:lang w:val="en-US" w:eastAsia="zh-CN"/>
                      </w:rPr>
                      <m:t>100</m:t>
                    </m:r>
                    <m:ctrlPr>
                      <w:rPr>
                        <w:rFonts w:hint="default" w:ascii="Cambria Math" w:hAnsi="Cambria Math" w:cs="Cambria Math"/>
                        <w:i/>
                        <w:color w:val="auto"/>
                        <w:highlight w:val="none"/>
                        <w:lang w:val="en-US" w:eastAsia="zh-CN"/>
                      </w:rPr>
                    </m:ctrlPr>
                  </m:den>
                </m:f>
                <m:r>
                  <m:rPr/>
                  <w:rPr>
                    <w:rFonts w:hint="default" w:ascii="Cambria Math" w:hAnsi="Cambria Math" w:cs="Cambria Math"/>
                    <w:color w:val="auto"/>
                    <w:highlight w:val="none"/>
                    <w:lang w:val="en-US" w:eastAsia="zh-CN"/>
                  </w:rPr>
                  <m:t>×</m:t>
                </m:r>
                <m:d>
                  <m:dPr>
                    <m:ctrlPr>
                      <w:rPr>
                        <w:rFonts w:hint="default" w:ascii="Cambria Math" w:hAnsi="Cambria Math" w:cs="Cambria Math"/>
                        <w:i/>
                        <w:color w:val="auto"/>
                        <w:highlight w:val="none"/>
                        <w:lang w:val="en-US" w:eastAsia="zh-CN"/>
                      </w:rPr>
                    </m:ctrlPr>
                  </m:dPr>
                  <m:e>
                    <m:r>
                      <m:rPr/>
                      <w:rPr>
                        <w:rFonts w:hint="default" w:ascii="Cambria Math" w:hAnsi="Cambria Math" w:cs="Cambria Math"/>
                        <w:color w:val="auto"/>
                        <w:highlight w:val="none"/>
                        <w:lang w:val="en-US" w:eastAsia="zh-CN"/>
                      </w:rPr>
                      <m:t>1−</m:t>
                    </m:r>
                    <m:f>
                      <m:fPr>
                        <m:ctrlPr>
                          <w:rPr>
                            <w:rFonts w:hint="default" w:ascii="Cambria Math" w:hAnsi="Cambria Math" w:cs="Cambria Math"/>
                            <w:i/>
                            <w:color w:val="auto"/>
                            <w:highlight w:val="none"/>
                            <w:lang w:val="en-US" w:eastAsia="zh-CN"/>
                          </w:rPr>
                        </m:ctrlPr>
                      </m:fPr>
                      <m:num>
                        <m:sSub>
                          <m:sSubPr>
                            <m:ctrlPr>
                              <w:rPr>
                                <w:rFonts w:hint="default" w:ascii="Cambria Math" w:hAnsi="Cambria Math" w:cs="Cambria Math"/>
                                <w:i/>
                                <w:color w:val="auto"/>
                                <w:highlight w:val="none"/>
                                <w:lang w:val="en-US" w:eastAsia="zh-CN"/>
                              </w:rPr>
                            </m:ctrlPr>
                          </m:sSubPr>
                          <m:e>
                            <m:r>
                              <m:rPr/>
                              <w:rPr>
                                <w:rFonts w:hint="default" w:ascii="Cambria Math" w:hAnsi="Cambria Math" w:cs="Cambria Math"/>
                                <w:color w:val="auto"/>
                                <w:highlight w:val="none"/>
                                <w:lang w:val="en-US" w:eastAsia="zh-CN"/>
                              </w:rPr>
                              <m:t>q</m:t>
                            </m:r>
                            <m:ctrlPr>
                              <w:rPr>
                                <w:rFonts w:hint="default" w:ascii="Cambria Math" w:hAnsi="Cambria Math" w:cs="Cambria Math"/>
                                <w:i/>
                                <w:color w:val="auto"/>
                                <w:highlight w:val="none"/>
                                <w:lang w:val="en-US" w:eastAsia="zh-CN"/>
                              </w:rPr>
                            </m:ctrlPr>
                          </m:e>
                          <m:sub>
                            <m:r>
                              <m:rPr/>
                              <w:rPr>
                                <w:rFonts w:hint="default" w:ascii="Cambria Math" w:hAnsi="Cambria Math" w:cs="Cambria Math"/>
                                <w:color w:val="auto"/>
                                <w:highlight w:val="none"/>
                                <w:lang w:val="en-US" w:eastAsia="zh-CN"/>
                              </w:rPr>
                              <m:t>4</m:t>
                            </m:r>
                            <m:ctrlPr>
                              <w:rPr>
                                <w:rFonts w:hint="default" w:ascii="Cambria Math" w:hAnsi="Cambria Math" w:cs="Cambria Math"/>
                                <w:i/>
                                <w:color w:val="auto"/>
                                <w:highlight w:val="none"/>
                                <w:lang w:val="en-US" w:eastAsia="zh-CN"/>
                              </w:rPr>
                            </m:ctrlPr>
                          </m:sub>
                        </m:sSub>
                        <m:ctrlPr>
                          <w:rPr>
                            <w:rFonts w:hint="default" w:ascii="Cambria Math" w:hAnsi="Cambria Math" w:cs="Cambria Math"/>
                            <w:i/>
                            <w:color w:val="auto"/>
                            <w:highlight w:val="none"/>
                            <w:lang w:val="en-US" w:eastAsia="zh-CN"/>
                          </w:rPr>
                        </m:ctrlPr>
                      </m:num>
                      <m:den>
                        <m:r>
                          <m:rPr/>
                          <w:rPr>
                            <w:rFonts w:hint="default" w:ascii="Cambria Math" w:hAnsi="Cambria Math" w:cs="Cambria Math"/>
                            <w:color w:val="auto"/>
                            <w:highlight w:val="none"/>
                            <w:lang w:val="en-US" w:eastAsia="zh-CN"/>
                          </w:rPr>
                          <m:t>100</m:t>
                        </m:r>
                        <m:ctrlPr>
                          <w:rPr>
                            <w:rFonts w:hint="default" w:ascii="Cambria Math" w:hAnsi="Cambria Math" w:cs="Cambria Math"/>
                            <w:i/>
                            <w:color w:val="auto"/>
                            <w:highlight w:val="none"/>
                            <w:lang w:val="en-US" w:eastAsia="zh-CN"/>
                          </w:rPr>
                        </m:ctrlPr>
                      </m:den>
                    </m:f>
                    <m:ctrlPr>
                      <w:rPr>
                        <w:rFonts w:hint="default" w:ascii="Cambria Math" w:hAnsi="Cambria Math" w:cs="Cambria Math"/>
                        <w:i/>
                        <w:color w:val="auto"/>
                        <w:highlight w:val="none"/>
                        <w:lang w:val="en-US" w:eastAsia="zh-CN"/>
                      </w:rPr>
                    </m:ctrlPr>
                  </m:e>
                </m:d>
                <m:r>
                  <m:rPr/>
                  <w:rPr>
                    <w:rFonts w:hint="default" w:ascii="Cambria Math" w:hAnsi="Cambria Math" w:cs="Cambria Math"/>
                    <w:color w:val="auto"/>
                    <w:highlight w:val="none"/>
                    <w:lang w:val="en-US" w:eastAsia="zh-CN"/>
                  </w:rPr>
                  <m:t>×K</m:t>
                </m:r>
              </m:oMath>
            </m:oMathPara>
          </w:p>
          <w:p w14:paraId="2A6FDFBE">
            <w:pPr>
              <w:bidi w:val="0"/>
              <w:rPr>
                <w:rFonts w:hint="eastAsia"/>
                <w:color w:val="auto"/>
                <w:highlight w:val="none"/>
                <w:lang w:val="en-US" w:eastAsia="zh-CN"/>
              </w:rPr>
            </w:pPr>
            <w:r>
              <w:rPr>
                <w:rFonts w:hint="eastAsia"/>
                <w:color w:val="auto"/>
                <w:highlight w:val="none"/>
                <w:lang w:val="en-US" w:eastAsia="zh-CN"/>
              </w:rPr>
              <w:t>式中：E</w:t>
            </w:r>
            <w:r>
              <w:rPr>
                <w:rFonts w:hint="eastAsia"/>
                <w:color w:val="auto"/>
                <w:highlight w:val="none"/>
                <w:vertAlign w:val="subscript"/>
                <w:lang w:val="en-US" w:eastAsia="zh-CN"/>
              </w:rPr>
              <w:t>SO2</w:t>
            </w:r>
            <w:r>
              <w:rPr>
                <w:rFonts w:hint="eastAsia"/>
                <w:color w:val="auto"/>
                <w:highlight w:val="none"/>
                <w:lang w:val="en-US" w:eastAsia="zh-CN"/>
              </w:rPr>
              <w:t>—核算时段内二氧化硫的实际排放量，吨；</w:t>
            </w:r>
          </w:p>
          <w:p w14:paraId="4D7C7908">
            <w:pPr>
              <w:bidi w:val="0"/>
              <w:ind w:leftChars="300"/>
              <w:rPr>
                <w:rFonts w:hint="eastAsia"/>
                <w:color w:val="auto"/>
                <w:highlight w:val="none"/>
                <w:lang w:val="en-US" w:eastAsia="zh-CN"/>
              </w:rPr>
            </w:pPr>
            <w:r>
              <w:rPr>
                <w:rFonts w:hint="eastAsia"/>
                <w:color w:val="auto"/>
                <w:highlight w:val="none"/>
                <w:lang w:val="en-US" w:eastAsia="zh-CN"/>
              </w:rPr>
              <w:t>R—核算时段内锅炉燃料耗量，吨；</w:t>
            </w:r>
          </w:p>
          <w:p w14:paraId="22A951DB">
            <w:pPr>
              <w:bidi w:val="0"/>
              <w:ind w:leftChars="300"/>
              <w:rPr>
                <w:rFonts w:hint="eastAsia"/>
                <w:color w:val="auto"/>
                <w:highlight w:val="none"/>
                <w:lang w:val="en-US" w:eastAsia="zh-CN"/>
              </w:rPr>
            </w:pPr>
            <w:r>
              <w:rPr>
                <w:rFonts w:hint="eastAsia"/>
                <w:color w:val="auto"/>
                <w:highlight w:val="none"/>
                <w:lang w:val="en-US" w:eastAsia="zh-CN"/>
              </w:rPr>
              <w:t>S</w:t>
            </w:r>
            <w:r>
              <w:rPr>
                <w:rFonts w:hint="eastAsia"/>
                <w:color w:val="auto"/>
                <w:highlight w:val="none"/>
                <w:vertAlign w:val="subscript"/>
                <w:lang w:val="en-US" w:eastAsia="zh-CN"/>
              </w:rPr>
              <w:t>ar</w:t>
            </w:r>
            <w:r>
              <w:rPr>
                <w:rFonts w:hint="eastAsia"/>
                <w:color w:val="auto"/>
                <w:highlight w:val="none"/>
                <w:lang w:val="en-US" w:eastAsia="zh-CN"/>
              </w:rPr>
              <w:t>—燃料收到基硫含量，百分比；</w:t>
            </w:r>
          </w:p>
          <w:p w14:paraId="7210E556">
            <w:pPr>
              <w:bidi w:val="0"/>
              <w:ind w:leftChars="300"/>
              <w:rPr>
                <w:rFonts w:hint="eastAsia"/>
                <w:color w:val="auto"/>
                <w:highlight w:val="none"/>
                <w:lang w:val="en-US" w:eastAsia="zh-CN"/>
              </w:rPr>
            </w:pPr>
            <w:r>
              <w:rPr>
                <w:rFonts w:hint="eastAsia"/>
                <w:color w:val="auto"/>
                <w:highlight w:val="none"/>
                <w:lang w:val="en-US" w:eastAsia="zh-CN"/>
              </w:rPr>
              <w:t>q</w:t>
            </w:r>
            <w:r>
              <w:rPr>
                <w:rFonts w:hint="eastAsia"/>
                <w:color w:val="auto"/>
                <w:highlight w:val="none"/>
                <w:vertAlign w:val="subscript"/>
                <w:lang w:val="en-US" w:eastAsia="zh-CN"/>
              </w:rPr>
              <w:t>4</w:t>
            </w:r>
            <w:r>
              <w:rPr>
                <w:rFonts w:hint="eastAsia"/>
                <w:color w:val="auto"/>
                <w:highlight w:val="none"/>
                <w:lang w:val="en-US" w:eastAsia="zh-CN"/>
              </w:rPr>
              <w:t>—锅炉机械不完全燃烧热损失，百分比；</w:t>
            </w:r>
          </w:p>
          <w:p w14:paraId="262C7982">
            <w:pPr>
              <w:bidi w:val="0"/>
              <w:ind w:leftChars="300"/>
              <w:rPr>
                <w:rFonts w:hint="eastAsia"/>
                <w:color w:val="auto"/>
                <w:highlight w:val="none"/>
                <w:lang w:val="en-US" w:eastAsia="zh-CN"/>
              </w:rPr>
            </w:pPr>
            <w:r>
              <w:rPr>
                <w:rFonts w:hint="eastAsia"/>
                <w:color w:val="auto"/>
                <w:highlight w:val="none"/>
                <w:lang w:val="en-US" w:eastAsia="zh-CN"/>
              </w:rPr>
              <w:t>K—燃料中的硫燃烧后氧化成二氧化硫的份额，无量纲。</w:t>
            </w:r>
          </w:p>
          <w:p w14:paraId="7146AB89">
            <w:pPr>
              <w:bidi w:val="0"/>
              <w:rPr>
                <w:rFonts w:hint="default"/>
                <w:color w:val="auto"/>
                <w:highlight w:val="none"/>
                <w:lang w:val="en-US" w:eastAsia="zh-CN"/>
              </w:rPr>
            </w:pPr>
            <w:r>
              <w:rPr>
                <w:rFonts w:hint="eastAsia"/>
                <w:color w:val="auto"/>
                <w:highlight w:val="none"/>
                <w:lang w:val="en-US" w:eastAsia="zh-CN"/>
              </w:rPr>
              <w:t>根据附件7，S</w:t>
            </w:r>
            <w:r>
              <w:rPr>
                <w:rFonts w:hint="eastAsia"/>
                <w:color w:val="auto"/>
                <w:highlight w:val="none"/>
                <w:vertAlign w:val="subscript"/>
                <w:lang w:val="en-US" w:eastAsia="zh-CN"/>
              </w:rPr>
              <w:t>ar</w:t>
            </w:r>
            <w:r>
              <w:rPr>
                <w:rFonts w:hint="eastAsia"/>
                <w:color w:val="auto"/>
                <w:highlight w:val="none"/>
                <w:lang w:val="en-US" w:eastAsia="zh-CN"/>
              </w:rPr>
              <w:t>取0.03；根据</w:t>
            </w:r>
            <w:r>
              <w:rPr>
                <w:rFonts w:hint="default" w:ascii="Times New Roman" w:hAnsi="Times New Roman" w:eastAsia="宋体"/>
                <w:color w:val="auto"/>
                <w:highlight w:val="none"/>
                <w:lang w:val="en-US" w:eastAsia="zh-CN"/>
              </w:rPr>
              <w:t>《排污许可证申请与核发技术规范 锅炉》</w:t>
            </w:r>
            <w:r>
              <w:rPr>
                <w:rFonts w:hint="eastAsia"/>
                <w:color w:val="auto"/>
                <w:highlight w:val="none"/>
                <w:lang w:val="en-US" w:eastAsia="zh-CN"/>
              </w:rPr>
              <w:t>中表12，K值取0.40。结合生物质颗粒消耗量，则SO</w:t>
            </w:r>
            <w:r>
              <w:rPr>
                <w:rFonts w:hint="eastAsia"/>
                <w:color w:val="auto"/>
                <w:highlight w:val="none"/>
                <w:vertAlign w:val="subscript"/>
                <w:lang w:val="en-US" w:eastAsia="zh-CN"/>
              </w:rPr>
              <w:t>2</w:t>
            </w:r>
            <w:r>
              <w:rPr>
                <w:rFonts w:hint="eastAsia"/>
                <w:color w:val="auto"/>
                <w:highlight w:val="none"/>
                <w:lang w:val="en-US" w:eastAsia="zh-CN"/>
              </w:rPr>
              <w:t>产生排放量为3.77t/a，0.524kg/h。</w:t>
            </w:r>
          </w:p>
          <w:p w14:paraId="0AD77CB6">
            <w:pPr>
              <w:bidi w:val="0"/>
              <w:rPr>
                <w:rFonts w:hint="default"/>
                <w:color w:val="auto"/>
                <w:highlight w:val="none"/>
                <w:lang w:val="en-US" w:eastAsia="zh-CN"/>
              </w:rPr>
            </w:pPr>
            <w:r>
              <w:rPr>
                <w:rFonts w:hint="default"/>
                <w:color w:val="auto"/>
                <w:highlight w:val="none"/>
                <w:lang w:val="en-US" w:eastAsia="zh-CN"/>
              </w:rPr>
              <w:t>b、颗粒物产生排放情况</w:t>
            </w:r>
          </w:p>
          <w:p w14:paraId="73F7D139">
            <w:pPr>
              <w:bidi w:val="0"/>
              <w:rPr>
                <w:rFonts w:hint="default"/>
                <w:color w:val="auto"/>
                <w:highlight w:val="none"/>
                <w:lang w:val="en-US" w:eastAsia="zh-CN"/>
              </w:rPr>
            </w:pPr>
            <w:r>
              <w:rPr>
                <w:rFonts w:hint="default"/>
                <w:color w:val="auto"/>
                <w:highlight w:val="none"/>
                <w:lang w:val="en-US" w:eastAsia="zh-CN"/>
              </w:rPr>
              <w:t>本项目</w:t>
            </w:r>
            <w:r>
              <w:rPr>
                <w:rFonts w:hint="eastAsia"/>
                <w:color w:val="auto"/>
                <w:highlight w:val="none"/>
                <w:lang w:val="en-US" w:eastAsia="zh-CN"/>
              </w:rPr>
              <w:t>选用</w:t>
            </w:r>
            <w:r>
              <w:rPr>
                <w:rFonts w:hint="default"/>
                <w:color w:val="auto"/>
                <w:highlight w:val="none"/>
                <w:lang w:val="en-US" w:eastAsia="zh-CN"/>
              </w:rPr>
              <w:t>的生物质颗粒属于成型燃料，产污系数为0.5kg/t，结合生物质颗粒消耗量，则颗粒物产生量为</w:t>
            </w:r>
            <w:r>
              <w:rPr>
                <w:rFonts w:hint="eastAsia"/>
                <w:color w:val="auto"/>
                <w:highlight w:val="none"/>
                <w:lang w:val="en-US" w:eastAsia="zh-CN"/>
              </w:rPr>
              <w:t>9.136</w:t>
            </w:r>
            <w:r>
              <w:rPr>
                <w:rFonts w:hint="default"/>
                <w:color w:val="auto"/>
                <w:highlight w:val="none"/>
                <w:lang w:val="en-US" w:eastAsia="zh-CN"/>
              </w:rPr>
              <w:t>t/a，</w:t>
            </w:r>
            <w:r>
              <w:rPr>
                <w:rFonts w:hint="eastAsia"/>
                <w:color w:val="auto"/>
                <w:highlight w:val="none"/>
                <w:lang w:val="en-US" w:eastAsia="zh-CN"/>
              </w:rPr>
              <w:t>1.269</w:t>
            </w:r>
            <w:r>
              <w:rPr>
                <w:rFonts w:hint="default"/>
                <w:color w:val="auto"/>
                <w:highlight w:val="none"/>
                <w:lang w:val="en-US" w:eastAsia="zh-CN"/>
              </w:rPr>
              <w:t>kg/h。</w:t>
            </w:r>
          </w:p>
          <w:p w14:paraId="40BBFD04">
            <w:pPr>
              <w:bidi w:val="0"/>
              <w:rPr>
                <w:rFonts w:hint="default"/>
                <w:color w:val="auto"/>
                <w:highlight w:val="none"/>
                <w:lang w:val="en-US" w:eastAsia="zh-CN"/>
              </w:rPr>
            </w:pPr>
            <w:r>
              <w:rPr>
                <w:rFonts w:hint="default"/>
                <w:color w:val="auto"/>
                <w:highlight w:val="none"/>
                <w:lang w:val="en-US" w:eastAsia="zh-CN"/>
              </w:rPr>
              <w:t>多管除尘器属于旋风除尘器的一种，因此排污系数为0.005kg/t，除尘效率</w:t>
            </w:r>
            <w:r>
              <w:rPr>
                <w:rFonts w:hint="eastAsia"/>
                <w:color w:val="auto"/>
                <w:highlight w:val="none"/>
                <w:lang w:val="en-US" w:eastAsia="zh-CN"/>
              </w:rPr>
              <w:t>可达</w:t>
            </w:r>
            <w:r>
              <w:rPr>
                <w:rFonts w:hint="default"/>
                <w:color w:val="auto"/>
                <w:highlight w:val="none"/>
                <w:lang w:val="en-US" w:eastAsia="zh-CN"/>
              </w:rPr>
              <w:t>99%。考虑到除尘设施运行的稳定性，本次排污系数取0.05kg/t，结合生物质颗粒消耗量，则颗粒物排放量为</w:t>
            </w:r>
            <w:r>
              <w:rPr>
                <w:rFonts w:hint="eastAsia"/>
                <w:color w:val="auto"/>
                <w:highlight w:val="none"/>
                <w:lang w:val="en-US" w:eastAsia="zh-CN"/>
              </w:rPr>
              <w:t>0.914</w:t>
            </w:r>
            <w:r>
              <w:rPr>
                <w:rFonts w:hint="default"/>
                <w:color w:val="auto"/>
                <w:highlight w:val="none"/>
                <w:lang w:val="en-US" w:eastAsia="zh-CN"/>
              </w:rPr>
              <w:t>t/a，</w:t>
            </w:r>
            <w:r>
              <w:rPr>
                <w:rFonts w:hint="eastAsia"/>
                <w:color w:val="auto"/>
                <w:highlight w:val="none"/>
                <w:lang w:val="en-US" w:eastAsia="zh-CN"/>
              </w:rPr>
              <w:t>0.1269</w:t>
            </w:r>
            <w:r>
              <w:rPr>
                <w:rFonts w:hint="default"/>
                <w:color w:val="auto"/>
                <w:highlight w:val="none"/>
                <w:lang w:val="en-US" w:eastAsia="zh-CN"/>
              </w:rPr>
              <w:t>g/h。</w:t>
            </w:r>
          </w:p>
          <w:p w14:paraId="4F5F07A7">
            <w:pPr>
              <w:bidi w:val="0"/>
              <w:rPr>
                <w:rFonts w:hint="default"/>
                <w:color w:val="auto"/>
                <w:highlight w:val="none"/>
                <w:lang w:val="en-US" w:eastAsia="zh-CN"/>
              </w:rPr>
            </w:pPr>
            <w:r>
              <w:rPr>
                <w:rFonts w:hint="default"/>
                <w:color w:val="auto"/>
                <w:highlight w:val="none"/>
                <w:lang w:val="en-US" w:eastAsia="zh-CN"/>
              </w:rPr>
              <w:t>c、NO</w:t>
            </w:r>
            <w:r>
              <w:rPr>
                <w:rFonts w:hint="eastAsia"/>
                <w:color w:val="auto"/>
                <w:highlight w:val="none"/>
                <w:vertAlign w:val="subscript"/>
                <w:lang w:val="en-US" w:eastAsia="zh-CN"/>
              </w:rPr>
              <w:t>X</w:t>
            </w:r>
            <w:r>
              <w:rPr>
                <w:rFonts w:hint="default"/>
                <w:color w:val="auto"/>
                <w:highlight w:val="none"/>
                <w:lang w:val="en-US" w:eastAsia="zh-CN"/>
              </w:rPr>
              <w:t>产生排放情况</w:t>
            </w:r>
          </w:p>
          <w:p w14:paraId="4146C66A">
            <w:pPr>
              <w:bidi w:val="0"/>
              <w:rPr>
                <w:rFonts w:hint="default"/>
                <w:color w:val="auto"/>
                <w:highlight w:val="none"/>
                <w:lang w:val="en-US" w:eastAsia="zh-CN"/>
              </w:rPr>
            </w:pPr>
            <w:r>
              <w:rPr>
                <w:rFonts w:hint="default"/>
                <w:color w:val="auto"/>
                <w:highlight w:val="none"/>
                <w:lang w:val="en-US" w:eastAsia="zh-CN"/>
              </w:rPr>
              <w:t>项目锅炉采用了低氮燃烧技术，后端无处置措施，因此产排污系数均为0.71kg/t，结合生物质颗粒消耗量，则NO</w:t>
            </w:r>
            <w:r>
              <w:rPr>
                <w:rFonts w:hint="eastAsia"/>
                <w:color w:val="auto"/>
                <w:highlight w:val="none"/>
                <w:vertAlign w:val="subscript"/>
                <w:lang w:val="en-US" w:eastAsia="zh-CN"/>
              </w:rPr>
              <w:t>X</w:t>
            </w:r>
            <w:r>
              <w:rPr>
                <w:rFonts w:hint="default"/>
                <w:color w:val="auto"/>
                <w:highlight w:val="none"/>
                <w:lang w:val="en-US" w:eastAsia="zh-CN"/>
              </w:rPr>
              <w:t>产生量为</w:t>
            </w:r>
            <w:r>
              <w:rPr>
                <w:rFonts w:hint="eastAsia"/>
                <w:color w:val="auto"/>
                <w:highlight w:val="none"/>
                <w:lang w:val="en-US" w:eastAsia="zh-CN"/>
              </w:rPr>
              <w:t>12.97</w:t>
            </w:r>
            <w:r>
              <w:rPr>
                <w:rFonts w:hint="default"/>
                <w:color w:val="auto"/>
                <w:highlight w:val="none"/>
                <w:lang w:val="en-US" w:eastAsia="zh-CN"/>
              </w:rPr>
              <w:t>t/a，</w:t>
            </w:r>
            <w:r>
              <w:rPr>
                <w:rFonts w:hint="eastAsia"/>
                <w:color w:val="auto"/>
                <w:highlight w:val="none"/>
                <w:lang w:val="en-US" w:eastAsia="zh-CN"/>
              </w:rPr>
              <w:t>1.80</w:t>
            </w:r>
            <w:r>
              <w:rPr>
                <w:rFonts w:hint="default"/>
                <w:color w:val="auto"/>
                <w:highlight w:val="none"/>
                <w:lang w:val="en-US" w:eastAsia="zh-CN"/>
              </w:rPr>
              <w:t>kg/h。</w:t>
            </w:r>
          </w:p>
          <w:p w14:paraId="54467983">
            <w:pPr>
              <w:bidi w:val="0"/>
              <w:rPr>
                <w:rFonts w:hint="default"/>
                <w:color w:val="auto"/>
                <w:highlight w:val="none"/>
                <w:lang w:val="en-US" w:eastAsia="zh-CN"/>
              </w:rPr>
            </w:pPr>
            <w:r>
              <w:rPr>
                <w:rFonts w:hint="default"/>
                <w:color w:val="auto"/>
                <w:highlight w:val="none"/>
                <w:lang w:val="en-US" w:eastAsia="zh-CN"/>
              </w:rPr>
              <w:t>③产生排放浓度计算</w:t>
            </w:r>
          </w:p>
          <w:p w14:paraId="73FFCE9D">
            <w:pPr>
              <w:bidi w:val="0"/>
              <w:rPr>
                <w:rFonts w:hint="default"/>
                <w:color w:val="auto"/>
                <w:highlight w:val="none"/>
                <w:lang w:val="en-US" w:eastAsia="zh-CN"/>
              </w:rPr>
            </w:pPr>
            <w:r>
              <w:rPr>
                <w:rFonts w:hint="default"/>
                <w:color w:val="auto"/>
                <w:highlight w:val="none"/>
                <w:lang w:val="en-US" w:eastAsia="zh-CN"/>
              </w:rPr>
              <w:t>结合烟气量、各污染物产生排放量，得出各污染因子产生排放浓度如下：</w:t>
            </w:r>
          </w:p>
          <w:p w14:paraId="3BD9DE2F">
            <w:pPr>
              <w:bidi w:val="0"/>
              <w:rPr>
                <w:rFonts w:hint="eastAsia" w:eastAsia="宋体"/>
                <w:color w:val="auto"/>
                <w:highlight w:val="none"/>
                <w:lang w:val="en-US" w:eastAsia="zh-CN"/>
              </w:rPr>
            </w:pPr>
            <w:r>
              <w:rPr>
                <w:rFonts w:hint="default"/>
                <w:color w:val="auto"/>
                <w:highlight w:val="none"/>
                <w:lang w:val="en-US" w:eastAsia="zh-CN"/>
              </w:rPr>
              <w:t>SO</w:t>
            </w:r>
            <w:r>
              <w:rPr>
                <w:rFonts w:hint="default"/>
                <w:color w:val="auto"/>
                <w:highlight w:val="none"/>
                <w:vertAlign w:val="subscript"/>
                <w:lang w:val="en-US" w:eastAsia="zh-CN"/>
              </w:rPr>
              <w:t>2</w:t>
            </w:r>
            <w:r>
              <w:rPr>
                <w:rFonts w:hint="default"/>
                <w:color w:val="auto"/>
                <w:highlight w:val="none"/>
                <w:lang w:val="en-US" w:eastAsia="zh-CN"/>
              </w:rPr>
              <w:t>产生排放浓度为</w:t>
            </w:r>
            <w:r>
              <w:rPr>
                <w:rFonts w:hint="eastAsia"/>
                <w:color w:val="auto"/>
                <w:highlight w:val="none"/>
                <w:lang w:val="en-US" w:eastAsia="zh-CN"/>
              </w:rPr>
              <w:t>26.96</w:t>
            </w:r>
            <w:r>
              <w:rPr>
                <w:rFonts w:hint="default"/>
                <w:color w:val="auto"/>
                <w:highlight w:val="none"/>
                <w:lang w:val="en-US" w:eastAsia="zh-CN"/>
              </w:rPr>
              <w:t>mg/m</w:t>
            </w:r>
            <w:r>
              <w:rPr>
                <w:rFonts w:hint="default"/>
                <w:color w:val="auto"/>
                <w:highlight w:val="none"/>
                <w:vertAlign w:val="superscript"/>
                <w:lang w:val="en-US" w:eastAsia="zh-CN"/>
              </w:rPr>
              <w:t>3</w:t>
            </w:r>
            <w:r>
              <w:rPr>
                <w:rFonts w:hint="default"/>
                <w:color w:val="auto"/>
                <w:highlight w:val="none"/>
                <w:lang w:val="en-US" w:eastAsia="zh-CN"/>
              </w:rPr>
              <w:t>；颗粒物产生浓度为</w:t>
            </w:r>
            <w:r>
              <w:rPr>
                <w:rFonts w:hint="eastAsia"/>
                <w:color w:val="auto"/>
                <w:highlight w:val="none"/>
                <w:lang w:val="en-US" w:eastAsia="zh-CN"/>
              </w:rPr>
              <w:t>65.35</w:t>
            </w:r>
            <w:r>
              <w:rPr>
                <w:rFonts w:hint="default"/>
                <w:color w:val="auto"/>
                <w:highlight w:val="none"/>
                <w:lang w:val="en-US" w:eastAsia="zh-CN"/>
              </w:rPr>
              <w:t>mg/m</w:t>
            </w:r>
            <w:r>
              <w:rPr>
                <w:rFonts w:hint="default"/>
                <w:color w:val="auto"/>
                <w:highlight w:val="none"/>
                <w:vertAlign w:val="superscript"/>
                <w:lang w:val="en-US" w:eastAsia="zh-CN"/>
              </w:rPr>
              <w:t>3</w:t>
            </w:r>
            <w:r>
              <w:rPr>
                <w:rFonts w:hint="default"/>
                <w:color w:val="auto"/>
                <w:highlight w:val="none"/>
                <w:lang w:val="en-US" w:eastAsia="zh-CN"/>
              </w:rPr>
              <w:t>，排放浓度为</w:t>
            </w:r>
            <w:r>
              <w:rPr>
                <w:rFonts w:hint="eastAsia"/>
                <w:color w:val="auto"/>
                <w:highlight w:val="none"/>
                <w:lang w:val="en-US" w:eastAsia="zh-CN"/>
              </w:rPr>
              <w:t>6.54</w:t>
            </w:r>
            <w:r>
              <w:rPr>
                <w:rFonts w:hint="default"/>
                <w:color w:val="auto"/>
                <w:highlight w:val="none"/>
                <w:lang w:val="en-US" w:eastAsia="zh-CN"/>
              </w:rPr>
              <w:t>mg/m</w:t>
            </w:r>
            <w:r>
              <w:rPr>
                <w:rFonts w:hint="default"/>
                <w:color w:val="auto"/>
                <w:highlight w:val="none"/>
                <w:vertAlign w:val="superscript"/>
                <w:lang w:val="en-US" w:eastAsia="zh-CN"/>
              </w:rPr>
              <w:t>3</w:t>
            </w:r>
            <w:r>
              <w:rPr>
                <w:rFonts w:hint="default"/>
                <w:color w:val="auto"/>
                <w:highlight w:val="none"/>
                <w:lang w:val="en-US" w:eastAsia="zh-CN"/>
              </w:rPr>
              <w:t>；NO</w:t>
            </w:r>
            <w:r>
              <w:rPr>
                <w:rFonts w:hint="eastAsia"/>
                <w:color w:val="auto"/>
                <w:highlight w:val="none"/>
                <w:vertAlign w:val="subscript"/>
                <w:lang w:val="en-US" w:eastAsia="zh-CN"/>
              </w:rPr>
              <w:t>X</w:t>
            </w:r>
            <w:r>
              <w:rPr>
                <w:rFonts w:hint="default"/>
                <w:color w:val="auto"/>
                <w:highlight w:val="none"/>
                <w:lang w:val="en-US" w:eastAsia="zh-CN"/>
              </w:rPr>
              <w:t>产生排放浓度均为</w:t>
            </w:r>
            <w:r>
              <w:rPr>
                <w:rFonts w:hint="eastAsia"/>
                <w:color w:val="auto"/>
                <w:highlight w:val="none"/>
                <w:lang w:val="en-US" w:eastAsia="zh-CN"/>
              </w:rPr>
              <w:t>92.77</w:t>
            </w:r>
            <w:r>
              <w:rPr>
                <w:rFonts w:hint="default"/>
                <w:color w:val="auto"/>
                <w:highlight w:val="none"/>
                <w:lang w:val="en-US" w:eastAsia="zh-CN"/>
              </w:rPr>
              <w:t>mg/m</w:t>
            </w:r>
            <w:r>
              <w:rPr>
                <w:rFonts w:hint="default"/>
                <w:color w:val="auto"/>
                <w:highlight w:val="none"/>
                <w:vertAlign w:val="superscript"/>
                <w:lang w:val="en-US" w:eastAsia="zh-CN"/>
              </w:rPr>
              <w:t>3</w:t>
            </w:r>
            <w:r>
              <w:rPr>
                <w:rFonts w:hint="eastAsia"/>
                <w:color w:val="auto"/>
                <w:highlight w:val="none"/>
                <w:vertAlign w:val="baseline"/>
                <w:lang w:val="en-US" w:eastAsia="zh-CN"/>
              </w:rPr>
              <w:t>，均满足</w:t>
            </w:r>
            <w:r>
              <w:rPr>
                <w:color w:val="auto"/>
                <w:highlight w:val="none"/>
              </w:rPr>
              <w:t>《锅炉大气污染物排放标准》（DB</w:t>
            </w:r>
            <w:r>
              <w:rPr>
                <w:rFonts w:hint="eastAsia"/>
                <w:color w:val="auto"/>
                <w:highlight w:val="none"/>
                <w:lang w:val="en-US" w:eastAsia="zh-CN"/>
              </w:rPr>
              <w:t xml:space="preserve"> </w:t>
            </w:r>
            <w:r>
              <w:rPr>
                <w:color w:val="auto"/>
                <w:highlight w:val="none"/>
              </w:rPr>
              <w:t>61/1226-2018）表5</w:t>
            </w:r>
            <w:r>
              <w:rPr>
                <w:rFonts w:hint="eastAsia"/>
                <w:color w:val="auto"/>
                <w:highlight w:val="none"/>
              </w:rPr>
              <w:t>中的生物质</w:t>
            </w:r>
            <w:r>
              <w:rPr>
                <w:color w:val="auto"/>
                <w:highlight w:val="none"/>
              </w:rPr>
              <w:t>锅炉</w:t>
            </w:r>
            <w:r>
              <w:rPr>
                <w:rFonts w:hint="eastAsia"/>
                <w:color w:val="auto"/>
                <w:highlight w:val="none"/>
              </w:rPr>
              <w:t>限值</w:t>
            </w:r>
            <w:r>
              <w:rPr>
                <w:rFonts w:hint="eastAsia"/>
                <w:color w:val="auto"/>
                <w:highlight w:val="none"/>
                <w:lang w:eastAsia="zh-CN"/>
              </w:rPr>
              <w:t>。</w:t>
            </w:r>
          </w:p>
          <w:p w14:paraId="01AE363F">
            <w:pPr>
              <w:pStyle w:val="41"/>
              <w:bidi w:val="0"/>
              <w:rPr>
                <w:rFonts w:hint="eastAsia"/>
                <w:color w:val="auto"/>
                <w:highlight w:val="none"/>
                <w:lang w:val="en-US" w:eastAsia="zh-CN"/>
              </w:rPr>
            </w:pPr>
            <w:r>
              <w:rPr>
                <w:rFonts w:hint="eastAsia"/>
                <w:color w:val="auto"/>
                <w:highlight w:val="none"/>
                <w:lang w:val="en-US" w:eastAsia="zh-CN"/>
              </w:rPr>
              <w:t>（13）G13成品筛分粉尘</w:t>
            </w:r>
          </w:p>
          <w:p w14:paraId="2AA38D70">
            <w:pPr>
              <w:bidi w:val="0"/>
              <w:rPr>
                <w:rFonts w:hint="default"/>
                <w:color w:val="auto"/>
                <w:highlight w:val="none"/>
                <w:lang w:val="en-US" w:eastAsia="zh-CN"/>
              </w:rPr>
            </w:pPr>
            <w:r>
              <w:rPr>
                <w:rFonts w:hint="eastAsia"/>
                <w:color w:val="auto"/>
                <w:highlight w:val="none"/>
                <w:lang w:val="en-US" w:eastAsia="zh-CN"/>
              </w:rPr>
              <w:t>根据可研提供资料，生料球筛分过程产生的废气量为3000万</w:t>
            </w:r>
            <w:r>
              <w:rPr>
                <w:color w:val="auto"/>
                <w:highlight w:val="none"/>
              </w:rPr>
              <w:t>Nm</w:t>
            </w:r>
            <w:r>
              <w:rPr>
                <w:color w:val="auto"/>
                <w:highlight w:val="none"/>
                <w:vertAlign w:val="superscript"/>
              </w:rPr>
              <w:t>3</w:t>
            </w:r>
            <w:r>
              <w:rPr>
                <w:color w:val="auto"/>
                <w:highlight w:val="none"/>
              </w:rPr>
              <w:t>/a，颗粒物为</w:t>
            </w:r>
            <w:r>
              <w:rPr>
                <w:rFonts w:hint="eastAsia"/>
                <w:color w:val="auto"/>
                <w:highlight w:val="none"/>
                <w:lang w:val="en-US" w:eastAsia="zh-CN"/>
              </w:rPr>
              <w:t>120</w:t>
            </w:r>
            <w:r>
              <w:rPr>
                <w:color w:val="auto"/>
                <w:highlight w:val="none"/>
              </w:rPr>
              <w:t>t/a</w:t>
            </w:r>
            <w:r>
              <w:rPr>
                <w:rFonts w:hint="eastAsia"/>
                <w:color w:val="auto"/>
                <w:highlight w:val="none"/>
                <w:lang w:eastAsia="zh-CN"/>
              </w:rPr>
              <w:t>，</w:t>
            </w:r>
            <w:r>
              <w:rPr>
                <w:color w:val="auto"/>
                <w:highlight w:val="none"/>
              </w:rPr>
              <w:t>产生浓度为</w:t>
            </w:r>
            <w:r>
              <w:rPr>
                <w:rFonts w:hint="eastAsia"/>
                <w:color w:val="auto"/>
                <w:highlight w:val="none"/>
                <w:lang w:val="en-US" w:eastAsia="zh-CN"/>
              </w:rPr>
              <w:t>4000</w:t>
            </w:r>
            <w:r>
              <w:rPr>
                <w:color w:val="auto"/>
                <w:highlight w:val="none"/>
              </w:rPr>
              <w:t>mg/m</w:t>
            </w:r>
            <w:r>
              <w:rPr>
                <w:color w:val="auto"/>
                <w:highlight w:val="none"/>
                <w:vertAlign w:val="superscript"/>
              </w:rPr>
              <w:t>3</w:t>
            </w:r>
            <w:r>
              <w:rPr>
                <w:rFonts w:hint="eastAsia"/>
                <w:color w:val="auto"/>
                <w:highlight w:val="none"/>
                <w:lang w:eastAsia="zh-CN"/>
              </w:rPr>
              <w:t>。</w:t>
            </w:r>
            <w:r>
              <w:rPr>
                <w:rFonts w:hint="eastAsia"/>
                <w:color w:val="auto"/>
                <w:highlight w:val="none"/>
                <w:lang w:val="en-US" w:eastAsia="zh-CN"/>
              </w:rPr>
              <w:t>设备有固定排放口直接与风管连接，有组织收集效率为90%，则集气设施有效收集粉尘量为144t/a，未收集粉尘为16t/a。</w:t>
            </w:r>
            <w:r>
              <w:rPr>
                <w:color w:val="auto"/>
                <w:highlight w:val="none"/>
                <w:lang w:val="en-US" w:eastAsia="zh-CN"/>
              </w:rPr>
              <w:t>3024 轻质建筑材料制品制造行业系数手册</w:t>
            </w:r>
            <w:r>
              <w:rPr>
                <w:rFonts w:hint="eastAsia"/>
                <w:color w:val="auto"/>
                <w:highlight w:val="none"/>
                <w:lang w:val="en-US" w:eastAsia="zh-CN"/>
              </w:rPr>
              <w:t>中</w:t>
            </w:r>
            <w:r>
              <w:rPr>
                <w:color w:val="auto"/>
                <w:highlight w:val="none"/>
                <w:lang w:val="en-US" w:eastAsia="zh-CN"/>
              </w:rPr>
              <w:t>袋式除尘工艺的平均去除效率为99.7%</w:t>
            </w:r>
            <w:r>
              <w:rPr>
                <w:rFonts w:hint="eastAsia"/>
                <w:color w:val="auto"/>
                <w:highlight w:val="none"/>
                <w:lang w:val="en-US" w:eastAsia="zh-CN"/>
              </w:rPr>
              <w:t>，则本项目</w:t>
            </w:r>
            <w:r>
              <w:rPr>
                <w:color w:val="auto"/>
                <w:highlight w:val="none"/>
                <w:lang w:val="en-US" w:eastAsia="zh-CN"/>
              </w:rPr>
              <w:t>除尘效率</w:t>
            </w:r>
            <w:r>
              <w:rPr>
                <w:rFonts w:hint="eastAsia"/>
                <w:color w:val="auto"/>
                <w:highlight w:val="none"/>
                <w:lang w:val="en-US" w:eastAsia="zh-CN"/>
              </w:rPr>
              <w:t>取值</w:t>
            </w:r>
            <w:r>
              <w:rPr>
                <w:color w:val="auto"/>
                <w:highlight w:val="none"/>
                <w:lang w:val="en-US" w:eastAsia="zh-CN"/>
              </w:rPr>
              <w:t>为99.7%。</w:t>
            </w:r>
            <w:r>
              <w:rPr>
                <w:rFonts w:hint="eastAsia"/>
                <w:color w:val="auto"/>
                <w:highlight w:val="none"/>
                <w:lang w:val="en-US" w:eastAsia="zh-CN"/>
              </w:rPr>
              <w:t>净化处理后，颗粒物排放量为0.432t/a，排放浓度为10.8mg/m</w:t>
            </w:r>
            <w:r>
              <w:rPr>
                <w:rFonts w:hint="eastAsia"/>
                <w:color w:val="auto"/>
                <w:highlight w:val="none"/>
                <w:vertAlign w:val="superscript"/>
                <w:lang w:val="en-US" w:eastAsia="zh-CN"/>
              </w:rPr>
              <w:t>3</w:t>
            </w:r>
            <w:r>
              <w:rPr>
                <w:rFonts w:hint="eastAsia"/>
                <w:color w:val="auto"/>
                <w:highlight w:val="none"/>
                <w:lang w:val="en-US" w:eastAsia="zh-CN"/>
              </w:rPr>
              <w:t>，</w:t>
            </w:r>
            <w:r>
              <w:rPr>
                <w:color w:val="auto"/>
                <w:sz w:val="24"/>
                <w:highlight w:val="none"/>
                <w:lang w:bidi="ar"/>
              </w:rPr>
              <w:t>满足</w:t>
            </w:r>
            <w:r>
              <w:rPr>
                <w:rFonts w:hint="eastAsia"/>
                <w:color w:val="auto"/>
                <w:highlight w:val="none"/>
                <w:lang w:val="en-US" w:eastAsia="zh-CN"/>
              </w:rPr>
              <w:t>《水泥工业大气污染物排放标准》（GB 4915-2013）表1散装水泥中转及水泥制品生产过程颗粒物排放限值（20mg/m</w:t>
            </w:r>
            <w:r>
              <w:rPr>
                <w:rFonts w:hint="eastAsia"/>
                <w:color w:val="auto"/>
                <w:highlight w:val="none"/>
                <w:vertAlign w:val="superscript"/>
                <w:lang w:val="en-US" w:eastAsia="zh-CN"/>
              </w:rPr>
              <w:t>3</w:t>
            </w:r>
            <w:r>
              <w:rPr>
                <w:rFonts w:hint="eastAsia"/>
                <w:color w:val="auto"/>
                <w:highlight w:val="none"/>
                <w:lang w:val="en-US" w:eastAsia="zh-CN"/>
              </w:rPr>
              <w:t>）要求。未收集粉尘</w:t>
            </w:r>
            <w:r>
              <w:rPr>
                <w:rFonts w:hint="eastAsia"/>
                <w:color w:val="auto"/>
                <w:highlight w:val="none"/>
              </w:rPr>
              <w:t>经喷雾降尘和封闭</w:t>
            </w:r>
            <w:r>
              <w:rPr>
                <w:rFonts w:hint="eastAsia"/>
                <w:color w:val="auto"/>
                <w:highlight w:val="none"/>
                <w:lang w:val="en-US" w:eastAsia="zh-CN"/>
              </w:rPr>
              <w:t>厂房</w:t>
            </w:r>
            <w:r>
              <w:rPr>
                <w:rFonts w:hint="eastAsia"/>
                <w:color w:val="auto"/>
                <w:highlight w:val="none"/>
              </w:rPr>
              <w:t>沉降后，</w:t>
            </w:r>
            <w:r>
              <w:rPr>
                <w:rFonts w:hint="eastAsia"/>
                <w:color w:val="auto"/>
                <w:highlight w:val="none"/>
                <w:lang w:val="en-US" w:eastAsia="zh-CN"/>
              </w:rPr>
              <w:t>除尘效率可达90%</w:t>
            </w:r>
            <w:r>
              <w:rPr>
                <w:rFonts w:hint="eastAsia"/>
                <w:color w:val="auto"/>
                <w:highlight w:val="none"/>
              </w:rPr>
              <w:t>，则无组织</w:t>
            </w:r>
            <w:r>
              <w:rPr>
                <w:rFonts w:hint="eastAsia"/>
                <w:color w:val="auto"/>
                <w:highlight w:val="none"/>
                <w:lang w:val="en-US" w:eastAsia="zh-CN"/>
              </w:rPr>
              <w:t>粉尘</w:t>
            </w:r>
            <w:r>
              <w:rPr>
                <w:rFonts w:hint="eastAsia"/>
                <w:color w:val="auto"/>
                <w:highlight w:val="none"/>
              </w:rPr>
              <w:t>排放量为</w:t>
            </w:r>
            <w:r>
              <w:rPr>
                <w:rFonts w:hint="eastAsia"/>
                <w:color w:val="auto"/>
                <w:highlight w:val="none"/>
                <w:lang w:val="en-US" w:eastAsia="zh-CN"/>
              </w:rPr>
              <w:t>1.2</w:t>
            </w:r>
            <w:r>
              <w:rPr>
                <w:rFonts w:hint="eastAsia"/>
                <w:color w:val="auto"/>
                <w:highlight w:val="none"/>
              </w:rPr>
              <w:t>t/a</w:t>
            </w:r>
            <w:r>
              <w:rPr>
                <w:rFonts w:hint="eastAsia"/>
                <w:color w:val="auto"/>
                <w:highlight w:val="none"/>
                <w:lang w:eastAsia="zh-CN"/>
              </w:rPr>
              <w:t>；</w:t>
            </w:r>
            <w:r>
              <w:rPr>
                <w:rFonts w:hint="eastAsia"/>
                <w:color w:val="auto"/>
                <w:highlight w:val="none"/>
                <w:lang w:val="en-US" w:eastAsia="zh-CN"/>
              </w:rPr>
              <w:t>工作时间为7200h，则排放速率为0.167kg/h</w:t>
            </w:r>
            <w:r>
              <w:rPr>
                <w:rFonts w:hint="eastAsia"/>
                <w:color w:val="auto"/>
                <w:highlight w:val="none"/>
              </w:rPr>
              <w:t>。</w:t>
            </w:r>
          </w:p>
          <w:p w14:paraId="578C72F1">
            <w:pPr>
              <w:pStyle w:val="41"/>
              <w:bidi w:val="0"/>
              <w:rPr>
                <w:rFonts w:hint="default"/>
                <w:color w:val="auto"/>
                <w:highlight w:val="none"/>
                <w:lang w:val="en-US" w:eastAsia="zh-CN"/>
              </w:rPr>
            </w:pPr>
            <w:r>
              <w:rPr>
                <w:rFonts w:hint="eastAsia"/>
                <w:color w:val="auto"/>
                <w:highlight w:val="none"/>
                <w:lang w:val="en-US" w:eastAsia="zh-CN"/>
              </w:rPr>
              <w:t>（14）G14混凝土粉煤灰筒仓粉尘</w:t>
            </w:r>
          </w:p>
          <w:p w14:paraId="0A733F58">
            <w:pPr>
              <w:bidi w:val="0"/>
              <w:rPr>
                <w:rFonts w:hint="eastAsia" w:eastAsia="宋体"/>
                <w:color w:val="auto"/>
                <w:highlight w:val="none"/>
                <w:lang w:val="en-US" w:eastAsia="zh-CN"/>
              </w:rPr>
            </w:pPr>
            <w:r>
              <w:rPr>
                <w:color w:val="auto"/>
                <w:highlight w:val="none"/>
                <w:lang w:val="en-US" w:eastAsia="zh-CN"/>
              </w:rPr>
              <w:t>参照《排放源统计调查产排污核算方法和系数手册》中</w:t>
            </w:r>
            <w:r>
              <w:rPr>
                <w:rFonts w:hint="eastAsia"/>
                <w:color w:val="auto"/>
                <w:highlight w:val="none"/>
                <w:lang w:val="en-US" w:eastAsia="zh-CN"/>
              </w:rPr>
              <w:t>3021水泥制品制造行业系数手册产排污系数计算，物料输送储存工序颗粒物的产污系数是0.12kg/t-产品。项目粉煤灰用量为67700t/a，则颗粒物产生量为8.124t/a。该手册</w:t>
            </w:r>
            <w:r>
              <w:rPr>
                <w:color w:val="auto"/>
                <w:highlight w:val="none"/>
                <w:lang w:val="en-US" w:eastAsia="zh-CN"/>
              </w:rPr>
              <w:t>中</w:t>
            </w:r>
            <w:r>
              <w:rPr>
                <w:rFonts w:hint="eastAsia"/>
                <w:color w:val="auto"/>
                <w:highlight w:val="none"/>
                <w:lang w:val="en-US" w:eastAsia="zh-CN"/>
              </w:rPr>
              <w:t>3021水泥制品制造行业系数手册中</w:t>
            </w:r>
            <w:r>
              <w:rPr>
                <w:color w:val="auto"/>
                <w:highlight w:val="none"/>
                <w:lang w:val="en-US" w:eastAsia="zh-CN"/>
              </w:rPr>
              <w:t>袋式除尘工艺的平均去除效率为99.7%</w:t>
            </w:r>
            <w:r>
              <w:rPr>
                <w:rFonts w:hint="eastAsia"/>
                <w:color w:val="auto"/>
                <w:highlight w:val="none"/>
                <w:lang w:val="en-US" w:eastAsia="zh-CN"/>
              </w:rPr>
              <w:t>，本项目取值</w:t>
            </w:r>
            <w:r>
              <w:rPr>
                <w:color w:val="auto"/>
                <w:highlight w:val="none"/>
                <w:lang w:val="en-US" w:eastAsia="zh-CN"/>
              </w:rPr>
              <w:t>99.7%</w:t>
            </w:r>
            <w:r>
              <w:rPr>
                <w:rFonts w:hint="eastAsia"/>
                <w:color w:val="auto"/>
                <w:highlight w:val="none"/>
                <w:lang w:val="en-US" w:eastAsia="zh-CN"/>
              </w:rPr>
              <w:t>，则筒仓经脉冲式布袋除尘器处理后排放量为0.024t/a；粉煤灰筒仓上料时间为470h，则排放速率为0.052kg/h。</w:t>
            </w:r>
          </w:p>
          <w:p w14:paraId="0B9EB777">
            <w:pPr>
              <w:pStyle w:val="41"/>
              <w:bidi w:val="0"/>
              <w:rPr>
                <w:rFonts w:hint="default"/>
                <w:color w:val="auto"/>
                <w:highlight w:val="none"/>
                <w:lang w:val="en-US" w:eastAsia="zh-CN"/>
              </w:rPr>
            </w:pPr>
            <w:r>
              <w:rPr>
                <w:rFonts w:hint="eastAsia"/>
                <w:color w:val="auto"/>
                <w:highlight w:val="none"/>
                <w:lang w:val="en-US" w:eastAsia="zh-CN"/>
              </w:rPr>
              <w:t>（15）G15水泥筒仓粉尘</w:t>
            </w:r>
          </w:p>
          <w:p w14:paraId="33596E11">
            <w:pPr>
              <w:bidi w:val="0"/>
              <w:rPr>
                <w:rFonts w:hint="eastAsia" w:eastAsia="宋体"/>
                <w:color w:val="auto"/>
                <w:highlight w:val="none"/>
                <w:lang w:val="en-US" w:eastAsia="zh-CN"/>
              </w:rPr>
            </w:pPr>
            <w:r>
              <w:rPr>
                <w:color w:val="auto"/>
                <w:highlight w:val="none"/>
                <w:lang w:val="en-US" w:eastAsia="zh-CN"/>
              </w:rPr>
              <w:t>参照《排放源统计调查产排污核算方法和系数手册》中</w:t>
            </w:r>
            <w:r>
              <w:rPr>
                <w:rFonts w:hint="eastAsia"/>
                <w:color w:val="auto"/>
                <w:highlight w:val="none"/>
                <w:lang w:val="en-US" w:eastAsia="zh-CN"/>
              </w:rPr>
              <w:t>3021水泥制品制造行业系数手册产排污系数计算，物料输送储存工序颗粒物的产污系数是0.12kg/t-产品。项目水泥用量为203000t/a，则颗粒物产生量为24.36t/a。该手册</w:t>
            </w:r>
            <w:r>
              <w:rPr>
                <w:color w:val="auto"/>
                <w:highlight w:val="none"/>
                <w:lang w:val="en-US" w:eastAsia="zh-CN"/>
              </w:rPr>
              <w:t>中</w:t>
            </w:r>
            <w:r>
              <w:rPr>
                <w:rFonts w:hint="eastAsia"/>
                <w:color w:val="auto"/>
                <w:highlight w:val="none"/>
                <w:lang w:val="en-US" w:eastAsia="zh-CN"/>
              </w:rPr>
              <w:t>3021水泥制品制造行业系数手册中</w:t>
            </w:r>
            <w:r>
              <w:rPr>
                <w:color w:val="auto"/>
                <w:highlight w:val="none"/>
                <w:lang w:val="en-US" w:eastAsia="zh-CN"/>
              </w:rPr>
              <w:t>袋式除尘工艺的平均去除效率为99.7%</w:t>
            </w:r>
            <w:r>
              <w:rPr>
                <w:rFonts w:hint="eastAsia"/>
                <w:color w:val="auto"/>
                <w:highlight w:val="none"/>
                <w:lang w:val="en-US" w:eastAsia="zh-CN"/>
              </w:rPr>
              <w:t>，本项目取值</w:t>
            </w:r>
            <w:r>
              <w:rPr>
                <w:color w:val="auto"/>
                <w:highlight w:val="none"/>
                <w:lang w:val="en-US" w:eastAsia="zh-CN"/>
              </w:rPr>
              <w:t>99.7%</w:t>
            </w:r>
            <w:r>
              <w:rPr>
                <w:rFonts w:hint="eastAsia"/>
                <w:color w:val="auto"/>
                <w:highlight w:val="none"/>
                <w:lang w:val="en-US" w:eastAsia="zh-CN"/>
              </w:rPr>
              <w:t>，则筒仓经脉冲式布袋除尘器处理后排放量为0.073t/a；水泥筒仓上料时间为470h，则排放速率为0.052kg/h。</w:t>
            </w:r>
          </w:p>
          <w:p w14:paraId="0161A9E9">
            <w:pPr>
              <w:pStyle w:val="41"/>
              <w:bidi w:val="0"/>
              <w:rPr>
                <w:rFonts w:hint="default"/>
                <w:color w:val="auto"/>
                <w:highlight w:val="none"/>
                <w:lang w:val="en-US" w:eastAsia="zh-CN"/>
              </w:rPr>
            </w:pPr>
            <w:r>
              <w:rPr>
                <w:rFonts w:hint="eastAsia"/>
                <w:color w:val="auto"/>
                <w:highlight w:val="none"/>
                <w:lang w:val="en-US" w:eastAsia="zh-CN"/>
              </w:rPr>
              <w:t>（16）G16砂石原料棚扬尘</w:t>
            </w:r>
          </w:p>
          <w:p w14:paraId="24BD59EC">
            <w:pPr>
              <w:bidi w:val="0"/>
              <w:rPr>
                <w:rFonts w:hint="eastAsia"/>
                <w:color w:val="auto"/>
                <w:highlight w:val="none"/>
              </w:rPr>
            </w:pPr>
            <w:r>
              <w:rPr>
                <w:rFonts w:hint="eastAsia"/>
                <w:color w:val="auto"/>
                <w:highlight w:val="none"/>
              </w:rPr>
              <w:t>根据《逸散性工业粉尘控制技术》中混凝土分批搅拌厂逸散尘排放系数，</w:t>
            </w:r>
            <w:r>
              <w:rPr>
                <w:rFonts w:hint="eastAsia"/>
                <w:color w:val="auto"/>
                <w:highlight w:val="none"/>
                <w:lang w:val="en-US" w:eastAsia="zh-CN"/>
              </w:rPr>
              <w:t>原料堆存</w:t>
            </w:r>
            <w:r>
              <w:rPr>
                <w:rFonts w:hint="eastAsia"/>
                <w:color w:val="auto"/>
                <w:highlight w:val="none"/>
              </w:rPr>
              <w:t>过程中产尘系数为0.0</w:t>
            </w:r>
            <w:r>
              <w:rPr>
                <w:rFonts w:hint="eastAsia"/>
                <w:color w:val="auto"/>
                <w:highlight w:val="none"/>
                <w:lang w:val="en-US" w:eastAsia="zh-CN"/>
              </w:rPr>
              <w:t>1</w:t>
            </w:r>
            <w:r>
              <w:rPr>
                <w:rFonts w:hint="eastAsia"/>
                <w:color w:val="auto"/>
                <w:highlight w:val="none"/>
              </w:rPr>
              <w:t>kg/t</w:t>
            </w:r>
            <w:r>
              <w:rPr>
                <w:rFonts w:hint="eastAsia"/>
                <w:color w:val="auto"/>
                <w:highlight w:val="none"/>
                <w:lang w:val="en-US" w:eastAsia="zh-CN"/>
              </w:rPr>
              <w:t>-</w:t>
            </w:r>
            <w:r>
              <w:rPr>
                <w:rFonts w:hint="eastAsia"/>
                <w:color w:val="auto"/>
                <w:highlight w:val="none"/>
              </w:rPr>
              <w:t>原料，</w:t>
            </w:r>
            <w:r>
              <w:rPr>
                <w:rFonts w:hint="eastAsia"/>
                <w:color w:val="auto"/>
                <w:highlight w:val="none"/>
                <w:lang w:val="en-US" w:eastAsia="zh-CN"/>
              </w:rPr>
              <w:t>砂石原料棚贮存量为173300t，则粉尘产生总量为1.733t/a，</w:t>
            </w:r>
            <w:r>
              <w:rPr>
                <w:rFonts w:hint="eastAsia"/>
                <w:color w:val="auto"/>
                <w:highlight w:val="none"/>
              </w:rPr>
              <w:t>经喷雾降尘和封闭</w:t>
            </w:r>
            <w:r>
              <w:rPr>
                <w:rFonts w:hint="eastAsia"/>
                <w:color w:val="auto"/>
                <w:highlight w:val="none"/>
                <w:lang w:val="en-US" w:eastAsia="zh-CN"/>
              </w:rPr>
              <w:t>厂房</w:t>
            </w:r>
            <w:r>
              <w:rPr>
                <w:rFonts w:hint="eastAsia"/>
                <w:color w:val="auto"/>
                <w:highlight w:val="none"/>
              </w:rPr>
              <w:t>沉降后，</w:t>
            </w:r>
            <w:r>
              <w:rPr>
                <w:rFonts w:hint="eastAsia"/>
                <w:color w:val="auto"/>
                <w:highlight w:val="none"/>
                <w:lang w:val="en-US" w:eastAsia="zh-CN"/>
              </w:rPr>
              <w:t>除尘效率可达90%</w:t>
            </w:r>
            <w:r>
              <w:rPr>
                <w:rFonts w:hint="eastAsia"/>
                <w:color w:val="auto"/>
                <w:highlight w:val="none"/>
              </w:rPr>
              <w:t>，则无组织</w:t>
            </w:r>
            <w:r>
              <w:rPr>
                <w:rFonts w:hint="eastAsia"/>
                <w:color w:val="auto"/>
                <w:highlight w:val="none"/>
                <w:lang w:val="en-US" w:eastAsia="zh-CN"/>
              </w:rPr>
              <w:t>粉尘</w:t>
            </w:r>
            <w:r>
              <w:rPr>
                <w:rFonts w:hint="eastAsia"/>
                <w:color w:val="auto"/>
                <w:highlight w:val="none"/>
              </w:rPr>
              <w:t>排放量为</w:t>
            </w:r>
            <w:r>
              <w:rPr>
                <w:rFonts w:hint="eastAsia"/>
                <w:color w:val="auto"/>
                <w:highlight w:val="none"/>
                <w:lang w:val="en-US" w:eastAsia="zh-CN"/>
              </w:rPr>
              <w:t>0.173</w:t>
            </w:r>
            <w:r>
              <w:rPr>
                <w:rFonts w:hint="eastAsia"/>
                <w:color w:val="auto"/>
                <w:highlight w:val="none"/>
              </w:rPr>
              <w:t>t/a</w:t>
            </w:r>
            <w:r>
              <w:rPr>
                <w:rFonts w:hint="eastAsia"/>
                <w:color w:val="auto"/>
                <w:highlight w:val="none"/>
                <w:lang w:eastAsia="zh-CN"/>
              </w:rPr>
              <w:t>；</w:t>
            </w:r>
            <w:r>
              <w:rPr>
                <w:rFonts w:hint="eastAsia"/>
                <w:color w:val="auto"/>
                <w:highlight w:val="none"/>
                <w:lang w:val="en-US" w:eastAsia="zh-CN"/>
              </w:rPr>
              <w:t>原料区堆存时间为2200h，则排放速率为0.079kg/h</w:t>
            </w:r>
            <w:r>
              <w:rPr>
                <w:rFonts w:hint="eastAsia"/>
                <w:color w:val="auto"/>
                <w:highlight w:val="none"/>
              </w:rPr>
              <w:t>。</w:t>
            </w:r>
          </w:p>
          <w:p w14:paraId="412444DB">
            <w:pPr>
              <w:pStyle w:val="41"/>
              <w:bidi w:val="0"/>
              <w:rPr>
                <w:rFonts w:hint="default"/>
                <w:color w:val="auto"/>
                <w:highlight w:val="none"/>
                <w:lang w:val="en-US" w:eastAsia="zh-CN"/>
              </w:rPr>
            </w:pPr>
            <w:r>
              <w:rPr>
                <w:rFonts w:hint="eastAsia"/>
                <w:color w:val="auto"/>
                <w:highlight w:val="none"/>
                <w:lang w:val="en-US" w:eastAsia="zh-CN"/>
              </w:rPr>
              <w:t>（17）G17混凝土搅拌粉尘</w:t>
            </w:r>
          </w:p>
          <w:p w14:paraId="38C32F90">
            <w:pPr>
              <w:bidi w:val="0"/>
              <w:rPr>
                <w:rFonts w:hint="eastAsia"/>
                <w:color w:val="auto"/>
                <w:highlight w:val="none"/>
              </w:rPr>
            </w:pPr>
            <w:r>
              <w:rPr>
                <w:color w:val="auto"/>
                <w:highlight w:val="none"/>
              </w:rPr>
              <w:t>参照</w:t>
            </w:r>
            <w:r>
              <w:rPr>
                <w:rFonts w:hint="default"/>
                <w:color w:val="auto"/>
                <w:highlight w:val="none"/>
                <w:lang w:val="en-US" w:eastAsia="zh-CN"/>
              </w:rPr>
              <w:t>《排放源统计调查产排污核算方法和系数手册》中3021水泥制品制造行业系数手册产排污系数计算，本项目属于混凝土制品，物料混合搅拌工序颗粒物的产污系数为0.13kg/t-产品</w:t>
            </w:r>
            <w:r>
              <w:rPr>
                <w:rFonts w:hint="eastAsia"/>
                <w:color w:val="auto"/>
                <w:highlight w:val="none"/>
                <w:lang w:val="en-US" w:eastAsia="zh-CN"/>
              </w:rPr>
              <w:t>。搅拌机入料量为945500t，</w:t>
            </w:r>
            <w:r>
              <w:rPr>
                <w:color w:val="auto"/>
                <w:highlight w:val="none"/>
              </w:rPr>
              <w:t>颗粒物</w:t>
            </w:r>
            <w:r>
              <w:rPr>
                <w:rFonts w:hint="eastAsia"/>
                <w:color w:val="auto"/>
                <w:highlight w:val="none"/>
                <w:lang w:val="en-US" w:eastAsia="zh-CN"/>
              </w:rPr>
              <w:t>产生量</w:t>
            </w:r>
            <w:r>
              <w:rPr>
                <w:color w:val="auto"/>
                <w:highlight w:val="none"/>
              </w:rPr>
              <w:t>为</w:t>
            </w:r>
            <w:r>
              <w:rPr>
                <w:rFonts w:hint="eastAsia"/>
                <w:color w:val="auto"/>
                <w:highlight w:val="none"/>
                <w:lang w:val="en-US" w:eastAsia="zh-CN"/>
              </w:rPr>
              <w:t>122.91</w:t>
            </w:r>
            <w:r>
              <w:rPr>
                <w:color w:val="auto"/>
                <w:highlight w:val="none"/>
              </w:rPr>
              <w:t>t/a。</w:t>
            </w:r>
            <w:r>
              <w:rPr>
                <w:rFonts w:hint="eastAsia"/>
                <w:color w:val="auto"/>
                <w:highlight w:val="none"/>
                <w:lang w:val="en-US" w:eastAsia="zh-CN"/>
              </w:rPr>
              <w:t>搅拌设备有固定排放口直接与风管连接，有组织收集效率为90%，则集气设施有效收集粉尘量为110.62t/a，未收集粉尘为12.29t/a。</w:t>
            </w:r>
            <w:r>
              <w:rPr>
                <w:rFonts w:hint="eastAsia"/>
                <w:color w:val="auto"/>
                <w:highlight w:val="none"/>
              </w:rPr>
              <w:t>该手册</w:t>
            </w:r>
            <w:r>
              <w:rPr>
                <w:color w:val="auto"/>
                <w:highlight w:val="none"/>
              </w:rPr>
              <w:t>中</w:t>
            </w:r>
            <w:r>
              <w:rPr>
                <w:rFonts w:hint="eastAsia"/>
                <w:color w:val="auto"/>
                <w:highlight w:val="none"/>
              </w:rPr>
              <w:t>3024</w:t>
            </w:r>
            <w:r>
              <w:rPr>
                <w:rFonts w:hint="eastAsia"/>
                <w:color w:val="auto"/>
                <w:highlight w:val="none"/>
                <w:lang w:val="en-US" w:eastAsia="zh-CN"/>
              </w:rPr>
              <w:t xml:space="preserve"> </w:t>
            </w:r>
            <w:r>
              <w:rPr>
                <w:rFonts w:hint="eastAsia"/>
                <w:color w:val="auto"/>
                <w:highlight w:val="none"/>
              </w:rPr>
              <w:t>轻质建筑材料制品制造行业系数手册中</w:t>
            </w:r>
            <w:r>
              <w:rPr>
                <w:color w:val="auto"/>
                <w:highlight w:val="none"/>
              </w:rPr>
              <w:t>袋式除尘工艺的平均去除效率为99.7%，</w:t>
            </w:r>
            <w:r>
              <w:rPr>
                <w:rFonts w:hint="eastAsia"/>
                <w:color w:val="auto"/>
                <w:highlight w:val="none"/>
              </w:rPr>
              <w:t>则本项目</w:t>
            </w:r>
            <w:r>
              <w:rPr>
                <w:color w:val="auto"/>
                <w:highlight w:val="none"/>
              </w:rPr>
              <w:t>除尘效率</w:t>
            </w:r>
            <w:r>
              <w:rPr>
                <w:rFonts w:hint="eastAsia"/>
                <w:color w:val="auto"/>
                <w:highlight w:val="none"/>
              </w:rPr>
              <w:t>取值</w:t>
            </w:r>
            <w:r>
              <w:rPr>
                <w:color w:val="auto"/>
                <w:highlight w:val="none"/>
              </w:rPr>
              <w:t>为99.7%</w:t>
            </w:r>
            <w:r>
              <w:rPr>
                <w:rFonts w:hint="eastAsia"/>
                <w:color w:val="auto"/>
                <w:highlight w:val="none"/>
                <w:lang w:eastAsia="zh-CN"/>
              </w:rPr>
              <w:t>，</w:t>
            </w:r>
            <w:r>
              <w:rPr>
                <w:rFonts w:hint="eastAsia"/>
                <w:color w:val="auto"/>
                <w:highlight w:val="none"/>
                <w:lang w:val="en-US" w:eastAsia="zh-CN"/>
              </w:rPr>
              <w:t>净化</w:t>
            </w:r>
            <w:r>
              <w:rPr>
                <w:rFonts w:hint="eastAsia"/>
                <w:color w:val="auto"/>
                <w:highlight w:val="none"/>
                <w:lang w:eastAsia="zh-CN"/>
              </w:rPr>
              <w:t>处理后同其他未收集的粉尘在封闭搅拌楼无组织排放，搅拌楼内设置喷雾降尘设施，处理效率为90%，</w:t>
            </w:r>
            <w:r>
              <w:rPr>
                <w:rFonts w:hint="eastAsia"/>
                <w:color w:val="auto"/>
                <w:highlight w:val="none"/>
              </w:rPr>
              <w:t>则无组织</w:t>
            </w:r>
            <w:r>
              <w:rPr>
                <w:rFonts w:hint="eastAsia"/>
                <w:color w:val="auto"/>
                <w:highlight w:val="none"/>
                <w:lang w:val="en-US" w:eastAsia="zh-CN"/>
              </w:rPr>
              <w:t>粉尘</w:t>
            </w:r>
            <w:r>
              <w:rPr>
                <w:rFonts w:hint="eastAsia"/>
                <w:color w:val="auto"/>
                <w:highlight w:val="none"/>
              </w:rPr>
              <w:t>排放量为</w:t>
            </w:r>
            <w:r>
              <w:rPr>
                <w:rFonts w:hint="eastAsia"/>
                <w:color w:val="auto"/>
                <w:highlight w:val="none"/>
                <w:lang w:val="en-US" w:eastAsia="zh-CN"/>
              </w:rPr>
              <w:t>1.262</w:t>
            </w:r>
            <w:r>
              <w:rPr>
                <w:rFonts w:hint="eastAsia"/>
                <w:color w:val="auto"/>
                <w:highlight w:val="none"/>
              </w:rPr>
              <w:t>t/a</w:t>
            </w:r>
            <w:r>
              <w:rPr>
                <w:rFonts w:hint="eastAsia"/>
                <w:color w:val="auto"/>
                <w:highlight w:val="none"/>
                <w:lang w:eastAsia="zh-CN"/>
              </w:rPr>
              <w:t>；</w:t>
            </w:r>
            <w:r>
              <w:rPr>
                <w:rFonts w:hint="eastAsia"/>
                <w:color w:val="auto"/>
                <w:highlight w:val="none"/>
                <w:lang w:val="en-US" w:eastAsia="zh-CN"/>
              </w:rPr>
              <w:t>工作时间为2200h，则排放速率为0.574kg/h</w:t>
            </w:r>
            <w:r>
              <w:rPr>
                <w:rFonts w:hint="eastAsia"/>
                <w:color w:val="auto"/>
                <w:highlight w:val="none"/>
              </w:rPr>
              <w:t>。</w:t>
            </w:r>
          </w:p>
          <w:p w14:paraId="088B348F">
            <w:pPr>
              <w:pStyle w:val="41"/>
              <w:bidi w:val="0"/>
              <w:rPr>
                <w:color w:val="auto"/>
                <w:highlight w:val="none"/>
              </w:rPr>
            </w:pPr>
            <w:r>
              <w:rPr>
                <w:rFonts w:hint="eastAsia"/>
                <w:color w:val="auto"/>
                <w:highlight w:val="none"/>
                <w:lang w:val="en-US" w:eastAsia="zh-CN"/>
              </w:rPr>
              <w:t>（18）</w:t>
            </w:r>
            <w:r>
              <w:rPr>
                <w:rFonts w:hint="eastAsia"/>
                <w:color w:val="auto"/>
                <w:highlight w:val="none"/>
              </w:rPr>
              <w:t>非道路移动机械废气及汽车尾气</w:t>
            </w:r>
          </w:p>
          <w:p w14:paraId="4CF7BA63">
            <w:pPr>
              <w:ind w:firstLine="480"/>
              <w:rPr>
                <w:color w:val="auto"/>
                <w:spacing w:val="-6"/>
                <w:sz w:val="24"/>
                <w:highlight w:val="none"/>
              </w:rPr>
            </w:pPr>
            <w:r>
              <w:rPr>
                <w:rFonts w:hint="eastAsia"/>
                <w:color w:val="auto"/>
                <w:highlight w:val="none"/>
              </w:rPr>
              <w:t>非道路移动</w:t>
            </w:r>
            <w:r>
              <w:rPr>
                <w:color w:val="auto"/>
                <w:highlight w:val="none"/>
              </w:rPr>
              <w:t>机械和运输车辆产生的汽车尾气，主要污染物为NO</w:t>
            </w:r>
            <w:r>
              <w:rPr>
                <w:rFonts w:hint="eastAsia"/>
                <w:color w:val="auto"/>
                <w:highlight w:val="none"/>
                <w:vertAlign w:val="subscript"/>
                <w:lang w:val="en-US" w:eastAsia="zh-CN"/>
              </w:rPr>
              <w:t>x</w:t>
            </w:r>
            <w:r>
              <w:rPr>
                <w:color w:val="auto"/>
                <w:highlight w:val="none"/>
              </w:rPr>
              <w:t>、CO</w:t>
            </w:r>
            <w:r>
              <w:rPr>
                <w:rFonts w:hint="eastAsia"/>
                <w:color w:val="auto"/>
                <w:highlight w:val="none"/>
                <w:lang w:val="en-US" w:eastAsia="zh-CN"/>
              </w:rPr>
              <w:t>、HC</w:t>
            </w:r>
            <w:r>
              <w:rPr>
                <w:color w:val="auto"/>
                <w:highlight w:val="none"/>
              </w:rPr>
              <w:t>等，由于本项目</w:t>
            </w:r>
            <w:r>
              <w:rPr>
                <w:rFonts w:hint="eastAsia"/>
                <w:color w:val="auto"/>
                <w:highlight w:val="none"/>
              </w:rPr>
              <w:t>非道路移动</w:t>
            </w:r>
            <w:r>
              <w:rPr>
                <w:color w:val="auto"/>
                <w:highlight w:val="none"/>
              </w:rPr>
              <w:t>机械和运输车辆处在一个开放的环境，尾气扩散较快，本次评价要求，</w:t>
            </w:r>
            <w:r>
              <w:rPr>
                <w:rFonts w:hint="eastAsia"/>
                <w:color w:val="auto"/>
                <w:highlight w:val="none"/>
              </w:rPr>
              <w:t>运营</w:t>
            </w:r>
            <w:r>
              <w:rPr>
                <w:color w:val="auto"/>
                <w:highlight w:val="none"/>
              </w:rPr>
              <w:t>过程中应确保</w:t>
            </w:r>
            <w:r>
              <w:rPr>
                <w:rFonts w:hint="eastAsia"/>
                <w:color w:val="auto"/>
                <w:highlight w:val="none"/>
              </w:rPr>
              <w:t>非道路移动</w:t>
            </w:r>
            <w:r>
              <w:rPr>
                <w:color w:val="auto"/>
                <w:highlight w:val="none"/>
              </w:rPr>
              <w:t>机械用柴油机尾气达到《非道路移动机械用柴油机排气污染物排放限值及测量方法（中国第三、四阶段）》（GB</w:t>
            </w:r>
            <w:r>
              <w:rPr>
                <w:rFonts w:hint="eastAsia"/>
                <w:color w:val="auto"/>
                <w:highlight w:val="none"/>
                <w:lang w:val="en-US" w:eastAsia="zh-CN"/>
              </w:rPr>
              <w:t xml:space="preserve"> </w:t>
            </w:r>
            <w:r>
              <w:rPr>
                <w:color w:val="auto"/>
                <w:highlight w:val="none"/>
              </w:rPr>
              <w:t>20891-2014）及2020年修改单、《非道路柴油移动机械排气烟度限值及测量方法》（GB</w:t>
            </w:r>
            <w:r>
              <w:rPr>
                <w:rFonts w:hint="eastAsia"/>
                <w:color w:val="auto"/>
                <w:highlight w:val="none"/>
                <w:lang w:val="en-US" w:eastAsia="zh-CN"/>
              </w:rPr>
              <w:t xml:space="preserve"> </w:t>
            </w:r>
            <w:r>
              <w:rPr>
                <w:color w:val="auto"/>
                <w:highlight w:val="none"/>
              </w:rPr>
              <w:t>36886-2018）和《非道路移动机械污染防治技术政策》（</w:t>
            </w:r>
            <w:r>
              <w:rPr>
                <w:color w:val="auto"/>
                <w:spacing w:val="-6"/>
                <w:sz w:val="24"/>
                <w:highlight w:val="none"/>
              </w:rPr>
              <w:t>生态环境部2018年第34号公告）中相关要求，以减轻对周围环境空气的影响。</w:t>
            </w:r>
          </w:p>
          <w:p w14:paraId="42A82161">
            <w:pPr>
              <w:pStyle w:val="41"/>
              <w:bidi w:val="0"/>
              <w:rPr>
                <w:rFonts w:hint="default"/>
                <w:color w:val="auto"/>
                <w:highlight w:val="none"/>
                <w:lang w:val="en-US" w:eastAsia="zh-CN"/>
              </w:rPr>
            </w:pPr>
            <w:r>
              <w:rPr>
                <w:rFonts w:hint="eastAsia"/>
                <w:color w:val="auto"/>
                <w:highlight w:val="none"/>
                <w:lang w:val="en-US" w:eastAsia="zh-CN"/>
              </w:rPr>
              <w:t>4、采取的大气环境保护措施</w:t>
            </w:r>
          </w:p>
          <w:p w14:paraId="0DFCBFC8">
            <w:pPr>
              <w:pStyle w:val="41"/>
              <w:bidi w:val="0"/>
              <w:rPr>
                <w:rFonts w:hint="default"/>
                <w:color w:val="auto"/>
                <w:highlight w:val="none"/>
                <w:lang w:val="en-US" w:eastAsia="zh-CN"/>
              </w:rPr>
            </w:pPr>
            <w:r>
              <w:rPr>
                <w:rFonts w:hint="eastAsia"/>
                <w:color w:val="auto"/>
                <w:highlight w:val="none"/>
                <w:lang w:eastAsia="zh-CN"/>
              </w:rPr>
              <w:t>（</w:t>
            </w:r>
            <w:r>
              <w:rPr>
                <w:rFonts w:hint="eastAsia"/>
                <w:color w:val="auto"/>
                <w:highlight w:val="none"/>
                <w:lang w:val="en-US" w:eastAsia="zh-CN"/>
              </w:rPr>
              <w:t>1）G1、G3、G5、G6、G8、G14、G15</w:t>
            </w:r>
          </w:p>
          <w:p w14:paraId="2C53FE16">
            <w:pPr>
              <w:bidi w:val="0"/>
              <w:rPr>
                <w:rFonts w:hint="default" w:eastAsia="宋体"/>
                <w:color w:val="auto"/>
                <w:highlight w:val="none"/>
                <w:lang w:val="en-US" w:eastAsia="zh-CN"/>
              </w:rPr>
            </w:pPr>
            <w:r>
              <w:rPr>
                <w:rFonts w:hint="eastAsia"/>
                <w:color w:val="auto"/>
                <w:highlight w:val="none"/>
                <w:lang w:val="en-US" w:eastAsia="zh-CN"/>
              </w:rPr>
              <w:t>每个筒仓仓顶自带脉冲式布袋除尘器，除尘效率为99.7%，粉尘经处理后由各除尘器出口无组织排放。</w:t>
            </w:r>
          </w:p>
          <w:p w14:paraId="5FCDDD5A">
            <w:pPr>
              <w:pStyle w:val="41"/>
              <w:bidi w:val="0"/>
              <w:rPr>
                <w:rFonts w:hint="default"/>
                <w:color w:val="auto"/>
                <w:highlight w:val="none"/>
                <w:lang w:val="en-US" w:eastAsia="zh-CN"/>
              </w:rPr>
            </w:pPr>
            <w:r>
              <w:rPr>
                <w:rFonts w:hint="eastAsia"/>
                <w:color w:val="auto"/>
                <w:highlight w:val="none"/>
                <w:lang w:eastAsia="zh-CN"/>
              </w:rPr>
              <w:t>（</w:t>
            </w:r>
            <w:r>
              <w:rPr>
                <w:rFonts w:hint="eastAsia"/>
                <w:color w:val="auto"/>
                <w:highlight w:val="none"/>
                <w:lang w:val="en-US" w:eastAsia="zh-CN"/>
              </w:rPr>
              <w:t>2）G2、G16</w:t>
            </w:r>
          </w:p>
          <w:p w14:paraId="0629EFCE">
            <w:pPr>
              <w:bidi w:val="0"/>
              <w:rPr>
                <w:rFonts w:hint="eastAsia"/>
                <w:color w:val="auto"/>
                <w:highlight w:val="none"/>
                <w:lang w:val="en-US" w:eastAsia="zh-CN"/>
              </w:rPr>
            </w:pPr>
            <w:r>
              <w:rPr>
                <w:rFonts w:hint="eastAsia"/>
                <w:color w:val="auto"/>
                <w:highlight w:val="none"/>
                <w:lang w:val="en-US" w:eastAsia="zh-CN"/>
              </w:rPr>
              <w:t>设置喷雾降尘设施+封闭厂房，除尘效率90%，粉尘经处理后在厂房无组织排放。</w:t>
            </w:r>
          </w:p>
          <w:p w14:paraId="1078DC15">
            <w:pPr>
              <w:pStyle w:val="41"/>
              <w:bidi w:val="0"/>
              <w:rPr>
                <w:rFonts w:hint="default"/>
                <w:color w:val="auto"/>
                <w:highlight w:val="none"/>
                <w:lang w:val="en-US" w:eastAsia="zh-CN"/>
              </w:rPr>
            </w:pPr>
            <w:r>
              <w:rPr>
                <w:rFonts w:hint="eastAsia"/>
                <w:color w:val="auto"/>
                <w:highlight w:val="none"/>
                <w:lang w:eastAsia="zh-CN"/>
              </w:rPr>
              <w:t>（</w:t>
            </w:r>
            <w:r>
              <w:rPr>
                <w:rFonts w:hint="eastAsia"/>
                <w:color w:val="auto"/>
                <w:highlight w:val="none"/>
                <w:lang w:val="en-US" w:eastAsia="zh-CN"/>
              </w:rPr>
              <w:t>3）G4、G7</w:t>
            </w:r>
          </w:p>
          <w:p w14:paraId="2D0E6B46">
            <w:pPr>
              <w:bidi w:val="0"/>
              <w:rPr>
                <w:color w:val="auto"/>
                <w:highlight w:val="none"/>
              </w:rPr>
            </w:pPr>
            <w:r>
              <w:rPr>
                <w:rFonts w:hint="default"/>
                <w:color w:val="auto"/>
                <w:highlight w:val="none"/>
              </w:rPr>
              <w:t>球磨机有固定排放口直接与风管连接，</w:t>
            </w:r>
            <w:r>
              <w:rPr>
                <w:rFonts w:hint="eastAsia"/>
                <w:color w:val="auto"/>
                <w:highlight w:val="none"/>
                <w:lang w:val="en-US" w:eastAsia="zh-CN"/>
              </w:rPr>
              <w:t>封闭负压，</w:t>
            </w:r>
            <w:r>
              <w:rPr>
                <w:rFonts w:hint="eastAsia"/>
                <w:color w:val="auto"/>
                <w:highlight w:val="none"/>
                <w:lang w:eastAsia="zh-CN"/>
              </w:rPr>
              <w:t>有组织收集效率为99.5%，</w:t>
            </w:r>
            <w:r>
              <w:rPr>
                <w:rFonts w:hint="default"/>
                <w:color w:val="auto"/>
                <w:highlight w:val="none"/>
              </w:rPr>
              <w:t>末端设置脉冲式布袋除尘器，除尘效率为99.7%，处理达标后经</w:t>
            </w:r>
            <w:r>
              <w:rPr>
                <w:rFonts w:hint="eastAsia"/>
                <w:color w:val="auto"/>
                <w:highlight w:val="none"/>
                <w:lang w:val="en-US" w:eastAsia="zh-CN"/>
              </w:rPr>
              <w:t>1根</w:t>
            </w:r>
            <w:r>
              <w:rPr>
                <w:rFonts w:hint="default"/>
                <w:color w:val="auto"/>
                <w:highlight w:val="none"/>
              </w:rPr>
              <w:t>15m高排气筒</w:t>
            </w:r>
            <w:r>
              <w:rPr>
                <w:rFonts w:hint="eastAsia"/>
                <w:color w:val="auto"/>
                <w:highlight w:val="none"/>
                <w:lang w:val="en-US" w:eastAsia="zh-CN"/>
              </w:rPr>
              <w:t>有组织</w:t>
            </w:r>
            <w:r>
              <w:rPr>
                <w:rFonts w:hint="default"/>
                <w:color w:val="auto"/>
                <w:highlight w:val="none"/>
              </w:rPr>
              <w:t>排放</w:t>
            </w:r>
            <w:r>
              <w:rPr>
                <w:rFonts w:hint="eastAsia"/>
                <w:color w:val="auto"/>
                <w:highlight w:val="none"/>
                <w:lang w:eastAsia="zh-CN"/>
              </w:rPr>
              <w:t>（</w:t>
            </w:r>
            <w:r>
              <w:rPr>
                <w:rFonts w:hint="default"/>
                <w:color w:val="auto"/>
                <w:highlight w:val="none"/>
              </w:rPr>
              <w:t>DA001</w:t>
            </w:r>
            <w:r>
              <w:rPr>
                <w:rFonts w:hint="eastAsia"/>
                <w:color w:val="auto"/>
                <w:highlight w:val="none"/>
                <w:lang w:eastAsia="zh-CN"/>
              </w:rPr>
              <w:t>）；</w:t>
            </w:r>
            <w:r>
              <w:rPr>
                <w:rFonts w:hint="eastAsia"/>
                <w:color w:val="auto"/>
                <w:highlight w:val="none"/>
                <w:lang w:val="en-US" w:eastAsia="zh-CN"/>
              </w:rPr>
              <w:t>其余未收集粉尘通过</w:t>
            </w:r>
            <w:r>
              <w:rPr>
                <w:rFonts w:hint="default"/>
                <w:color w:val="auto"/>
                <w:highlight w:val="none"/>
                <w:lang w:val="en-US" w:eastAsia="zh-CN"/>
              </w:rPr>
              <w:t>喷雾降尘</w:t>
            </w:r>
            <w:r>
              <w:rPr>
                <w:rFonts w:hint="eastAsia"/>
                <w:color w:val="auto"/>
                <w:highlight w:val="none"/>
                <w:lang w:val="en-US" w:eastAsia="zh-CN"/>
              </w:rPr>
              <w:t>设施</w:t>
            </w:r>
            <w:r>
              <w:rPr>
                <w:rFonts w:hint="default"/>
                <w:color w:val="auto"/>
                <w:highlight w:val="none"/>
                <w:lang w:val="en-US" w:eastAsia="zh-CN"/>
              </w:rPr>
              <w:t>+封闭厂房</w:t>
            </w:r>
            <w:r>
              <w:rPr>
                <w:rFonts w:hint="eastAsia"/>
                <w:color w:val="auto"/>
                <w:highlight w:val="none"/>
                <w:lang w:val="en-US" w:eastAsia="zh-CN"/>
              </w:rPr>
              <w:t>处理后无组织排放</w:t>
            </w:r>
            <w:r>
              <w:rPr>
                <w:rFonts w:hint="default"/>
                <w:color w:val="auto"/>
                <w:highlight w:val="none"/>
                <w:lang w:val="en-US" w:eastAsia="zh-CN"/>
              </w:rPr>
              <w:t>，除尘效率90%</w:t>
            </w:r>
            <w:r>
              <w:rPr>
                <w:rFonts w:hint="eastAsia"/>
                <w:color w:val="auto"/>
                <w:highlight w:val="none"/>
                <w:lang w:val="en-US" w:eastAsia="zh-CN"/>
              </w:rPr>
              <w:t>。</w:t>
            </w:r>
          </w:p>
          <w:p w14:paraId="65B99B68">
            <w:pPr>
              <w:pStyle w:val="41"/>
              <w:bidi w:val="0"/>
              <w:rPr>
                <w:rFonts w:hint="default"/>
                <w:color w:val="auto"/>
                <w:highlight w:val="none"/>
                <w:lang w:val="en-US" w:eastAsia="zh-CN"/>
              </w:rPr>
            </w:pPr>
            <w:r>
              <w:rPr>
                <w:rFonts w:hint="eastAsia"/>
                <w:color w:val="auto"/>
                <w:highlight w:val="none"/>
                <w:lang w:eastAsia="zh-CN"/>
              </w:rPr>
              <w:t>（</w:t>
            </w:r>
            <w:r>
              <w:rPr>
                <w:rFonts w:hint="eastAsia"/>
                <w:color w:val="auto"/>
                <w:highlight w:val="none"/>
                <w:lang w:val="en-US" w:eastAsia="zh-CN"/>
              </w:rPr>
              <w:t>4）G9</w:t>
            </w:r>
          </w:p>
          <w:p w14:paraId="046F9E9C">
            <w:pPr>
              <w:bidi w:val="0"/>
              <w:rPr>
                <w:color w:val="auto"/>
                <w:highlight w:val="none"/>
              </w:rPr>
            </w:pPr>
            <w:r>
              <w:rPr>
                <w:rFonts w:hint="default"/>
                <w:color w:val="auto"/>
                <w:highlight w:val="none"/>
              </w:rPr>
              <w:t>搅拌机有固定排放口直接与风管连接，有组织收集效率为90%</w:t>
            </w:r>
            <w:r>
              <w:rPr>
                <w:rFonts w:hint="eastAsia"/>
                <w:color w:val="auto"/>
                <w:highlight w:val="none"/>
                <w:lang w:eastAsia="zh-CN"/>
              </w:rPr>
              <w:t>，</w:t>
            </w:r>
            <w:r>
              <w:rPr>
                <w:rFonts w:hint="default"/>
                <w:color w:val="auto"/>
                <w:highlight w:val="none"/>
              </w:rPr>
              <w:t>末端设置</w:t>
            </w:r>
            <w:r>
              <w:rPr>
                <w:rFonts w:hint="eastAsia"/>
                <w:color w:val="auto"/>
                <w:highlight w:val="none"/>
                <w:lang w:val="en-US" w:eastAsia="zh-CN"/>
              </w:rPr>
              <w:t>脉冲式布袋除尘器</w:t>
            </w:r>
            <w:r>
              <w:rPr>
                <w:rFonts w:hint="default"/>
                <w:color w:val="auto"/>
                <w:highlight w:val="none"/>
              </w:rPr>
              <w:t>，除尘效率为99.7%，处理达标后经1根15m高排气筒</w:t>
            </w:r>
            <w:r>
              <w:rPr>
                <w:rFonts w:hint="eastAsia"/>
                <w:color w:val="auto"/>
                <w:highlight w:val="none"/>
                <w:lang w:val="en-US" w:eastAsia="zh-CN"/>
              </w:rPr>
              <w:t>有组织</w:t>
            </w:r>
            <w:r>
              <w:rPr>
                <w:rFonts w:hint="default"/>
                <w:color w:val="auto"/>
                <w:highlight w:val="none"/>
              </w:rPr>
              <w:t>排放（DA00</w:t>
            </w:r>
            <w:r>
              <w:rPr>
                <w:rFonts w:hint="eastAsia"/>
                <w:color w:val="auto"/>
                <w:highlight w:val="none"/>
                <w:lang w:val="en-US" w:eastAsia="zh-CN"/>
              </w:rPr>
              <w:t>2</w:t>
            </w:r>
            <w:r>
              <w:rPr>
                <w:rFonts w:hint="default"/>
                <w:color w:val="auto"/>
                <w:highlight w:val="none"/>
              </w:rPr>
              <w:t>）</w:t>
            </w:r>
            <w:r>
              <w:rPr>
                <w:rFonts w:hint="eastAsia"/>
                <w:color w:val="auto"/>
                <w:highlight w:val="none"/>
                <w:lang w:eastAsia="zh-CN"/>
              </w:rPr>
              <w:t>；</w:t>
            </w:r>
            <w:r>
              <w:rPr>
                <w:rFonts w:hint="eastAsia"/>
                <w:color w:val="auto"/>
                <w:highlight w:val="none"/>
                <w:lang w:val="en-US" w:eastAsia="zh-CN"/>
              </w:rPr>
              <w:t>其余未收集粉尘通过</w:t>
            </w:r>
            <w:r>
              <w:rPr>
                <w:rFonts w:hint="default"/>
                <w:color w:val="auto"/>
                <w:highlight w:val="none"/>
                <w:lang w:val="en-US" w:eastAsia="zh-CN"/>
              </w:rPr>
              <w:t>喷雾降尘</w:t>
            </w:r>
            <w:r>
              <w:rPr>
                <w:rFonts w:hint="eastAsia"/>
                <w:color w:val="auto"/>
                <w:highlight w:val="none"/>
                <w:lang w:val="en-US" w:eastAsia="zh-CN"/>
              </w:rPr>
              <w:t>设施</w:t>
            </w:r>
            <w:r>
              <w:rPr>
                <w:rFonts w:hint="default"/>
                <w:color w:val="auto"/>
                <w:highlight w:val="none"/>
                <w:lang w:val="en-US" w:eastAsia="zh-CN"/>
              </w:rPr>
              <w:t>+封闭厂房</w:t>
            </w:r>
            <w:r>
              <w:rPr>
                <w:rFonts w:hint="eastAsia"/>
                <w:color w:val="auto"/>
                <w:highlight w:val="none"/>
                <w:lang w:val="en-US" w:eastAsia="zh-CN"/>
              </w:rPr>
              <w:t>处理后无组织排放</w:t>
            </w:r>
            <w:r>
              <w:rPr>
                <w:rFonts w:hint="default"/>
                <w:color w:val="auto"/>
                <w:highlight w:val="none"/>
                <w:lang w:val="en-US" w:eastAsia="zh-CN"/>
              </w:rPr>
              <w:t>，除尘效率90%</w:t>
            </w:r>
            <w:r>
              <w:rPr>
                <w:rFonts w:hint="eastAsia"/>
                <w:color w:val="auto"/>
                <w:highlight w:val="none"/>
                <w:lang w:val="en-US" w:eastAsia="zh-CN"/>
              </w:rPr>
              <w:t>。</w:t>
            </w:r>
          </w:p>
          <w:p w14:paraId="596F586B">
            <w:pPr>
              <w:pStyle w:val="41"/>
              <w:bidi w:val="0"/>
              <w:rPr>
                <w:rFonts w:hint="default"/>
                <w:color w:val="auto"/>
                <w:highlight w:val="none"/>
                <w:lang w:val="en-US" w:eastAsia="zh-CN"/>
              </w:rPr>
            </w:pPr>
            <w:r>
              <w:rPr>
                <w:rFonts w:hint="eastAsia"/>
                <w:color w:val="auto"/>
                <w:highlight w:val="none"/>
                <w:lang w:eastAsia="zh-CN"/>
              </w:rPr>
              <w:t>（</w:t>
            </w:r>
            <w:r>
              <w:rPr>
                <w:rFonts w:hint="eastAsia"/>
                <w:color w:val="auto"/>
                <w:highlight w:val="none"/>
                <w:lang w:val="en-US" w:eastAsia="zh-CN"/>
              </w:rPr>
              <w:t>5）G10</w:t>
            </w:r>
          </w:p>
          <w:p w14:paraId="3482AECB">
            <w:pPr>
              <w:bidi w:val="0"/>
              <w:rPr>
                <w:rFonts w:hint="default"/>
                <w:color w:val="auto"/>
                <w:sz w:val="24"/>
                <w:highlight w:val="none"/>
                <w:lang w:val="en-US"/>
              </w:rPr>
            </w:pPr>
            <w:r>
              <w:rPr>
                <w:rFonts w:hint="default"/>
                <w:color w:val="auto"/>
                <w:highlight w:val="none"/>
              </w:rPr>
              <w:t>成球机和包膜机有固定排放口直接与风管连接，有组织收集效率为90%</w:t>
            </w:r>
            <w:r>
              <w:rPr>
                <w:rFonts w:hint="eastAsia"/>
                <w:color w:val="auto"/>
                <w:highlight w:val="none"/>
                <w:lang w:eastAsia="zh-CN"/>
              </w:rPr>
              <w:t>，</w:t>
            </w:r>
            <w:r>
              <w:rPr>
                <w:rFonts w:hint="default"/>
                <w:color w:val="auto"/>
                <w:highlight w:val="none"/>
              </w:rPr>
              <w:t>末端设置</w:t>
            </w:r>
            <w:r>
              <w:rPr>
                <w:rFonts w:hint="eastAsia"/>
                <w:color w:val="auto"/>
                <w:highlight w:val="none"/>
                <w:lang w:val="en-US" w:eastAsia="zh-CN"/>
              </w:rPr>
              <w:t>脉冲式布袋除尘器</w:t>
            </w:r>
            <w:r>
              <w:rPr>
                <w:rFonts w:hint="default"/>
                <w:color w:val="auto"/>
                <w:highlight w:val="none"/>
              </w:rPr>
              <w:t>，除尘效率为99.7%，处理达标后经1根15m高排气筒</w:t>
            </w:r>
            <w:r>
              <w:rPr>
                <w:rFonts w:hint="eastAsia"/>
                <w:color w:val="auto"/>
                <w:highlight w:val="none"/>
                <w:lang w:val="en-US" w:eastAsia="zh-CN"/>
              </w:rPr>
              <w:t>有组织</w:t>
            </w:r>
            <w:r>
              <w:rPr>
                <w:rFonts w:hint="default"/>
                <w:color w:val="auto"/>
                <w:highlight w:val="none"/>
              </w:rPr>
              <w:t>排放（DA00</w:t>
            </w:r>
            <w:r>
              <w:rPr>
                <w:rFonts w:hint="eastAsia"/>
                <w:color w:val="auto"/>
                <w:highlight w:val="none"/>
                <w:lang w:val="en-US" w:eastAsia="zh-CN"/>
              </w:rPr>
              <w:t>3</w:t>
            </w:r>
            <w:r>
              <w:rPr>
                <w:rFonts w:hint="default"/>
                <w:color w:val="auto"/>
                <w:highlight w:val="none"/>
              </w:rPr>
              <w:t>）</w:t>
            </w:r>
            <w:r>
              <w:rPr>
                <w:rFonts w:hint="eastAsia"/>
                <w:color w:val="auto"/>
                <w:highlight w:val="none"/>
                <w:lang w:eastAsia="zh-CN"/>
              </w:rPr>
              <w:t>；</w:t>
            </w:r>
            <w:r>
              <w:rPr>
                <w:rFonts w:hint="eastAsia"/>
                <w:color w:val="auto"/>
                <w:highlight w:val="none"/>
                <w:lang w:val="en-US" w:eastAsia="zh-CN"/>
              </w:rPr>
              <w:t>其余未收集粉尘通过</w:t>
            </w:r>
            <w:r>
              <w:rPr>
                <w:rFonts w:hint="default"/>
                <w:color w:val="auto"/>
                <w:highlight w:val="none"/>
                <w:lang w:val="en-US" w:eastAsia="zh-CN"/>
              </w:rPr>
              <w:t>喷雾降尘</w:t>
            </w:r>
            <w:r>
              <w:rPr>
                <w:rFonts w:hint="eastAsia"/>
                <w:color w:val="auto"/>
                <w:highlight w:val="none"/>
                <w:lang w:val="en-US" w:eastAsia="zh-CN"/>
              </w:rPr>
              <w:t>设施</w:t>
            </w:r>
            <w:r>
              <w:rPr>
                <w:rFonts w:hint="default"/>
                <w:color w:val="auto"/>
                <w:highlight w:val="none"/>
                <w:lang w:val="en-US" w:eastAsia="zh-CN"/>
              </w:rPr>
              <w:t>+封闭厂房</w:t>
            </w:r>
            <w:r>
              <w:rPr>
                <w:rFonts w:hint="eastAsia"/>
                <w:color w:val="auto"/>
                <w:highlight w:val="none"/>
                <w:lang w:val="en-US" w:eastAsia="zh-CN"/>
              </w:rPr>
              <w:t>处理后无组织排放</w:t>
            </w:r>
            <w:r>
              <w:rPr>
                <w:rFonts w:hint="default"/>
                <w:color w:val="auto"/>
                <w:highlight w:val="none"/>
                <w:lang w:val="en-US" w:eastAsia="zh-CN"/>
              </w:rPr>
              <w:t>，除尘效率90%</w:t>
            </w:r>
            <w:r>
              <w:rPr>
                <w:rFonts w:hint="eastAsia"/>
                <w:color w:val="auto"/>
                <w:highlight w:val="none"/>
                <w:lang w:val="en-US" w:eastAsia="zh-CN"/>
              </w:rPr>
              <w:t>。</w:t>
            </w:r>
          </w:p>
          <w:p w14:paraId="27A0201C">
            <w:pPr>
              <w:pStyle w:val="41"/>
              <w:bidi w:val="0"/>
              <w:rPr>
                <w:rFonts w:hint="default"/>
                <w:color w:val="auto"/>
                <w:highlight w:val="none"/>
                <w:lang w:val="en-US" w:eastAsia="zh-CN"/>
              </w:rPr>
            </w:pPr>
            <w:r>
              <w:rPr>
                <w:rFonts w:hint="eastAsia"/>
                <w:color w:val="auto"/>
                <w:highlight w:val="none"/>
                <w:lang w:eastAsia="zh-CN"/>
              </w:rPr>
              <w:t>（</w:t>
            </w:r>
            <w:r>
              <w:rPr>
                <w:rFonts w:hint="eastAsia"/>
                <w:color w:val="auto"/>
                <w:highlight w:val="none"/>
                <w:lang w:val="en-US" w:eastAsia="zh-CN"/>
              </w:rPr>
              <w:t>6）G11、G13</w:t>
            </w:r>
          </w:p>
          <w:p w14:paraId="222D2788">
            <w:pPr>
              <w:bidi w:val="0"/>
              <w:rPr>
                <w:rFonts w:hint="default"/>
                <w:color w:val="auto"/>
                <w:sz w:val="24"/>
                <w:highlight w:val="none"/>
                <w:lang w:val="en-US" w:eastAsia="zh-CN"/>
              </w:rPr>
            </w:pPr>
            <w:r>
              <w:rPr>
                <w:rFonts w:hint="default"/>
                <w:color w:val="auto"/>
                <w:highlight w:val="none"/>
                <w:lang w:val="en-US" w:eastAsia="zh-CN"/>
              </w:rPr>
              <w:t>振动筛机有固定排放口直接与风管连接，</w:t>
            </w:r>
            <w:r>
              <w:rPr>
                <w:rFonts w:hint="default"/>
                <w:color w:val="auto"/>
                <w:highlight w:val="none"/>
              </w:rPr>
              <w:t>有组织收集效率为90%</w:t>
            </w:r>
            <w:r>
              <w:rPr>
                <w:rFonts w:hint="eastAsia"/>
                <w:color w:val="auto"/>
                <w:highlight w:val="none"/>
                <w:lang w:eastAsia="zh-CN"/>
              </w:rPr>
              <w:t>，</w:t>
            </w:r>
            <w:r>
              <w:rPr>
                <w:rFonts w:hint="default"/>
                <w:color w:val="auto"/>
                <w:highlight w:val="none"/>
                <w:lang w:val="en-US" w:eastAsia="zh-CN"/>
              </w:rPr>
              <w:t>末端设置</w:t>
            </w:r>
            <w:r>
              <w:rPr>
                <w:rFonts w:hint="eastAsia"/>
                <w:color w:val="auto"/>
                <w:highlight w:val="none"/>
                <w:lang w:val="en-US" w:eastAsia="zh-CN"/>
              </w:rPr>
              <w:t>脉冲式布袋除尘器</w:t>
            </w:r>
            <w:r>
              <w:rPr>
                <w:rFonts w:hint="default"/>
                <w:color w:val="auto"/>
                <w:highlight w:val="none"/>
                <w:lang w:val="en-US" w:eastAsia="zh-CN"/>
              </w:rPr>
              <w:t>，除尘效率为99.7%，</w:t>
            </w:r>
            <w:r>
              <w:rPr>
                <w:rFonts w:hint="default"/>
                <w:color w:val="auto"/>
                <w:highlight w:val="none"/>
              </w:rPr>
              <w:t>处理达标后经1根15m高排气筒</w:t>
            </w:r>
            <w:r>
              <w:rPr>
                <w:rFonts w:hint="eastAsia"/>
                <w:color w:val="auto"/>
                <w:highlight w:val="none"/>
                <w:lang w:val="en-US" w:eastAsia="zh-CN"/>
              </w:rPr>
              <w:t>有组织</w:t>
            </w:r>
            <w:r>
              <w:rPr>
                <w:rFonts w:hint="default"/>
                <w:color w:val="auto"/>
                <w:highlight w:val="none"/>
              </w:rPr>
              <w:t>排放（DA00</w:t>
            </w:r>
            <w:r>
              <w:rPr>
                <w:rFonts w:hint="eastAsia"/>
                <w:color w:val="auto"/>
                <w:highlight w:val="none"/>
                <w:lang w:val="en-US" w:eastAsia="zh-CN"/>
              </w:rPr>
              <w:t>4</w:t>
            </w:r>
            <w:r>
              <w:rPr>
                <w:rFonts w:hint="default"/>
                <w:color w:val="auto"/>
                <w:highlight w:val="none"/>
              </w:rPr>
              <w:t>）</w:t>
            </w:r>
            <w:r>
              <w:rPr>
                <w:rFonts w:hint="eastAsia"/>
                <w:color w:val="auto"/>
                <w:highlight w:val="none"/>
                <w:lang w:eastAsia="zh-CN"/>
              </w:rPr>
              <w:t>；</w:t>
            </w:r>
            <w:r>
              <w:rPr>
                <w:rFonts w:hint="eastAsia"/>
                <w:color w:val="auto"/>
                <w:highlight w:val="none"/>
                <w:lang w:val="en-US" w:eastAsia="zh-CN"/>
              </w:rPr>
              <w:t>其余未收集粉尘通过</w:t>
            </w:r>
            <w:r>
              <w:rPr>
                <w:rFonts w:hint="default"/>
                <w:color w:val="auto"/>
                <w:highlight w:val="none"/>
                <w:lang w:val="en-US" w:eastAsia="zh-CN"/>
              </w:rPr>
              <w:t>喷雾降尘</w:t>
            </w:r>
            <w:r>
              <w:rPr>
                <w:rFonts w:hint="eastAsia"/>
                <w:color w:val="auto"/>
                <w:highlight w:val="none"/>
                <w:lang w:val="en-US" w:eastAsia="zh-CN"/>
              </w:rPr>
              <w:t>设施</w:t>
            </w:r>
            <w:r>
              <w:rPr>
                <w:rFonts w:hint="default"/>
                <w:color w:val="auto"/>
                <w:highlight w:val="none"/>
                <w:lang w:val="en-US" w:eastAsia="zh-CN"/>
              </w:rPr>
              <w:t>+封闭厂房</w:t>
            </w:r>
            <w:r>
              <w:rPr>
                <w:rFonts w:hint="eastAsia"/>
                <w:color w:val="auto"/>
                <w:highlight w:val="none"/>
                <w:lang w:val="en-US" w:eastAsia="zh-CN"/>
              </w:rPr>
              <w:t>处理后无组织排放</w:t>
            </w:r>
            <w:r>
              <w:rPr>
                <w:rFonts w:hint="default"/>
                <w:color w:val="auto"/>
                <w:highlight w:val="none"/>
                <w:lang w:val="en-US" w:eastAsia="zh-CN"/>
              </w:rPr>
              <w:t>，除尘效率90%</w:t>
            </w:r>
            <w:r>
              <w:rPr>
                <w:rFonts w:hint="eastAsia"/>
                <w:color w:val="auto"/>
                <w:highlight w:val="none"/>
                <w:lang w:val="en-US" w:eastAsia="zh-CN"/>
              </w:rPr>
              <w:t>。</w:t>
            </w:r>
          </w:p>
          <w:p w14:paraId="26E6DC2B">
            <w:pPr>
              <w:pStyle w:val="41"/>
              <w:bidi w:val="0"/>
              <w:rPr>
                <w:rFonts w:hint="default"/>
                <w:color w:val="auto"/>
                <w:highlight w:val="none"/>
                <w:lang w:val="en-US" w:eastAsia="zh-CN"/>
              </w:rPr>
            </w:pPr>
            <w:r>
              <w:rPr>
                <w:rFonts w:hint="eastAsia"/>
                <w:color w:val="auto"/>
                <w:highlight w:val="none"/>
                <w:lang w:eastAsia="zh-CN"/>
              </w:rPr>
              <w:t>（</w:t>
            </w:r>
            <w:r>
              <w:rPr>
                <w:rFonts w:hint="eastAsia"/>
                <w:color w:val="auto"/>
                <w:highlight w:val="none"/>
                <w:lang w:val="en-US" w:eastAsia="zh-CN"/>
              </w:rPr>
              <w:t>7）G12</w:t>
            </w:r>
          </w:p>
          <w:p w14:paraId="05BDA8BB">
            <w:pPr>
              <w:bidi w:val="0"/>
              <w:rPr>
                <w:rFonts w:hint="default" w:eastAsia="宋体"/>
                <w:color w:val="auto"/>
                <w:highlight w:val="none"/>
                <w:lang w:val="en-US" w:eastAsia="zh-CN"/>
              </w:rPr>
            </w:pPr>
            <w:r>
              <w:rPr>
                <w:rFonts w:hint="eastAsia"/>
                <w:color w:val="auto"/>
                <w:highlight w:val="none"/>
                <w:lang w:val="en-US" w:eastAsia="zh-CN"/>
              </w:rPr>
              <w:t>锅炉采用低氮燃烧装置，低氮燃烧器从源头控制</w:t>
            </w:r>
            <w:r>
              <w:rPr>
                <w:rFonts w:hint="default"/>
                <w:color w:val="auto"/>
                <w:highlight w:val="none"/>
              </w:rPr>
              <w:t>氮氧化物</w:t>
            </w:r>
            <w:r>
              <w:rPr>
                <w:rFonts w:hint="eastAsia"/>
                <w:color w:val="auto"/>
                <w:highlight w:val="none"/>
                <w:lang w:val="en-US" w:eastAsia="zh-CN"/>
              </w:rPr>
              <w:t>排放浓度，浓度削减比例为30%；后端采用多管除尘器</w:t>
            </w:r>
            <w:r>
              <w:rPr>
                <w:rFonts w:hint="default"/>
                <w:color w:val="auto"/>
                <w:highlight w:val="none"/>
              </w:rPr>
              <w:t>+脉冲布袋除尘器</w:t>
            </w:r>
            <w:r>
              <w:rPr>
                <w:rFonts w:hint="eastAsia"/>
                <w:color w:val="auto"/>
                <w:highlight w:val="none"/>
                <w:lang w:val="en-US" w:eastAsia="zh-CN"/>
              </w:rPr>
              <w:t>对锅炉烟尘进行处理，运行过程中除尘效率可达到99%，考虑到设施运行的稳定性，本次评价取90%，</w:t>
            </w:r>
            <w:r>
              <w:rPr>
                <w:rFonts w:hint="default"/>
                <w:color w:val="auto"/>
                <w:highlight w:val="none"/>
              </w:rPr>
              <w:t>处理达标后经1根</w:t>
            </w:r>
            <w:r>
              <w:rPr>
                <w:rFonts w:hint="eastAsia"/>
                <w:color w:val="auto"/>
                <w:highlight w:val="none"/>
                <w:lang w:val="en-US" w:eastAsia="zh-CN"/>
              </w:rPr>
              <w:t>40</w:t>
            </w:r>
            <w:r>
              <w:rPr>
                <w:rFonts w:hint="default"/>
                <w:color w:val="auto"/>
                <w:highlight w:val="none"/>
              </w:rPr>
              <w:t>m高排气筒</w:t>
            </w:r>
            <w:r>
              <w:rPr>
                <w:rFonts w:hint="eastAsia"/>
                <w:color w:val="auto"/>
                <w:highlight w:val="none"/>
                <w:lang w:val="en-US" w:eastAsia="zh-CN"/>
              </w:rPr>
              <w:t>有组织</w:t>
            </w:r>
            <w:r>
              <w:rPr>
                <w:rFonts w:hint="default"/>
                <w:color w:val="auto"/>
                <w:highlight w:val="none"/>
              </w:rPr>
              <w:t>排放（DA00</w:t>
            </w:r>
            <w:r>
              <w:rPr>
                <w:rFonts w:hint="eastAsia"/>
                <w:color w:val="auto"/>
                <w:highlight w:val="none"/>
                <w:lang w:val="en-US" w:eastAsia="zh-CN"/>
              </w:rPr>
              <w:t>5</w:t>
            </w:r>
            <w:r>
              <w:rPr>
                <w:rFonts w:hint="default"/>
                <w:color w:val="auto"/>
                <w:highlight w:val="none"/>
              </w:rPr>
              <w:t>）</w:t>
            </w:r>
            <w:r>
              <w:rPr>
                <w:rFonts w:hint="eastAsia"/>
                <w:color w:val="auto"/>
                <w:highlight w:val="none"/>
                <w:lang w:eastAsia="zh-CN"/>
              </w:rPr>
              <w:t>。</w:t>
            </w:r>
          </w:p>
          <w:p w14:paraId="727CEBA7">
            <w:pPr>
              <w:pStyle w:val="41"/>
              <w:bidi w:val="0"/>
              <w:rPr>
                <w:rFonts w:hint="default"/>
                <w:color w:val="auto"/>
                <w:highlight w:val="none"/>
                <w:lang w:val="en-US" w:eastAsia="zh-CN"/>
              </w:rPr>
            </w:pPr>
            <w:r>
              <w:rPr>
                <w:rFonts w:hint="eastAsia"/>
                <w:color w:val="auto"/>
                <w:highlight w:val="none"/>
                <w:lang w:eastAsia="zh-CN"/>
              </w:rPr>
              <w:t>（</w:t>
            </w:r>
            <w:r>
              <w:rPr>
                <w:rFonts w:hint="eastAsia"/>
                <w:color w:val="auto"/>
                <w:highlight w:val="none"/>
                <w:lang w:val="en-US" w:eastAsia="zh-CN"/>
              </w:rPr>
              <w:t>8）G17</w:t>
            </w:r>
          </w:p>
          <w:p w14:paraId="2D72E8CB">
            <w:pPr>
              <w:bidi w:val="0"/>
              <w:rPr>
                <w:rFonts w:hint="eastAsia"/>
                <w:color w:val="auto"/>
                <w:highlight w:val="none"/>
                <w:lang w:eastAsia="zh-CN"/>
              </w:rPr>
            </w:pPr>
            <w:r>
              <w:rPr>
                <w:rFonts w:hint="default"/>
                <w:color w:val="auto"/>
                <w:highlight w:val="none"/>
              </w:rPr>
              <w:t>搅拌机有固定排放口直接与风管连接，有组织收集效率为90%</w:t>
            </w:r>
            <w:r>
              <w:rPr>
                <w:rFonts w:hint="eastAsia"/>
                <w:color w:val="auto"/>
                <w:highlight w:val="none"/>
                <w:lang w:eastAsia="zh-CN"/>
              </w:rPr>
              <w:t>，</w:t>
            </w:r>
            <w:r>
              <w:rPr>
                <w:rFonts w:hint="default"/>
                <w:color w:val="auto"/>
                <w:highlight w:val="none"/>
              </w:rPr>
              <w:t>末端设置</w:t>
            </w:r>
            <w:r>
              <w:rPr>
                <w:rFonts w:hint="eastAsia"/>
                <w:color w:val="auto"/>
                <w:highlight w:val="none"/>
                <w:lang w:val="en-US" w:eastAsia="zh-CN"/>
              </w:rPr>
              <w:t>脉冲式布袋除尘器</w:t>
            </w:r>
            <w:r>
              <w:rPr>
                <w:rFonts w:hint="default"/>
                <w:color w:val="auto"/>
                <w:highlight w:val="none"/>
              </w:rPr>
              <w:t>，除尘效率为99.7%，处理后同其他</w:t>
            </w:r>
            <w:r>
              <w:rPr>
                <w:rFonts w:hint="eastAsia"/>
                <w:color w:val="auto"/>
                <w:highlight w:val="none"/>
                <w:lang w:val="en-US" w:eastAsia="zh-CN"/>
              </w:rPr>
              <w:t>未</w:t>
            </w:r>
            <w:r>
              <w:rPr>
                <w:rFonts w:hint="default"/>
                <w:color w:val="auto"/>
                <w:highlight w:val="none"/>
              </w:rPr>
              <w:t>收集的粉尘在封闭搅拌楼无组织排放，搅拌楼内设置喷雾降尘设施，处理效率为90%</w:t>
            </w:r>
            <w:r>
              <w:rPr>
                <w:rFonts w:hint="eastAsia"/>
                <w:color w:val="auto"/>
                <w:highlight w:val="none"/>
                <w:lang w:eastAsia="zh-CN"/>
              </w:rPr>
              <w:t>。</w:t>
            </w:r>
          </w:p>
          <w:p w14:paraId="2463EB5E">
            <w:pPr>
              <w:pStyle w:val="41"/>
              <w:bidi w:val="0"/>
              <w:rPr>
                <w:rFonts w:hint="eastAsia"/>
                <w:color w:val="auto"/>
                <w:highlight w:val="none"/>
                <w:lang w:val="en-US" w:eastAsia="zh-CN"/>
              </w:rPr>
            </w:pPr>
            <w:r>
              <w:rPr>
                <w:rFonts w:hint="eastAsia"/>
                <w:color w:val="auto"/>
                <w:highlight w:val="none"/>
                <w:lang w:eastAsia="zh-CN"/>
              </w:rPr>
              <w:t>（</w:t>
            </w:r>
            <w:r>
              <w:rPr>
                <w:rFonts w:hint="eastAsia"/>
                <w:color w:val="auto"/>
                <w:highlight w:val="none"/>
                <w:lang w:val="en-US" w:eastAsia="zh-CN"/>
              </w:rPr>
              <w:t>9）</w:t>
            </w:r>
            <w:r>
              <w:rPr>
                <w:rFonts w:hint="eastAsia"/>
                <w:color w:val="auto"/>
                <w:highlight w:val="none"/>
              </w:rPr>
              <w:t>非道路移动机械废气及汽车尾气</w:t>
            </w:r>
          </w:p>
          <w:p w14:paraId="0D46E2C7">
            <w:pPr>
              <w:bidi w:val="0"/>
              <w:rPr>
                <w:rFonts w:hint="eastAsia" w:eastAsia="宋体"/>
                <w:color w:val="auto"/>
                <w:highlight w:val="none"/>
                <w:lang w:val="en-US" w:eastAsia="zh-CN"/>
              </w:rPr>
            </w:pPr>
            <w:r>
              <w:rPr>
                <w:rFonts w:hint="eastAsia" w:eastAsia="宋体"/>
                <w:color w:val="auto"/>
                <w:highlight w:val="none"/>
                <w:lang w:val="en-US" w:eastAsia="zh-CN"/>
              </w:rPr>
              <w:t>本项目运营期使用的非道路移动机械装载机使用的油品应使用正规渠道购买的油品，使用过程应定期进行维护保养，确保非道路移动机械使用过程中尾气排放符合排放标准。</w:t>
            </w:r>
            <w:r>
              <w:rPr>
                <w:rFonts w:hint="eastAsia"/>
                <w:color w:val="auto"/>
                <w:highlight w:val="none"/>
                <w:lang w:val="en-US" w:eastAsia="zh-CN"/>
              </w:rPr>
              <w:t>应</w:t>
            </w:r>
            <w:r>
              <w:rPr>
                <w:rFonts w:hint="eastAsia" w:eastAsia="宋体"/>
                <w:color w:val="auto"/>
                <w:highlight w:val="none"/>
                <w:lang w:val="en-US" w:eastAsia="zh-CN"/>
              </w:rPr>
              <w:t>加强对车辆的管理，限定转运车辆在厂内的行驶速度，同时厂区道路须全部硬化，路面进行洒水抑尘。</w:t>
            </w:r>
          </w:p>
          <w:p w14:paraId="4BEEAF0A">
            <w:pPr>
              <w:pStyle w:val="41"/>
              <w:bidi w:val="0"/>
              <w:rPr>
                <w:color w:val="auto"/>
                <w:highlight w:val="none"/>
              </w:rPr>
            </w:pPr>
            <w:r>
              <w:rPr>
                <w:rFonts w:hint="eastAsia"/>
                <w:color w:val="auto"/>
                <w:highlight w:val="none"/>
                <w:lang w:val="en-US" w:eastAsia="zh-CN"/>
              </w:rPr>
              <w:t>（10）</w:t>
            </w:r>
            <w:r>
              <w:rPr>
                <w:rFonts w:hint="eastAsia"/>
                <w:color w:val="auto"/>
                <w:highlight w:val="none"/>
              </w:rPr>
              <w:t>其他措施</w:t>
            </w:r>
          </w:p>
          <w:p w14:paraId="38D1390C">
            <w:pPr>
              <w:bidi w:val="0"/>
              <w:rPr>
                <w:rFonts w:hint="eastAsia"/>
                <w:color w:val="auto"/>
                <w:highlight w:val="none"/>
              </w:rPr>
            </w:pPr>
            <w:r>
              <w:rPr>
                <w:color w:val="auto"/>
                <w:highlight w:val="none"/>
              </w:rPr>
              <w:t>生产工序全部设置于封闭厂房内</w:t>
            </w:r>
            <w:r>
              <w:rPr>
                <w:rFonts w:hint="eastAsia"/>
                <w:color w:val="auto"/>
                <w:highlight w:val="none"/>
              </w:rPr>
              <w:t>，</w:t>
            </w:r>
            <w:r>
              <w:rPr>
                <w:color w:val="auto"/>
                <w:highlight w:val="none"/>
              </w:rPr>
              <w:t>定期对车间地面进行冲洗，减少粉尘产生；输送皮带密闭，并在装载点等产尘处设抑尘装置</w:t>
            </w:r>
            <w:r>
              <w:rPr>
                <w:rFonts w:hint="eastAsia"/>
                <w:color w:val="auto"/>
                <w:highlight w:val="none"/>
              </w:rPr>
              <w:t>；</w:t>
            </w:r>
          </w:p>
          <w:p w14:paraId="6B3E04A7">
            <w:pPr>
              <w:bidi w:val="0"/>
              <w:rPr>
                <w:rFonts w:hint="default" w:eastAsia="宋体"/>
                <w:color w:val="auto"/>
                <w:highlight w:val="none"/>
                <w:lang w:val="en-US" w:eastAsia="zh-CN"/>
              </w:rPr>
            </w:pPr>
            <w:r>
              <w:rPr>
                <w:rFonts w:hint="eastAsia"/>
                <w:color w:val="auto"/>
                <w:highlight w:val="none"/>
                <w:lang w:val="en-US" w:eastAsia="zh-CN"/>
              </w:rPr>
              <w:t>灰渣储库全封闭，地面进行简单硬化，并配套喷雾降尘设施，产尘量较小。</w:t>
            </w:r>
          </w:p>
          <w:p w14:paraId="49F57AA4">
            <w:pPr>
              <w:bidi w:val="0"/>
              <w:rPr>
                <w:rFonts w:hint="eastAsia"/>
                <w:color w:val="auto"/>
                <w:highlight w:val="none"/>
              </w:rPr>
            </w:pPr>
            <w:r>
              <w:rPr>
                <w:color w:val="auto"/>
                <w:highlight w:val="none"/>
              </w:rPr>
              <w:t>道路、运输扬尘</w:t>
            </w:r>
            <w:r>
              <w:rPr>
                <w:rFonts w:hint="eastAsia"/>
                <w:color w:val="auto"/>
                <w:highlight w:val="none"/>
              </w:rPr>
              <w:t>：</w:t>
            </w:r>
            <w:r>
              <w:rPr>
                <w:color w:val="auto"/>
                <w:highlight w:val="none"/>
              </w:rPr>
              <w:t>道路进行硬化，定期清扫和洒水，车辆限速，在</w:t>
            </w:r>
            <w:r>
              <w:rPr>
                <w:rFonts w:hint="eastAsia"/>
                <w:color w:val="auto"/>
                <w:highlight w:val="none"/>
              </w:rPr>
              <w:t>厂区</w:t>
            </w:r>
            <w:r>
              <w:rPr>
                <w:color w:val="auto"/>
                <w:highlight w:val="none"/>
              </w:rPr>
              <w:t>出口设洗车台</w:t>
            </w:r>
            <w:r>
              <w:rPr>
                <w:rFonts w:hint="eastAsia"/>
                <w:color w:val="auto"/>
                <w:highlight w:val="none"/>
              </w:rPr>
              <w:t>；</w:t>
            </w:r>
          </w:p>
          <w:p w14:paraId="7D5923D7">
            <w:pPr>
              <w:bidi w:val="0"/>
              <w:rPr>
                <w:rFonts w:hint="eastAsia" w:eastAsia="宋体"/>
                <w:color w:val="auto"/>
                <w:highlight w:val="none"/>
                <w:lang w:eastAsia="zh-CN"/>
              </w:rPr>
            </w:pPr>
            <w:r>
              <w:rPr>
                <w:rFonts w:hint="eastAsia"/>
                <w:color w:val="auto"/>
                <w:highlight w:val="none"/>
              </w:rPr>
              <w:t>厂界无组织粉尘：在厂界四周设4台扬尘在线监测设备</w:t>
            </w:r>
            <w:r>
              <w:rPr>
                <w:rFonts w:hint="eastAsia"/>
                <w:color w:val="auto"/>
                <w:highlight w:val="none"/>
                <w:lang w:eastAsia="zh-CN"/>
              </w:rPr>
              <w:t>。</w:t>
            </w:r>
          </w:p>
          <w:p w14:paraId="42E5271E">
            <w:pPr>
              <w:pStyle w:val="41"/>
              <w:bidi w:val="0"/>
              <w:rPr>
                <w:rFonts w:hint="default"/>
                <w:color w:val="auto"/>
                <w:highlight w:val="none"/>
                <w:lang w:val="en-US" w:eastAsia="zh-CN"/>
              </w:rPr>
            </w:pPr>
            <w:r>
              <w:rPr>
                <w:rFonts w:hint="eastAsia"/>
                <w:color w:val="auto"/>
                <w:highlight w:val="none"/>
                <w:lang w:eastAsia="zh-CN"/>
              </w:rPr>
              <w:t>（</w:t>
            </w:r>
            <w:r>
              <w:rPr>
                <w:rFonts w:hint="eastAsia"/>
                <w:color w:val="auto"/>
                <w:highlight w:val="none"/>
                <w:lang w:val="en-US" w:eastAsia="zh-CN"/>
              </w:rPr>
              <w:t>11）排气筒数量及设置合规性</w:t>
            </w:r>
          </w:p>
          <w:p w14:paraId="7357E6A2">
            <w:pPr>
              <w:bidi w:val="0"/>
              <w:rPr>
                <w:color w:val="auto"/>
                <w:highlight w:val="none"/>
              </w:rPr>
            </w:pPr>
            <w:r>
              <w:rPr>
                <w:rFonts w:hint="eastAsia"/>
                <w:color w:val="auto"/>
                <w:highlight w:val="none"/>
                <w:lang w:val="en-US" w:eastAsia="zh-CN"/>
              </w:rPr>
              <w:t>本项目共设置5根排气筒，废气排放口基本情况见</w:t>
            </w:r>
            <w:r>
              <w:rPr>
                <w:rFonts w:hint="eastAsia"/>
                <w:color w:val="auto"/>
                <w:highlight w:val="none"/>
                <w:lang w:val="en-US" w:eastAsia="zh-CN"/>
              </w:rPr>
              <w:fldChar w:fldCharType="begin"/>
            </w:r>
            <w:r>
              <w:rPr>
                <w:rFonts w:hint="eastAsia"/>
                <w:color w:val="auto"/>
                <w:highlight w:val="none"/>
                <w:lang w:val="en-US" w:eastAsia="zh-CN"/>
              </w:rPr>
              <w:instrText xml:space="preserve"> REF _Ref12452 \h </w:instrText>
            </w:r>
            <w:r>
              <w:rPr>
                <w:rFonts w:hint="eastAsia"/>
                <w:color w:val="auto"/>
                <w:highlight w:val="none"/>
                <w:lang w:val="en-US" w:eastAsia="zh-CN"/>
              </w:rPr>
              <w:fldChar w:fldCharType="separate"/>
            </w:r>
            <w:r>
              <w:rPr>
                <w:color w:val="auto"/>
                <w:highlight w:val="none"/>
              </w:rPr>
              <w:t>表4-4</w:t>
            </w:r>
            <w:r>
              <w:rPr>
                <w:rFonts w:hint="eastAsia"/>
                <w:color w:val="auto"/>
                <w:highlight w:val="none"/>
                <w:lang w:val="en-US" w:eastAsia="zh-CN"/>
              </w:rPr>
              <w:fldChar w:fldCharType="end"/>
            </w:r>
            <w:r>
              <w:rPr>
                <w:rFonts w:hint="eastAsia"/>
                <w:color w:val="auto"/>
                <w:highlight w:val="none"/>
                <w:lang w:val="en-US" w:eastAsia="zh-CN"/>
              </w:rPr>
              <w:t>。</w:t>
            </w:r>
            <w:r>
              <w:rPr>
                <w:rFonts w:hint="eastAsia"/>
                <w:color w:val="auto"/>
                <w:highlight w:val="none"/>
              </w:rPr>
              <w:t>本项目排污许可管理属于登记管理，因此本次评价不判定排放口类型。经查阅资料，本项目排气筒设置方案不违背《水泥工业大气污染物排放标准》（GB</w:t>
            </w:r>
            <w:r>
              <w:rPr>
                <w:rFonts w:hint="eastAsia"/>
                <w:color w:val="auto"/>
                <w:highlight w:val="none"/>
                <w:lang w:val="en-US" w:eastAsia="zh-CN"/>
              </w:rPr>
              <w:t xml:space="preserve"> </w:t>
            </w:r>
            <w:r>
              <w:rPr>
                <w:rFonts w:hint="eastAsia"/>
                <w:color w:val="auto"/>
                <w:highlight w:val="none"/>
              </w:rPr>
              <w:t>4915-2013）</w:t>
            </w:r>
            <w:r>
              <w:rPr>
                <w:rFonts w:hint="eastAsia"/>
                <w:color w:val="auto"/>
                <w:highlight w:val="none"/>
                <w:lang w:eastAsia="zh-CN"/>
              </w:rPr>
              <w:t>、</w:t>
            </w:r>
            <w:r>
              <w:rPr>
                <w:rFonts w:hint="eastAsia"/>
                <w:color w:val="auto"/>
                <w:highlight w:val="none"/>
              </w:rPr>
              <w:t>《锅炉大气污染物排放标准》（GB</w:t>
            </w:r>
            <w:r>
              <w:rPr>
                <w:rFonts w:hint="eastAsia"/>
                <w:color w:val="auto"/>
                <w:highlight w:val="none"/>
                <w:lang w:val="en-US" w:eastAsia="zh-CN"/>
              </w:rPr>
              <w:t xml:space="preserve"> </w:t>
            </w:r>
            <w:r>
              <w:rPr>
                <w:rFonts w:hint="eastAsia"/>
                <w:color w:val="auto"/>
                <w:highlight w:val="none"/>
              </w:rPr>
              <w:t>13271-2014）等标准及国家地方相关要求。</w:t>
            </w:r>
            <w:bookmarkStart w:id="54" w:name="_Ref9606"/>
          </w:p>
          <w:p w14:paraId="665C517D">
            <w:pPr>
              <w:pStyle w:val="7"/>
              <w:bidi w:val="0"/>
              <w:rPr>
                <w:rFonts w:hint="default"/>
                <w:color w:val="auto"/>
                <w:highlight w:val="none"/>
                <w:lang w:val="en-US" w:eastAsia="zh-CN"/>
              </w:rPr>
            </w:pPr>
            <w:bookmarkStart w:id="55" w:name="_Ref12452"/>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4</w:t>
            </w:r>
            <w:r>
              <w:rPr>
                <w:color w:val="auto"/>
                <w:highlight w:val="none"/>
              </w:rPr>
              <w:fldChar w:fldCharType="end"/>
            </w:r>
            <w:bookmarkEnd w:id="54"/>
            <w:bookmarkEnd w:id="55"/>
            <w:r>
              <w:rPr>
                <w:rFonts w:hint="eastAsia"/>
                <w:color w:val="auto"/>
                <w:highlight w:val="none"/>
                <w:lang w:val="en-US" w:eastAsia="zh-CN"/>
              </w:rPr>
              <w:t xml:space="preserve">  废气排放口基本情况</w:t>
            </w:r>
          </w:p>
          <w:tbl>
            <w:tblPr>
              <w:tblStyle w:val="24"/>
              <w:tblpPr w:leftFromText="181" w:rightFromText="181" w:bottomFromText="170" w:vertAnchor="text" w:tblpXSpec="center" w:tblpY="1"/>
              <w:tblOverlap w:val="never"/>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51"/>
              <w:gridCol w:w="1742"/>
              <w:gridCol w:w="634"/>
              <w:gridCol w:w="647"/>
              <w:gridCol w:w="784"/>
              <w:gridCol w:w="963"/>
              <w:gridCol w:w="964"/>
              <w:gridCol w:w="1526"/>
            </w:tblGrid>
            <w:tr w14:paraId="625944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7" w:hRule="atLeast"/>
                <w:jc w:val="center"/>
              </w:trPr>
              <w:tc>
                <w:tcPr>
                  <w:tcW w:w="524" w:type="pct"/>
                  <w:tcBorders>
                    <w:tl2br w:val="nil"/>
                    <w:tr2bl w:val="nil"/>
                  </w:tcBorders>
                  <w:shd w:val="clear" w:color="auto" w:fill="auto"/>
                  <w:noWrap w:val="0"/>
                  <w:vAlign w:val="center"/>
                </w:tcPr>
                <w:p w14:paraId="47EC1F2C">
                  <w:pPr>
                    <w:pStyle w:val="40"/>
                    <w:bidi w:val="0"/>
                    <w:rPr>
                      <w:rFonts w:hint="default"/>
                      <w:color w:val="auto"/>
                      <w:spacing w:val="-6"/>
                      <w:sz w:val="21"/>
                      <w:highlight w:val="none"/>
                    </w:rPr>
                  </w:pPr>
                  <w:r>
                    <w:rPr>
                      <w:rFonts w:hint="default"/>
                      <w:color w:val="auto"/>
                      <w:spacing w:val="-6"/>
                      <w:sz w:val="21"/>
                      <w:highlight w:val="none"/>
                    </w:rPr>
                    <w:t>编号</w:t>
                  </w:r>
                </w:p>
              </w:tc>
              <w:tc>
                <w:tcPr>
                  <w:tcW w:w="1073" w:type="pct"/>
                  <w:tcBorders>
                    <w:tl2br w:val="nil"/>
                    <w:tr2bl w:val="nil"/>
                  </w:tcBorders>
                  <w:shd w:val="clear" w:color="auto" w:fill="auto"/>
                  <w:noWrap w:val="0"/>
                  <w:vAlign w:val="center"/>
                </w:tcPr>
                <w:p w14:paraId="58B87052">
                  <w:pPr>
                    <w:pStyle w:val="40"/>
                    <w:bidi w:val="0"/>
                    <w:rPr>
                      <w:rFonts w:hint="default"/>
                      <w:color w:val="auto"/>
                      <w:spacing w:val="-6"/>
                      <w:sz w:val="21"/>
                      <w:highlight w:val="none"/>
                    </w:rPr>
                  </w:pPr>
                  <w:r>
                    <w:rPr>
                      <w:rFonts w:hint="eastAsia"/>
                      <w:color w:val="auto"/>
                      <w:spacing w:val="-6"/>
                      <w:sz w:val="21"/>
                      <w:highlight w:val="none"/>
                      <w:lang w:val="en-US" w:eastAsia="zh-CN"/>
                    </w:rPr>
                    <w:t>排气筒</w:t>
                  </w:r>
                  <w:r>
                    <w:rPr>
                      <w:rFonts w:hint="default"/>
                      <w:color w:val="auto"/>
                      <w:spacing w:val="-6"/>
                      <w:sz w:val="21"/>
                      <w:highlight w:val="none"/>
                    </w:rPr>
                    <w:t>名称</w:t>
                  </w:r>
                </w:p>
              </w:tc>
              <w:tc>
                <w:tcPr>
                  <w:tcW w:w="390" w:type="pct"/>
                  <w:tcBorders>
                    <w:tl2br w:val="nil"/>
                    <w:tr2bl w:val="nil"/>
                  </w:tcBorders>
                  <w:shd w:val="clear" w:color="auto" w:fill="auto"/>
                  <w:noWrap w:val="0"/>
                  <w:vAlign w:val="center"/>
                </w:tcPr>
                <w:p w14:paraId="11E34BEC">
                  <w:pPr>
                    <w:pStyle w:val="40"/>
                    <w:bidi w:val="0"/>
                    <w:rPr>
                      <w:rFonts w:hint="default"/>
                      <w:color w:val="auto"/>
                      <w:spacing w:val="-6"/>
                      <w:sz w:val="21"/>
                      <w:highlight w:val="none"/>
                    </w:rPr>
                  </w:pPr>
                  <w:r>
                    <w:rPr>
                      <w:rFonts w:hint="default"/>
                      <w:color w:val="auto"/>
                      <w:spacing w:val="-6"/>
                      <w:sz w:val="21"/>
                      <w:highlight w:val="none"/>
                    </w:rPr>
                    <w:t>高度/m</w:t>
                  </w:r>
                </w:p>
              </w:tc>
              <w:tc>
                <w:tcPr>
                  <w:tcW w:w="398" w:type="pct"/>
                  <w:tcBorders>
                    <w:tl2br w:val="nil"/>
                    <w:tr2bl w:val="nil"/>
                  </w:tcBorders>
                  <w:shd w:val="clear" w:color="auto" w:fill="auto"/>
                  <w:noWrap w:val="0"/>
                  <w:vAlign w:val="center"/>
                </w:tcPr>
                <w:p w14:paraId="6902B7CA">
                  <w:pPr>
                    <w:pStyle w:val="40"/>
                    <w:bidi w:val="0"/>
                    <w:rPr>
                      <w:rFonts w:hint="default"/>
                      <w:color w:val="auto"/>
                      <w:spacing w:val="-6"/>
                      <w:sz w:val="21"/>
                      <w:highlight w:val="none"/>
                    </w:rPr>
                  </w:pPr>
                  <w:r>
                    <w:rPr>
                      <w:rFonts w:hint="default"/>
                      <w:color w:val="auto"/>
                      <w:spacing w:val="-6"/>
                      <w:sz w:val="21"/>
                      <w:highlight w:val="none"/>
                    </w:rPr>
                    <w:t>内径/m</w:t>
                  </w:r>
                </w:p>
              </w:tc>
              <w:tc>
                <w:tcPr>
                  <w:tcW w:w="483" w:type="pct"/>
                  <w:tcBorders>
                    <w:tl2br w:val="nil"/>
                    <w:tr2bl w:val="nil"/>
                  </w:tcBorders>
                  <w:shd w:val="clear" w:color="auto" w:fill="auto"/>
                  <w:noWrap w:val="0"/>
                  <w:vAlign w:val="center"/>
                </w:tcPr>
                <w:p w14:paraId="0A4A23C7">
                  <w:pPr>
                    <w:pStyle w:val="40"/>
                    <w:bidi w:val="0"/>
                    <w:rPr>
                      <w:rFonts w:hint="default"/>
                      <w:color w:val="auto"/>
                      <w:spacing w:val="-6"/>
                      <w:sz w:val="21"/>
                      <w:highlight w:val="none"/>
                    </w:rPr>
                  </w:pPr>
                  <w:r>
                    <w:rPr>
                      <w:rFonts w:hint="default"/>
                      <w:color w:val="auto"/>
                      <w:spacing w:val="-6"/>
                      <w:sz w:val="21"/>
                      <w:highlight w:val="none"/>
                    </w:rPr>
                    <w:t>温度/℃</w:t>
                  </w:r>
                </w:p>
              </w:tc>
              <w:tc>
                <w:tcPr>
                  <w:tcW w:w="593" w:type="pct"/>
                  <w:tcBorders>
                    <w:tl2br w:val="nil"/>
                    <w:tr2bl w:val="nil"/>
                  </w:tcBorders>
                  <w:shd w:val="clear" w:color="auto" w:fill="auto"/>
                  <w:noWrap w:val="0"/>
                  <w:vAlign w:val="center"/>
                </w:tcPr>
                <w:p w14:paraId="5947DB8F">
                  <w:pPr>
                    <w:pStyle w:val="40"/>
                    <w:bidi w:val="0"/>
                    <w:rPr>
                      <w:rFonts w:hint="default" w:eastAsia="宋体"/>
                      <w:color w:val="auto"/>
                      <w:spacing w:val="-6"/>
                      <w:sz w:val="21"/>
                      <w:highlight w:val="none"/>
                      <w:lang w:val="en-US" w:eastAsia="zh-CN"/>
                    </w:rPr>
                  </w:pPr>
                  <w:r>
                    <w:rPr>
                      <w:rFonts w:hint="eastAsia"/>
                      <w:color w:val="auto"/>
                      <w:spacing w:val="-6"/>
                      <w:sz w:val="21"/>
                      <w:highlight w:val="none"/>
                      <w:lang w:val="en-US" w:eastAsia="zh-CN"/>
                    </w:rPr>
                    <w:t>污染物种类</w:t>
                  </w:r>
                </w:p>
              </w:tc>
              <w:tc>
                <w:tcPr>
                  <w:tcW w:w="594" w:type="pct"/>
                  <w:tcBorders>
                    <w:tl2br w:val="nil"/>
                    <w:tr2bl w:val="nil"/>
                  </w:tcBorders>
                  <w:shd w:val="clear" w:color="auto" w:fill="auto"/>
                  <w:noWrap w:val="0"/>
                  <w:vAlign w:val="center"/>
                </w:tcPr>
                <w:p w14:paraId="6E87386E">
                  <w:pPr>
                    <w:pStyle w:val="40"/>
                    <w:bidi w:val="0"/>
                    <w:rPr>
                      <w:rFonts w:hint="default"/>
                      <w:color w:val="auto"/>
                      <w:spacing w:val="-6"/>
                      <w:sz w:val="21"/>
                      <w:highlight w:val="none"/>
                    </w:rPr>
                  </w:pPr>
                  <w:r>
                    <w:rPr>
                      <w:rFonts w:hint="default"/>
                      <w:color w:val="auto"/>
                      <w:spacing w:val="-6"/>
                      <w:sz w:val="21"/>
                      <w:highlight w:val="none"/>
                    </w:rPr>
                    <w:t>排放量</w:t>
                  </w:r>
                  <w:r>
                    <w:rPr>
                      <w:rFonts w:hint="eastAsia"/>
                      <w:color w:val="auto"/>
                      <w:spacing w:val="-6"/>
                      <w:sz w:val="21"/>
                      <w:highlight w:val="none"/>
                      <w:lang w:val="en-US" w:eastAsia="zh-CN"/>
                    </w:rPr>
                    <w:t>t/a</w:t>
                  </w:r>
                </w:p>
              </w:tc>
              <w:tc>
                <w:tcPr>
                  <w:tcW w:w="940" w:type="pct"/>
                  <w:tcBorders>
                    <w:tl2br w:val="nil"/>
                    <w:tr2bl w:val="nil"/>
                  </w:tcBorders>
                  <w:shd w:val="clear" w:color="auto" w:fill="auto"/>
                  <w:noWrap w:val="0"/>
                  <w:vAlign w:val="center"/>
                </w:tcPr>
                <w:p w14:paraId="751553B2">
                  <w:pPr>
                    <w:pStyle w:val="40"/>
                    <w:bidi w:val="0"/>
                    <w:rPr>
                      <w:rFonts w:hint="default"/>
                      <w:color w:val="auto"/>
                      <w:spacing w:val="-6"/>
                      <w:sz w:val="21"/>
                      <w:highlight w:val="none"/>
                      <w:lang w:eastAsia="zh-CN"/>
                    </w:rPr>
                  </w:pPr>
                  <w:r>
                    <w:rPr>
                      <w:rFonts w:hint="default"/>
                      <w:color w:val="auto"/>
                      <w:spacing w:val="-6"/>
                      <w:sz w:val="21"/>
                      <w:highlight w:val="none"/>
                      <w:lang w:eastAsia="zh-CN"/>
                    </w:rPr>
                    <w:t>地理坐标</w:t>
                  </w:r>
                </w:p>
              </w:tc>
            </w:tr>
            <w:tr w14:paraId="3B65B4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7" w:hRule="atLeast"/>
                <w:jc w:val="center"/>
              </w:trPr>
              <w:tc>
                <w:tcPr>
                  <w:tcW w:w="524" w:type="pct"/>
                  <w:tcBorders>
                    <w:tl2br w:val="nil"/>
                    <w:tr2bl w:val="nil"/>
                  </w:tcBorders>
                  <w:shd w:val="clear" w:color="auto" w:fill="auto"/>
                  <w:noWrap w:val="0"/>
                  <w:vAlign w:val="center"/>
                </w:tcPr>
                <w:p w14:paraId="6E2BA3D1">
                  <w:pPr>
                    <w:pStyle w:val="40"/>
                    <w:bidi w:val="0"/>
                    <w:rPr>
                      <w:rFonts w:hint="default"/>
                      <w:color w:val="auto"/>
                      <w:spacing w:val="-11"/>
                      <w:sz w:val="21"/>
                      <w:highlight w:val="none"/>
                      <w:lang w:eastAsia="zh-CN"/>
                    </w:rPr>
                  </w:pPr>
                  <w:r>
                    <w:rPr>
                      <w:rFonts w:hint="default"/>
                      <w:color w:val="auto"/>
                      <w:spacing w:val="-11"/>
                      <w:sz w:val="21"/>
                      <w:highlight w:val="none"/>
                      <w:lang w:eastAsia="zh-CN"/>
                    </w:rPr>
                    <w:t>DA00</w:t>
                  </w:r>
                  <w:r>
                    <w:rPr>
                      <w:rFonts w:hint="default"/>
                      <w:color w:val="auto"/>
                      <w:spacing w:val="-11"/>
                      <w:sz w:val="21"/>
                      <w:highlight w:val="none"/>
                      <w:lang w:val="en-US" w:eastAsia="zh-CN"/>
                    </w:rPr>
                    <w:t>1</w:t>
                  </w:r>
                </w:p>
              </w:tc>
              <w:tc>
                <w:tcPr>
                  <w:tcW w:w="1073" w:type="pct"/>
                  <w:tcBorders>
                    <w:tl2br w:val="nil"/>
                    <w:tr2bl w:val="nil"/>
                  </w:tcBorders>
                  <w:shd w:val="clear" w:color="auto" w:fill="auto"/>
                  <w:noWrap w:val="0"/>
                  <w:vAlign w:val="center"/>
                </w:tcPr>
                <w:p w14:paraId="36A5834D">
                  <w:pPr>
                    <w:pStyle w:val="40"/>
                    <w:bidi w:val="0"/>
                    <w:rPr>
                      <w:rFonts w:hint="default"/>
                      <w:color w:val="auto"/>
                      <w:spacing w:val="0"/>
                      <w:sz w:val="21"/>
                      <w:highlight w:val="none"/>
                      <w:lang w:val="en-US" w:eastAsia="zh-CN"/>
                    </w:rPr>
                  </w:pPr>
                  <w:r>
                    <w:rPr>
                      <w:rFonts w:hint="eastAsia"/>
                      <w:color w:val="auto"/>
                      <w:spacing w:val="0"/>
                      <w:sz w:val="21"/>
                      <w:highlight w:val="none"/>
                      <w:lang w:val="en-US" w:eastAsia="zh-CN"/>
                    </w:rPr>
                    <w:t>球磨废气排放口</w:t>
                  </w:r>
                </w:p>
              </w:tc>
              <w:tc>
                <w:tcPr>
                  <w:tcW w:w="390" w:type="pct"/>
                  <w:tcBorders>
                    <w:tl2br w:val="nil"/>
                    <w:tr2bl w:val="nil"/>
                  </w:tcBorders>
                  <w:shd w:val="clear" w:color="auto" w:fill="auto"/>
                  <w:noWrap w:val="0"/>
                  <w:vAlign w:val="center"/>
                </w:tcPr>
                <w:p w14:paraId="2EE9DB58">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30</w:t>
                  </w:r>
                </w:p>
              </w:tc>
              <w:tc>
                <w:tcPr>
                  <w:tcW w:w="398" w:type="pct"/>
                  <w:tcBorders>
                    <w:tl2br w:val="nil"/>
                    <w:tr2bl w:val="nil"/>
                  </w:tcBorders>
                  <w:shd w:val="clear" w:color="auto" w:fill="auto"/>
                  <w:noWrap w:val="0"/>
                  <w:vAlign w:val="center"/>
                </w:tcPr>
                <w:p w14:paraId="3E5CB986">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1.5</w:t>
                  </w:r>
                </w:p>
              </w:tc>
              <w:tc>
                <w:tcPr>
                  <w:tcW w:w="483" w:type="pct"/>
                  <w:tcBorders>
                    <w:tl2br w:val="nil"/>
                    <w:tr2bl w:val="nil"/>
                  </w:tcBorders>
                  <w:shd w:val="clear" w:color="auto" w:fill="auto"/>
                  <w:noWrap w:val="0"/>
                  <w:vAlign w:val="center"/>
                </w:tcPr>
                <w:p w14:paraId="28A8626A">
                  <w:pPr>
                    <w:pStyle w:val="40"/>
                    <w:bidi w:val="0"/>
                    <w:rPr>
                      <w:rFonts w:hint="default"/>
                      <w:color w:val="auto"/>
                      <w:spacing w:val="-6"/>
                      <w:sz w:val="21"/>
                      <w:highlight w:val="none"/>
                      <w:lang w:val="en-US" w:eastAsia="zh-CN"/>
                    </w:rPr>
                  </w:pPr>
                  <w:r>
                    <w:rPr>
                      <w:rFonts w:hint="default"/>
                      <w:color w:val="auto"/>
                      <w:spacing w:val="-6"/>
                      <w:sz w:val="21"/>
                      <w:highlight w:val="none"/>
                      <w:lang w:val="en-US" w:eastAsia="zh-CN"/>
                    </w:rPr>
                    <w:t>25</w:t>
                  </w:r>
                </w:p>
              </w:tc>
              <w:tc>
                <w:tcPr>
                  <w:tcW w:w="593" w:type="pct"/>
                  <w:tcBorders>
                    <w:tl2br w:val="nil"/>
                    <w:tr2bl w:val="nil"/>
                  </w:tcBorders>
                  <w:shd w:val="clear" w:color="auto" w:fill="auto"/>
                  <w:noWrap w:val="0"/>
                  <w:vAlign w:val="center"/>
                </w:tcPr>
                <w:p w14:paraId="482237BD">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颗粒物</w:t>
                  </w:r>
                </w:p>
              </w:tc>
              <w:tc>
                <w:tcPr>
                  <w:tcW w:w="594" w:type="pct"/>
                  <w:tcBorders>
                    <w:tl2br w:val="nil"/>
                    <w:tr2bl w:val="nil"/>
                  </w:tcBorders>
                  <w:shd w:val="clear" w:color="auto" w:fill="auto"/>
                  <w:noWrap w:val="0"/>
                  <w:vAlign w:val="center"/>
                </w:tcPr>
                <w:p w14:paraId="75D44653">
                  <w:pPr>
                    <w:pStyle w:val="40"/>
                    <w:bidi w:val="0"/>
                    <w:ind w:firstLine="0" w:firstLineChars="0"/>
                    <w:rPr>
                      <w:rFonts w:hint="eastAsia"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sz w:val="21"/>
                      <w:highlight w:val="none"/>
                      <w:lang w:val="en-US" w:eastAsia="zh-CN"/>
                    </w:rPr>
                    <w:t>14.006</w:t>
                  </w:r>
                </w:p>
              </w:tc>
              <w:tc>
                <w:tcPr>
                  <w:tcW w:w="940" w:type="pct"/>
                  <w:tcBorders>
                    <w:tl2br w:val="nil"/>
                    <w:tr2bl w:val="nil"/>
                  </w:tcBorders>
                  <w:shd w:val="clear" w:color="auto" w:fill="auto"/>
                  <w:noWrap w:val="0"/>
                  <w:vAlign w:val="center"/>
                </w:tcPr>
                <w:p w14:paraId="57A9158B">
                  <w:pPr>
                    <w:pStyle w:val="40"/>
                    <w:bidi w:val="0"/>
                    <w:rPr>
                      <w:rFonts w:hint="default"/>
                      <w:color w:val="auto"/>
                      <w:spacing w:val="-6"/>
                      <w:sz w:val="21"/>
                      <w:highlight w:val="none"/>
                      <w:lang w:val="en-US" w:eastAsia="zh-CN"/>
                    </w:rPr>
                  </w:pPr>
                  <w:r>
                    <w:rPr>
                      <w:rFonts w:hint="default"/>
                      <w:color w:val="auto"/>
                      <w:spacing w:val="-6"/>
                      <w:sz w:val="21"/>
                      <w:highlight w:val="none"/>
                      <w:lang w:val="en-US" w:eastAsia="zh-CN"/>
                    </w:rPr>
                    <w:t>111°05'27.587"</w:t>
                  </w:r>
                </w:p>
                <w:p w14:paraId="79D91065">
                  <w:pPr>
                    <w:pStyle w:val="40"/>
                    <w:bidi w:val="0"/>
                    <w:rPr>
                      <w:rFonts w:hint="default"/>
                      <w:color w:val="auto"/>
                      <w:spacing w:val="-6"/>
                      <w:sz w:val="21"/>
                      <w:highlight w:val="none"/>
                      <w:lang w:val="en-US" w:eastAsia="zh-CN"/>
                    </w:rPr>
                  </w:pPr>
                  <w:r>
                    <w:rPr>
                      <w:rFonts w:hint="default"/>
                      <w:color w:val="auto"/>
                      <w:spacing w:val="-6"/>
                      <w:sz w:val="21"/>
                      <w:highlight w:val="none"/>
                      <w:lang w:val="en-US" w:eastAsia="zh-CN"/>
                    </w:rPr>
                    <w:t>39°14'48.070"</w:t>
                  </w:r>
                </w:p>
              </w:tc>
            </w:tr>
            <w:tr w14:paraId="116C7B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7" w:hRule="atLeast"/>
                <w:jc w:val="center"/>
              </w:trPr>
              <w:tc>
                <w:tcPr>
                  <w:tcW w:w="524" w:type="pct"/>
                  <w:tcBorders>
                    <w:tl2br w:val="nil"/>
                    <w:tr2bl w:val="nil"/>
                  </w:tcBorders>
                  <w:shd w:val="clear" w:color="auto" w:fill="auto"/>
                  <w:noWrap w:val="0"/>
                  <w:vAlign w:val="center"/>
                </w:tcPr>
                <w:p w14:paraId="2AABD2BD">
                  <w:pPr>
                    <w:pStyle w:val="40"/>
                    <w:bidi w:val="0"/>
                    <w:rPr>
                      <w:rFonts w:hint="default"/>
                      <w:color w:val="auto"/>
                      <w:spacing w:val="-11"/>
                      <w:sz w:val="21"/>
                      <w:highlight w:val="none"/>
                      <w:lang w:eastAsia="zh-CN"/>
                    </w:rPr>
                  </w:pPr>
                  <w:r>
                    <w:rPr>
                      <w:rFonts w:hint="default"/>
                      <w:color w:val="auto"/>
                      <w:spacing w:val="-11"/>
                      <w:sz w:val="21"/>
                      <w:highlight w:val="none"/>
                      <w:lang w:eastAsia="zh-CN"/>
                    </w:rPr>
                    <w:t>DA002</w:t>
                  </w:r>
                </w:p>
              </w:tc>
              <w:tc>
                <w:tcPr>
                  <w:tcW w:w="1073" w:type="pct"/>
                  <w:tcBorders>
                    <w:tl2br w:val="nil"/>
                    <w:tr2bl w:val="nil"/>
                  </w:tcBorders>
                  <w:shd w:val="clear" w:color="auto" w:fill="auto"/>
                  <w:noWrap w:val="0"/>
                  <w:vAlign w:val="center"/>
                </w:tcPr>
                <w:p w14:paraId="00C926FE">
                  <w:pPr>
                    <w:pStyle w:val="40"/>
                    <w:bidi w:val="0"/>
                    <w:rPr>
                      <w:rFonts w:hint="default"/>
                      <w:color w:val="auto"/>
                      <w:spacing w:val="0"/>
                      <w:sz w:val="21"/>
                      <w:highlight w:val="none"/>
                      <w:lang w:val="en-US" w:eastAsia="zh-CN"/>
                    </w:rPr>
                  </w:pPr>
                  <w:r>
                    <w:rPr>
                      <w:rFonts w:hint="eastAsia"/>
                      <w:color w:val="auto"/>
                      <w:spacing w:val="0"/>
                      <w:sz w:val="21"/>
                      <w:highlight w:val="none"/>
                      <w:lang w:val="en-US" w:eastAsia="zh-CN"/>
                    </w:rPr>
                    <w:t>搅拌废气排放口</w:t>
                  </w:r>
                </w:p>
              </w:tc>
              <w:tc>
                <w:tcPr>
                  <w:tcW w:w="390" w:type="pct"/>
                  <w:tcBorders>
                    <w:tl2br w:val="nil"/>
                    <w:tr2bl w:val="nil"/>
                  </w:tcBorders>
                  <w:shd w:val="clear" w:color="auto" w:fill="auto"/>
                  <w:noWrap w:val="0"/>
                  <w:vAlign w:val="center"/>
                </w:tcPr>
                <w:p w14:paraId="1B4742D4">
                  <w:pPr>
                    <w:pStyle w:val="40"/>
                    <w:bidi w:val="0"/>
                    <w:rPr>
                      <w:rFonts w:hint="default"/>
                      <w:color w:val="auto"/>
                      <w:spacing w:val="-6"/>
                      <w:sz w:val="21"/>
                      <w:highlight w:val="none"/>
                    </w:rPr>
                  </w:pPr>
                  <w:r>
                    <w:rPr>
                      <w:rFonts w:hint="default"/>
                      <w:color w:val="auto"/>
                      <w:spacing w:val="-6"/>
                      <w:sz w:val="21"/>
                      <w:highlight w:val="none"/>
                      <w:lang w:val="en-US" w:eastAsia="zh-CN"/>
                    </w:rPr>
                    <w:t>15</w:t>
                  </w:r>
                </w:p>
              </w:tc>
              <w:tc>
                <w:tcPr>
                  <w:tcW w:w="398" w:type="pct"/>
                  <w:tcBorders>
                    <w:tl2br w:val="nil"/>
                    <w:tr2bl w:val="nil"/>
                  </w:tcBorders>
                  <w:shd w:val="clear" w:color="auto" w:fill="auto"/>
                  <w:noWrap w:val="0"/>
                  <w:vAlign w:val="center"/>
                </w:tcPr>
                <w:p w14:paraId="4B36810C">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0.5</w:t>
                  </w:r>
                </w:p>
              </w:tc>
              <w:tc>
                <w:tcPr>
                  <w:tcW w:w="483" w:type="pct"/>
                  <w:tcBorders>
                    <w:tl2br w:val="nil"/>
                    <w:tr2bl w:val="nil"/>
                  </w:tcBorders>
                  <w:shd w:val="clear" w:color="auto" w:fill="auto"/>
                  <w:noWrap w:val="0"/>
                  <w:vAlign w:val="center"/>
                </w:tcPr>
                <w:p w14:paraId="24BEA8E8">
                  <w:pPr>
                    <w:pStyle w:val="40"/>
                    <w:bidi w:val="0"/>
                    <w:rPr>
                      <w:rFonts w:hint="default"/>
                      <w:color w:val="auto"/>
                      <w:spacing w:val="-6"/>
                      <w:sz w:val="21"/>
                      <w:highlight w:val="none"/>
                    </w:rPr>
                  </w:pPr>
                  <w:r>
                    <w:rPr>
                      <w:rFonts w:hint="default"/>
                      <w:color w:val="auto"/>
                      <w:spacing w:val="-6"/>
                      <w:sz w:val="21"/>
                      <w:highlight w:val="none"/>
                      <w:lang w:val="en-US" w:eastAsia="zh-CN"/>
                    </w:rPr>
                    <w:t>25</w:t>
                  </w:r>
                </w:p>
              </w:tc>
              <w:tc>
                <w:tcPr>
                  <w:tcW w:w="593" w:type="pct"/>
                  <w:tcBorders>
                    <w:tl2br w:val="nil"/>
                    <w:tr2bl w:val="nil"/>
                  </w:tcBorders>
                  <w:shd w:val="clear" w:color="auto" w:fill="auto"/>
                  <w:noWrap w:val="0"/>
                  <w:vAlign w:val="center"/>
                </w:tcPr>
                <w:p w14:paraId="06083537">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颗粒物</w:t>
                  </w:r>
                </w:p>
              </w:tc>
              <w:tc>
                <w:tcPr>
                  <w:tcW w:w="594" w:type="pct"/>
                  <w:tcBorders>
                    <w:tl2br w:val="nil"/>
                    <w:tr2bl w:val="nil"/>
                  </w:tcBorders>
                  <w:shd w:val="clear" w:color="auto" w:fill="auto"/>
                  <w:noWrap w:val="0"/>
                  <w:vAlign w:val="center"/>
                </w:tcPr>
                <w:p w14:paraId="7ECFD314">
                  <w:pPr>
                    <w:pStyle w:val="40"/>
                    <w:bidi w:val="0"/>
                    <w:ind w:firstLine="0" w:firstLineChars="0"/>
                    <w:rPr>
                      <w:rFonts w:hint="eastAsia"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sz w:val="21"/>
                      <w:highlight w:val="none"/>
                      <w:lang w:val="en-US" w:eastAsia="zh-CN"/>
                    </w:rPr>
                    <w:t>0.878</w:t>
                  </w:r>
                </w:p>
              </w:tc>
              <w:tc>
                <w:tcPr>
                  <w:tcW w:w="940" w:type="pct"/>
                  <w:tcBorders>
                    <w:tl2br w:val="nil"/>
                    <w:tr2bl w:val="nil"/>
                  </w:tcBorders>
                  <w:shd w:val="clear" w:color="auto" w:fill="auto"/>
                  <w:noWrap w:val="0"/>
                  <w:vAlign w:val="center"/>
                </w:tcPr>
                <w:p w14:paraId="6E511A55">
                  <w:pPr>
                    <w:pStyle w:val="40"/>
                    <w:bidi w:val="0"/>
                    <w:rPr>
                      <w:rFonts w:hint="default"/>
                      <w:color w:val="auto"/>
                      <w:spacing w:val="-6"/>
                      <w:sz w:val="21"/>
                      <w:highlight w:val="none"/>
                      <w:lang w:val="en-US" w:eastAsia="zh-CN"/>
                    </w:rPr>
                  </w:pPr>
                  <w:r>
                    <w:rPr>
                      <w:rFonts w:hint="default"/>
                      <w:color w:val="auto"/>
                      <w:spacing w:val="-6"/>
                      <w:sz w:val="21"/>
                      <w:highlight w:val="none"/>
                      <w:lang w:val="en-US" w:eastAsia="zh-CN"/>
                    </w:rPr>
                    <w:t>111°05'27.59</w:t>
                  </w:r>
                  <w:r>
                    <w:rPr>
                      <w:rFonts w:hint="eastAsia"/>
                      <w:color w:val="auto"/>
                      <w:spacing w:val="-6"/>
                      <w:sz w:val="21"/>
                      <w:highlight w:val="none"/>
                      <w:lang w:val="en-US" w:eastAsia="zh-CN"/>
                    </w:rPr>
                    <w:t>7</w:t>
                  </w:r>
                  <w:r>
                    <w:rPr>
                      <w:rFonts w:hint="default"/>
                      <w:color w:val="auto"/>
                      <w:spacing w:val="-6"/>
                      <w:sz w:val="21"/>
                      <w:highlight w:val="none"/>
                      <w:lang w:val="en-US" w:eastAsia="zh-CN"/>
                    </w:rPr>
                    <w:t>"</w:t>
                  </w:r>
                </w:p>
                <w:p w14:paraId="62BA5C3B">
                  <w:pPr>
                    <w:pStyle w:val="40"/>
                    <w:bidi w:val="0"/>
                    <w:rPr>
                      <w:rFonts w:hint="default"/>
                      <w:color w:val="auto"/>
                      <w:spacing w:val="-6"/>
                      <w:sz w:val="21"/>
                      <w:highlight w:val="none"/>
                      <w:lang w:val="en-US" w:eastAsia="zh-CN"/>
                    </w:rPr>
                  </w:pPr>
                  <w:r>
                    <w:rPr>
                      <w:rFonts w:hint="default"/>
                      <w:color w:val="auto"/>
                      <w:spacing w:val="-6"/>
                      <w:sz w:val="21"/>
                      <w:highlight w:val="none"/>
                      <w:lang w:val="en-US" w:eastAsia="zh-CN"/>
                    </w:rPr>
                    <w:t>39°14'47.42</w:t>
                  </w:r>
                  <w:r>
                    <w:rPr>
                      <w:rFonts w:hint="eastAsia"/>
                      <w:color w:val="auto"/>
                      <w:spacing w:val="-6"/>
                      <w:sz w:val="21"/>
                      <w:highlight w:val="none"/>
                      <w:lang w:val="en-US" w:eastAsia="zh-CN"/>
                    </w:rPr>
                    <w:t>7</w:t>
                  </w:r>
                  <w:r>
                    <w:rPr>
                      <w:rFonts w:hint="default"/>
                      <w:color w:val="auto"/>
                      <w:spacing w:val="-6"/>
                      <w:sz w:val="21"/>
                      <w:highlight w:val="none"/>
                      <w:lang w:val="en-US" w:eastAsia="zh-CN"/>
                    </w:rPr>
                    <w:t>"</w:t>
                  </w:r>
                </w:p>
              </w:tc>
            </w:tr>
            <w:tr w14:paraId="4CEE48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7" w:hRule="atLeast"/>
                <w:jc w:val="center"/>
              </w:trPr>
              <w:tc>
                <w:tcPr>
                  <w:tcW w:w="524" w:type="pct"/>
                  <w:tcBorders>
                    <w:tl2br w:val="nil"/>
                    <w:tr2bl w:val="nil"/>
                  </w:tcBorders>
                  <w:shd w:val="clear" w:color="auto" w:fill="auto"/>
                  <w:noWrap w:val="0"/>
                  <w:vAlign w:val="center"/>
                </w:tcPr>
                <w:p w14:paraId="284624CB">
                  <w:pPr>
                    <w:pStyle w:val="40"/>
                    <w:bidi w:val="0"/>
                    <w:rPr>
                      <w:rFonts w:hint="default"/>
                      <w:color w:val="auto"/>
                      <w:spacing w:val="-11"/>
                      <w:sz w:val="21"/>
                      <w:highlight w:val="none"/>
                      <w:lang w:eastAsia="zh-CN"/>
                    </w:rPr>
                  </w:pPr>
                  <w:r>
                    <w:rPr>
                      <w:rFonts w:hint="default"/>
                      <w:color w:val="auto"/>
                      <w:spacing w:val="-11"/>
                      <w:sz w:val="21"/>
                      <w:highlight w:val="none"/>
                      <w:lang w:eastAsia="zh-CN"/>
                    </w:rPr>
                    <w:t>DA003</w:t>
                  </w:r>
                </w:p>
              </w:tc>
              <w:tc>
                <w:tcPr>
                  <w:tcW w:w="1073" w:type="pct"/>
                  <w:tcBorders>
                    <w:tl2br w:val="nil"/>
                    <w:tr2bl w:val="nil"/>
                  </w:tcBorders>
                  <w:shd w:val="clear" w:color="auto" w:fill="auto"/>
                  <w:noWrap w:val="0"/>
                  <w:vAlign w:val="center"/>
                </w:tcPr>
                <w:p w14:paraId="274DACA5">
                  <w:pPr>
                    <w:pStyle w:val="40"/>
                    <w:bidi w:val="0"/>
                    <w:rPr>
                      <w:rFonts w:hint="default"/>
                      <w:color w:val="auto"/>
                      <w:spacing w:val="0"/>
                      <w:sz w:val="21"/>
                      <w:highlight w:val="none"/>
                      <w:lang w:val="en-US" w:eastAsia="zh-CN"/>
                    </w:rPr>
                  </w:pPr>
                  <w:r>
                    <w:rPr>
                      <w:rFonts w:hint="eastAsia"/>
                      <w:color w:val="auto"/>
                      <w:spacing w:val="0"/>
                      <w:sz w:val="21"/>
                      <w:highlight w:val="none"/>
                      <w:lang w:val="en-US" w:eastAsia="zh-CN"/>
                    </w:rPr>
                    <w:t>成球包膜废气排放口</w:t>
                  </w:r>
                </w:p>
              </w:tc>
              <w:tc>
                <w:tcPr>
                  <w:tcW w:w="390" w:type="pct"/>
                  <w:tcBorders>
                    <w:tl2br w:val="nil"/>
                    <w:tr2bl w:val="nil"/>
                  </w:tcBorders>
                  <w:shd w:val="clear" w:color="auto" w:fill="auto"/>
                  <w:noWrap w:val="0"/>
                  <w:vAlign w:val="center"/>
                </w:tcPr>
                <w:p w14:paraId="5C03A0A4">
                  <w:pPr>
                    <w:pStyle w:val="40"/>
                    <w:bidi w:val="0"/>
                    <w:rPr>
                      <w:rFonts w:hint="default"/>
                      <w:color w:val="auto"/>
                      <w:spacing w:val="-6"/>
                      <w:sz w:val="21"/>
                      <w:highlight w:val="none"/>
                      <w:lang w:val="en-US" w:eastAsia="zh-CN"/>
                    </w:rPr>
                  </w:pPr>
                  <w:r>
                    <w:rPr>
                      <w:rFonts w:hint="default"/>
                      <w:color w:val="auto"/>
                      <w:spacing w:val="-6"/>
                      <w:sz w:val="21"/>
                      <w:highlight w:val="none"/>
                      <w:lang w:val="en-US" w:eastAsia="zh-CN"/>
                    </w:rPr>
                    <w:t>15</w:t>
                  </w:r>
                </w:p>
              </w:tc>
              <w:tc>
                <w:tcPr>
                  <w:tcW w:w="398" w:type="pct"/>
                  <w:tcBorders>
                    <w:tl2br w:val="nil"/>
                    <w:tr2bl w:val="nil"/>
                  </w:tcBorders>
                  <w:shd w:val="clear" w:color="auto" w:fill="auto"/>
                  <w:noWrap w:val="0"/>
                  <w:vAlign w:val="center"/>
                </w:tcPr>
                <w:p w14:paraId="56F35066">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0.6</w:t>
                  </w:r>
                </w:p>
              </w:tc>
              <w:tc>
                <w:tcPr>
                  <w:tcW w:w="483" w:type="pct"/>
                  <w:tcBorders>
                    <w:tl2br w:val="nil"/>
                    <w:tr2bl w:val="nil"/>
                  </w:tcBorders>
                  <w:shd w:val="clear" w:color="auto" w:fill="auto"/>
                  <w:noWrap w:val="0"/>
                  <w:vAlign w:val="center"/>
                </w:tcPr>
                <w:p w14:paraId="3E7506D9">
                  <w:pPr>
                    <w:pStyle w:val="40"/>
                    <w:bidi w:val="0"/>
                    <w:rPr>
                      <w:rFonts w:hint="default"/>
                      <w:color w:val="auto"/>
                      <w:spacing w:val="-6"/>
                      <w:sz w:val="21"/>
                      <w:highlight w:val="none"/>
                    </w:rPr>
                  </w:pPr>
                  <w:r>
                    <w:rPr>
                      <w:rFonts w:hint="default"/>
                      <w:color w:val="auto"/>
                      <w:spacing w:val="-6"/>
                      <w:sz w:val="21"/>
                      <w:highlight w:val="none"/>
                    </w:rPr>
                    <w:t>25</w:t>
                  </w:r>
                </w:p>
              </w:tc>
              <w:tc>
                <w:tcPr>
                  <w:tcW w:w="593" w:type="pct"/>
                  <w:tcBorders>
                    <w:tl2br w:val="nil"/>
                    <w:tr2bl w:val="nil"/>
                  </w:tcBorders>
                  <w:shd w:val="clear" w:color="auto" w:fill="auto"/>
                  <w:noWrap w:val="0"/>
                  <w:vAlign w:val="center"/>
                </w:tcPr>
                <w:p w14:paraId="0E317D1C">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颗粒物</w:t>
                  </w:r>
                </w:p>
              </w:tc>
              <w:tc>
                <w:tcPr>
                  <w:tcW w:w="594" w:type="pct"/>
                  <w:tcBorders>
                    <w:tl2br w:val="nil"/>
                    <w:tr2bl w:val="nil"/>
                  </w:tcBorders>
                  <w:shd w:val="clear" w:color="auto" w:fill="auto"/>
                  <w:noWrap w:val="0"/>
                  <w:vAlign w:val="center"/>
                </w:tcPr>
                <w:p w14:paraId="3DACFCC8">
                  <w:pPr>
                    <w:pStyle w:val="40"/>
                    <w:bidi w:val="0"/>
                    <w:ind w:firstLine="0" w:firstLineChars="0"/>
                    <w:rPr>
                      <w:rFonts w:hint="eastAsia"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sz w:val="21"/>
                      <w:highlight w:val="none"/>
                      <w:lang w:val="en-US" w:eastAsia="zh-CN"/>
                    </w:rPr>
                    <w:t>0.972</w:t>
                  </w:r>
                </w:p>
              </w:tc>
              <w:tc>
                <w:tcPr>
                  <w:tcW w:w="940" w:type="pct"/>
                  <w:tcBorders>
                    <w:tl2br w:val="nil"/>
                    <w:tr2bl w:val="nil"/>
                  </w:tcBorders>
                  <w:shd w:val="clear" w:color="auto" w:fill="auto"/>
                  <w:noWrap w:val="0"/>
                  <w:vAlign w:val="center"/>
                </w:tcPr>
                <w:p w14:paraId="5B70C9AF">
                  <w:pPr>
                    <w:pStyle w:val="40"/>
                    <w:bidi w:val="0"/>
                    <w:rPr>
                      <w:rFonts w:hint="default"/>
                      <w:color w:val="auto"/>
                      <w:spacing w:val="-6"/>
                      <w:sz w:val="21"/>
                      <w:highlight w:val="none"/>
                      <w:lang w:val="en-US" w:eastAsia="zh-CN"/>
                    </w:rPr>
                  </w:pPr>
                  <w:r>
                    <w:rPr>
                      <w:rFonts w:hint="default"/>
                      <w:color w:val="auto"/>
                      <w:spacing w:val="-6"/>
                      <w:sz w:val="21"/>
                      <w:highlight w:val="none"/>
                      <w:lang w:val="en-US" w:eastAsia="zh-CN"/>
                    </w:rPr>
                    <w:t>111°05'27.65</w:t>
                  </w:r>
                  <w:r>
                    <w:rPr>
                      <w:rFonts w:hint="eastAsia"/>
                      <w:color w:val="auto"/>
                      <w:spacing w:val="-6"/>
                      <w:sz w:val="21"/>
                      <w:highlight w:val="none"/>
                      <w:lang w:val="en-US" w:eastAsia="zh-CN"/>
                    </w:rPr>
                    <w:t>5</w:t>
                  </w:r>
                  <w:r>
                    <w:rPr>
                      <w:rFonts w:hint="default"/>
                      <w:color w:val="auto"/>
                      <w:spacing w:val="-6"/>
                      <w:sz w:val="21"/>
                      <w:highlight w:val="none"/>
                      <w:lang w:val="en-US" w:eastAsia="zh-CN"/>
                    </w:rPr>
                    <w:t>"</w:t>
                  </w:r>
                </w:p>
                <w:p w14:paraId="4C019770">
                  <w:pPr>
                    <w:pStyle w:val="40"/>
                    <w:bidi w:val="0"/>
                    <w:rPr>
                      <w:rFonts w:hint="default"/>
                      <w:color w:val="auto"/>
                      <w:spacing w:val="-6"/>
                      <w:sz w:val="21"/>
                      <w:highlight w:val="none"/>
                      <w:lang w:val="en-US" w:eastAsia="zh-CN"/>
                    </w:rPr>
                  </w:pPr>
                  <w:r>
                    <w:rPr>
                      <w:rFonts w:hint="default"/>
                      <w:color w:val="auto"/>
                      <w:spacing w:val="-6"/>
                      <w:sz w:val="21"/>
                      <w:highlight w:val="none"/>
                      <w:lang w:val="en-US" w:eastAsia="zh-CN"/>
                    </w:rPr>
                    <w:t>39°14'46.74</w:t>
                  </w:r>
                  <w:r>
                    <w:rPr>
                      <w:rFonts w:hint="eastAsia"/>
                      <w:color w:val="auto"/>
                      <w:spacing w:val="-6"/>
                      <w:sz w:val="21"/>
                      <w:highlight w:val="none"/>
                      <w:lang w:val="en-US" w:eastAsia="zh-CN"/>
                    </w:rPr>
                    <w:t>6</w:t>
                  </w:r>
                  <w:r>
                    <w:rPr>
                      <w:rFonts w:hint="default"/>
                      <w:color w:val="auto"/>
                      <w:spacing w:val="-6"/>
                      <w:sz w:val="21"/>
                      <w:highlight w:val="none"/>
                      <w:lang w:val="en-US" w:eastAsia="zh-CN"/>
                    </w:rPr>
                    <w:t>"</w:t>
                  </w:r>
                </w:p>
              </w:tc>
            </w:tr>
            <w:tr w14:paraId="4CCF4D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24" w:type="pct"/>
                  <w:tcBorders>
                    <w:tl2br w:val="nil"/>
                    <w:tr2bl w:val="nil"/>
                  </w:tcBorders>
                  <w:shd w:val="clear" w:color="auto" w:fill="auto"/>
                  <w:noWrap w:val="0"/>
                  <w:vAlign w:val="center"/>
                </w:tcPr>
                <w:p w14:paraId="6B032A28">
                  <w:pPr>
                    <w:pStyle w:val="40"/>
                    <w:bidi w:val="0"/>
                    <w:rPr>
                      <w:rFonts w:hint="default"/>
                      <w:color w:val="auto"/>
                      <w:spacing w:val="-11"/>
                      <w:sz w:val="21"/>
                      <w:highlight w:val="none"/>
                      <w:lang w:eastAsia="zh-CN"/>
                    </w:rPr>
                  </w:pPr>
                  <w:r>
                    <w:rPr>
                      <w:rFonts w:hint="default"/>
                      <w:color w:val="auto"/>
                      <w:spacing w:val="-11"/>
                      <w:sz w:val="21"/>
                      <w:highlight w:val="none"/>
                      <w:lang w:eastAsia="zh-CN"/>
                    </w:rPr>
                    <w:t>DA00</w:t>
                  </w:r>
                  <w:r>
                    <w:rPr>
                      <w:rFonts w:hint="eastAsia"/>
                      <w:color w:val="auto"/>
                      <w:spacing w:val="-11"/>
                      <w:sz w:val="21"/>
                      <w:highlight w:val="none"/>
                      <w:lang w:val="en-US" w:eastAsia="zh-CN"/>
                    </w:rPr>
                    <w:t>4</w:t>
                  </w:r>
                </w:p>
              </w:tc>
              <w:tc>
                <w:tcPr>
                  <w:tcW w:w="1073" w:type="pct"/>
                  <w:tcBorders>
                    <w:tl2br w:val="nil"/>
                    <w:tr2bl w:val="nil"/>
                  </w:tcBorders>
                  <w:shd w:val="clear" w:color="auto" w:fill="auto"/>
                  <w:noWrap w:val="0"/>
                  <w:vAlign w:val="center"/>
                </w:tcPr>
                <w:p w14:paraId="7C3BEB40">
                  <w:pPr>
                    <w:pStyle w:val="40"/>
                    <w:bidi w:val="0"/>
                    <w:rPr>
                      <w:rFonts w:hint="default"/>
                      <w:color w:val="auto"/>
                      <w:spacing w:val="0"/>
                      <w:sz w:val="21"/>
                      <w:highlight w:val="none"/>
                      <w:lang w:val="en-US" w:eastAsia="zh-CN"/>
                    </w:rPr>
                  </w:pPr>
                  <w:r>
                    <w:rPr>
                      <w:rFonts w:hint="eastAsia"/>
                      <w:color w:val="auto"/>
                      <w:spacing w:val="0"/>
                      <w:sz w:val="21"/>
                      <w:highlight w:val="none"/>
                      <w:lang w:val="en-US" w:eastAsia="zh-CN"/>
                    </w:rPr>
                    <w:t>筛分废气排放口</w:t>
                  </w:r>
                </w:p>
              </w:tc>
              <w:tc>
                <w:tcPr>
                  <w:tcW w:w="390" w:type="pct"/>
                  <w:tcBorders>
                    <w:tl2br w:val="nil"/>
                    <w:tr2bl w:val="nil"/>
                  </w:tcBorders>
                  <w:shd w:val="clear" w:color="auto" w:fill="auto"/>
                  <w:noWrap w:val="0"/>
                  <w:vAlign w:val="center"/>
                </w:tcPr>
                <w:p w14:paraId="3D77A008">
                  <w:pPr>
                    <w:pStyle w:val="40"/>
                    <w:bidi w:val="0"/>
                    <w:ind w:firstLine="0" w:firstLineChars="0"/>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default"/>
                      <w:color w:val="auto"/>
                      <w:spacing w:val="-6"/>
                      <w:sz w:val="21"/>
                      <w:highlight w:val="none"/>
                      <w:lang w:val="en-US" w:eastAsia="zh-CN"/>
                    </w:rPr>
                    <w:t>15</w:t>
                  </w:r>
                </w:p>
              </w:tc>
              <w:tc>
                <w:tcPr>
                  <w:tcW w:w="398" w:type="pct"/>
                  <w:tcBorders>
                    <w:tl2br w:val="nil"/>
                    <w:tr2bl w:val="nil"/>
                  </w:tcBorders>
                  <w:shd w:val="clear" w:color="auto" w:fill="auto"/>
                  <w:noWrap w:val="0"/>
                  <w:vAlign w:val="center"/>
                </w:tcPr>
                <w:p w14:paraId="2ADC43A8">
                  <w:pPr>
                    <w:pStyle w:val="40"/>
                    <w:bidi w:val="0"/>
                    <w:ind w:firstLine="0" w:firstLineChars="0"/>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cs="Times New Roman"/>
                      <w:b w:val="0"/>
                      <w:bCs w:val="0"/>
                      <w:color w:val="auto"/>
                      <w:spacing w:val="-6"/>
                      <w:kern w:val="2"/>
                      <w:sz w:val="21"/>
                      <w:szCs w:val="21"/>
                      <w:highlight w:val="none"/>
                      <w:lang w:val="en-US" w:eastAsia="zh-CN" w:bidi="ar-SA"/>
                    </w:rPr>
                    <w:t>0.5</w:t>
                  </w:r>
                </w:p>
              </w:tc>
              <w:tc>
                <w:tcPr>
                  <w:tcW w:w="483" w:type="pct"/>
                  <w:tcBorders>
                    <w:tl2br w:val="nil"/>
                    <w:tr2bl w:val="nil"/>
                  </w:tcBorders>
                  <w:shd w:val="clear" w:color="auto" w:fill="auto"/>
                  <w:noWrap w:val="0"/>
                  <w:vAlign w:val="center"/>
                </w:tcPr>
                <w:p w14:paraId="2C9A0B11">
                  <w:pPr>
                    <w:pStyle w:val="40"/>
                    <w:bidi w:val="0"/>
                    <w:ind w:firstLine="0" w:firstLineChars="0"/>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default"/>
                      <w:color w:val="auto"/>
                      <w:spacing w:val="-6"/>
                      <w:sz w:val="21"/>
                      <w:highlight w:val="none"/>
                      <w:lang w:val="en-US" w:eastAsia="zh-CN"/>
                    </w:rPr>
                    <w:t>25</w:t>
                  </w:r>
                </w:p>
              </w:tc>
              <w:tc>
                <w:tcPr>
                  <w:tcW w:w="593" w:type="pct"/>
                  <w:tcBorders>
                    <w:tl2br w:val="nil"/>
                    <w:tr2bl w:val="nil"/>
                  </w:tcBorders>
                  <w:shd w:val="clear" w:color="auto" w:fill="auto"/>
                  <w:noWrap w:val="0"/>
                  <w:vAlign w:val="center"/>
                </w:tcPr>
                <w:p w14:paraId="61AB1B99">
                  <w:pPr>
                    <w:pStyle w:val="40"/>
                    <w:bidi w:val="0"/>
                    <w:ind w:firstLine="0" w:firstLineChars="0"/>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sz w:val="21"/>
                      <w:highlight w:val="none"/>
                      <w:lang w:val="en-US" w:eastAsia="zh-CN"/>
                    </w:rPr>
                    <w:t>颗粒物</w:t>
                  </w:r>
                </w:p>
              </w:tc>
              <w:tc>
                <w:tcPr>
                  <w:tcW w:w="594" w:type="pct"/>
                  <w:tcBorders>
                    <w:tl2br w:val="nil"/>
                    <w:tr2bl w:val="nil"/>
                  </w:tcBorders>
                  <w:shd w:val="clear" w:color="auto" w:fill="auto"/>
                  <w:noWrap w:val="0"/>
                  <w:vAlign w:val="center"/>
                </w:tcPr>
                <w:p w14:paraId="47BD52AB">
                  <w:pPr>
                    <w:pStyle w:val="40"/>
                    <w:bidi w:val="0"/>
                    <w:ind w:firstLine="0" w:firstLineChars="0"/>
                    <w:rPr>
                      <w:rFonts w:hint="eastAsia" w:ascii="Times New Roman" w:hAnsi="Times New Roman" w:eastAsia="宋体" w:cs="Times New Roman"/>
                      <w:b w:val="0"/>
                      <w:bCs w:val="0"/>
                      <w:color w:val="auto"/>
                      <w:spacing w:val="-6"/>
                      <w:kern w:val="2"/>
                      <w:sz w:val="21"/>
                      <w:szCs w:val="21"/>
                      <w:highlight w:val="none"/>
                      <w:lang w:val="en-US" w:eastAsia="zh-CN" w:bidi="ar-SA"/>
                    </w:rPr>
                  </w:pPr>
                  <w:r>
                    <w:rPr>
                      <w:rFonts w:hint="eastAsia" w:cs="Times New Roman"/>
                      <w:b w:val="0"/>
                      <w:bCs w:val="0"/>
                      <w:color w:val="auto"/>
                      <w:spacing w:val="-6"/>
                      <w:kern w:val="2"/>
                      <w:sz w:val="21"/>
                      <w:szCs w:val="21"/>
                      <w:highlight w:val="none"/>
                      <w:lang w:val="en-US" w:eastAsia="zh-CN" w:bidi="ar-SA"/>
                    </w:rPr>
                    <w:t>0.756</w:t>
                  </w:r>
                </w:p>
              </w:tc>
              <w:tc>
                <w:tcPr>
                  <w:tcW w:w="940" w:type="pct"/>
                  <w:tcBorders>
                    <w:tl2br w:val="nil"/>
                    <w:tr2bl w:val="nil"/>
                  </w:tcBorders>
                  <w:shd w:val="clear" w:color="auto" w:fill="auto"/>
                  <w:noWrap w:val="0"/>
                  <w:vAlign w:val="center"/>
                </w:tcPr>
                <w:p w14:paraId="70E00A61">
                  <w:pPr>
                    <w:pStyle w:val="40"/>
                    <w:bidi w:val="0"/>
                    <w:rPr>
                      <w:rFonts w:hint="default"/>
                      <w:color w:val="auto"/>
                      <w:spacing w:val="-6"/>
                      <w:sz w:val="21"/>
                      <w:highlight w:val="none"/>
                      <w:lang w:val="en-US" w:eastAsia="zh-CN"/>
                    </w:rPr>
                  </w:pPr>
                  <w:r>
                    <w:rPr>
                      <w:rFonts w:hint="default"/>
                      <w:color w:val="auto"/>
                      <w:spacing w:val="-6"/>
                      <w:sz w:val="21"/>
                      <w:highlight w:val="none"/>
                      <w:lang w:val="en-US" w:eastAsia="zh-CN"/>
                    </w:rPr>
                    <w:t>111°05'27.88</w:t>
                  </w:r>
                  <w:r>
                    <w:rPr>
                      <w:rFonts w:hint="eastAsia"/>
                      <w:color w:val="auto"/>
                      <w:spacing w:val="-6"/>
                      <w:sz w:val="21"/>
                      <w:highlight w:val="none"/>
                      <w:lang w:val="en-US" w:eastAsia="zh-CN"/>
                    </w:rPr>
                    <w:t>7</w:t>
                  </w:r>
                  <w:r>
                    <w:rPr>
                      <w:rFonts w:hint="default"/>
                      <w:color w:val="auto"/>
                      <w:spacing w:val="-6"/>
                      <w:sz w:val="21"/>
                      <w:highlight w:val="none"/>
                      <w:lang w:val="en-US" w:eastAsia="zh-CN"/>
                    </w:rPr>
                    <w:t>"</w:t>
                  </w:r>
                </w:p>
                <w:p w14:paraId="200BD72B">
                  <w:pPr>
                    <w:pStyle w:val="40"/>
                    <w:bidi w:val="0"/>
                    <w:rPr>
                      <w:rFonts w:hint="default"/>
                      <w:color w:val="auto"/>
                      <w:spacing w:val="-6"/>
                      <w:sz w:val="21"/>
                      <w:highlight w:val="none"/>
                      <w:lang w:val="en-US" w:eastAsia="zh-CN"/>
                    </w:rPr>
                  </w:pPr>
                  <w:r>
                    <w:rPr>
                      <w:rFonts w:hint="default"/>
                      <w:color w:val="auto"/>
                      <w:spacing w:val="-6"/>
                      <w:sz w:val="21"/>
                      <w:highlight w:val="none"/>
                      <w:lang w:val="en-US" w:eastAsia="zh-CN"/>
                    </w:rPr>
                    <w:t>39°14'46.09</w:t>
                  </w:r>
                  <w:r>
                    <w:rPr>
                      <w:rFonts w:hint="eastAsia"/>
                      <w:color w:val="auto"/>
                      <w:spacing w:val="-6"/>
                      <w:sz w:val="21"/>
                      <w:highlight w:val="none"/>
                      <w:lang w:val="en-US" w:eastAsia="zh-CN"/>
                    </w:rPr>
                    <w:t>5</w:t>
                  </w:r>
                  <w:r>
                    <w:rPr>
                      <w:rFonts w:hint="default"/>
                      <w:color w:val="auto"/>
                      <w:spacing w:val="-6"/>
                      <w:sz w:val="21"/>
                      <w:highlight w:val="none"/>
                      <w:lang w:val="en-US" w:eastAsia="zh-CN"/>
                    </w:rPr>
                    <w:t>"</w:t>
                  </w:r>
                </w:p>
              </w:tc>
            </w:tr>
            <w:tr w14:paraId="351444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24" w:type="pct"/>
                  <w:vMerge w:val="restart"/>
                  <w:tcBorders>
                    <w:tl2br w:val="nil"/>
                    <w:tr2bl w:val="nil"/>
                  </w:tcBorders>
                  <w:shd w:val="clear" w:color="auto" w:fill="auto"/>
                  <w:noWrap w:val="0"/>
                  <w:vAlign w:val="center"/>
                </w:tcPr>
                <w:p w14:paraId="3D52B4DB">
                  <w:pPr>
                    <w:pStyle w:val="40"/>
                    <w:bidi w:val="0"/>
                    <w:rPr>
                      <w:rFonts w:hint="default"/>
                      <w:color w:val="auto"/>
                      <w:spacing w:val="-11"/>
                      <w:sz w:val="21"/>
                      <w:highlight w:val="none"/>
                      <w:lang w:eastAsia="zh-CN"/>
                    </w:rPr>
                  </w:pPr>
                  <w:r>
                    <w:rPr>
                      <w:rFonts w:hint="default"/>
                      <w:color w:val="auto"/>
                      <w:spacing w:val="-11"/>
                      <w:sz w:val="21"/>
                      <w:highlight w:val="none"/>
                      <w:lang w:eastAsia="zh-CN"/>
                    </w:rPr>
                    <w:t>DA00</w:t>
                  </w:r>
                  <w:r>
                    <w:rPr>
                      <w:rFonts w:hint="eastAsia"/>
                      <w:color w:val="auto"/>
                      <w:spacing w:val="-11"/>
                      <w:sz w:val="21"/>
                      <w:highlight w:val="none"/>
                      <w:lang w:val="en-US" w:eastAsia="zh-CN"/>
                    </w:rPr>
                    <w:t>5</w:t>
                  </w:r>
                </w:p>
              </w:tc>
              <w:tc>
                <w:tcPr>
                  <w:tcW w:w="1073" w:type="pct"/>
                  <w:vMerge w:val="restart"/>
                  <w:tcBorders>
                    <w:tl2br w:val="nil"/>
                    <w:tr2bl w:val="nil"/>
                  </w:tcBorders>
                  <w:shd w:val="clear" w:color="auto" w:fill="auto"/>
                  <w:noWrap w:val="0"/>
                  <w:vAlign w:val="center"/>
                </w:tcPr>
                <w:p w14:paraId="0954CB98">
                  <w:pPr>
                    <w:pStyle w:val="40"/>
                    <w:bidi w:val="0"/>
                    <w:rPr>
                      <w:rFonts w:hint="default"/>
                      <w:color w:val="auto"/>
                      <w:spacing w:val="0"/>
                      <w:sz w:val="21"/>
                      <w:highlight w:val="none"/>
                      <w:lang w:val="en-US" w:eastAsia="zh-CN"/>
                    </w:rPr>
                  </w:pPr>
                  <w:r>
                    <w:rPr>
                      <w:rFonts w:hint="eastAsia"/>
                      <w:color w:val="auto"/>
                      <w:spacing w:val="0"/>
                      <w:sz w:val="21"/>
                      <w:highlight w:val="none"/>
                      <w:lang w:val="en-US" w:eastAsia="zh-CN"/>
                    </w:rPr>
                    <w:t>锅炉烟气排放口</w:t>
                  </w:r>
                </w:p>
              </w:tc>
              <w:tc>
                <w:tcPr>
                  <w:tcW w:w="390" w:type="pct"/>
                  <w:vMerge w:val="restart"/>
                  <w:tcBorders>
                    <w:tl2br w:val="nil"/>
                    <w:tr2bl w:val="nil"/>
                  </w:tcBorders>
                  <w:shd w:val="clear" w:color="auto" w:fill="auto"/>
                  <w:noWrap w:val="0"/>
                  <w:vAlign w:val="center"/>
                </w:tcPr>
                <w:p w14:paraId="0E2461B0">
                  <w:pPr>
                    <w:pStyle w:val="40"/>
                    <w:bidi w:val="0"/>
                    <w:ind w:firstLine="0" w:firstLineChars="0"/>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sz w:val="21"/>
                      <w:highlight w:val="none"/>
                      <w:lang w:val="en-US" w:eastAsia="zh-CN"/>
                    </w:rPr>
                    <w:t>40</w:t>
                  </w:r>
                </w:p>
              </w:tc>
              <w:tc>
                <w:tcPr>
                  <w:tcW w:w="398" w:type="pct"/>
                  <w:vMerge w:val="restart"/>
                  <w:tcBorders>
                    <w:tl2br w:val="nil"/>
                    <w:tr2bl w:val="nil"/>
                  </w:tcBorders>
                  <w:shd w:val="clear" w:color="auto" w:fill="auto"/>
                  <w:noWrap w:val="0"/>
                  <w:vAlign w:val="center"/>
                </w:tcPr>
                <w:p w14:paraId="5B280A8C">
                  <w:pPr>
                    <w:pStyle w:val="40"/>
                    <w:bidi w:val="0"/>
                    <w:ind w:firstLine="0" w:firstLineChars="0"/>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cs="Times New Roman"/>
                      <w:b w:val="0"/>
                      <w:bCs w:val="0"/>
                      <w:color w:val="auto"/>
                      <w:spacing w:val="-6"/>
                      <w:kern w:val="2"/>
                      <w:sz w:val="21"/>
                      <w:szCs w:val="21"/>
                      <w:highlight w:val="none"/>
                      <w:lang w:val="en-US" w:eastAsia="zh-CN" w:bidi="ar-SA"/>
                    </w:rPr>
                    <w:t>0.8</w:t>
                  </w:r>
                </w:p>
              </w:tc>
              <w:tc>
                <w:tcPr>
                  <w:tcW w:w="483" w:type="pct"/>
                  <w:vMerge w:val="restart"/>
                  <w:tcBorders>
                    <w:tl2br w:val="nil"/>
                    <w:tr2bl w:val="nil"/>
                  </w:tcBorders>
                  <w:shd w:val="clear" w:color="auto" w:fill="auto"/>
                  <w:noWrap w:val="0"/>
                  <w:vAlign w:val="center"/>
                </w:tcPr>
                <w:p w14:paraId="28BA7712">
                  <w:pPr>
                    <w:pStyle w:val="40"/>
                    <w:bidi w:val="0"/>
                    <w:ind w:firstLine="0" w:firstLineChars="0"/>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sz w:val="21"/>
                      <w:highlight w:val="none"/>
                      <w:lang w:val="en-US" w:eastAsia="zh-CN"/>
                    </w:rPr>
                    <w:t>109.85</w:t>
                  </w:r>
                </w:p>
              </w:tc>
              <w:tc>
                <w:tcPr>
                  <w:tcW w:w="593" w:type="pct"/>
                  <w:tcBorders>
                    <w:tl2br w:val="nil"/>
                    <w:tr2bl w:val="nil"/>
                  </w:tcBorders>
                  <w:shd w:val="clear" w:color="auto" w:fill="auto"/>
                  <w:noWrap w:val="0"/>
                  <w:vAlign w:val="center"/>
                </w:tcPr>
                <w:p w14:paraId="286ED262">
                  <w:pPr>
                    <w:pStyle w:val="40"/>
                    <w:bidi w:val="0"/>
                    <w:ind w:firstLine="0" w:firstLineChars="0"/>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cs="Times New Roman"/>
                      <w:b w:val="0"/>
                      <w:bCs w:val="0"/>
                      <w:color w:val="auto"/>
                      <w:spacing w:val="-6"/>
                      <w:kern w:val="2"/>
                      <w:sz w:val="21"/>
                      <w:szCs w:val="21"/>
                      <w:highlight w:val="none"/>
                      <w:lang w:val="en-US" w:eastAsia="zh-CN" w:bidi="ar-SA"/>
                    </w:rPr>
                    <w:t>SO</w:t>
                  </w:r>
                  <w:r>
                    <w:rPr>
                      <w:rFonts w:hint="eastAsia" w:cs="Times New Roman"/>
                      <w:b w:val="0"/>
                      <w:bCs w:val="0"/>
                      <w:color w:val="auto"/>
                      <w:spacing w:val="-6"/>
                      <w:kern w:val="2"/>
                      <w:sz w:val="21"/>
                      <w:szCs w:val="21"/>
                      <w:highlight w:val="none"/>
                      <w:vertAlign w:val="subscript"/>
                      <w:lang w:val="en-US" w:eastAsia="zh-CN" w:bidi="ar-SA"/>
                    </w:rPr>
                    <w:t>2</w:t>
                  </w:r>
                </w:p>
              </w:tc>
              <w:tc>
                <w:tcPr>
                  <w:tcW w:w="964" w:type="dxa"/>
                  <w:tcBorders>
                    <w:tl2br w:val="nil"/>
                    <w:tr2bl w:val="nil"/>
                  </w:tcBorders>
                  <w:shd w:val="clear" w:color="auto" w:fill="auto"/>
                  <w:noWrap w:val="0"/>
                  <w:vAlign w:val="center"/>
                </w:tcPr>
                <w:p w14:paraId="1452314C">
                  <w:pPr>
                    <w:pStyle w:val="40"/>
                    <w:bidi w:val="0"/>
                    <w:ind w:firstLine="0" w:firstLineChars="0"/>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sz w:val="21"/>
                      <w:highlight w:val="none"/>
                      <w:lang w:val="en-US" w:eastAsia="zh-CN"/>
                    </w:rPr>
                    <w:t>3.77</w:t>
                  </w:r>
                </w:p>
              </w:tc>
              <w:tc>
                <w:tcPr>
                  <w:tcW w:w="940" w:type="pct"/>
                  <w:vMerge w:val="restart"/>
                  <w:tcBorders>
                    <w:tl2br w:val="nil"/>
                    <w:tr2bl w:val="nil"/>
                  </w:tcBorders>
                  <w:shd w:val="clear" w:color="auto" w:fill="auto"/>
                  <w:noWrap w:val="0"/>
                  <w:vAlign w:val="center"/>
                </w:tcPr>
                <w:p w14:paraId="4F392203">
                  <w:pPr>
                    <w:pStyle w:val="40"/>
                    <w:bidi w:val="0"/>
                    <w:rPr>
                      <w:rFonts w:hint="default"/>
                      <w:color w:val="auto"/>
                      <w:spacing w:val="-6"/>
                      <w:sz w:val="21"/>
                      <w:highlight w:val="none"/>
                      <w:lang w:val="en-US" w:eastAsia="zh-CN"/>
                    </w:rPr>
                  </w:pPr>
                  <w:r>
                    <w:rPr>
                      <w:rFonts w:hint="default"/>
                      <w:color w:val="auto"/>
                      <w:spacing w:val="-6"/>
                      <w:sz w:val="21"/>
                      <w:highlight w:val="none"/>
                      <w:lang w:val="en-US" w:eastAsia="zh-CN"/>
                    </w:rPr>
                    <w:t>111°05'24.5</w:t>
                  </w:r>
                  <w:r>
                    <w:rPr>
                      <w:rFonts w:hint="eastAsia"/>
                      <w:color w:val="auto"/>
                      <w:spacing w:val="-6"/>
                      <w:sz w:val="21"/>
                      <w:highlight w:val="none"/>
                      <w:lang w:val="en-US" w:eastAsia="zh-CN"/>
                    </w:rPr>
                    <w:t>30</w:t>
                  </w:r>
                  <w:r>
                    <w:rPr>
                      <w:rFonts w:hint="default"/>
                      <w:color w:val="auto"/>
                      <w:spacing w:val="-6"/>
                      <w:sz w:val="21"/>
                      <w:highlight w:val="none"/>
                      <w:lang w:val="en-US" w:eastAsia="zh-CN"/>
                    </w:rPr>
                    <w:t>"</w:t>
                  </w:r>
                </w:p>
                <w:p w14:paraId="1E413462">
                  <w:pPr>
                    <w:pStyle w:val="40"/>
                    <w:bidi w:val="0"/>
                    <w:rPr>
                      <w:rFonts w:hint="default"/>
                      <w:color w:val="auto"/>
                      <w:spacing w:val="-6"/>
                      <w:sz w:val="21"/>
                      <w:highlight w:val="none"/>
                      <w:lang w:val="en-US" w:eastAsia="zh-CN"/>
                    </w:rPr>
                  </w:pPr>
                  <w:r>
                    <w:rPr>
                      <w:rFonts w:hint="default"/>
                      <w:color w:val="auto"/>
                      <w:spacing w:val="-6"/>
                      <w:sz w:val="21"/>
                      <w:highlight w:val="none"/>
                      <w:lang w:val="en-US" w:eastAsia="zh-CN"/>
                    </w:rPr>
                    <w:t>39°14'44.94</w:t>
                  </w:r>
                  <w:r>
                    <w:rPr>
                      <w:rFonts w:hint="eastAsia"/>
                      <w:color w:val="auto"/>
                      <w:spacing w:val="-6"/>
                      <w:sz w:val="21"/>
                      <w:highlight w:val="none"/>
                      <w:lang w:val="en-US" w:eastAsia="zh-CN"/>
                    </w:rPr>
                    <w:t>8</w:t>
                  </w:r>
                  <w:r>
                    <w:rPr>
                      <w:rFonts w:hint="default"/>
                      <w:color w:val="auto"/>
                      <w:spacing w:val="-6"/>
                      <w:sz w:val="21"/>
                      <w:highlight w:val="none"/>
                      <w:lang w:val="en-US" w:eastAsia="zh-CN"/>
                    </w:rPr>
                    <w:t>"</w:t>
                  </w:r>
                </w:p>
              </w:tc>
            </w:tr>
            <w:tr w14:paraId="29767E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7" w:hRule="atLeast"/>
                <w:jc w:val="center"/>
              </w:trPr>
              <w:tc>
                <w:tcPr>
                  <w:tcW w:w="524" w:type="pct"/>
                  <w:vMerge w:val="continue"/>
                  <w:tcBorders>
                    <w:tl2br w:val="nil"/>
                    <w:tr2bl w:val="nil"/>
                  </w:tcBorders>
                  <w:shd w:val="clear" w:color="auto" w:fill="auto"/>
                  <w:noWrap w:val="0"/>
                  <w:vAlign w:val="center"/>
                </w:tcPr>
                <w:p w14:paraId="6613BE1C">
                  <w:pPr>
                    <w:pStyle w:val="40"/>
                    <w:bidi w:val="0"/>
                    <w:ind w:firstLine="0" w:firstLineChars="0"/>
                    <w:rPr>
                      <w:color w:val="auto"/>
                      <w:highlight w:val="none"/>
                    </w:rPr>
                  </w:pPr>
                </w:p>
              </w:tc>
              <w:tc>
                <w:tcPr>
                  <w:tcW w:w="1073" w:type="pct"/>
                  <w:vMerge w:val="continue"/>
                  <w:tcBorders>
                    <w:tl2br w:val="nil"/>
                    <w:tr2bl w:val="nil"/>
                  </w:tcBorders>
                  <w:shd w:val="clear" w:color="auto" w:fill="auto"/>
                  <w:noWrap w:val="0"/>
                  <w:vAlign w:val="center"/>
                </w:tcPr>
                <w:p w14:paraId="743DE22A">
                  <w:pPr>
                    <w:pStyle w:val="40"/>
                    <w:bidi w:val="0"/>
                    <w:ind w:firstLine="0" w:firstLineChars="0"/>
                    <w:rPr>
                      <w:color w:val="auto"/>
                      <w:highlight w:val="none"/>
                    </w:rPr>
                  </w:pPr>
                </w:p>
              </w:tc>
              <w:tc>
                <w:tcPr>
                  <w:tcW w:w="390" w:type="pct"/>
                  <w:vMerge w:val="continue"/>
                  <w:tcBorders>
                    <w:tl2br w:val="nil"/>
                    <w:tr2bl w:val="nil"/>
                  </w:tcBorders>
                  <w:shd w:val="clear" w:color="auto" w:fill="auto"/>
                  <w:noWrap w:val="0"/>
                  <w:vAlign w:val="center"/>
                </w:tcPr>
                <w:p w14:paraId="3E9B06AB">
                  <w:pPr>
                    <w:pStyle w:val="40"/>
                    <w:bidi w:val="0"/>
                    <w:ind w:firstLine="0" w:firstLineChars="0"/>
                    <w:rPr>
                      <w:color w:val="auto"/>
                      <w:highlight w:val="none"/>
                    </w:rPr>
                  </w:pPr>
                </w:p>
              </w:tc>
              <w:tc>
                <w:tcPr>
                  <w:tcW w:w="398" w:type="pct"/>
                  <w:vMerge w:val="continue"/>
                  <w:tcBorders>
                    <w:tl2br w:val="nil"/>
                    <w:tr2bl w:val="nil"/>
                  </w:tcBorders>
                  <w:shd w:val="clear" w:color="auto" w:fill="auto"/>
                  <w:noWrap w:val="0"/>
                  <w:vAlign w:val="center"/>
                </w:tcPr>
                <w:p w14:paraId="22C4FD73">
                  <w:pPr>
                    <w:pStyle w:val="40"/>
                    <w:bidi w:val="0"/>
                    <w:ind w:firstLine="0" w:firstLineChars="0"/>
                    <w:rPr>
                      <w:color w:val="auto"/>
                      <w:highlight w:val="none"/>
                    </w:rPr>
                  </w:pPr>
                </w:p>
              </w:tc>
              <w:tc>
                <w:tcPr>
                  <w:tcW w:w="483" w:type="pct"/>
                  <w:vMerge w:val="continue"/>
                  <w:tcBorders>
                    <w:tl2br w:val="nil"/>
                    <w:tr2bl w:val="nil"/>
                  </w:tcBorders>
                  <w:shd w:val="clear" w:color="auto" w:fill="auto"/>
                  <w:noWrap w:val="0"/>
                  <w:vAlign w:val="center"/>
                </w:tcPr>
                <w:p w14:paraId="1A51DCA2">
                  <w:pPr>
                    <w:pStyle w:val="40"/>
                    <w:bidi w:val="0"/>
                    <w:ind w:firstLine="0" w:firstLineChars="0"/>
                    <w:rPr>
                      <w:color w:val="auto"/>
                      <w:highlight w:val="none"/>
                    </w:rPr>
                  </w:pPr>
                </w:p>
              </w:tc>
              <w:tc>
                <w:tcPr>
                  <w:tcW w:w="593" w:type="pct"/>
                  <w:tcBorders>
                    <w:tl2br w:val="nil"/>
                    <w:tr2bl w:val="nil"/>
                  </w:tcBorders>
                  <w:shd w:val="clear" w:color="auto" w:fill="auto"/>
                  <w:noWrap w:val="0"/>
                  <w:vAlign w:val="center"/>
                </w:tcPr>
                <w:p w14:paraId="507F8AD4">
                  <w:pPr>
                    <w:pStyle w:val="40"/>
                    <w:bidi w:val="0"/>
                    <w:ind w:firstLine="0" w:firstLineChars="0"/>
                    <w:rPr>
                      <w:rFonts w:hint="default" w:eastAsia="宋体"/>
                      <w:color w:val="auto"/>
                      <w:highlight w:val="none"/>
                      <w:lang w:val="en-US" w:eastAsia="zh-CN"/>
                    </w:rPr>
                  </w:pPr>
                  <w:r>
                    <w:rPr>
                      <w:rFonts w:hint="eastAsia"/>
                      <w:color w:val="auto"/>
                      <w:highlight w:val="none"/>
                      <w:lang w:val="en-US" w:eastAsia="zh-CN"/>
                    </w:rPr>
                    <w:t>颗粒物</w:t>
                  </w:r>
                </w:p>
              </w:tc>
              <w:tc>
                <w:tcPr>
                  <w:tcW w:w="964" w:type="dxa"/>
                  <w:tcBorders>
                    <w:tl2br w:val="nil"/>
                    <w:tr2bl w:val="nil"/>
                  </w:tcBorders>
                  <w:shd w:val="clear" w:color="auto" w:fill="auto"/>
                  <w:noWrap w:val="0"/>
                  <w:vAlign w:val="center"/>
                </w:tcPr>
                <w:p w14:paraId="29D65944">
                  <w:pPr>
                    <w:pStyle w:val="40"/>
                    <w:bidi w:val="0"/>
                    <w:ind w:firstLine="0" w:firstLineChars="0"/>
                    <w:rPr>
                      <w:rFonts w:hint="default" w:eastAsia="宋体"/>
                      <w:color w:val="auto"/>
                      <w:highlight w:val="none"/>
                      <w:lang w:val="en-US" w:eastAsia="zh-CN"/>
                    </w:rPr>
                  </w:pPr>
                  <w:r>
                    <w:rPr>
                      <w:rFonts w:hint="eastAsia"/>
                      <w:color w:val="auto"/>
                      <w:spacing w:val="-6"/>
                      <w:sz w:val="21"/>
                      <w:highlight w:val="none"/>
                      <w:lang w:val="en-US" w:eastAsia="zh-CN"/>
                    </w:rPr>
                    <w:t>0.914</w:t>
                  </w:r>
                </w:p>
              </w:tc>
              <w:tc>
                <w:tcPr>
                  <w:tcW w:w="940" w:type="pct"/>
                  <w:vMerge w:val="continue"/>
                  <w:tcBorders>
                    <w:tl2br w:val="nil"/>
                    <w:tr2bl w:val="nil"/>
                  </w:tcBorders>
                  <w:shd w:val="clear" w:color="auto" w:fill="auto"/>
                  <w:noWrap w:val="0"/>
                  <w:vAlign w:val="center"/>
                </w:tcPr>
                <w:p w14:paraId="74BF3784">
                  <w:pPr>
                    <w:pStyle w:val="40"/>
                    <w:bidi w:val="0"/>
                    <w:ind w:firstLine="0" w:firstLineChars="0"/>
                    <w:rPr>
                      <w:color w:val="auto"/>
                      <w:highlight w:val="none"/>
                    </w:rPr>
                  </w:pPr>
                </w:p>
              </w:tc>
            </w:tr>
            <w:tr w14:paraId="28EC4A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7" w:hRule="atLeast"/>
                <w:jc w:val="center"/>
              </w:trPr>
              <w:tc>
                <w:tcPr>
                  <w:tcW w:w="524" w:type="pct"/>
                  <w:vMerge w:val="continue"/>
                  <w:tcBorders>
                    <w:tl2br w:val="nil"/>
                    <w:tr2bl w:val="nil"/>
                  </w:tcBorders>
                  <w:shd w:val="clear" w:color="auto" w:fill="auto"/>
                  <w:noWrap w:val="0"/>
                  <w:vAlign w:val="center"/>
                </w:tcPr>
                <w:p w14:paraId="6E9C871D">
                  <w:pPr>
                    <w:pStyle w:val="40"/>
                    <w:bidi w:val="0"/>
                    <w:ind w:firstLine="0" w:firstLineChars="0"/>
                    <w:rPr>
                      <w:color w:val="auto"/>
                      <w:highlight w:val="none"/>
                    </w:rPr>
                  </w:pPr>
                </w:p>
              </w:tc>
              <w:tc>
                <w:tcPr>
                  <w:tcW w:w="1073" w:type="pct"/>
                  <w:vMerge w:val="continue"/>
                  <w:tcBorders>
                    <w:tl2br w:val="nil"/>
                    <w:tr2bl w:val="nil"/>
                  </w:tcBorders>
                  <w:shd w:val="clear" w:color="auto" w:fill="auto"/>
                  <w:noWrap w:val="0"/>
                  <w:vAlign w:val="center"/>
                </w:tcPr>
                <w:p w14:paraId="096CFDC3">
                  <w:pPr>
                    <w:pStyle w:val="40"/>
                    <w:bidi w:val="0"/>
                    <w:ind w:firstLine="0" w:firstLineChars="0"/>
                    <w:rPr>
                      <w:color w:val="auto"/>
                      <w:highlight w:val="none"/>
                    </w:rPr>
                  </w:pPr>
                </w:p>
              </w:tc>
              <w:tc>
                <w:tcPr>
                  <w:tcW w:w="390" w:type="pct"/>
                  <w:vMerge w:val="continue"/>
                  <w:tcBorders>
                    <w:tl2br w:val="nil"/>
                    <w:tr2bl w:val="nil"/>
                  </w:tcBorders>
                  <w:shd w:val="clear" w:color="auto" w:fill="auto"/>
                  <w:noWrap w:val="0"/>
                  <w:vAlign w:val="center"/>
                </w:tcPr>
                <w:p w14:paraId="42DE0F51">
                  <w:pPr>
                    <w:pStyle w:val="40"/>
                    <w:bidi w:val="0"/>
                    <w:ind w:firstLine="0" w:firstLineChars="0"/>
                    <w:rPr>
                      <w:color w:val="auto"/>
                      <w:highlight w:val="none"/>
                    </w:rPr>
                  </w:pPr>
                </w:p>
              </w:tc>
              <w:tc>
                <w:tcPr>
                  <w:tcW w:w="398" w:type="pct"/>
                  <w:vMerge w:val="continue"/>
                  <w:tcBorders>
                    <w:tl2br w:val="nil"/>
                    <w:tr2bl w:val="nil"/>
                  </w:tcBorders>
                  <w:shd w:val="clear" w:color="auto" w:fill="auto"/>
                  <w:noWrap w:val="0"/>
                  <w:vAlign w:val="center"/>
                </w:tcPr>
                <w:p w14:paraId="6EFE77C0">
                  <w:pPr>
                    <w:pStyle w:val="40"/>
                    <w:bidi w:val="0"/>
                    <w:ind w:firstLine="0" w:firstLineChars="0"/>
                    <w:rPr>
                      <w:color w:val="auto"/>
                      <w:highlight w:val="none"/>
                    </w:rPr>
                  </w:pPr>
                </w:p>
              </w:tc>
              <w:tc>
                <w:tcPr>
                  <w:tcW w:w="483" w:type="pct"/>
                  <w:vMerge w:val="continue"/>
                  <w:tcBorders>
                    <w:tl2br w:val="nil"/>
                    <w:tr2bl w:val="nil"/>
                  </w:tcBorders>
                  <w:shd w:val="clear" w:color="auto" w:fill="auto"/>
                  <w:noWrap w:val="0"/>
                  <w:vAlign w:val="center"/>
                </w:tcPr>
                <w:p w14:paraId="27F49A89">
                  <w:pPr>
                    <w:pStyle w:val="40"/>
                    <w:bidi w:val="0"/>
                    <w:ind w:firstLine="0" w:firstLineChars="0"/>
                    <w:rPr>
                      <w:color w:val="auto"/>
                      <w:highlight w:val="none"/>
                    </w:rPr>
                  </w:pPr>
                </w:p>
              </w:tc>
              <w:tc>
                <w:tcPr>
                  <w:tcW w:w="593" w:type="pct"/>
                  <w:tcBorders>
                    <w:tl2br w:val="nil"/>
                    <w:tr2bl w:val="nil"/>
                  </w:tcBorders>
                  <w:shd w:val="clear" w:color="auto" w:fill="auto"/>
                  <w:noWrap w:val="0"/>
                  <w:vAlign w:val="center"/>
                </w:tcPr>
                <w:p w14:paraId="423DEB89">
                  <w:pPr>
                    <w:pStyle w:val="40"/>
                    <w:bidi w:val="0"/>
                    <w:ind w:firstLine="0" w:firstLineChars="0"/>
                    <w:rPr>
                      <w:rFonts w:hint="default" w:eastAsia="宋体"/>
                      <w:color w:val="auto"/>
                      <w:highlight w:val="none"/>
                      <w:lang w:val="en-US" w:eastAsia="zh-CN"/>
                    </w:rPr>
                  </w:pPr>
                  <w:r>
                    <w:rPr>
                      <w:rFonts w:hint="eastAsia"/>
                      <w:color w:val="auto"/>
                      <w:highlight w:val="none"/>
                      <w:lang w:val="en-US" w:eastAsia="zh-CN"/>
                    </w:rPr>
                    <w:t>NO</w:t>
                  </w:r>
                  <w:r>
                    <w:rPr>
                      <w:rFonts w:hint="eastAsia"/>
                      <w:color w:val="auto"/>
                      <w:highlight w:val="none"/>
                      <w:vertAlign w:val="subscript"/>
                      <w:lang w:val="en-US" w:eastAsia="zh-CN"/>
                    </w:rPr>
                    <w:t>X</w:t>
                  </w:r>
                </w:p>
              </w:tc>
              <w:tc>
                <w:tcPr>
                  <w:tcW w:w="964" w:type="dxa"/>
                  <w:tcBorders>
                    <w:tl2br w:val="nil"/>
                    <w:tr2bl w:val="nil"/>
                  </w:tcBorders>
                  <w:shd w:val="clear" w:color="auto" w:fill="auto"/>
                  <w:noWrap w:val="0"/>
                  <w:vAlign w:val="center"/>
                </w:tcPr>
                <w:p w14:paraId="64E21194">
                  <w:pPr>
                    <w:pStyle w:val="40"/>
                    <w:bidi w:val="0"/>
                    <w:ind w:firstLine="0" w:firstLineChars="0"/>
                    <w:rPr>
                      <w:rFonts w:hint="default" w:eastAsia="宋体"/>
                      <w:color w:val="auto"/>
                      <w:highlight w:val="none"/>
                      <w:lang w:val="en-US" w:eastAsia="zh-CN"/>
                    </w:rPr>
                  </w:pPr>
                  <w:r>
                    <w:rPr>
                      <w:rFonts w:hint="eastAsia"/>
                      <w:color w:val="auto"/>
                      <w:spacing w:val="-6"/>
                      <w:sz w:val="21"/>
                      <w:highlight w:val="none"/>
                      <w:lang w:val="en-US" w:eastAsia="zh-CN"/>
                    </w:rPr>
                    <w:t>12.97</w:t>
                  </w:r>
                </w:p>
              </w:tc>
              <w:tc>
                <w:tcPr>
                  <w:tcW w:w="940" w:type="pct"/>
                  <w:vMerge w:val="continue"/>
                  <w:tcBorders>
                    <w:tl2br w:val="nil"/>
                    <w:tr2bl w:val="nil"/>
                  </w:tcBorders>
                  <w:shd w:val="clear" w:color="auto" w:fill="auto"/>
                  <w:noWrap w:val="0"/>
                  <w:vAlign w:val="center"/>
                </w:tcPr>
                <w:p w14:paraId="68755A9F">
                  <w:pPr>
                    <w:pStyle w:val="40"/>
                    <w:bidi w:val="0"/>
                    <w:ind w:firstLine="0" w:firstLineChars="0"/>
                    <w:rPr>
                      <w:color w:val="auto"/>
                      <w:highlight w:val="none"/>
                    </w:rPr>
                  </w:pPr>
                </w:p>
              </w:tc>
            </w:tr>
          </w:tbl>
          <w:p w14:paraId="038AE19B">
            <w:pPr>
              <w:pStyle w:val="41"/>
              <w:bidi w:val="0"/>
              <w:rPr>
                <w:rFonts w:hint="default"/>
                <w:color w:val="auto"/>
                <w:highlight w:val="none"/>
                <w:lang w:val="en-US" w:eastAsia="zh-CN"/>
              </w:rPr>
            </w:pPr>
            <w:r>
              <w:rPr>
                <w:rFonts w:hint="eastAsia"/>
                <w:color w:val="auto"/>
                <w:highlight w:val="none"/>
                <w:lang w:eastAsia="zh-CN"/>
              </w:rPr>
              <w:t>（</w:t>
            </w:r>
            <w:r>
              <w:rPr>
                <w:rFonts w:hint="eastAsia"/>
                <w:color w:val="auto"/>
                <w:highlight w:val="none"/>
                <w:lang w:val="en-US" w:eastAsia="zh-CN"/>
              </w:rPr>
              <w:t>12）主要环保措施可行性分析</w:t>
            </w:r>
          </w:p>
          <w:p w14:paraId="307B641F">
            <w:pPr>
              <w:pStyle w:val="8"/>
              <w:ind w:firstLine="420"/>
              <w:rPr>
                <w:rFonts w:hint="default"/>
                <w:color w:val="auto"/>
                <w:highlight w:val="none"/>
                <w:lang w:val="en-US" w:eastAsia="zh-CN"/>
              </w:rPr>
            </w:pPr>
            <w:r>
              <w:rPr>
                <w:rFonts w:hint="eastAsia"/>
                <w:bCs/>
                <w:color w:val="auto"/>
                <w:highlight w:val="none"/>
              </w:rPr>
              <w:t>本项目</w:t>
            </w:r>
            <w:r>
              <w:rPr>
                <w:bCs/>
                <w:color w:val="auto"/>
                <w:highlight w:val="none"/>
              </w:rPr>
              <w:t>除尘设施主要为</w:t>
            </w:r>
            <w:r>
              <w:rPr>
                <w:rFonts w:hint="eastAsia"/>
                <w:bCs/>
                <w:color w:val="auto"/>
                <w:highlight w:val="none"/>
              </w:rPr>
              <w:t>脉冲布袋除尘器，由于本项目为登记管理，</w:t>
            </w:r>
            <w:r>
              <w:rPr>
                <w:bCs/>
                <w:color w:val="auto"/>
                <w:highlight w:val="none"/>
              </w:rPr>
              <w:t>该行业尚未发布</w:t>
            </w:r>
            <w:r>
              <w:rPr>
                <w:rFonts w:hint="eastAsia"/>
                <w:bCs/>
                <w:color w:val="auto"/>
                <w:highlight w:val="none"/>
              </w:rPr>
              <w:t>可行</w:t>
            </w:r>
            <w:r>
              <w:rPr>
                <w:bCs/>
                <w:color w:val="auto"/>
                <w:highlight w:val="none"/>
              </w:rPr>
              <w:t>技术指南，因此参照</w:t>
            </w:r>
            <w:r>
              <w:rPr>
                <w:rFonts w:hint="eastAsia"/>
                <w:color w:val="auto"/>
                <w:highlight w:val="none"/>
              </w:rPr>
              <w:t>《污染源源强核算技术指南 水泥工业》（HJ 886-2018）</w:t>
            </w:r>
            <w:r>
              <w:rPr>
                <w:rFonts w:hint="eastAsia"/>
                <w:color w:val="auto"/>
                <w:highlight w:val="none"/>
                <w:lang w:val="en-US" w:eastAsia="zh-CN"/>
              </w:rPr>
              <w:t>，指南中“附录C 水泥工业废气污染防治可行技术”，破碎机、水泥磨、包装机及其他通风生产设备产生的颗粒物，采用袋式除尘器是污染防治可行技术，故本项目采取脉冲式布袋除尘器除尘可行；附录C中“物料处理、输送、装卸、储存过程应当封闭，控制颗粒物无组织排放是污染防治可行技术”，故本项目采取蒸压硅酸盐功能骨料生产车间和混凝土生产线全封闭并配套设置喷雾降尘设施的方法可行。</w:t>
            </w:r>
          </w:p>
          <w:p w14:paraId="7407D506">
            <w:pPr>
              <w:bidi w:val="0"/>
              <w:rPr>
                <w:rFonts w:hint="eastAsia"/>
                <w:color w:val="auto"/>
                <w:highlight w:val="none"/>
                <w:lang w:val="en-US" w:eastAsia="zh-CN"/>
              </w:rPr>
            </w:pPr>
            <w:r>
              <w:rPr>
                <w:rFonts w:hint="eastAsia"/>
                <w:bCs/>
                <w:color w:val="auto"/>
                <w:sz w:val="24"/>
                <w:highlight w:val="none"/>
                <w:lang w:val="en-US" w:eastAsia="zh-CN"/>
              </w:rPr>
              <w:t>根据</w:t>
            </w:r>
            <w:r>
              <w:rPr>
                <w:rFonts w:hint="eastAsia"/>
                <w:color w:val="auto"/>
                <w:highlight w:val="none"/>
              </w:rPr>
              <w:t>《排污许可证申请与核发技术规范 锅炉》表7</w:t>
            </w:r>
            <w:r>
              <w:rPr>
                <w:rFonts w:hint="eastAsia"/>
                <w:color w:val="auto"/>
                <w:highlight w:val="none"/>
                <w:lang w:val="en-US" w:eastAsia="zh-CN"/>
              </w:rPr>
              <w:t xml:space="preserve"> </w:t>
            </w:r>
            <w:r>
              <w:rPr>
                <w:rFonts w:hint="eastAsia"/>
                <w:color w:val="auto"/>
                <w:highlight w:val="none"/>
              </w:rPr>
              <w:t>锅炉烟气污染防治可行技术</w:t>
            </w:r>
            <w:r>
              <w:rPr>
                <w:rFonts w:hint="eastAsia"/>
                <w:color w:val="auto"/>
                <w:highlight w:val="none"/>
                <w:lang w:eastAsia="zh-CN"/>
              </w:rPr>
              <w:t>，</w:t>
            </w:r>
            <w:r>
              <w:rPr>
                <w:rFonts w:hint="eastAsia"/>
                <w:color w:val="auto"/>
                <w:highlight w:val="none"/>
                <w:lang w:val="en-US" w:eastAsia="zh-CN"/>
              </w:rPr>
              <w:t>本项目采取</w:t>
            </w:r>
            <w:r>
              <w:rPr>
                <w:rFonts w:hint="eastAsia"/>
                <w:color w:val="auto"/>
                <w:highlight w:val="none"/>
              </w:rPr>
              <w:t>低氮燃烧+多管除尘器</w:t>
            </w:r>
            <w:r>
              <w:rPr>
                <w:color w:val="auto"/>
                <w:highlight w:val="none"/>
              </w:rPr>
              <w:t>+</w:t>
            </w:r>
            <w:r>
              <w:rPr>
                <w:rFonts w:hint="eastAsia"/>
                <w:color w:val="auto"/>
                <w:highlight w:val="none"/>
              </w:rPr>
              <w:t>脉冲布袋除尘器</w:t>
            </w:r>
            <w:r>
              <w:rPr>
                <w:rFonts w:hint="eastAsia"/>
                <w:color w:val="auto"/>
                <w:highlight w:val="none"/>
                <w:lang w:val="en-US" w:eastAsia="zh-CN"/>
              </w:rPr>
              <w:t>污染防治措施，</w:t>
            </w:r>
            <w:r>
              <w:rPr>
                <w:rFonts w:hint="eastAsia"/>
                <w:color w:val="auto"/>
                <w:highlight w:val="none"/>
              </w:rPr>
              <w:t>多管除尘器属于旋风除尘器的一种，</w:t>
            </w:r>
            <w:r>
              <w:rPr>
                <w:rFonts w:hint="eastAsia"/>
                <w:color w:val="auto"/>
                <w:highlight w:val="none"/>
                <w:lang w:val="en-US" w:eastAsia="zh-CN"/>
              </w:rPr>
              <w:t>因此项目采用的环保措施可行。</w:t>
            </w:r>
          </w:p>
          <w:p w14:paraId="5AEC877B">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根据《排污许可证申请与核发技术规范</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锅炉》（HJ</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953-2018）中</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灰场、渣场应及时覆盖并定期洒水。</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设有渣场的应采用挡尘卷帘、围挡等形式的防尘措施</w:t>
            </w:r>
            <w:r>
              <w:rPr>
                <w:rFonts w:hint="eastAsia" w:cs="Times New Roman"/>
                <w:color w:val="auto"/>
                <w:highlight w:val="none"/>
                <w:lang w:eastAsia="zh-CN"/>
              </w:rPr>
              <w:t>”</w:t>
            </w:r>
            <w:r>
              <w:rPr>
                <w:rFonts w:hint="default" w:ascii="Times New Roman" w:hAnsi="Times New Roman" w:cs="Times New Roman"/>
                <w:color w:val="auto"/>
                <w:highlight w:val="none"/>
              </w:rPr>
              <w:t>，本项目锅炉</w:t>
            </w:r>
            <w:r>
              <w:rPr>
                <w:rFonts w:hint="eastAsia" w:ascii="Times New Roman" w:hAnsi="Times New Roman" w:cs="Times New Roman"/>
                <w:color w:val="auto"/>
                <w:highlight w:val="none"/>
                <w:lang w:val="en-US" w:eastAsia="zh-CN"/>
              </w:rPr>
              <w:t>灰渣储库全封闭</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配套喷雾降尘设施</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可减少扬尘、降低灰渣温度，符合该规范</w:t>
            </w:r>
            <w:r>
              <w:rPr>
                <w:rFonts w:hint="eastAsia" w:cs="Times New Roman"/>
                <w:color w:val="auto"/>
                <w:highlight w:val="none"/>
                <w:lang w:val="en-US" w:eastAsia="zh-CN"/>
              </w:rPr>
              <w:t>。</w:t>
            </w:r>
            <w:r>
              <w:rPr>
                <w:rFonts w:hint="eastAsia" w:ascii="Times New Roman" w:hAnsi="Times New Roman" w:cs="Times New Roman"/>
                <w:color w:val="auto"/>
                <w:highlight w:val="none"/>
                <w:lang w:val="en-US" w:eastAsia="zh-CN"/>
              </w:rPr>
              <w:t>生物质锅炉灰渣的本质是草木灰，主要成分是碳酸钾，还含有磷、钙、镁等多种微量元素。洒少量水可以防止草木灰被风吹散，便于储存和运输；在使用时，适量洒水让草木灰变成糊状或泥浆状，可以作为肥料更好地附着在植物根部或者叶片表面，便于植物吸收其中的钾等营养成分。因此</w:t>
            </w:r>
            <w:r>
              <w:rPr>
                <w:rFonts w:hint="eastAsia" w:cs="Times New Roman"/>
                <w:color w:val="auto"/>
                <w:highlight w:val="none"/>
                <w:lang w:val="en-US" w:eastAsia="zh-CN"/>
              </w:rPr>
              <w:t>锅炉灰渣采取的</w:t>
            </w:r>
            <w:r>
              <w:rPr>
                <w:rFonts w:hint="eastAsia" w:ascii="Times New Roman" w:hAnsi="Times New Roman" w:cs="Times New Roman"/>
                <w:color w:val="auto"/>
                <w:highlight w:val="none"/>
                <w:lang w:val="en-US" w:eastAsia="zh-CN"/>
              </w:rPr>
              <w:t>措施可行</w:t>
            </w:r>
            <w:r>
              <w:rPr>
                <w:rFonts w:hint="default" w:ascii="Times New Roman" w:hAnsi="Times New Roman" w:cs="Times New Roman"/>
                <w:color w:val="auto"/>
                <w:highlight w:val="none"/>
              </w:rPr>
              <w:t>。</w:t>
            </w:r>
          </w:p>
          <w:p w14:paraId="06D82666">
            <w:pPr>
              <w:pStyle w:val="41"/>
              <w:bidi w:val="0"/>
              <w:rPr>
                <w:rFonts w:hint="default"/>
                <w:color w:val="auto"/>
                <w:highlight w:val="none"/>
                <w:lang w:val="en-US" w:eastAsia="zh-CN"/>
              </w:rPr>
            </w:pPr>
            <w:r>
              <w:rPr>
                <w:rFonts w:hint="eastAsia"/>
                <w:color w:val="auto"/>
                <w:highlight w:val="none"/>
                <w:lang w:val="en-US" w:eastAsia="zh-CN"/>
              </w:rPr>
              <w:t>5、环境影响分析</w:t>
            </w:r>
          </w:p>
          <w:p w14:paraId="486AF0E9">
            <w:pPr>
              <w:bidi w:val="0"/>
              <w:rPr>
                <w:rFonts w:hint="default" w:eastAsia="宋体"/>
                <w:color w:val="auto"/>
                <w:sz w:val="24"/>
                <w:highlight w:val="none"/>
                <w:lang w:val="en-US" w:eastAsia="zh-CN"/>
              </w:rPr>
            </w:pPr>
            <w:r>
              <w:rPr>
                <w:color w:val="auto"/>
                <w:sz w:val="24"/>
                <w:highlight w:val="none"/>
              </w:rPr>
              <w:t>通过收集的资料及对特征污染物的监测，项目区环境空气质量现状良好；</w:t>
            </w:r>
            <w:r>
              <w:rPr>
                <w:rFonts w:hint="eastAsia"/>
                <w:color w:val="auto"/>
                <w:highlight w:val="none"/>
                <w:lang w:val="en-US" w:eastAsia="zh-CN"/>
              </w:rPr>
              <w:t>项目除西南侧390m有一处村庄外，</w:t>
            </w:r>
            <w:r>
              <w:rPr>
                <w:rFonts w:hint="eastAsia"/>
                <w:color w:val="auto"/>
                <w:highlight w:val="none"/>
              </w:rPr>
              <w:t>500m范围内再无</w:t>
            </w:r>
            <w:r>
              <w:rPr>
                <w:rFonts w:hint="eastAsia"/>
                <w:color w:val="auto"/>
                <w:highlight w:val="none"/>
                <w:lang w:val="en-US" w:eastAsia="zh-CN"/>
              </w:rPr>
              <w:t>其他</w:t>
            </w:r>
            <w:r>
              <w:rPr>
                <w:rFonts w:hint="eastAsia"/>
                <w:color w:val="auto"/>
                <w:highlight w:val="none"/>
              </w:rPr>
              <w:t>居住区、文化区和农村地区中人群较集中的自然保护区域</w:t>
            </w:r>
            <w:r>
              <w:rPr>
                <w:rFonts w:hint="eastAsia"/>
                <w:color w:val="auto"/>
                <w:highlight w:val="none"/>
                <w:lang w:eastAsia="zh-CN"/>
              </w:rPr>
              <w:t>；</w:t>
            </w:r>
            <w:r>
              <w:rPr>
                <w:rFonts w:hint="eastAsia"/>
                <w:color w:val="auto"/>
                <w:highlight w:val="none"/>
                <w:lang w:val="en-US" w:eastAsia="zh-CN"/>
              </w:rPr>
              <w:t>通过采取上述措施，有组织颗粒物浓度能够满足《水泥工业大气污染物排放标准》（GB 4915-2013）表1中20mg/m</w:t>
            </w:r>
            <w:r>
              <w:rPr>
                <w:rFonts w:hint="eastAsia"/>
                <w:color w:val="auto"/>
                <w:highlight w:val="none"/>
                <w:vertAlign w:val="superscript"/>
                <w:lang w:val="en-US" w:eastAsia="zh-CN"/>
              </w:rPr>
              <w:t>3</w:t>
            </w:r>
            <w:r>
              <w:rPr>
                <w:rFonts w:hint="eastAsia"/>
                <w:color w:val="auto"/>
                <w:highlight w:val="none"/>
                <w:vertAlign w:val="baseline"/>
                <w:lang w:val="en-US" w:eastAsia="zh-CN"/>
              </w:rPr>
              <w:t>的浓度限值</w:t>
            </w:r>
            <w:r>
              <w:rPr>
                <w:rFonts w:hint="eastAsia"/>
                <w:color w:val="auto"/>
                <w:highlight w:val="none"/>
                <w:lang w:val="en-US" w:eastAsia="zh-CN"/>
              </w:rPr>
              <w:t>，无组织颗粒物浓度能够满足《水泥工业大气污染物排放标准》（GB 4915-2013）表3中</w:t>
            </w:r>
            <w:r>
              <w:rPr>
                <w:rFonts w:hint="eastAsia" w:cs="宋体"/>
                <w:color w:val="auto"/>
                <w:kern w:val="0"/>
                <w:highlight w:val="none"/>
                <w:lang w:val="en-US" w:eastAsia="zh-CN"/>
              </w:rPr>
              <w:t>0.5</w:t>
            </w:r>
            <w:r>
              <w:rPr>
                <w:rFonts w:cs="宋体"/>
                <w:color w:val="auto"/>
                <w:kern w:val="0"/>
                <w:highlight w:val="none"/>
              </w:rPr>
              <w:t>mg/m</w:t>
            </w:r>
            <w:r>
              <w:rPr>
                <w:rFonts w:hint="eastAsia" w:cs="宋体"/>
                <w:color w:val="auto"/>
                <w:kern w:val="0"/>
                <w:highlight w:val="none"/>
                <w:vertAlign w:val="superscript"/>
                <w:lang w:val="en-US" w:eastAsia="zh-CN"/>
              </w:rPr>
              <w:t>3</w:t>
            </w:r>
            <w:r>
              <w:rPr>
                <w:rFonts w:hint="eastAsia"/>
                <w:color w:val="auto"/>
                <w:highlight w:val="none"/>
                <w:vertAlign w:val="baseline"/>
                <w:lang w:val="en-US" w:eastAsia="zh-CN"/>
              </w:rPr>
              <w:t>的浓度限值</w:t>
            </w:r>
            <w:r>
              <w:rPr>
                <w:rFonts w:hint="eastAsia" w:cs="宋体"/>
                <w:color w:val="auto"/>
                <w:kern w:val="0"/>
                <w:highlight w:val="none"/>
                <w:vertAlign w:val="baseline"/>
                <w:lang w:val="en-US" w:eastAsia="zh-CN"/>
              </w:rPr>
              <w:t>，锅炉烟气浓度能够满足</w:t>
            </w:r>
            <w:r>
              <w:rPr>
                <w:color w:val="auto"/>
                <w:highlight w:val="none"/>
              </w:rPr>
              <w:t>《锅炉大气污染物排放标准》（DB</w:t>
            </w:r>
            <w:r>
              <w:rPr>
                <w:rFonts w:hint="eastAsia"/>
                <w:color w:val="auto"/>
                <w:highlight w:val="none"/>
                <w:lang w:val="en-US" w:eastAsia="zh-CN"/>
              </w:rPr>
              <w:t xml:space="preserve"> </w:t>
            </w:r>
            <w:r>
              <w:rPr>
                <w:color w:val="auto"/>
                <w:highlight w:val="none"/>
              </w:rPr>
              <w:t>61/1226-2018）</w:t>
            </w:r>
            <w:r>
              <w:rPr>
                <w:rFonts w:hint="eastAsia"/>
                <w:color w:val="auto"/>
                <w:highlight w:val="none"/>
                <w:lang w:val="en-US" w:eastAsia="zh-CN"/>
              </w:rPr>
              <w:t>表5中</w:t>
            </w:r>
            <w:r>
              <w:rPr>
                <w:rFonts w:hint="eastAsia"/>
                <w:color w:val="auto"/>
                <w:highlight w:val="none"/>
              </w:rPr>
              <w:t>SO</w:t>
            </w:r>
            <w:r>
              <w:rPr>
                <w:rFonts w:hint="eastAsia"/>
                <w:color w:val="auto"/>
                <w:highlight w:val="none"/>
                <w:vertAlign w:val="subscript"/>
              </w:rPr>
              <w:t>2</w:t>
            </w:r>
            <w:r>
              <w:rPr>
                <w:rFonts w:hint="eastAsia"/>
                <w:color w:val="auto"/>
                <w:highlight w:val="none"/>
                <w:vertAlign w:val="baseline"/>
                <w:lang w:eastAsia="zh-CN"/>
              </w:rPr>
              <w:t>（</w:t>
            </w:r>
            <w:r>
              <w:rPr>
                <w:rFonts w:hint="eastAsia"/>
                <w:color w:val="auto"/>
                <w:highlight w:val="none"/>
                <w:vertAlign w:val="baseline"/>
                <w:lang w:val="en-US" w:eastAsia="zh-CN"/>
              </w:rPr>
              <w:t>35</w:t>
            </w:r>
            <w:r>
              <w:rPr>
                <w:rFonts w:hint="eastAsia"/>
                <w:color w:val="auto"/>
                <w:highlight w:val="none"/>
                <w:lang w:val="en-US" w:eastAsia="zh-CN"/>
              </w:rPr>
              <w:t>mg/m</w:t>
            </w:r>
            <w:r>
              <w:rPr>
                <w:rFonts w:hint="eastAsia"/>
                <w:color w:val="auto"/>
                <w:highlight w:val="none"/>
                <w:vertAlign w:val="superscript"/>
                <w:lang w:val="en-US" w:eastAsia="zh-CN"/>
              </w:rPr>
              <w:t>3</w:t>
            </w:r>
            <w:r>
              <w:rPr>
                <w:rFonts w:hint="eastAsia"/>
                <w:color w:val="auto"/>
                <w:highlight w:val="none"/>
                <w:vertAlign w:val="baseline"/>
                <w:lang w:val="en-US" w:eastAsia="zh-CN"/>
              </w:rPr>
              <w:t>）</w:t>
            </w:r>
            <w:r>
              <w:rPr>
                <w:rFonts w:hint="eastAsia"/>
                <w:color w:val="auto"/>
                <w:highlight w:val="none"/>
                <w:vertAlign w:val="baseline"/>
                <w:lang w:eastAsia="zh-CN"/>
              </w:rPr>
              <w:t>、</w:t>
            </w:r>
            <w:r>
              <w:rPr>
                <w:rFonts w:hint="eastAsia"/>
                <w:color w:val="auto"/>
                <w:highlight w:val="none"/>
              </w:rPr>
              <w:t>颗粒物</w:t>
            </w:r>
            <w:r>
              <w:rPr>
                <w:rFonts w:hint="eastAsia"/>
                <w:color w:val="auto"/>
                <w:highlight w:val="none"/>
                <w:vertAlign w:val="baseline"/>
                <w:lang w:eastAsia="zh-CN"/>
              </w:rPr>
              <w:t>（</w:t>
            </w:r>
            <w:r>
              <w:rPr>
                <w:rFonts w:hint="eastAsia"/>
                <w:color w:val="auto"/>
                <w:highlight w:val="none"/>
                <w:vertAlign w:val="baseline"/>
                <w:lang w:val="en-US" w:eastAsia="zh-CN"/>
              </w:rPr>
              <w:t>20</w:t>
            </w:r>
            <w:r>
              <w:rPr>
                <w:rFonts w:hint="eastAsia"/>
                <w:color w:val="auto"/>
                <w:highlight w:val="none"/>
                <w:lang w:val="en-US" w:eastAsia="zh-CN"/>
              </w:rPr>
              <w:t>mg/m</w:t>
            </w:r>
            <w:r>
              <w:rPr>
                <w:rFonts w:hint="eastAsia"/>
                <w:color w:val="auto"/>
                <w:highlight w:val="none"/>
                <w:vertAlign w:val="superscript"/>
                <w:lang w:val="en-US" w:eastAsia="zh-CN"/>
              </w:rPr>
              <w:t>3</w:t>
            </w:r>
            <w:r>
              <w:rPr>
                <w:rFonts w:hint="eastAsia"/>
                <w:color w:val="auto"/>
                <w:highlight w:val="none"/>
                <w:vertAlign w:val="baseline"/>
                <w:lang w:val="en-US" w:eastAsia="zh-CN"/>
              </w:rPr>
              <w:t>）</w:t>
            </w:r>
            <w:r>
              <w:rPr>
                <w:rFonts w:hint="eastAsia"/>
                <w:color w:val="auto"/>
                <w:highlight w:val="none"/>
                <w:lang w:val="en-US" w:eastAsia="zh-CN"/>
              </w:rPr>
              <w:t>和</w:t>
            </w:r>
            <w:r>
              <w:rPr>
                <w:rFonts w:hint="eastAsia"/>
                <w:color w:val="auto"/>
                <w:highlight w:val="none"/>
              </w:rPr>
              <w:t>NO</w:t>
            </w:r>
            <w:r>
              <w:rPr>
                <w:rFonts w:hint="eastAsia"/>
                <w:color w:val="auto"/>
                <w:highlight w:val="none"/>
                <w:vertAlign w:val="subscript"/>
              </w:rPr>
              <w:t>X</w:t>
            </w:r>
            <w:r>
              <w:rPr>
                <w:rFonts w:hint="eastAsia"/>
                <w:color w:val="auto"/>
                <w:highlight w:val="none"/>
                <w:vertAlign w:val="baseline"/>
                <w:lang w:eastAsia="zh-CN"/>
              </w:rPr>
              <w:t>（</w:t>
            </w:r>
            <w:r>
              <w:rPr>
                <w:rFonts w:hint="eastAsia"/>
                <w:color w:val="auto"/>
                <w:highlight w:val="none"/>
                <w:vertAlign w:val="baseline"/>
                <w:lang w:val="en-US" w:eastAsia="zh-CN"/>
              </w:rPr>
              <w:t>150</w:t>
            </w:r>
            <w:r>
              <w:rPr>
                <w:rFonts w:hint="eastAsia"/>
                <w:color w:val="auto"/>
                <w:highlight w:val="none"/>
                <w:lang w:val="en-US" w:eastAsia="zh-CN"/>
              </w:rPr>
              <w:t>mg/m</w:t>
            </w:r>
            <w:r>
              <w:rPr>
                <w:rFonts w:hint="eastAsia"/>
                <w:color w:val="auto"/>
                <w:highlight w:val="none"/>
                <w:vertAlign w:val="superscript"/>
                <w:lang w:val="en-US" w:eastAsia="zh-CN"/>
              </w:rPr>
              <w:t>3</w:t>
            </w:r>
            <w:r>
              <w:rPr>
                <w:rFonts w:hint="eastAsia"/>
                <w:color w:val="auto"/>
                <w:highlight w:val="none"/>
                <w:vertAlign w:val="baseline"/>
                <w:lang w:val="en-US" w:eastAsia="zh-CN"/>
              </w:rPr>
              <w:t>）的浓度限值，因此</w:t>
            </w:r>
            <w:r>
              <w:rPr>
                <w:rFonts w:hint="eastAsia" w:cs="宋体"/>
                <w:color w:val="auto"/>
                <w:kern w:val="0"/>
                <w:highlight w:val="none"/>
                <w:vertAlign w:val="baseline"/>
                <w:lang w:val="en-US" w:eastAsia="zh-CN"/>
              </w:rPr>
              <w:t>对周围环境影响较小。</w:t>
            </w:r>
          </w:p>
          <w:p w14:paraId="43CEC23B">
            <w:pPr>
              <w:pStyle w:val="41"/>
              <w:bidi w:val="0"/>
              <w:rPr>
                <w:color w:val="auto"/>
                <w:highlight w:val="none"/>
              </w:rPr>
            </w:pPr>
            <w:r>
              <w:rPr>
                <w:rFonts w:hint="eastAsia"/>
                <w:color w:val="auto"/>
                <w:highlight w:val="none"/>
                <w:lang w:val="en-US" w:eastAsia="zh-CN"/>
              </w:rPr>
              <w:t>6</w:t>
            </w:r>
            <w:r>
              <w:rPr>
                <w:rFonts w:hint="default"/>
                <w:color w:val="auto"/>
                <w:highlight w:val="none"/>
                <w:lang w:val="en-US" w:eastAsia="zh-CN"/>
              </w:rPr>
              <w:t>、</w:t>
            </w:r>
            <w:r>
              <w:rPr>
                <w:color w:val="auto"/>
                <w:highlight w:val="none"/>
              </w:rPr>
              <w:t>监测计划</w:t>
            </w:r>
          </w:p>
          <w:p w14:paraId="0A07CCD2">
            <w:pPr>
              <w:pStyle w:val="8"/>
              <w:ind w:firstLine="420"/>
              <w:rPr>
                <w:rFonts w:hint="eastAsia"/>
                <w:color w:val="auto"/>
                <w:spacing w:val="-6"/>
                <w:sz w:val="24"/>
                <w:highlight w:val="none"/>
              </w:rPr>
            </w:pPr>
            <w:r>
              <w:rPr>
                <w:rFonts w:hint="eastAsia"/>
                <w:color w:val="auto"/>
                <w:highlight w:val="none"/>
              </w:rPr>
              <w:t>本项目排污许可管理属于登记管理，参照</w:t>
            </w:r>
            <w:r>
              <w:rPr>
                <w:color w:val="auto"/>
                <w:highlight w:val="none"/>
              </w:rPr>
              <w:t>《排污单位自行监测技术指南 总则》（HJ</w:t>
            </w:r>
            <w:r>
              <w:rPr>
                <w:rFonts w:hint="eastAsia"/>
                <w:color w:val="auto"/>
                <w:highlight w:val="none"/>
              </w:rPr>
              <w:t xml:space="preserve"> </w:t>
            </w:r>
            <w:r>
              <w:rPr>
                <w:color w:val="auto"/>
                <w:highlight w:val="none"/>
              </w:rPr>
              <w:t>819-2017）</w:t>
            </w:r>
            <w:r>
              <w:rPr>
                <w:rFonts w:hint="eastAsia"/>
                <w:color w:val="auto"/>
                <w:highlight w:val="none"/>
              </w:rPr>
              <w:t>、《排污单位自行监测技术指南 火力发电及锅炉》</w:t>
            </w:r>
            <w:r>
              <w:rPr>
                <w:rFonts w:hint="eastAsia"/>
                <w:color w:val="auto"/>
                <w:spacing w:val="-6"/>
                <w:sz w:val="24"/>
                <w:highlight w:val="none"/>
              </w:rPr>
              <w:t>（HJ 1248-2017）</w:t>
            </w:r>
            <w:r>
              <w:rPr>
                <w:color w:val="auto"/>
                <w:spacing w:val="-6"/>
                <w:sz w:val="24"/>
                <w:highlight w:val="none"/>
              </w:rPr>
              <w:t>等相关要求</w:t>
            </w:r>
            <w:r>
              <w:rPr>
                <w:rFonts w:hint="eastAsia"/>
                <w:color w:val="auto"/>
                <w:spacing w:val="-6"/>
                <w:sz w:val="24"/>
                <w:highlight w:val="none"/>
              </w:rPr>
              <w:t>制定自行监测计划。</w:t>
            </w:r>
            <w:r>
              <w:rPr>
                <w:rFonts w:hint="eastAsia"/>
                <w:color w:val="auto"/>
                <w:spacing w:val="-6"/>
                <w:sz w:val="24"/>
                <w:highlight w:val="none"/>
                <w:lang w:val="en-US" w:eastAsia="zh-CN"/>
              </w:rPr>
              <w:t>根据</w:t>
            </w:r>
            <w:r>
              <w:rPr>
                <w:rFonts w:hint="eastAsia"/>
                <w:color w:val="auto"/>
                <w:spacing w:val="-6"/>
                <w:sz w:val="24"/>
                <w:highlight w:val="none"/>
              </w:rPr>
              <w:t>HJ 1248-2017</w:t>
            </w:r>
            <w:r>
              <w:rPr>
                <w:rFonts w:hint="eastAsia"/>
                <w:color w:val="auto"/>
                <w:spacing w:val="-6"/>
                <w:sz w:val="24"/>
                <w:highlight w:val="none"/>
                <w:lang w:eastAsia="zh-CN"/>
              </w:rPr>
              <w:t>，</w:t>
            </w:r>
            <w:r>
              <w:rPr>
                <w:rFonts w:hint="eastAsia"/>
                <w:color w:val="auto"/>
                <w:spacing w:val="-6"/>
                <w:sz w:val="24"/>
                <w:highlight w:val="none"/>
                <w:lang w:val="en-US" w:eastAsia="zh-CN"/>
              </w:rPr>
              <w:t>生物质锅炉</w:t>
            </w:r>
            <w:r>
              <w:rPr>
                <w:rFonts w:hint="eastAsia" w:eastAsia="宋体"/>
                <w:color w:val="auto"/>
                <w:highlight w:val="none"/>
                <w:lang w:val="en-US" w:eastAsia="zh-CN"/>
              </w:rPr>
              <w:t>参照以油为燃料的锅炉或燃气轮机组。</w:t>
            </w:r>
            <w:r>
              <w:rPr>
                <w:rFonts w:hint="eastAsia"/>
                <w:color w:val="auto"/>
                <w:spacing w:val="-6"/>
                <w:sz w:val="24"/>
                <w:highlight w:val="none"/>
              </w:rPr>
              <w:t>本项目运营期</w:t>
            </w:r>
            <w:r>
              <w:rPr>
                <w:rFonts w:hint="eastAsia"/>
                <w:color w:val="auto"/>
                <w:spacing w:val="-6"/>
                <w:sz w:val="24"/>
                <w:highlight w:val="none"/>
                <w:lang w:val="en-US" w:eastAsia="zh-CN"/>
              </w:rPr>
              <w:t>废气</w:t>
            </w:r>
            <w:r>
              <w:rPr>
                <w:rFonts w:hint="eastAsia"/>
                <w:color w:val="auto"/>
                <w:spacing w:val="-6"/>
                <w:sz w:val="24"/>
                <w:highlight w:val="none"/>
              </w:rPr>
              <w:t>监测计划见</w:t>
            </w:r>
            <w:r>
              <w:rPr>
                <w:rFonts w:hint="eastAsia"/>
                <w:color w:val="auto"/>
                <w:spacing w:val="-6"/>
                <w:sz w:val="24"/>
                <w:highlight w:val="none"/>
                <w:lang w:eastAsia="zh-CN"/>
              </w:rPr>
              <w:fldChar w:fldCharType="begin"/>
            </w:r>
            <w:r>
              <w:rPr>
                <w:rFonts w:hint="eastAsia"/>
                <w:color w:val="auto"/>
                <w:spacing w:val="-6"/>
                <w:sz w:val="24"/>
                <w:highlight w:val="none"/>
                <w:lang w:eastAsia="zh-CN"/>
              </w:rPr>
              <w:instrText xml:space="preserve"> REF _Ref20152 \h </w:instrText>
            </w:r>
            <w:r>
              <w:rPr>
                <w:rFonts w:hint="eastAsia"/>
                <w:color w:val="auto"/>
                <w:spacing w:val="-6"/>
                <w:sz w:val="24"/>
                <w:highlight w:val="none"/>
                <w:lang w:eastAsia="zh-CN"/>
              </w:rPr>
              <w:fldChar w:fldCharType="separate"/>
            </w:r>
            <w:r>
              <w:rPr>
                <w:color w:val="auto"/>
                <w:spacing w:val="-6"/>
                <w:sz w:val="24"/>
                <w:highlight w:val="none"/>
              </w:rPr>
              <w:t>表4-5</w:t>
            </w:r>
            <w:r>
              <w:rPr>
                <w:rFonts w:hint="eastAsia"/>
                <w:color w:val="auto"/>
                <w:spacing w:val="-6"/>
                <w:sz w:val="24"/>
                <w:highlight w:val="none"/>
                <w:lang w:eastAsia="zh-CN"/>
              </w:rPr>
              <w:fldChar w:fldCharType="end"/>
            </w:r>
            <w:r>
              <w:rPr>
                <w:rFonts w:hint="eastAsia"/>
                <w:color w:val="auto"/>
                <w:spacing w:val="-6"/>
                <w:sz w:val="24"/>
                <w:highlight w:val="none"/>
              </w:rPr>
              <w:t>。</w:t>
            </w:r>
          </w:p>
          <w:p w14:paraId="04CEEF4B">
            <w:pPr>
              <w:pStyle w:val="7"/>
              <w:rPr>
                <w:color w:val="auto"/>
                <w:highlight w:val="none"/>
              </w:rPr>
            </w:pPr>
            <w:bookmarkStart w:id="56" w:name="_Ref20152"/>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5</w:t>
            </w:r>
            <w:r>
              <w:rPr>
                <w:color w:val="auto"/>
                <w:highlight w:val="none"/>
              </w:rPr>
              <w:fldChar w:fldCharType="end"/>
            </w:r>
            <w:bookmarkEnd w:id="56"/>
            <w:r>
              <w:rPr>
                <w:color w:val="auto"/>
                <w:highlight w:val="none"/>
              </w:rPr>
              <w:t xml:space="preserve">  废气监测计划表</w:t>
            </w:r>
          </w:p>
          <w:tbl>
            <w:tblPr>
              <w:tblStyle w:val="25"/>
              <w:tblW w:w="814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3"/>
              <w:gridCol w:w="2481"/>
              <w:gridCol w:w="1685"/>
              <w:gridCol w:w="1027"/>
              <w:gridCol w:w="1073"/>
              <w:gridCol w:w="1215"/>
            </w:tblGrid>
            <w:tr w14:paraId="1D573B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63" w:type="dxa"/>
                  <w:tcBorders>
                    <w:tl2br w:val="nil"/>
                    <w:tr2bl w:val="nil"/>
                  </w:tcBorders>
                  <w:vAlign w:val="center"/>
                </w:tcPr>
                <w:p w14:paraId="666B1689">
                  <w:pPr>
                    <w:pStyle w:val="40"/>
                    <w:bidi w:val="0"/>
                    <w:rPr>
                      <w:rFonts w:hint="default"/>
                      <w:color w:val="auto"/>
                      <w:spacing w:val="-6"/>
                      <w:highlight w:val="none"/>
                      <w:lang w:val="en-US" w:eastAsia="zh-CN"/>
                    </w:rPr>
                  </w:pPr>
                  <w:r>
                    <w:rPr>
                      <w:rFonts w:hint="eastAsia"/>
                      <w:color w:val="auto"/>
                      <w:spacing w:val="-6"/>
                      <w:highlight w:val="none"/>
                      <w:lang w:val="en-US" w:eastAsia="zh-CN"/>
                    </w:rPr>
                    <w:t>序号</w:t>
                  </w:r>
                </w:p>
              </w:tc>
              <w:tc>
                <w:tcPr>
                  <w:tcW w:w="2481" w:type="dxa"/>
                  <w:tcBorders>
                    <w:tl2br w:val="nil"/>
                    <w:tr2bl w:val="nil"/>
                  </w:tcBorders>
                  <w:vAlign w:val="center"/>
                </w:tcPr>
                <w:p w14:paraId="1168C12A">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监测点位</w:t>
                  </w:r>
                </w:p>
              </w:tc>
              <w:tc>
                <w:tcPr>
                  <w:tcW w:w="1685" w:type="dxa"/>
                  <w:tcBorders>
                    <w:tl2br w:val="nil"/>
                    <w:tr2bl w:val="nil"/>
                  </w:tcBorders>
                  <w:vAlign w:val="center"/>
                </w:tcPr>
                <w:p w14:paraId="59CC6D33">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监测因子</w:t>
                  </w:r>
                </w:p>
              </w:tc>
              <w:tc>
                <w:tcPr>
                  <w:tcW w:w="1027" w:type="dxa"/>
                  <w:tcBorders>
                    <w:tl2br w:val="nil"/>
                    <w:tr2bl w:val="nil"/>
                  </w:tcBorders>
                  <w:vAlign w:val="center"/>
                </w:tcPr>
                <w:p w14:paraId="1BE9FB54">
                  <w:pPr>
                    <w:pStyle w:val="40"/>
                    <w:bidi w:val="0"/>
                    <w:rPr>
                      <w:rFonts w:hint="default"/>
                      <w:color w:val="auto"/>
                      <w:spacing w:val="-6"/>
                      <w:highlight w:val="none"/>
                      <w:lang w:val="en-US" w:eastAsia="zh-CN"/>
                    </w:rPr>
                  </w:pPr>
                  <w:r>
                    <w:rPr>
                      <w:rFonts w:hint="eastAsia"/>
                      <w:color w:val="auto"/>
                      <w:spacing w:val="-6"/>
                      <w:sz w:val="21"/>
                      <w:highlight w:val="none"/>
                      <w:lang w:val="en-US" w:eastAsia="zh-CN"/>
                    </w:rPr>
                    <w:t>监测点数</w:t>
                  </w:r>
                </w:p>
              </w:tc>
              <w:tc>
                <w:tcPr>
                  <w:tcW w:w="1073" w:type="dxa"/>
                  <w:tcBorders>
                    <w:tl2br w:val="nil"/>
                    <w:tr2bl w:val="nil"/>
                  </w:tcBorders>
                  <w:vAlign w:val="center"/>
                </w:tcPr>
                <w:p w14:paraId="63086AA2">
                  <w:pPr>
                    <w:pStyle w:val="40"/>
                    <w:bidi w:val="0"/>
                    <w:rPr>
                      <w:rFonts w:hint="default"/>
                      <w:color w:val="auto"/>
                      <w:spacing w:val="-6"/>
                      <w:highlight w:val="none"/>
                      <w:lang w:val="en-US" w:eastAsia="zh-CN"/>
                    </w:rPr>
                  </w:pPr>
                  <w:r>
                    <w:rPr>
                      <w:rFonts w:hint="eastAsia"/>
                      <w:color w:val="auto"/>
                      <w:spacing w:val="-6"/>
                      <w:sz w:val="21"/>
                      <w:highlight w:val="none"/>
                      <w:lang w:val="en-US" w:eastAsia="zh-CN"/>
                    </w:rPr>
                    <w:t>监测频率</w:t>
                  </w:r>
                </w:p>
              </w:tc>
              <w:tc>
                <w:tcPr>
                  <w:tcW w:w="1215" w:type="dxa"/>
                  <w:tcBorders>
                    <w:tl2br w:val="nil"/>
                    <w:tr2bl w:val="nil"/>
                  </w:tcBorders>
                  <w:vAlign w:val="center"/>
                </w:tcPr>
                <w:p w14:paraId="70E0D545">
                  <w:pPr>
                    <w:pStyle w:val="40"/>
                    <w:bidi w:val="0"/>
                    <w:rPr>
                      <w:rFonts w:hint="default"/>
                      <w:color w:val="auto"/>
                      <w:spacing w:val="-6"/>
                      <w:highlight w:val="none"/>
                      <w:lang w:val="en-US" w:eastAsia="zh-CN"/>
                    </w:rPr>
                  </w:pPr>
                  <w:r>
                    <w:rPr>
                      <w:rFonts w:hint="eastAsia"/>
                      <w:color w:val="auto"/>
                      <w:spacing w:val="-6"/>
                      <w:highlight w:val="none"/>
                      <w:lang w:val="en-US" w:eastAsia="zh-CN"/>
                    </w:rPr>
                    <w:t>备注</w:t>
                  </w:r>
                </w:p>
              </w:tc>
            </w:tr>
            <w:tr w14:paraId="15599D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63" w:type="dxa"/>
                  <w:tcBorders>
                    <w:tl2br w:val="nil"/>
                    <w:tr2bl w:val="nil"/>
                  </w:tcBorders>
                  <w:vAlign w:val="center"/>
                </w:tcPr>
                <w:p w14:paraId="1F6AB0FD">
                  <w:pPr>
                    <w:pStyle w:val="40"/>
                    <w:bidi w:val="0"/>
                    <w:rPr>
                      <w:rFonts w:hint="default"/>
                      <w:color w:val="auto"/>
                      <w:spacing w:val="-6"/>
                      <w:highlight w:val="none"/>
                      <w:lang w:val="en-US" w:eastAsia="zh-CN"/>
                    </w:rPr>
                  </w:pPr>
                  <w:r>
                    <w:rPr>
                      <w:rFonts w:hint="eastAsia"/>
                      <w:color w:val="auto"/>
                      <w:spacing w:val="-6"/>
                      <w:highlight w:val="none"/>
                      <w:lang w:val="en-US" w:eastAsia="zh-CN"/>
                    </w:rPr>
                    <w:t>1</w:t>
                  </w:r>
                </w:p>
              </w:tc>
              <w:tc>
                <w:tcPr>
                  <w:tcW w:w="2481" w:type="dxa"/>
                  <w:tcBorders>
                    <w:tl2br w:val="nil"/>
                    <w:tr2bl w:val="nil"/>
                  </w:tcBorders>
                  <w:shd w:val="clear" w:color="auto" w:fill="auto"/>
                  <w:vAlign w:val="center"/>
                </w:tcPr>
                <w:p w14:paraId="4A9B6737">
                  <w:pPr>
                    <w:pStyle w:val="40"/>
                    <w:bidi w:val="0"/>
                    <w:ind w:firstLine="0" w:firstLineChars="0"/>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sz w:val="21"/>
                      <w:highlight w:val="none"/>
                      <w:lang w:val="en-US" w:eastAsia="zh-CN"/>
                    </w:rPr>
                    <w:t>球磨废气排放口（DA001）</w:t>
                  </w:r>
                </w:p>
              </w:tc>
              <w:tc>
                <w:tcPr>
                  <w:tcW w:w="1685" w:type="dxa"/>
                  <w:tcBorders>
                    <w:tl2br w:val="nil"/>
                    <w:tr2bl w:val="nil"/>
                  </w:tcBorders>
                  <w:vAlign w:val="center"/>
                </w:tcPr>
                <w:p w14:paraId="18E5FC5A">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有组织颗粒物</w:t>
                  </w:r>
                </w:p>
              </w:tc>
              <w:tc>
                <w:tcPr>
                  <w:tcW w:w="1027" w:type="dxa"/>
                  <w:tcBorders>
                    <w:tl2br w:val="nil"/>
                    <w:tr2bl w:val="nil"/>
                  </w:tcBorders>
                  <w:vAlign w:val="center"/>
                </w:tcPr>
                <w:p w14:paraId="3C606EC3">
                  <w:pPr>
                    <w:pStyle w:val="40"/>
                    <w:bidi w:val="0"/>
                    <w:rPr>
                      <w:rFonts w:hint="default"/>
                      <w:color w:val="auto"/>
                      <w:spacing w:val="-6"/>
                      <w:highlight w:val="none"/>
                      <w:lang w:val="en-US" w:eastAsia="zh-CN"/>
                    </w:rPr>
                  </w:pPr>
                  <w:r>
                    <w:rPr>
                      <w:rFonts w:hint="eastAsia"/>
                      <w:color w:val="auto"/>
                      <w:spacing w:val="-6"/>
                      <w:highlight w:val="none"/>
                      <w:lang w:val="en-US" w:eastAsia="zh-CN"/>
                    </w:rPr>
                    <w:t>1个</w:t>
                  </w:r>
                </w:p>
              </w:tc>
              <w:tc>
                <w:tcPr>
                  <w:tcW w:w="1073" w:type="dxa"/>
                  <w:tcBorders>
                    <w:tl2br w:val="nil"/>
                    <w:tr2bl w:val="nil"/>
                  </w:tcBorders>
                  <w:vAlign w:val="center"/>
                </w:tcPr>
                <w:p w14:paraId="26C88B28">
                  <w:pPr>
                    <w:pStyle w:val="40"/>
                    <w:bidi w:val="0"/>
                    <w:rPr>
                      <w:rFonts w:hint="default"/>
                      <w:color w:val="auto"/>
                      <w:spacing w:val="-6"/>
                      <w:highlight w:val="none"/>
                      <w:lang w:val="en-US" w:eastAsia="zh-CN"/>
                    </w:rPr>
                  </w:pPr>
                  <w:r>
                    <w:rPr>
                      <w:rFonts w:hint="eastAsia"/>
                      <w:color w:val="auto"/>
                      <w:spacing w:val="-6"/>
                      <w:highlight w:val="none"/>
                      <w:lang w:val="en-US" w:eastAsia="zh-CN"/>
                    </w:rPr>
                    <w:t>1次/年</w:t>
                  </w:r>
                </w:p>
              </w:tc>
              <w:tc>
                <w:tcPr>
                  <w:tcW w:w="1215" w:type="dxa"/>
                  <w:vMerge w:val="restart"/>
                  <w:tcBorders>
                    <w:tl2br w:val="nil"/>
                    <w:tr2bl w:val="nil"/>
                  </w:tcBorders>
                  <w:vAlign w:val="center"/>
                </w:tcPr>
                <w:p w14:paraId="272D5313">
                  <w:pPr>
                    <w:pStyle w:val="40"/>
                    <w:bidi w:val="0"/>
                    <w:rPr>
                      <w:rFonts w:hint="eastAsia"/>
                      <w:color w:val="auto"/>
                      <w:spacing w:val="-6"/>
                      <w:highlight w:val="none"/>
                      <w:lang w:val="en-US" w:eastAsia="zh-CN"/>
                    </w:rPr>
                  </w:pPr>
                  <w:r>
                    <w:rPr>
                      <w:rFonts w:hint="eastAsia"/>
                      <w:color w:val="auto"/>
                      <w:spacing w:val="-6"/>
                      <w:sz w:val="21"/>
                      <w:highlight w:val="none"/>
                    </w:rPr>
                    <w:t>监测期间同时记录排放速率、废气量、烟气参数、运行工况等</w:t>
                  </w:r>
                </w:p>
              </w:tc>
            </w:tr>
            <w:tr w14:paraId="3A3B3E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63" w:type="dxa"/>
                  <w:tcBorders>
                    <w:tl2br w:val="nil"/>
                    <w:tr2bl w:val="nil"/>
                  </w:tcBorders>
                  <w:vAlign w:val="center"/>
                </w:tcPr>
                <w:p w14:paraId="2A3DF316">
                  <w:pPr>
                    <w:pStyle w:val="40"/>
                    <w:bidi w:val="0"/>
                    <w:rPr>
                      <w:rFonts w:hint="default"/>
                      <w:color w:val="auto"/>
                      <w:spacing w:val="-6"/>
                      <w:highlight w:val="none"/>
                      <w:lang w:val="en-US" w:eastAsia="zh-CN"/>
                    </w:rPr>
                  </w:pPr>
                  <w:r>
                    <w:rPr>
                      <w:rFonts w:hint="eastAsia"/>
                      <w:color w:val="auto"/>
                      <w:spacing w:val="-6"/>
                      <w:highlight w:val="none"/>
                      <w:lang w:val="en-US" w:eastAsia="zh-CN"/>
                    </w:rPr>
                    <w:t>2</w:t>
                  </w:r>
                </w:p>
              </w:tc>
              <w:tc>
                <w:tcPr>
                  <w:tcW w:w="2481" w:type="dxa"/>
                  <w:tcBorders>
                    <w:tl2br w:val="nil"/>
                    <w:tr2bl w:val="nil"/>
                  </w:tcBorders>
                  <w:shd w:val="clear" w:color="auto" w:fill="auto"/>
                  <w:vAlign w:val="center"/>
                </w:tcPr>
                <w:p w14:paraId="1C732D21">
                  <w:pPr>
                    <w:pStyle w:val="40"/>
                    <w:bidi w:val="0"/>
                    <w:ind w:firstLine="0" w:firstLineChars="0"/>
                    <w:rPr>
                      <w:rFonts w:hint="eastAsia"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sz w:val="21"/>
                      <w:highlight w:val="none"/>
                      <w:lang w:val="en-US" w:eastAsia="zh-CN"/>
                    </w:rPr>
                    <w:t>搅拌废气排放口（DA002）</w:t>
                  </w:r>
                </w:p>
              </w:tc>
              <w:tc>
                <w:tcPr>
                  <w:tcW w:w="1685" w:type="dxa"/>
                  <w:tcBorders>
                    <w:tl2br w:val="nil"/>
                    <w:tr2bl w:val="nil"/>
                  </w:tcBorders>
                  <w:vAlign w:val="center"/>
                </w:tcPr>
                <w:p w14:paraId="588212E0">
                  <w:pPr>
                    <w:pStyle w:val="40"/>
                    <w:bidi w:val="0"/>
                    <w:rPr>
                      <w:rFonts w:hint="eastAsia"/>
                      <w:color w:val="auto"/>
                      <w:spacing w:val="-6"/>
                      <w:sz w:val="21"/>
                      <w:highlight w:val="none"/>
                      <w:lang w:val="en-US" w:eastAsia="zh-CN"/>
                    </w:rPr>
                  </w:pPr>
                  <w:r>
                    <w:rPr>
                      <w:rFonts w:hint="eastAsia"/>
                      <w:color w:val="auto"/>
                      <w:spacing w:val="-6"/>
                      <w:sz w:val="21"/>
                      <w:highlight w:val="none"/>
                      <w:lang w:val="en-US" w:eastAsia="zh-CN"/>
                    </w:rPr>
                    <w:t>有组织颗粒物</w:t>
                  </w:r>
                </w:p>
              </w:tc>
              <w:tc>
                <w:tcPr>
                  <w:tcW w:w="1027" w:type="dxa"/>
                  <w:tcBorders>
                    <w:tl2br w:val="nil"/>
                    <w:tr2bl w:val="nil"/>
                  </w:tcBorders>
                  <w:vAlign w:val="center"/>
                </w:tcPr>
                <w:p w14:paraId="6ED5CB63">
                  <w:pPr>
                    <w:pStyle w:val="40"/>
                    <w:bidi w:val="0"/>
                    <w:rPr>
                      <w:rFonts w:hint="eastAsia"/>
                      <w:color w:val="auto"/>
                      <w:spacing w:val="-6"/>
                      <w:highlight w:val="none"/>
                      <w:lang w:val="en-US" w:eastAsia="zh-CN"/>
                    </w:rPr>
                  </w:pPr>
                  <w:r>
                    <w:rPr>
                      <w:rFonts w:hint="eastAsia"/>
                      <w:color w:val="auto"/>
                      <w:spacing w:val="-6"/>
                      <w:highlight w:val="none"/>
                      <w:lang w:val="en-US" w:eastAsia="zh-CN"/>
                    </w:rPr>
                    <w:t>1个</w:t>
                  </w:r>
                </w:p>
              </w:tc>
              <w:tc>
                <w:tcPr>
                  <w:tcW w:w="1073" w:type="dxa"/>
                  <w:tcBorders>
                    <w:tl2br w:val="nil"/>
                    <w:tr2bl w:val="nil"/>
                  </w:tcBorders>
                  <w:vAlign w:val="center"/>
                </w:tcPr>
                <w:p w14:paraId="058BB22D">
                  <w:pPr>
                    <w:pStyle w:val="40"/>
                    <w:bidi w:val="0"/>
                    <w:rPr>
                      <w:rFonts w:hint="eastAsia"/>
                      <w:color w:val="auto"/>
                      <w:spacing w:val="-6"/>
                      <w:highlight w:val="none"/>
                      <w:lang w:val="en-US" w:eastAsia="zh-CN"/>
                    </w:rPr>
                  </w:pPr>
                  <w:r>
                    <w:rPr>
                      <w:rFonts w:hint="eastAsia"/>
                      <w:color w:val="auto"/>
                      <w:spacing w:val="-6"/>
                      <w:highlight w:val="none"/>
                      <w:lang w:val="en-US" w:eastAsia="zh-CN"/>
                    </w:rPr>
                    <w:t>1次/年</w:t>
                  </w:r>
                </w:p>
              </w:tc>
              <w:tc>
                <w:tcPr>
                  <w:tcW w:w="1215" w:type="dxa"/>
                  <w:vMerge w:val="continue"/>
                  <w:tcBorders>
                    <w:tl2br w:val="nil"/>
                    <w:tr2bl w:val="nil"/>
                  </w:tcBorders>
                  <w:vAlign w:val="center"/>
                </w:tcPr>
                <w:p w14:paraId="17D78F59">
                  <w:pPr>
                    <w:pStyle w:val="40"/>
                    <w:bidi w:val="0"/>
                    <w:rPr>
                      <w:rFonts w:hint="eastAsia"/>
                      <w:color w:val="auto"/>
                      <w:spacing w:val="-6"/>
                      <w:highlight w:val="none"/>
                      <w:lang w:val="en-US" w:eastAsia="zh-CN"/>
                    </w:rPr>
                  </w:pPr>
                </w:p>
              </w:tc>
            </w:tr>
            <w:tr w14:paraId="3794C3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63" w:type="dxa"/>
                  <w:tcBorders>
                    <w:tl2br w:val="nil"/>
                    <w:tr2bl w:val="nil"/>
                  </w:tcBorders>
                  <w:vAlign w:val="center"/>
                </w:tcPr>
                <w:p w14:paraId="54117A6A">
                  <w:pPr>
                    <w:pStyle w:val="40"/>
                    <w:bidi w:val="0"/>
                    <w:rPr>
                      <w:rFonts w:hint="default"/>
                      <w:color w:val="auto"/>
                      <w:spacing w:val="-6"/>
                      <w:highlight w:val="none"/>
                      <w:lang w:val="en-US" w:eastAsia="zh-CN"/>
                    </w:rPr>
                  </w:pPr>
                  <w:r>
                    <w:rPr>
                      <w:rFonts w:hint="eastAsia"/>
                      <w:color w:val="auto"/>
                      <w:spacing w:val="-6"/>
                      <w:highlight w:val="none"/>
                      <w:lang w:val="en-US" w:eastAsia="zh-CN"/>
                    </w:rPr>
                    <w:t>3</w:t>
                  </w:r>
                </w:p>
              </w:tc>
              <w:tc>
                <w:tcPr>
                  <w:tcW w:w="2481" w:type="dxa"/>
                  <w:tcBorders>
                    <w:tl2br w:val="nil"/>
                    <w:tr2bl w:val="nil"/>
                  </w:tcBorders>
                  <w:shd w:val="clear" w:color="auto" w:fill="auto"/>
                  <w:vAlign w:val="center"/>
                </w:tcPr>
                <w:p w14:paraId="3A9A6C49">
                  <w:pPr>
                    <w:pStyle w:val="40"/>
                    <w:bidi w:val="0"/>
                    <w:ind w:firstLine="0" w:firstLineChars="0"/>
                    <w:rPr>
                      <w:rFonts w:hint="eastAsia"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sz w:val="21"/>
                      <w:highlight w:val="none"/>
                      <w:lang w:val="en-US" w:eastAsia="zh-CN"/>
                    </w:rPr>
                    <w:t>成球包膜废气排放口（DA003）</w:t>
                  </w:r>
                </w:p>
              </w:tc>
              <w:tc>
                <w:tcPr>
                  <w:tcW w:w="1685" w:type="dxa"/>
                  <w:tcBorders>
                    <w:tl2br w:val="nil"/>
                    <w:tr2bl w:val="nil"/>
                  </w:tcBorders>
                  <w:vAlign w:val="center"/>
                </w:tcPr>
                <w:p w14:paraId="63ABC0EA">
                  <w:pPr>
                    <w:pStyle w:val="40"/>
                    <w:bidi w:val="0"/>
                    <w:rPr>
                      <w:rFonts w:hint="eastAsia"/>
                      <w:color w:val="auto"/>
                      <w:spacing w:val="-6"/>
                      <w:sz w:val="21"/>
                      <w:highlight w:val="none"/>
                      <w:lang w:val="en-US" w:eastAsia="zh-CN"/>
                    </w:rPr>
                  </w:pPr>
                  <w:r>
                    <w:rPr>
                      <w:rFonts w:hint="eastAsia"/>
                      <w:color w:val="auto"/>
                      <w:spacing w:val="-6"/>
                      <w:sz w:val="21"/>
                      <w:highlight w:val="none"/>
                      <w:lang w:val="en-US" w:eastAsia="zh-CN"/>
                    </w:rPr>
                    <w:t>有组织颗粒物</w:t>
                  </w:r>
                </w:p>
              </w:tc>
              <w:tc>
                <w:tcPr>
                  <w:tcW w:w="1027" w:type="dxa"/>
                  <w:tcBorders>
                    <w:tl2br w:val="nil"/>
                    <w:tr2bl w:val="nil"/>
                  </w:tcBorders>
                  <w:vAlign w:val="center"/>
                </w:tcPr>
                <w:p w14:paraId="1D867561">
                  <w:pPr>
                    <w:pStyle w:val="40"/>
                    <w:bidi w:val="0"/>
                    <w:rPr>
                      <w:rFonts w:hint="eastAsia"/>
                      <w:color w:val="auto"/>
                      <w:spacing w:val="-6"/>
                      <w:highlight w:val="none"/>
                      <w:lang w:val="en-US" w:eastAsia="zh-CN"/>
                    </w:rPr>
                  </w:pPr>
                  <w:r>
                    <w:rPr>
                      <w:rFonts w:hint="eastAsia"/>
                      <w:color w:val="auto"/>
                      <w:spacing w:val="-6"/>
                      <w:highlight w:val="none"/>
                      <w:lang w:val="en-US" w:eastAsia="zh-CN"/>
                    </w:rPr>
                    <w:t>1个</w:t>
                  </w:r>
                </w:p>
              </w:tc>
              <w:tc>
                <w:tcPr>
                  <w:tcW w:w="1073" w:type="dxa"/>
                  <w:tcBorders>
                    <w:tl2br w:val="nil"/>
                    <w:tr2bl w:val="nil"/>
                  </w:tcBorders>
                  <w:vAlign w:val="center"/>
                </w:tcPr>
                <w:p w14:paraId="63D9F598">
                  <w:pPr>
                    <w:pStyle w:val="40"/>
                    <w:bidi w:val="0"/>
                    <w:rPr>
                      <w:rFonts w:hint="eastAsia"/>
                      <w:color w:val="auto"/>
                      <w:spacing w:val="-6"/>
                      <w:highlight w:val="none"/>
                      <w:lang w:val="en-US" w:eastAsia="zh-CN"/>
                    </w:rPr>
                  </w:pPr>
                  <w:r>
                    <w:rPr>
                      <w:rFonts w:hint="eastAsia"/>
                      <w:color w:val="auto"/>
                      <w:spacing w:val="-6"/>
                      <w:highlight w:val="none"/>
                      <w:lang w:val="en-US" w:eastAsia="zh-CN"/>
                    </w:rPr>
                    <w:t>1次/年</w:t>
                  </w:r>
                </w:p>
              </w:tc>
              <w:tc>
                <w:tcPr>
                  <w:tcW w:w="1215" w:type="dxa"/>
                  <w:vMerge w:val="continue"/>
                  <w:tcBorders>
                    <w:tl2br w:val="nil"/>
                    <w:tr2bl w:val="nil"/>
                  </w:tcBorders>
                  <w:vAlign w:val="center"/>
                </w:tcPr>
                <w:p w14:paraId="5CE922D4">
                  <w:pPr>
                    <w:pStyle w:val="40"/>
                    <w:bidi w:val="0"/>
                    <w:rPr>
                      <w:rFonts w:hint="eastAsia"/>
                      <w:color w:val="auto"/>
                      <w:spacing w:val="-6"/>
                      <w:highlight w:val="none"/>
                      <w:lang w:val="en-US" w:eastAsia="zh-CN"/>
                    </w:rPr>
                  </w:pPr>
                </w:p>
              </w:tc>
            </w:tr>
            <w:tr w14:paraId="363F46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63" w:type="dxa"/>
                  <w:tcBorders>
                    <w:tl2br w:val="nil"/>
                    <w:tr2bl w:val="nil"/>
                  </w:tcBorders>
                  <w:vAlign w:val="center"/>
                </w:tcPr>
                <w:p w14:paraId="6D21C152">
                  <w:pPr>
                    <w:pStyle w:val="40"/>
                    <w:bidi w:val="0"/>
                    <w:rPr>
                      <w:rFonts w:hint="default"/>
                      <w:color w:val="auto"/>
                      <w:spacing w:val="-6"/>
                      <w:highlight w:val="none"/>
                      <w:lang w:val="en-US" w:eastAsia="zh-CN"/>
                    </w:rPr>
                  </w:pPr>
                  <w:r>
                    <w:rPr>
                      <w:rFonts w:hint="eastAsia"/>
                      <w:color w:val="auto"/>
                      <w:spacing w:val="-6"/>
                      <w:highlight w:val="none"/>
                      <w:lang w:val="en-US" w:eastAsia="zh-CN"/>
                    </w:rPr>
                    <w:t>4</w:t>
                  </w:r>
                </w:p>
              </w:tc>
              <w:tc>
                <w:tcPr>
                  <w:tcW w:w="2481" w:type="dxa"/>
                  <w:tcBorders>
                    <w:tl2br w:val="nil"/>
                    <w:tr2bl w:val="nil"/>
                  </w:tcBorders>
                  <w:vAlign w:val="center"/>
                </w:tcPr>
                <w:p w14:paraId="5C908C9F">
                  <w:pPr>
                    <w:pStyle w:val="40"/>
                    <w:bidi w:val="0"/>
                    <w:rPr>
                      <w:rFonts w:hint="eastAsia"/>
                      <w:color w:val="auto"/>
                      <w:spacing w:val="-6"/>
                      <w:sz w:val="21"/>
                      <w:highlight w:val="none"/>
                      <w:lang w:val="en-US" w:eastAsia="zh-CN"/>
                    </w:rPr>
                  </w:pPr>
                  <w:r>
                    <w:rPr>
                      <w:rFonts w:hint="eastAsia"/>
                      <w:color w:val="auto"/>
                      <w:spacing w:val="-6"/>
                      <w:sz w:val="21"/>
                      <w:highlight w:val="none"/>
                      <w:lang w:val="en-US" w:eastAsia="zh-CN"/>
                    </w:rPr>
                    <w:t>筛分废气排放口（DA004）</w:t>
                  </w:r>
                </w:p>
              </w:tc>
              <w:tc>
                <w:tcPr>
                  <w:tcW w:w="1685" w:type="dxa"/>
                  <w:tcBorders>
                    <w:tl2br w:val="nil"/>
                    <w:tr2bl w:val="nil"/>
                  </w:tcBorders>
                  <w:vAlign w:val="center"/>
                </w:tcPr>
                <w:p w14:paraId="3431FB2F">
                  <w:pPr>
                    <w:pStyle w:val="40"/>
                    <w:bidi w:val="0"/>
                    <w:rPr>
                      <w:rFonts w:hint="eastAsia"/>
                      <w:color w:val="auto"/>
                      <w:spacing w:val="-6"/>
                      <w:sz w:val="21"/>
                      <w:highlight w:val="none"/>
                      <w:lang w:val="en-US" w:eastAsia="zh-CN"/>
                    </w:rPr>
                  </w:pPr>
                  <w:r>
                    <w:rPr>
                      <w:rFonts w:hint="eastAsia"/>
                      <w:color w:val="auto"/>
                      <w:spacing w:val="-6"/>
                      <w:sz w:val="21"/>
                      <w:highlight w:val="none"/>
                      <w:lang w:val="en-US" w:eastAsia="zh-CN"/>
                    </w:rPr>
                    <w:t>有组织颗粒物</w:t>
                  </w:r>
                </w:p>
              </w:tc>
              <w:tc>
                <w:tcPr>
                  <w:tcW w:w="1027" w:type="dxa"/>
                  <w:tcBorders>
                    <w:tl2br w:val="nil"/>
                    <w:tr2bl w:val="nil"/>
                  </w:tcBorders>
                  <w:vAlign w:val="center"/>
                </w:tcPr>
                <w:p w14:paraId="372FA2FA">
                  <w:pPr>
                    <w:pStyle w:val="40"/>
                    <w:bidi w:val="0"/>
                    <w:rPr>
                      <w:rFonts w:hint="eastAsia"/>
                      <w:color w:val="auto"/>
                      <w:spacing w:val="-6"/>
                      <w:highlight w:val="none"/>
                      <w:lang w:val="en-US" w:eastAsia="zh-CN"/>
                    </w:rPr>
                  </w:pPr>
                  <w:r>
                    <w:rPr>
                      <w:rFonts w:hint="eastAsia"/>
                      <w:color w:val="auto"/>
                      <w:spacing w:val="-6"/>
                      <w:highlight w:val="none"/>
                      <w:lang w:val="en-US" w:eastAsia="zh-CN"/>
                    </w:rPr>
                    <w:t>1个</w:t>
                  </w:r>
                </w:p>
              </w:tc>
              <w:tc>
                <w:tcPr>
                  <w:tcW w:w="1073" w:type="dxa"/>
                  <w:tcBorders>
                    <w:tl2br w:val="nil"/>
                    <w:tr2bl w:val="nil"/>
                  </w:tcBorders>
                  <w:shd w:val="clear" w:color="auto" w:fill="auto"/>
                  <w:vAlign w:val="center"/>
                </w:tcPr>
                <w:p w14:paraId="3AE19192">
                  <w:pPr>
                    <w:pStyle w:val="40"/>
                    <w:bidi w:val="0"/>
                    <w:ind w:firstLine="0" w:firstLineChars="0"/>
                    <w:rPr>
                      <w:rFonts w:hint="eastAsia"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highlight w:val="none"/>
                      <w:lang w:val="en-US" w:eastAsia="zh-CN"/>
                    </w:rPr>
                    <w:t>1次/年</w:t>
                  </w:r>
                </w:p>
              </w:tc>
              <w:tc>
                <w:tcPr>
                  <w:tcW w:w="1215" w:type="dxa"/>
                  <w:vMerge w:val="continue"/>
                  <w:tcBorders>
                    <w:tl2br w:val="nil"/>
                    <w:tr2bl w:val="nil"/>
                  </w:tcBorders>
                  <w:vAlign w:val="center"/>
                </w:tcPr>
                <w:p w14:paraId="09F309D2">
                  <w:pPr>
                    <w:pStyle w:val="40"/>
                    <w:bidi w:val="0"/>
                    <w:rPr>
                      <w:rFonts w:hint="eastAsia"/>
                      <w:color w:val="auto"/>
                      <w:spacing w:val="-6"/>
                      <w:highlight w:val="none"/>
                    </w:rPr>
                  </w:pPr>
                </w:p>
              </w:tc>
            </w:tr>
            <w:tr w14:paraId="383103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63" w:type="dxa"/>
                  <w:tcBorders>
                    <w:tl2br w:val="nil"/>
                    <w:tr2bl w:val="nil"/>
                  </w:tcBorders>
                  <w:vAlign w:val="center"/>
                </w:tcPr>
                <w:p w14:paraId="0BE5215A">
                  <w:pPr>
                    <w:pStyle w:val="40"/>
                    <w:bidi w:val="0"/>
                    <w:rPr>
                      <w:rFonts w:hint="default"/>
                      <w:color w:val="auto"/>
                      <w:spacing w:val="-6"/>
                      <w:highlight w:val="none"/>
                      <w:lang w:val="en-US" w:eastAsia="zh-CN"/>
                    </w:rPr>
                  </w:pPr>
                  <w:r>
                    <w:rPr>
                      <w:rFonts w:hint="eastAsia"/>
                      <w:color w:val="auto"/>
                      <w:spacing w:val="-6"/>
                      <w:highlight w:val="none"/>
                      <w:lang w:val="en-US" w:eastAsia="zh-CN"/>
                    </w:rPr>
                    <w:t>5</w:t>
                  </w:r>
                </w:p>
              </w:tc>
              <w:tc>
                <w:tcPr>
                  <w:tcW w:w="2481" w:type="dxa"/>
                  <w:tcBorders>
                    <w:tl2br w:val="nil"/>
                    <w:tr2bl w:val="nil"/>
                  </w:tcBorders>
                  <w:vAlign w:val="center"/>
                </w:tcPr>
                <w:p w14:paraId="3D7104B7">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锅炉废气排放口（DA005）</w:t>
                  </w:r>
                </w:p>
              </w:tc>
              <w:tc>
                <w:tcPr>
                  <w:tcW w:w="1685" w:type="dxa"/>
                  <w:tcBorders>
                    <w:tl2br w:val="nil"/>
                    <w:tr2bl w:val="nil"/>
                  </w:tcBorders>
                  <w:vAlign w:val="center"/>
                </w:tcPr>
                <w:p w14:paraId="5C350E6F">
                  <w:pPr>
                    <w:pStyle w:val="40"/>
                    <w:bidi w:val="0"/>
                    <w:rPr>
                      <w:rFonts w:hint="eastAsia"/>
                      <w:color w:val="auto"/>
                      <w:spacing w:val="-6"/>
                      <w:sz w:val="21"/>
                      <w:highlight w:val="none"/>
                      <w:lang w:val="en-US" w:eastAsia="zh-CN"/>
                    </w:rPr>
                  </w:pPr>
                  <w:r>
                    <w:rPr>
                      <w:rFonts w:hint="eastAsia"/>
                      <w:color w:val="auto"/>
                      <w:spacing w:val="-6"/>
                      <w:sz w:val="21"/>
                      <w:highlight w:val="none"/>
                      <w:lang w:val="en-US" w:eastAsia="zh-CN"/>
                    </w:rPr>
                    <w:t>颗粒物、SO</w:t>
                  </w:r>
                  <w:r>
                    <w:rPr>
                      <w:rFonts w:hint="eastAsia"/>
                      <w:color w:val="auto"/>
                      <w:spacing w:val="-6"/>
                      <w:sz w:val="21"/>
                      <w:highlight w:val="none"/>
                      <w:vertAlign w:val="subscript"/>
                      <w:lang w:val="en-US" w:eastAsia="zh-CN"/>
                    </w:rPr>
                    <w:t>2</w:t>
                  </w:r>
                  <w:r>
                    <w:rPr>
                      <w:rFonts w:hint="eastAsia"/>
                      <w:color w:val="auto"/>
                      <w:spacing w:val="-6"/>
                      <w:sz w:val="21"/>
                      <w:highlight w:val="none"/>
                      <w:lang w:val="en-US" w:eastAsia="zh-CN"/>
                    </w:rPr>
                    <w:t>、NO</w:t>
                  </w:r>
                  <w:r>
                    <w:rPr>
                      <w:rFonts w:hint="eastAsia"/>
                      <w:color w:val="auto"/>
                      <w:spacing w:val="-6"/>
                      <w:sz w:val="21"/>
                      <w:highlight w:val="none"/>
                      <w:vertAlign w:val="subscript"/>
                      <w:lang w:val="en-US" w:eastAsia="zh-CN"/>
                    </w:rPr>
                    <w:t>x</w:t>
                  </w:r>
                  <w:r>
                    <w:rPr>
                      <w:rFonts w:hint="eastAsia"/>
                      <w:color w:val="auto"/>
                      <w:spacing w:val="-6"/>
                      <w:sz w:val="21"/>
                      <w:highlight w:val="none"/>
                      <w:lang w:val="en-US" w:eastAsia="zh-CN"/>
                    </w:rPr>
                    <w:t>、林格曼黑度</w:t>
                  </w:r>
                </w:p>
              </w:tc>
              <w:tc>
                <w:tcPr>
                  <w:tcW w:w="1027" w:type="dxa"/>
                  <w:tcBorders>
                    <w:tl2br w:val="nil"/>
                    <w:tr2bl w:val="nil"/>
                  </w:tcBorders>
                  <w:vAlign w:val="center"/>
                </w:tcPr>
                <w:p w14:paraId="45227D2A">
                  <w:pPr>
                    <w:pStyle w:val="40"/>
                    <w:bidi w:val="0"/>
                    <w:rPr>
                      <w:rFonts w:hint="eastAsia"/>
                      <w:color w:val="auto"/>
                      <w:spacing w:val="-6"/>
                      <w:highlight w:val="none"/>
                      <w:lang w:val="en-US" w:eastAsia="zh-CN"/>
                    </w:rPr>
                  </w:pPr>
                  <w:r>
                    <w:rPr>
                      <w:rFonts w:hint="eastAsia"/>
                      <w:color w:val="auto"/>
                      <w:spacing w:val="-6"/>
                      <w:highlight w:val="none"/>
                      <w:lang w:val="en-US" w:eastAsia="zh-CN"/>
                    </w:rPr>
                    <w:t>1个</w:t>
                  </w:r>
                </w:p>
              </w:tc>
              <w:tc>
                <w:tcPr>
                  <w:tcW w:w="1073" w:type="dxa"/>
                  <w:tcBorders>
                    <w:tl2br w:val="nil"/>
                    <w:tr2bl w:val="nil"/>
                  </w:tcBorders>
                  <w:vAlign w:val="center"/>
                </w:tcPr>
                <w:p w14:paraId="68EA1112">
                  <w:pPr>
                    <w:pStyle w:val="40"/>
                    <w:bidi w:val="0"/>
                    <w:rPr>
                      <w:rFonts w:hint="default"/>
                      <w:color w:val="auto"/>
                      <w:spacing w:val="-6"/>
                      <w:highlight w:val="none"/>
                      <w:lang w:val="en-US" w:eastAsia="zh-CN"/>
                    </w:rPr>
                  </w:pPr>
                  <w:r>
                    <w:rPr>
                      <w:rFonts w:hint="eastAsia"/>
                      <w:color w:val="auto"/>
                      <w:spacing w:val="-6"/>
                      <w:highlight w:val="none"/>
                      <w:lang w:val="en-US" w:eastAsia="zh-CN"/>
                    </w:rPr>
                    <w:t>1次/月</w:t>
                  </w:r>
                </w:p>
              </w:tc>
              <w:tc>
                <w:tcPr>
                  <w:tcW w:w="1215" w:type="dxa"/>
                  <w:vMerge w:val="continue"/>
                  <w:tcBorders>
                    <w:tl2br w:val="nil"/>
                    <w:tr2bl w:val="nil"/>
                  </w:tcBorders>
                  <w:vAlign w:val="center"/>
                </w:tcPr>
                <w:p w14:paraId="132E7464">
                  <w:pPr>
                    <w:pStyle w:val="40"/>
                    <w:bidi w:val="0"/>
                    <w:rPr>
                      <w:rFonts w:hint="eastAsia"/>
                      <w:color w:val="auto"/>
                      <w:spacing w:val="-6"/>
                      <w:highlight w:val="none"/>
                    </w:rPr>
                  </w:pPr>
                </w:p>
              </w:tc>
            </w:tr>
            <w:tr w14:paraId="20A845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63" w:type="dxa"/>
                  <w:tcBorders>
                    <w:tl2br w:val="nil"/>
                    <w:tr2bl w:val="nil"/>
                  </w:tcBorders>
                  <w:vAlign w:val="center"/>
                </w:tcPr>
                <w:p w14:paraId="1820B70F">
                  <w:pPr>
                    <w:pStyle w:val="40"/>
                    <w:bidi w:val="0"/>
                    <w:rPr>
                      <w:rFonts w:hint="default"/>
                      <w:color w:val="auto"/>
                      <w:spacing w:val="-6"/>
                      <w:highlight w:val="none"/>
                      <w:lang w:val="en-US" w:eastAsia="zh-CN"/>
                    </w:rPr>
                  </w:pPr>
                  <w:r>
                    <w:rPr>
                      <w:rFonts w:hint="eastAsia"/>
                      <w:color w:val="auto"/>
                      <w:spacing w:val="-6"/>
                      <w:highlight w:val="none"/>
                      <w:lang w:val="en-US" w:eastAsia="zh-CN"/>
                    </w:rPr>
                    <w:t>6</w:t>
                  </w:r>
                </w:p>
              </w:tc>
              <w:tc>
                <w:tcPr>
                  <w:tcW w:w="2481" w:type="dxa"/>
                  <w:tcBorders>
                    <w:tl2br w:val="nil"/>
                    <w:tr2bl w:val="nil"/>
                  </w:tcBorders>
                  <w:vAlign w:val="center"/>
                </w:tcPr>
                <w:p w14:paraId="5E62ECE0">
                  <w:pPr>
                    <w:pStyle w:val="40"/>
                    <w:bidi w:val="0"/>
                    <w:rPr>
                      <w:rFonts w:hint="eastAsia"/>
                      <w:color w:val="auto"/>
                      <w:spacing w:val="-6"/>
                      <w:sz w:val="21"/>
                      <w:highlight w:val="none"/>
                      <w:lang w:val="en-US" w:eastAsia="zh-CN"/>
                    </w:rPr>
                  </w:pPr>
                  <w:r>
                    <w:rPr>
                      <w:rFonts w:hint="eastAsia"/>
                      <w:color w:val="auto"/>
                      <w:spacing w:val="-6"/>
                      <w:sz w:val="21"/>
                      <w:highlight w:val="none"/>
                      <w:lang w:val="en-US" w:eastAsia="zh-CN"/>
                    </w:rPr>
                    <w:t>厂界上风向设1个参照点，下风向设1个监控点</w:t>
                  </w:r>
                </w:p>
              </w:tc>
              <w:tc>
                <w:tcPr>
                  <w:tcW w:w="1685" w:type="dxa"/>
                  <w:tcBorders>
                    <w:tl2br w:val="nil"/>
                    <w:tr2bl w:val="nil"/>
                  </w:tcBorders>
                  <w:vAlign w:val="center"/>
                </w:tcPr>
                <w:p w14:paraId="6837FEEE">
                  <w:pPr>
                    <w:pStyle w:val="40"/>
                    <w:bidi w:val="0"/>
                    <w:rPr>
                      <w:rFonts w:hint="eastAsia"/>
                      <w:color w:val="auto"/>
                      <w:spacing w:val="-6"/>
                      <w:sz w:val="21"/>
                      <w:highlight w:val="none"/>
                      <w:lang w:val="en-US" w:eastAsia="zh-CN"/>
                    </w:rPr>
                  </w:pPr>
                  <w:r>
                    <w:rPr>
                      <w:rFonts w:hint="eastAsia"/>
                      <w:color w:val="auto"/>
                      <w:spacing w:val="-6"/>
                      <w:sz w:val="21"/>
                      <w:highlight w:val="none"/>
                      <w:lang w:val="en-US" w:eastAsia="zh-CN"/>
                    </w:rPr>
                    <w:t>无组织颗粒物</w:t>
                  </w:r>
                </w:p>
              </w:tc>
              <w:tc>
                <w:tcPr>
                  <w:tcW w:w="1027" w:type="dxa"/>
                  <w:tcBorders>
                    <w:tl2br w:val="nil"/>
                    <w:tr2bl w:val="nil"/>
                  </w:tcBorders>
                  <w:vAlign w:val="center"/>
                </w:tcPr>
                <w:p w14:paraId="6FE2EDEC">
                  <w:pPr>
                    <w:pStyle w:val="40"/>
                    <w:bidi w:val="0"/>
                    <w:rPr>
                      <w:rFonts w:hint="eastAsia"/>
                      <w:color w:val="auto"/>
                      <w:spacing w:val="-6"/>
                      <w:highlight w:val="none"/>
                      <w:lang w:val="en-US" w:eastAsia="zh-CN"/>
                    </w:rPr>
                  </w:pPr>
                  <w:r>
                    <w:rPr>
                      <w:rFonts w:hint="eastAsia"/>
                      <w:color w:val="auto"/>
                      <w:spacing w:val="-6"/>
                      <w:highlight w:val="none"/>
                      <w:lang w:val="en-US" w:eastAsia="zh-CN"/>
                    </w:rPr>
                    <w:t>2个</w:t>
                  </w:r>
                </w:p>
              </w:tc>
              <w:tc>
                <w:tcPr>
                  <w:tcW w:w="1073" w:type="dxa"/>
                  <w:tcBorders>
                    <w:tl2br w:val="nil"/>
                    <w:tr2bl w:val="nil"/>
                  </w:tcBorders>
                  <w:vAlign w:val="center"/>
                </w:tcPr>
                <w:p w14:paraId="2A3492F3">
                  <w:pPr>
                    <w:pStyle w:val="40"/>
                    <w:bidi w:val="0"/>
                    <w:rPr>
                      <w:rFonts w:hint="eastAsia"/>
                      <w:color w:val="auto"/>
                      <w:spacing w:val="-6"/>
                      <w:highlight w:val="none"/>
                      <w:lang w:val="en-US" w:eastAsia="zh-CN"/>
                    </w:rPr>
                  </w:pPr>
                  <w:r>
                    <w:rPr>
                      <w:rFonts w:hint="eastAsia"/>
                      <w:color w:val="auto"/>
                      <w:spacing w:val="-6"/>
                      <w:sz w:val="21"/>
                      <w:highlight w:val="none"/>
                      <w:lang w:val="en-US" w:eastAsia="zh-CN"/>
                    </w:rPr>
                    <w:t>1次/年</w:t>
                  </w:r>
                </w:p>
              </w:tc>
              <w:tc>
                <w:tcPr>
                  <w:tcW w:w="1215" w:type="dxa"/>
                  <w:vMerge w:val="continue"/>
                  <w:tcBorders>
                    <w:tl2br w:val="nil"/>
                    <w:tr2bl w:val="nil"/>
                  </w:tcBorders>
                  <w:vAlign w:val="center"/>
                </w:tcPr>
                <w:p w14:paraId="460BCD0D">
                  <w:pPr>
                    <w:pStyle w:val="40"/>
                    <w:bidi w:val="0"/>
                    <w:rPr>
                      <w:rFonts w:hint="eastAsia"/>
                      <w:color w:val="auto"/>
                      <w:spacing w:val="-6"/>
                      <w:highlight w:val="none"/>
                      <w:lang w:val="en-US" w:eastAsia="zh-CN"/>
                    </w:rPr>
                  </w:pPr>
                </w:p>
              </w:tc>
            </w:tr>
          </w:tbl>
          <w:p w14:paraId="3FFB8330">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rFonts w:hint="eastAsia"/>
                <w:color w:val="auto"/>
                <w:highlight w:val="none"/>
                <w:lang w:val="en-US" w:eastAsia="zh-CN"/>
              </w:rPr>
              <w:t>二、</w:t>
            </w:r>
            <w:r>
              <w:rPr>
                <w:color w:val="auto"/>
                <w:highlight w:val="none"/>
              </w:rPr>
              <w:t>废水环境影响和保护措施</w:t>
            </w:r>
          </w:p>
          <w:p w14:paraId="0ABBA4A9">
            <w:pPr>
              <w:pStyle w:val="41"/>
              <w:bidi w:val="0"/>
              <w:rPr>
                <w:rFonts w:hint="default"/>
                <w:color w:val="auto"/>
                <w:highlight w:val="none"/>
                <w:lang w:val="en-US" w:eastAsia="zh-CN"/>
              </w:rPr>
            </w:pPr>
            <w:r>
              <w:rPr>
                <w:rFonts w:hint="eastAsia"/>
                <w:color w:val="auto"/>
                <w:highlight w:val="none"/>
                <w:lang w:val="en-US" w:eastAsia="zh-CN"/>
              </w:rPr>
              <w:t>1、废水源强</w:t>
            </w:r>
          </w:p>
          <w:p w14:paraId="4314CAA1">
            <w:pPr>
              <w:pStyle w:val="8"/>
              <w:ind w:firstLine="420"/>
              <w:rPr>
                <w:rFonts w:hint="eastAsia"/>
                <w:color w:val="auto"/>
                <w:highlight w:val="none"/>
                <w:lang w:val="en-US" w:eastAsia="zh-CN"/>
              </w:rPr>
            </w:pPr>
            <w:r>
              <w:rPr>
                <w:rFonts w:hint="eastAsia"/>
                <w:color w:val="auto"/>
                <w:highlight w:val="none"/>
              </w:rPr>
              <w:t>废水产生及处理处置情况见</w:t>
            </w:r>
            <w:r>
              <w:rPr>
                <w:rFonts w:hint="eastAsia"/>
                <w:color w:val="auto"/>
                <w:highlight w:val="none"/>
              </w:rPr>
              <w:fldChar w:fldCharType="begin"/>
            </w:r>
            <w:r>
              <w:rPr>
                <w:rFonts w:hint="eastAsia"/>
                <w:color w:val="auto"/>
                <w:highlight w:val="none"/>
              </w:rPr>
              <w:instrText xml:space="preserve"> REF _Ref3613 \h </w:instrText>
            </w:r>
            <w:r>
              <w:rPr>
                <w:rFonts w:hint="eastAsia"/>
                <w:color w:val="auto"/>
                <w:highlight w:val="none"/>
              </w:rPr>
              <w:fldChar w:fldCharType="separate"/>
            </w:r>
            <w:r>
              <w:rPr>
                <w:color w:val="auto"/>
                <w:highlight w:val="none"/>
              </w:rPr>
              <w:t>表4-6</w:t>
            </w:r>
            <w:r>
              <w:rPr>
                <w:rFonts w:hint="eastAsia"/>
                <w:color w:val="auto"/>
                <w:highlight w:val="none"/>
              </w:rPr>
              <w:fldChar w:fldCharType="end"/>
            </w:r>
            <w:r>
              <w:rPr>
                <w:rFonts w:hint="eastAsia"/>
                <w:color w:val="auto"/>
                <w:highlight w:val="none"/>
                <w:lang w:eastAsia="zh-CN"/>
              </w:rPr>
              <w:t>，</w:t>
            </w:r>
            <w:r>
              <w:rPr>
                <w:rFonts w:hint="eastAsia"/>
                <w:color w:val="auto"/>
                <w:highlight w:val="none"/>
              </w:rPr>
              <w:t>核算过程见公用工程-给排水章节内容。</w:t>
            </w:r>
          </w:p>
          <w:p w14:paraId="2EF94487">
            <w:pPr>
              <w:pStyle w:val="7"/>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lang w:val="en-US" w:eastAsia="zh-CN"/>
              </w:rPr>
            </w:pPr>
            <w:bookmarkStart w:id="57" w:name="_Ref3613"/>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6</w:t>
            </w:r>
            <w:r>
              <w:rPr>
                <w:color w:val="auto"/>
                <w:highlight w:val="none"/>
              </w:rPr>
              <w:fldChar w:fldCharType="end"/>
            </w:r>
            <w:bookmarkEnd w:id="57"/>
            <w:r>
              <w:rPr>
                <w:rFonts w:hint="eastAsia"/>
                <w:b/>
                <w:bCs/>
                <w:color w:val="auto"/>
                <w:kern w:val="0"/>
                <w:szCs w:val="21"/>
                <w:highlight w:val="none"/>
                <w:lang w:val="en-US" w:eastAsia="zh-CN"/>
              </w:rPr>
              <w:t xml:space="preserve">  </w:t>
            </w:r>
            <w:r>
              <w:rPr>
                <w:rFonts w:hint="eastAsia"/>
                <w:b/>
                <w:bCs/>
                <w:color w:val="auto"/>
                <w:kern w:val="0"/>
                <w:szCs w:val="21"/>
                <w:highlight w:val="none"/>
              </w:rPr>
              <w:t>废水污染源源强核算结果及相关参数一览表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95"/>
              <w:gridCol w:w="854"/>
              <w:gridCol w:w="1281"/>
              <w:gridCol w:w="680"/>
              <w:gridCol w:w="739"/>
              <w:gridCol w:w="1724"/>
              <w:gridCol w:w="703"/>
              <w:gridCol w:w="435"/>
            </w:tblGrid>
            <w:tr w14:paraId="0729A1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044" w:type="pct"/>
                  <w:vMerge w:val="restart"/>
                  <w:tcBorders>
                    <w:tl2br w:val="nil"/>
                    <w:tr2bl w:val="nil"/>
                  </w:tcBorders>
                  <w:noWrap w:val="0"/>
                  <w:vAlign w:val="center"/>
                </w:tcPr>
                <w:p w14:paraId="3506B8AE">
                  <w:pPr>
                    <w:pStyle w:val="40"/>
                    <w:bidi w:val="0"/>
                    <w:rPr>
                      <w:rFonts w:hint="default" w:eastAsia="宋体"/>
                      <w:color w:val="auto"/>
                      <w:highlight w:val="none"/>
                      <w:lang w:val="en-US" w:eastAsia="zh-CN"/>
                    </w:rPr>
                  </w:pPr>
                  <w:r>
                    <w:rPr>
                      <w:rFonts w:hint="eastAsia"/>
                      <w:color w:val="auto"/>
                      <w:highlight w:val="none"/>
                      <w:lang w:val="en-US" w:eastAsia="zh-CN"/>
                    </w:rPr>
                    <w:t>产污环节及类别</w:t>
                  </w:r>
                </w:p>
              </w:tc>
              <w:tc>
                <w:tcPr>
                  <w:tcW w:w="526" w:type="pct"/>
                  <w:vMerge w:val="restart"/>
                  <w:tcBorders>
                    <w:tl2br w:val="nil"/>
                    <w:tr2bl w:val="nil"/>
                  </w:tcBorders>
                  <w:noWrap w:val="0"/>
                  <w:vAlign w:val="center"/>
                </w:tcPr>
                <w:p w14:paraId="3954C344">
                  <w:pPr>
                    <w:pStyle w:val="40"/>
                    <w:bidi w:val="0"/>
                    <w:rPr>
                      <w:rFonts w:hint="eastAsia"/>
                      <w:color w:val="auto"/>
                      <w:spacing w:val="-11"/>
                      <w:sz w:val="21"/>
                      <w:highlight w:val="none"/>
                    </w:rPr>
                  </w:pPr>
                  <w:r>
                    <w:rPr>
                      <w:rFonts w:hint="eastAsia"/>
                      <w:color w:val="auto"/>
                      <w:spacing w:val="-11"/>
                      <w:sz w:val="21"/>
                      <w:highlight w:val="none"/>
                    </w:rPr>
                    <w:t>污水量</w:t>
                  </w:r>
                </w:p>
                <w:p w14:paraId="38413D4C">
                  <w:pPr>
                    <w:pStyle w:val="40"/>
                    <w:bidi w:val="0"/>
                    <w:rPr>
                      <w:color w:val="auto"/>
                      <w:spacing w:val="-11"/>
                      <w:sz w:val="21"/>
                      <w:highlight w:val="none"/>
                    </w:rPr>
                  </w:pPr>
                  <w:r>
                    <w:rPr>
                      <w:rFonts w:hint="eastAsia"/>
                      <w:color w:val="auto"/>
                      <w:spacing w:val="-11"/>
                      <w:sz w:val="21"/>
                      <w:highlight w:val="none"/>
                    </w:rPr>
                    <w:t>m</w:t>
                  </w:r>
                  <w:r>
                    <w:rPr>
                      <w:rFonts w:hint="eastAsia"/>
                      <w:color w:val="auto"/>
                      <w:spacing w:val="-11"/>
                      <w:sz w:val="21"/>
                      <w:highlight w:val="none"/>
                      <w:vertAlign w:val="superscript"/>
                    </w:rPr>
                    <w:t>3</w:t>
                  </w:r>
                  <w:r>
                    <w:rPr>
                      <w:rFonts w:hint="eastAsia"/>
                      <w:color w:val="auto"/>
                      <w:spacing w:val="-11"/>
                      <w:sz w:val="21"/>
                      <w:highlight w:val="none"/>
                    </w:rPr>
                    <w:t>/a</w:t>
                  </w:r>
                </w:p>
              </w:tc>
              <w:tc>
                <w:tcPr>
                  <w:tcW w:w="789" w:type="pct"/>
                  <w:vMerge w:val="restart"/>
                  <w:tcBorders>
                    <w:tl2br w:val="nil"/>
                    <w:tr2bl w:val="nil"/>
                  </w:tcBorders>
                  <w:noWrap w:val="0"/>
                  <w:vAlign w:val="center"/>
                </w:tcPr>
                <w:p w14:paraId="28236F7B">
                  <w:pPr>
                    <w:pStyle w:val="40"/>
                    <w:bidi w:val="0"/>
                    <w:rPr>
                      <w:color w:val="auto"/>
                      <w:highlight w:val="none"/>
                    </w:rPr>
                  </w:pPr>
                  <w:r>
                    <w:rPr>
                      <w:rFonts w:hint="eastAsia"/>
                      <w:color w:val="auto"/>
                      <w:highlight w:val="none"/>
                    </w:rPr>
                    <w:t>污染物名称</w:t>
                  </w:r>
                </w:p>
              </w:tc>
              <w:tc>
                <w:tcPr>
                  <w:tcW w:w="874" w:type="pct"/>
                  <w:gridSpan w:val="2"/>
                  <w:tcBorders>
                    <w:tl2br w:val="nil"/>
                    <w:tr2bl w:val="nil"/>
                  </w:tcBorders>
                  <w:noWrap w:val="0"/>
                  <w:vAlign w:val="center"/>
                </w:tcPr>
                <w:p w14:paraId="28BD0BC3">
                  <w:pPr>
                    <w:pStyle w:val="40"/>
                    <w:bidi w:val="0"/>
                    <w:rPr>
                      <w:color w:val="auto"/>
                      <w:highlight w:val="none"/>
                    </w:rPr>
                  </w:pPr>
                  <w:r>
                    <w:rPr>
                      <w:rFonts w:hint="eastAsia"/>
                      <w:color w:val="auto"/>
                      <w:highlight w:val="none"/>
                    </w:rPr>
                    <w:t>产生情况</w:t>
                  </w:r>
                </w:p>
              </w:tc>
              <w:tc>
                <w:tcPr>
                  <w:tcW w:w="1062" w:type="pct"/>
                  <w:vMerge w:val="restart"/>
                  <w:tcBorders>
                    <w:tl2br w:val="nil"/>
                    <w:tr2bl w:val="nil"/>
                  </w:tcBorders>
                  <w:noWrap w:val="0"/>
                  <w:vAlign w:val="center"/>
                </w:tcPr>
                <w:p w14:paraId="2E9E1DF0">
                  <w:pPr>
                    <w:pStyle w:val="40"/>
                    <w:bidi w:val="0"/>
                    <w:rPr>
                      <w:rFonts w:hint="eastAsia" w:eastAsia="宋体"/>
                      <w:color w:val="auto"/>
                      <w:spacing w:val="-6"/>
                      <w:sz w:val="21"/>
                      <w:highlight w:val="none"/>
                      <w:lang w:eastAsia="zh-CN"/>
                    </w:rPr>
                  </w:pPr>
                  <w:r>
                    <w:rPr>
                      <w:rFonts w:hint="eastAsia"/>
                      <w:color w:val="auto"/>
                      <w:spacing w:val="-6"/>
                      <w:sz w:val="21"/>
                      <w:highlight w:val="none"/>
                    </w:rPr>
                    <w:t>拟采取处理</w:t>
                  </w:r>
                  <w:r>
                    <w:rPr>
                      <w:rFonts w:hint="eastAsia"/>
                      <w:color w:val="auto"/>
                      <w:spacing w:val="-6"/>
                      <w:sz w:val="21"/>
                      <w:highlight w:val="none"/>
                      <w:lang w:val="en-US" w:eastAsia="zh-CN"/>
                    </w:rPr>
                    <w:t>措施</w:t>
                  </w:r>
                </w:p>
              </w:tc>
              <w:tc>
                <w:tcPr>
                  <w:tcW w:w="701" w:type="pct"/>
                  <w:gridSpan w:val="2"/>
                  <w:tcBorders>
                    <w:tl2br w:val="nil"/>
                    <w:tr2bl w:val="nil"/>
                  </w:tcBorders>
                  <w:noWrap w:val="0"/>
                  <w:vAlign w:val="center"/>
                </w:tcPr>
                <w:p w14:paraId="7599C766">
                  <w:pPr>
                    <w:pStyle w:val="40"/>
                    <w:bidi w:val="0"/>
                    <w:rPr>
                      <w:rFonts w:hint="eastAsia"/>
                      <w:color w:val="auto"/>
                      <w:highlight w:val="none"/>
                    </w:rPr>
                  </w:pPr>
                  <w:r>
                    <w:rPr>
                      <w:rFonts w:hint="eastAsia"/>
                      <w:color w:val="auto"/>
                      <w:highlight w:val="none"/>
                    </w:rPr>
                    <w:t>排放情况</w:t>
                  </w:r>
                </w:p>
              </w:tc>
            </w:tr>
            <w:tr w14:paraId="40F3FC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044" w:type="pct"/>
                  <w:vMerge w:val="continue"/>
                  <w:tcBorders>
                    <w:tl2br w:val="nil"/>
                    <w:tr2bl w:val="nil"/>
                  </w:tcBorders>
                  <w:noWrap w:val="0"/>
                  <w:vAlign w:val="center"/>
                </w:tcPr>
                <w:p w14:paraId="3373DB5D">
                  <w:pPr>
                    <w:pStyle w:val="40"/>
                    <w:bidi w:val="0"/>
                    <w:rPr>
                      <w:color w:val="auto"/>
                      <w:highlight w:val="none"/>
                    </w:rPr>
                  </w:pPr>
                </w:p>
              </w:tc>
              <w:tc>
                <w:tcPr>
                  <w:tcW w:w="526" w:type="pct"/>
                  <w:vMerge w:val="continue"/>
                  <w:tcBorders>
                    <w:tl2br w:val="nil"/>
                    <w:tr2bl w:val="nil"/>
                  </w:tcBorders>
                  <w:noWrap w:val="0"/>
                  <w:vAlign w:val="center"/>
                </w:tcPr>
                <w:p w14:paraId="4F04056C">
                  <w:pPr>
                    <w:pStyle w:val="40"/>
                    <w:bidi w:val="0"/>
                    <w:rPr>
                      <w:color w:val="auto"/>
                      <w:spacing w:val="-11"/>
                      <w:sz w:val="21"/>
                      <w:highlight w:val="none"/>
                    </w:rPr>
                  </w:pPr>
                </w:p>
              </w:tc>
              <w:tc>
                <w:tcPr>
                  <w:tcW w:w="789" w:type="pct"/>
                  <w:vMerge w:val="continue"/>
                  <w:tcBorders>
                    <w:tl2br w:val="nil"/>
                    <w:tr2bl w:val="nil"/>
                  </w:tcBorders>
                  <w:noWrap w:val="0"/>
                  <w:vAlign w:val="center"/>
                </w:tcPr>
                <w:p w14:paraId="397055AB">
                  <w:pPr>
                    <w:pStyle w:val="40"/>
                    <w:bidi w:val="0"/>
                    <w:rPr>
                      <w:color w:val="auto"/>
                      <w:highlight w:val="none"/>
                    </w:rPr>
                  </w:pPr>
                </w:p>
              </w:tc>
              <w:tc>
                <w:tcPr>
                  <w:tcW w:w="419" w:type="pct"/>
                  <w:tcBorders>
                    <w:tl2br w:val="nil"/>
                    <w:tr2bl w:val="nil"/>
                  </w:tcBorders>
                  <w:noWrap w:val="0"/>
                  <w:vAlign w:val="center"/>
                </w:tcPr>
                <w:p w14:paraId="7621166E">
                  <w:pPr>
                    <w:pStyle w:val="40"/>
                    <w:bidi w:val="0"/>
                    <w:rPr>
                      <w:rFonts w:hint="eastAsia"/>
                      <w:color w:val="auto"/>
                      <w:highlight w:val="none"/>
                    </w:rPr>
                  </w:pPr>
                  <w:r>
                    <w:rPr>
                      <w:color w:val="auto"/>
                      <w:highlight w:val="none"/>
                    </w:rPr>
                    <w:t>mg/L</w:t>
                  </w:r>
                </w:p>
              </w:tc>
              <w:tc>
                <w:tcPr>
                  <w:tcW w:w="455" w:type="pct"/>
                  <w:tcBorders>
                    <w:tl2br w:val="nil"/>
                    <w:tr2bl w:val="nil"/>
                  </w:tcBorders>
                  <w:noWrap w:val="0"/>
                  <w:vAlign w:val="center"/>
                </w:tcPr>
                <w:p w14:paraId="258B7C73">
                  <w:pPr>
                    <w:pStyle w:val="40"/>
                    <w:bidi w:val="0"/>
                    <w:rPr>
                      <w:color w:val="auto"/>
                      <w:highlight w:val="none"/>
                    </w:rPr>
                  </w:pPr>
                  <w:r>
                    <w:rPr>
                      <w:rFonts w:hint="eastAsia"/>
                      <w:color w:val="auto"/>
                      <w:highlight w:val="none"/>
                    </w:rPr>
                    <w:t>t/a</w:t>
                  </w:r>
                </w:p>
              </w:tc>
              <w:tc>
                <w:tcPr>
                  <w:tcW w:w="1062" w:type="pct"/>
                  <w:vMerge w:val="continue"/>
                  <w:tcBorders>
                    <w:tl2br w:val="nil"/>
                    <w:tr2bl w:val="nil"/>
                  </w:tcBorders>
                  <w:noWrap w:val="0"/>
                  <w:vAlign w:val="center"/>
                </w:tcPr>
                <w:p w14:paraId="7530157A">
                  <w:pPr>
                    <w:pStyle w:val="40"/>
                    <w:bidi w:val="0"/>
                    <w:rPr>
                      <w:rFonts w:hint="eastAsia"/>
                      <w:color w:val="auto"/>
                      <w:spacing w:val="-6"/>
                      <w:sz w:val="21"/>
                      <w:highlight w:val="none"/>
                    </w:rPr>
                  </w:pPr>
                </w:p>
              </w:tc>
              <w:tc>
                <w:tcPr>
                  <w:tcW w:w="433" w:type="pct"/>
                  <w:tcBorders>
                    <w:tl2br w:val="nil"/>
                    <w:tr2bl w:val="nil"/>
                  </w:tcBorders>
                  <w:noWrap w:val="0"/>
                  <w:vAlign w:val="center"/>
                </w:tcPr>
                <w:p w14:paraId="32CA3303">
                  <w:pPr>
                    <w:pStyle w:val="40"/>
                    <w:bidi w:val="0"/>
                    <w:rPr>
                      <w:rFonts w:hint="eastAsia"/>
                      <w:color w:val="auto"/>
                      <w:highlight w:val="none"/>
                    </w:rPr>
                  </w:pPr>
                  <w:r>
                    <w:rPr>
                      <w:color w:val="auto"/>
                      <w:highlight w:val="none"/>
                    </w:rPr>
                    <w:t>mg/L</w:t>
                  </w:r>
                </w:p>
              </w:tc>
              <w:tc>
                <w:tcPr>
                  <w:tcW w:w="268" w:type="pct"/>
                  <w:tcBorders>
                    <w:tl2br w:val="nil"/>
                    <w:tr2bl w:val="nil"/>
                  </w:tcBorders>
                  <w:noWrap w:val="0"/>
                  <w:vAlign w:val="center"/>
                </w:tcPr>
                <w:p w14:paraId="2A87C3C9">
                  <w:pPr>
                    <w:pStyle w:val="40"/>
                    <w:bidi w:val="0"/>
                    <w:rPr>
                      <w:rFonts w:hint="eastAsia"/>
                      <w:color w:val="auto"/>
                      <w:highlight w:val="none"/>
                    </w:rPr>
                  </w:pPr>
                  <w:r>
                    <w:rPr>
                      <w:rFonts w:hint="eastAsia"/>
                      <w:color w:val="auto"/>
                      <w:highlight w:val="none"/>
                    </w:rPr>
                    <w:t>t/a</w:t>
                  </w:r>
                </w:p>
              </w:tc>
            </w:tr>
            <w:tr w14:paraId="2BD3FF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044" w:type="pct"/>
                  <w:vMerge w:val="restart"/>
                  <w:tcBorders>
                    <w:tl2br w:val="nil"/>
                    <w:tr2bl w:val="nil"/>
                  </w:tcBorders>
                  <w:noWrap w:val="0"/>
                  <w:vAlign w:val="center"/>
                </w:tcPr>
                <w:p w14:paraId="4AA22085">
                  <w:pPr>
                    <w:pStyle w:val="40"/>
                    <w:bidi w:val="0"/>
                    <w:rPr>
                      <w:color w:val="auto"/>
                      <w:highlight w:val="none"/>
                    </w:rPr>
                  </w:pPr>
                  <w:r>
                    <w:rPr>
                      <w:rFonts w:hint="eastAsia"/>
                      <w:color w:val="auto"/>
                      <w:highlight w:val="none"/>
                    </w:rPr>
                    <w:t>生活污水</w:t>
                  </w:r>
                </w:p>
              </w:tc>
              <w:tc>
                <w:tcPr>
                  <w:tcW w:w="526" w:type="pct"/>
                  <w:vMerge w:val="restart"/>
                  <w:tcBorders>
                    <w:tl2br w:val="nil"/>
                    <w:tr2bl w:val="nil"/>
                  </w:tcBorders>
                  <w:noWrap/>
                  <w:vAlign w:val="center"/>
                </w:tcPr>
                <w:p w14:paraId="2E06F4A9">
                  <w:pPr>
                    <w:pStyle w:val="40"/>
                    <w:bidi w:val="0"/>
                    <w:rPr>
                      <w:rFonts w:hint="default" w:eastAsia="宋体"/>
                      <w:color w:val="auto"/>
                      <w:spacing w:val="-11"/>
                      <w:sz w:val="21"/>
                      <w:highlight w:val="none"/>
                      <w:lang w:val="en-US" w:eastAsia="zh-CN"/>
                    </w:rPr>
                  </w:pPr>
                  <w:r>
                    <w:rPr>
                      <w:rFonts w:hint="eastAsia"/>
                      <w:color w:val="auto"/>
                      <w:spacing w:val="-11"/>
                      <w:sz w:val="21"/>
                      <w:highlight w:val="none"/>
                      <w:lang w:val="en-US" w:eastAsia="zh-CN"/>
                    </w:rPr>
                    <w:t>561.6</w:t>
                  </w:r>
                </w:p>
              </w:tc>
              <w:tc>
                <w:tcPr>
                  <w:tcW w:w="789" w:type="pct"/>
                  <w:tcBorders>
                    <w:tl2br w:val="nil"/>
                    <w:tr2bl w:val="nil"/>
                  </w:tcBorders>
                  <w:noWrap w:val="0"/>
                  <w:vAlign w:val="center"/>
                </w:tcPr>
                <w:p w14:paraId="2D961341">
                  <w:pPr>
                    <w:pStyle w:val="40"/>
                    <w:bidi w:val="0"/>
                    <w:rPr>
                      <w:color w:val="auto"/>
                      <w:highlight w:val="none"/>
                    </w:rPr>
                  </w:pPr>
                  <w:r>
                    <w:rPr>
                      <w:color w:val="auto"/>
                      <w:highlight w:val="none"/>
                    </w:rPr>
                    <w:t>COD</w:t>
                  </w:r>
                </w:p>
              </w:tc>
              <w:tc>
                <w:tcPr>
                  <w:tcW w:w="419" w:type="pct"/>
                  <w:tcBorders>
                    <w:tl2br w:val="nil"/>
                    <w:tr2bl w:val="nil"/>
                  </w:tcBorders>
                  <w:noWrap w:val="0"/>
                  <w:vAlign w:val="center"/>
                </w:tcPr>
                <w:p w14:paraId="685D200E">
                  <w:pPr>
                    <w:pStyle w:val="40"/>
                    <w:bidi w:val="0"/>
                    <w:rPr>
                      <w:color w:val="auto"/>
                      <w:highlight w:val="none"/>
                    </w:rPr>
                  </w:pPr>
                  <w:r>
                    <w:rPr>
                      <w:rFonts w:hint="eastAsia"/>
                      <w:color w:val="auto"/>
                      <w:highlight w:val="none"/>
                    </w:rPr>
                    <w:t>350</w:t>
                  </w:r>
                </w:p>
              </w:tc>
              <w:tc>
                <w:tcPr>
                  <w:tcW w:w="455" w:type="pct"/>
                  <w:tcBorders>
                    <w:tl2br w:val="nil"/>
                    <w:tr2bl w:val="nil"/>
                  </w:tcBorders>
                  <w:noWrap w:val="0"/>
                  <w:vAlign w:val="center"/>
                </w:tcPr>
                <w:p w14:paraId="7E3C4FE2">
                  <w:pPr>
                    <w:pStyle w:val="40"/>
                    <w:bidi w:val="0"/>
                    <w:rPr>
                      <w:rFonts w:hint="default" w:eastAsia="宋体"/>
                      <w:color w:val="auto"/>
                      <w:highlight w:val="none"/>
                      <w:lang w:val="en-US" w:eastAsia="zh-CN"/>
                    </w:rPr>
                  </w:pPr>
                  <w:r>
                    <w:rPr>
                      <w:rFonts w:hint="eastAsia" w:eastAsia="宋体"/>
                      <w:color w:val="auto"/>
                      <w:highlight w:val="none"/>
                      <w:lang w:val="en-US" w:eastAsia="zh-CN"/>
                    </w:rPr>
                    <w:t>0.197</w:t>
                  </w:r>
                </w:p>
              </w:tc>
              <w:tc>
                <w:tcPr>
                  <w:tcW w:w="1062" w:type="pct"/>
                  <w:vMerge w:val="restart"/>
                  <w:tcBorders>
                    <w:tl2br w:val="nil"/>
                    <w:tr2bl w:val="nil"/>
                  </w:tcBorders>
                  <w:noWrap w:val="0"/>
                  <w:vAlign w:val="center"/>
                </w:tcPr>
                <w:p w14:paraId="288E4CBB">
                  <w:pPr>
                    <w:pStyle w:val="40"/>
                    <w:bidi w:val="0"/>
                    <w:rPr>
                      <w:color w:val="auto"/>
                      <w:spacing w:val="-6"/>
                      <w:sz w:val="21"/>
                      <w:highlight w:val="none"/>
                    </w:rPr>
                  </w:pPr>
                  <w:r>
                    <w:rPr>
                      <w:rFonts w:hint="eastAsia"/>
                      <w:color w:val="auto"/>
                      <w:spacing w:val="-6"/>
                      <w:sz w:val="21"/>
                      <w:highlight w:val="none"/>
                    </w:rPr>
                    <w:t>经沉淀池（</w:t>
                  </w:r>
                  <w:r>
                    <w:rPr>
                      <w:rFonts w:hint="eastAsia"/>
                      <w:color w:val="auto"/>
                      <w:spacing w:val="-6"/>
                      <w:sz w:val="21"/>
                      <w:highlight w:val="none"/>
                      <w:lang w:val="en-US" w:eastAsia="zh-CN"/>
                    </w:rPr>
                    <w:t>2</w:t>
                  </w:r>
                  <w:r>
                    <w:rPr>
                      <w:rFonts w:hint="eastAsia"/>
                      <w:color w:val="auto"/>
                      <w:spacing w:val="-6"/>
                      <w:sz w:val="21"/>
                      <w:highlight w:val="none"/>
                    </w:rPr>
                    <w:t>m</w:t>
                  </w:r>
                  <w:r>
                    <w:rPr>
                      <w:rFonts w:hint="eastAsia"/>
                      <w:color w:val="auto"/>
                      <w:spacing w:val="-6"/>
                      <w:sz w:val="21"/>
                      <w:highlight w:val="none"/>
                      <w:vertAlign w:val="superscript"/>
                    </w:rPr>
                    <w:t>3</w:t>
                  </w:r>
                  <w:r>
                    <w:rPr>
                      <w:rFonts w:hint="eastAsia"/>
                      <w:color w:val="auto"/>
                      <w:spacing w:val="-6"/>
                      <w:sz w:val="21"/>
                      <w:highlight w:val="none"/>
                    </w:rPr>
                    <w:t>）处理后用于厂区洒水抑尘，不外排</w:t>
                  </w:r>
                </w:p>
              </w:tc>
              <w:tc>
                <w:tcPr>
                  <w:tcW w:w="701" w:type="pct"/>
                  <w:gridSpan w:val="2"/>
                  <w:vMerge w:val="restart"/>
                  <w:tcBorders>
                    <w:tl2br w:val="nil"/>
                    <w:tr2bl w:val="nil"/>
                  </w:tcBorders>
                  <w:noWrap w:val="0"/>
                  <w:vAlign w:val="center"/>
                </w:tcPr>
                <w:p w14:paraId="383C1F2D">
                  <w:pPr>
                    <w:pStyle w:val="40"/>
                    <w:bidi w:val="0"/>
                    <w:rPr>
                      <w:color w:val="auto"/>
                      <w:highlight w:val="none"/>
                    </w:rPr>
                  </w:pPr>
                  <w:r>
                    <w:rPr>
                      <w:rFonts w:hint="eastAsia"/>
                      <w:color w:val="auto"/>
                      <w:highlight w:val="none"/>
                    </w:rPr>
                    <w:t>不排放</w:t>
                  </w:r>
                </w:p>
              </w:tc>
            </w:tr>
            <w:tr w14:paraId="385643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044" w:type="pct"/>
                  <w:vMerge w:val="continue"/>
                  <w:tcBorders>
                    <w:tl2br w:val="nil"/>
                    <w:tr2bl w:val="nil"/>
                  </w:tcBorders>
                  <w:noWrap w:val="0"/>
                  <w:vAlign w:val="center"/>
                </w:tcPr>
                <w:p w14:paraId="44EF60F4">
                  <w:pPr>
                    <w:pStyle w:val="40"/>
                    <w:bidi w:val="0"/>
                    <w:rPr>
                      <w:color w:val="auto"/>
                      <w:highlight w:val="none"/>
                    </w:rPr>
                  </w:pPr>
                </w:p>
              </w:tc>
              <w:tc>
                <w:tcPr>
                  <w:tcW w:w="526" w:type="pct"/>
                  <w:vMerge w:val="continue"/>
                  <w:tcBorders>
                    <w:tl2br w:val="nil"/>
                    <w:tr2bl w:val="nil"/>
                  </w:tcBorders>
                  <w:noWrap/>
                  <w:vAlign w:val="center"/>
                </w:tcPr>
                <w:p w14:paraId="4A6B91C9">
                  <w:pPr>
                    <w:pStyle w:val="40"/>
                    <w:bidi w:val="0"/>
                    <w:rPr>
                      <w:color w:val="auto"/>
                      <w:spacing w:val="-11"/>
                      <w:sz w:val="21"/>
                      <w:highlight w:val="none"/>
                    </w:rPr>
                  </w:pPr>
                </w:p>
              </w:tc>
              <w:tc>
                <w:tcPr>
                  <w:tcW w:w="789" w:type="pct"/>
                  <w:tcBorders>
                    <w:tl2br w:val="nil"/>
                    <w:tr2bl w:val="nil"/>
                  </w:tcBorders>
                  <w:noWrap w:val="0"/>
                  <w:vAlign w:val="center"/>
                </w:tcPr>
                <w:p w14:paraId="1E234375">
                  <w:pPr>
                    <w:pStyle w:val="40"/>
                    <w:bidi w:val="0"/>
                    <w:rPr>
                      <w:color w:val="auto"/>
                      <w:highlight w:val="none"/>
                    </w:rPr>
                  </w:pPr>
                  <w:r>
                    <w:rPr>
                      <w:color w:val="auto"/>
                      <w:highlight w:val="none"/>
                    </w:rPr>
                    <w:t>BOD</w:t>
                  </w:r>
                  <w:r>
                    <w:rPr>
                      <w:color w:val="auto"/>
                      <w:highlight w:val="none"/>
                      <w:vertAlign w:val="subscript"/>
                    </w:rPr>
                    <w:t>5</w:t>
                  </w:r>
                </w:p>
              </w:tc>
              <w:tc>
                <w:tcPr>
                  <w:tcW w:w="419" w:type="pct"/>
                  <w:tcBorders>
                    <w:tl2br w:val="nil"/>
                    <w:tr2bl w:val="nil"/>
                  </w:tcBorders>
                  <w:noWrap w:val="0"/>
                  <w:vAlign w:val="center"/>
                </w:tcPr>
                <w:p w14:paraId="2E0604A1">
                  <w:pPr>
                    <w:pStyle w:val="40"/>
                    <w:bidi w:val="0"/>
                    <w:rPr>
                      <w:color w:val="auto"/>
                      <w:highlight w:val="none"/>
                    </w:rPr>
                  </w:pPr>
                  <w:r>
                    <w:rPr>
                      <w:rFonts w:hint="eastAsia"/>
                      <w:color w:val="auto"/>
                      <w:highlight w:val="none"/>
                    </w:rPr>
                    <w:t>250</w:t>
                  </w:r>
                </w:p>
              </w:tc>
              <w:tc>
                <w:tcPr>
                  <w:tcW w:w="455" w:type="pct"/>
                  <w:tcBorders>
                    <w:tl2br w:val="nil"/>
                    <w:tr2bl w:val="nil"/>
                  </w:tcBorders>
                  <w:noWrap w:val="0"/>
                  <w:vAlign w:val="center"/>
                </w:tcPr>
                <w:p w14:paraId="10EEA7B9">
                  <w:pPr>
                    <w:pStyle w:val="40"/>
                    <w:bidi w:val="0"/>
                    <w:rPr>
                      <w:rFonts w:hint="default" w:eastAsia="宋体"/>
                      <w:color w:val="auto"/>
                      <w:highlight w:val="none"/>
                      <w:lang w:val="en-US" w:eastAsia="zh-CN"/>
                    </w:rPr>
                  </w:pPr>
                  <w:r>
                    <w:rPr>
                      <w:rFonts w:hint="eastAsia" w:eastAsia="宋体"/>
                      <w:color w:val="auto"/>
                      <w:highlight w:val="none"/>
                      <w:lang w:val="en-US" w:eastAsia="zh-CN"/>
                    </w:rPr>
                    <w:t>0.140</w:t>
                  </w:r>
                </w:p>
              </w:tc>
              <w:tc>
                <w:tcPr>
                  <w:tcW w:w="1062" w:type="pct"/>
                  <w:vMerge w:val="continue"/>
                  <w:tcBorders>
                    <w:tl2br w:val="nil"/>
                    <w:tr2bl w:val="nil"/>
                  </w:tcBorders>
                  <w:noWrap w:val="0"/>
                  <w:vAlign w:val="center"/>
                </w:tcPr>
                <w:p w14:paraId="3DB1F0A9">
                  <w:pPr>
                    <w:pStyle w:val="40"/>
                    <w:bidi w:val="0"/>
                    <w:rPr>
                      <w:color w:val="auto"/>
                      <w:spacing w:val="-6"/>
                      <w:sz w:val="21"/>
                      <w:highlight w:val="none"/>
                    </w:rPr>
                  </w:pPr>
                </w:p>
              </w:tc>
              <w:tc>
                <w:tcPr>
                  <w:tcW w:w="701" w:type="pct"/>
                  <w:gridSpan w:val="2"/>
                  <w:vMerge w:val="continue"/>
                  <w:tcBorders>
                    <w:tl2br w:val="nil"/>
                    <w:tr2bl w:val="nil"/>
                  </w:tcBorders>
                  <w:noWrap w:val="0"/>
                  <w:vAlign w:val="center"/>
                </w:tcPr>
                <w:p w14:paraId="0450E388">
                  <w:pPr>
                    <w:pStyle w:val="40"/>
                    <w:bidi w:val="0"/>
                    <w:rPr>
                      <w:color w:val="auto"/>
                      <w:highlight w:val="none"/>
                    </w:rPr>
                  </w:pPr>
                </w:p>
              </w:tc>
            </w:tr>
            <w:tr w14:paraId="1348D5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044" w:type="pct"/>
                  <w:vMerge w:val="continue"/>
                  <w:tcBorders>
                    <w:tl2br w:val="nil"/>
                    <w:tr2bl w:val="nil"/>
                  </w:tcBorders>
                  <w:noWrap w:val="0"/>
                  <w:vAlign w:val="center"/>
                </w:tcPr>
                <w:p w14:paraId="1A2E5B91">
                  <w:pPr>
                    <w:pStyle w:val="40"/>
                    <w:bidi w:val="0"/>
                    <w:rPr>
                      <w:color w:val="auto"/>
                      <w:highlight w:val="none"/>
                    </w:rPr>
                  </w:pPr>
                </w:p>
              </w:tc>
              <w:tc>
                <w:tcPr>
                  <w:tcW w:w="526" w:type="pct"/>
                  <w:vMerge w:val="continue"/>
                  <w:tcBorders>
                    <w:tl2br w:val="nil"/>
                    <w:tr2bl w:val="nil"/>
                  </w:tcBorders>
                  <w:noWrap/>
                  <w:vAlign w:val="center"/>
                </w:tcPr>
                <w:p w14:paraId="2491F451">
                  <w:pPr>
                    <w:pStyle w:val="40"/>
                    <w:bidi w:val="0"/>
                    <w:rPr>
                      <w:color w:val="auto"/>
                      <w:spacing w:val="-11"/>
                      <w:sz w:val="21"/>
                      <w:highlight w:val="none"/>
                    </w:rPr>
                  </w:pPr>
                </w:p>
              </w:tc>
              <w:tc>
                <w:tcPr>
                  <w:tcW w:w="789" w:type="pct"/>
                  <w:tcBorders>
                    <w:tl2br w:val="nil"/>
                    <w:tr2bl w:val="nil"/>
                  </w:tcBorders>
                  <w:noWrap w:val="0"/>
                  <w:vAlign w:val="center"/>
                </w:tcPr>
                <w:p w14:paraId="7F7F4867">
                  <w:pPr>
                    <w:pStyle w:val="40"/>
                    <w:bidi w:val="0"/>
                    <w:rPr>
                      <w:color w:val="auto"/>
                      <w:highlight w:val="none"/>
                    </w:rPr>
                  </w:pPr>
                  <w:r>
                    <w:rPr>
                      <w:color w:val="auto"/>
                      <w:highlight w:val="none"/>
                    </w:rPr>
                    <w:t>SS</w:t>
                  </w:r>
                </w:p>
              </w:tc>
              <w:tc>
                <w:tcPr>
                  <w:tcW w:w="419" w:type="pct"/>
                  <w:tcBorders>
                    <w:tl2br w:val="nil"/>
                    <w:tr2bl w:val="nil"/>
                  </w:tcBorders>
                  <w:noWrap w:val="0"/>
                  <w:vAlign w:val="center"/>
                </w:tcPr>
                <w:p w14:paraId="47B9D27A">
                  <w:pPr>
                    <w:pStyle w:val="40"/>
                    <w:bidi w:val="0"/>
                    <w:rPr>
                      <w:color w:val="auto"/>
                      <w:highlight w:val="none"/>
                    </w:rPr>
                  </w:pPr>
                  <w:r>
                    <w:rPr>
                      <w:rFonts w:hint="eastAsia"/>
                      <w:color w:val="auto"/>
                      <w:highlight w:val="none"/>
                    </w:rPr>
                    <w:t>300</w:t>
                  </w:r>
                </w:p>
              </w:tc>
              <w:tc>
                <w:tcPr>
                  <w:tcW w:w="455" w:type="pct"/>
                  <w:tcBorders>
                    <w:tl2br w:val="nil"/>
                    <w:tr2bl w:val="nil"/>
                  </w:tcBorders>
                  <w:noWrap w:val="0"/>
                  <w:vAlign w:val="center"/>
                </w:tcPr>
                <w:p w14:paraId="3A8BCDA2">
                  <w:pPr>
                    <w:pStyle w:val="40"/>
                    <w:bidi w:val="0"/>
                    <w:rPr>
                      <w:rFonts w:hint="default" w:eastAsia="宋体"/>
                      <w:color w:val="auto"/>
                      <w:highlight w:val="none"/>
                      <w:lang w:val="en-US" w:eastAsia="zh-CN"/>
                    </w:rPr>
                  </w:pPr>
                  <w:r>
                    <w:rPr>
                      <w:rFonts w:hint="eastAsia" w:eastAsia="宋体"/>
                      <w:color w:val="auto"/>
                      <w:highlight w:val="none"/>
                      <w:lang w:val="en-US" w:eastAsia="zh-CN"/>
                    </w:rPr>
                    <w:t>0.168</w:t>
                  </w:r>
                </w:p>
              </w:tc>
              <w:tc>
                <w:tcPr>
                  <w:tcW w:w="1062" w:type="pct"/>
                  <w:vMerge w:val="continue"/>
                  <w:tcBorders>
                    <w:tl2br w:val="nil"/>
                    <w:tr2bl w:val="nil"/>
                  </w:tcBorders>
                  <w:noWrap w:val="0"/>
                  <w:vAlign w:val="center"/>
                </w:tcPr>
                <w:p w14:paraId="6DE7CCA8">
                  <w:pPr>
                    <w:pStyle w:val="40"/>
                    <w:bidi w:val="0"/>
                    <w:rPr>
                      <w:color w:val="auto"/>
                      <w:spacing w:val="-6"/>
                      <w:sz w:val="21"/>
                      <w:highlight w:val="none"/>
                    </w:rPr>
                  </w:pPr>
                </w:p>
              </w:tc>
              <w:tc>
                <w:tcPr>
                  <w:tcW w:w="701" w:type="pct"/>
                  <w:gridSpan w:val="2"/>
                  <w:vMerge w:val="continue"/>
                  <w:tcBorders>
                    <w:tl2br w:val="nil"/>
                    <w:tr2bl w:val="nil"/>
                  </w:tcBorders>
                  <w:noWrap w:val="0"/>
                  <w:vAlign w:val="center"/>
                </w:tcPr>
                <w:p w14:paraId="2A2D4798">
                  <w:pPr>
                    <w:pStyle w:val="40"/>
                    <w:bidi w:val="0"/>
                    <w:rPr>
                      <w:color w:val="auto"/>
                      <w:highlight w:val="none"/>
                    </w:rPr>
                  </w:pPr>
                </w:p>
              </w:tc>
            </w:tr>
            <w:tr w14:paraId="6652FF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044" w:type="pct"/>
                  <w:vMerge w:val="continue"/>
                  <w:tcBorders>
                    <w:tl2br w:val="nil"/>
                    <w:tr2bl w:val="nil"/>
                  </w:tcBorders>
                  <w:noWrap w:val="0"/>
                  <w:vAlign w:val="center"/>
                </w:tcPr>
                <w:p w14:paraId="10CBDBE9">
                  <w:pPr>
                    <w:pStyle w:val="40"/>
                    <w:bidi w:val="0"/>
                    <w:rPr>
                      <w:color w:val="auto"/>
                      <w:highlight w:val="none"/>
                    </w:rPr>
                  </w:pPr>
                </w:p>
              </w:tc>
              <w:tc>
                <w:tcPr>
                  <w:tcW w:w="526" w:type="pct"/>
                  <w:vMerge w:val="continue"/>
                  <w:tcBorders>
                    <w:tl2br w:val="nil"/>
                    <w:tr2bl w:val="nil"/>
                  </w:tcBorders>
                  <w:noWrap/>
                  <w:vAlign w:val="center"/>
                </w:tcPr>
                <w:p w14:paraId="0238E749">
                  <w:pPr>
                    <w:pStyle w:val="40"/>
                    <w:bidi w:val="0"/>
                    <w:rPr>
                      <w:color w:val="auto"/>
                      <w:spacing w:val="-11"/>
                      <w:sz w:val="21"/>
                      <w:highlight w:val="none"/>
                    </w:rPr>
                  </w:pPr>
                </w:p>
              </w:tc>
              <w:tc>
                <w:tcPr>
                  <w:tcW w:w="789" w:type="pct"/>
                  <w:tcBorders>
                    <w:tl2br w:val="nil"/>
                    <w:tr2bl w:val="nil"/>
                  </w:tcBorders>
                  <w:noWrap w:val="0"/>
                  <w:vAlign w:val="center"/>
                </w:tcPr>
                <w:p w14:paraId="22E83186">
                  <w:pPr>
                    <w:pStyle w:val="40"/>
                    <w:bidi w:val="0"/>
                    <w:rPr>
                      <w:color w:val="auto"/>
                      <w:highlight w:val="none"/>
                    </w:rPr>
                  </w:pPr>
                  <w:r>
                    <w:rPr>
                      <w:color w:val="auto"/>
                      <w:highlight w:val="none"/>
                    </w:rPr>
                    <w:t>NH</w:t>
                  </w:r>
                  <w:r>
                    <w:rPr>
                      <w:rFonts w:hint="eastAsia"/>
                      <w:color w:val="auto"/>
                      <w:highlight w:val="none"/>
                      <w:vertAlign w:val="subscript"/>
                    </w:rPr>
                    <w:t>3</w:t>
                  </w:r>
                  <w:r>
                    <w:rPr>
                      <w:color w:val="auto"/>
                      <w:highlight w:val="none"/>
                    </w:rPr>
                    <w:t>-N</w:t>
                  </w:r>
                </w:p>
              </w:tc>
              <w:tc>
                <w:tcPr>
                  <w:tcW w:w="419" w:type="pct"/>
                  <w:tcBorders>
                    <w:tl2br w:val="nil"/>
                    <w:tr2bl w:val="nil"/>
                  </w:tcBorders>
                  <w:noWrap w:val="0"/>
                  <w:vAlign w:val="center"/>
                </w:tcPr>
                <w:p w14:paraId="71142019">
                  <w:pPr>
                    <w:pStyle w:val="40"/>
                    <w:bidi w:val="0"/>
                    <w:rPr>
                      <w:color w:val="auto"/>
                      <w:highlight w:val="none"/>
                    </w:rPr>
                  </w:pPr>
                  <w:r>
                    <w:rPr>
                      <w:rFonts w:hint="eastAsia"/>
                      <w:color w:val="auto"/>
                      <w:highlight w:val="none"/>
                    </w:rPr>
                    <w:t>30</w:t>
                  </w:r>
                </w:p>
              </w:tc>
              <w:tc>
                <w:tcPr>
                  <w:tcW w:w="455" w:type="pct"/>
                  <w:tcBorders>
                    <w:tl2br w:val="nil"/>
                    <w:tr2bl w:val="nil"/>
                  </w:tcBorders>
                  <w:noWrap w:val="0"/>
                  <w:vAlign w:val="center"/>
                </w:tcPr>
                <w:p w14:paraId="1D38460A">
                  <w:pPr>
                    <w:pStyle w:val="40"/>
                    <w:bidi w:val="0"/>
                    <w:rPr>
                      <w:rFonts w:hint="default" w:eastAsia="宋体"/>
                      <w:color w:val="auto"/>
                      <w:highlight w:val="none"/>
                      <w:lang w:val="en-US" w:eastAsia="zh-CN"/>
                    </w:rPr>
                  </w:pPr>
                  <w:r>
                    <w:rPr>
                      <w:rFonts w:hint="eastAsia" w:eastAsia="宋体"/>
                      <w:color w:val="auto"/>
                      <w:highlight w:val="none"/>
                      <w:lang w:val="en-US" w:eastAsia="zh-CN"/>
                    </w:rPr>
                    <w:t>0.017</w:t>
                  </w:r>
                </w:p>
              </w:tc>
              <w:tc>
                <w:tcPr>
                  <w:tcW w:w="1062" w:type="pct"/>
                  <w:vMerge w:val="continue"/>
                  <w:tcBorders>
                    <w:tl2br w:val="nil"/>
                    <w:tr2bl w:val="nil"/>
                  </w:tcBorders>
                  <w:noWrap w:val="0"/>
                  <w:vAlign w:val="center"/>
                </w:tcPr>
                <w:p w14:paraId="5BE8F3D6">
                  <w:pPr>
                    <w:pStyle w:val="40"/>
                    <w:bidi w:val="0"/>
                    <w:rPr>
                      <w:color w:val="auto"/>
                      <w:spacing w:val="-6"/>
                      <w:sz w:val="21"/>
                      <w:highlight w:val="none"/>
                    </w:rPr>
                  </w:pPr>
                </w:p>
              </w:tc>
              <w:tc>
                <w:tcPr>
                  <w:tcW w:w="701" w:type="pct"/>
                  <w:gridSpan w:val="2"/>
                  <w:vMerge w:val="continue"/>
                  <w:tcBorders>
                    <w:tl2br w:val="nil"/>
                    <w:tr2bl w:val="nil"/>
                  </w:tcBorders>
                  <w:noWrap w:val="0"/>
                  <w:vAlign w:val="center"/>
                </w:tcPr>
                <w:p w14:paraId="1B283948">
                  <w:pPr>
                    <w:pStyle w:val="40"/>
                    <w:bidi w:val="0"/>
                    <w:rPr>
                      <w:color w:val="auto"/>
                      <w:highlight w:val="none"/>
                    </w:rPr>
                  </w:pPr>
                </w:p>
              </w:tc>
            </w:tr>
            <w:tr w14:paraId="01BCB6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044" w:type="pct"/>
                  <w:tcBorders>
                    <w:tl2br w:val="nil"/>
                    <w:tr2bl w:val="nil"/>
                  </w:tcBorders>
                  <w:noWrap w:val="0"/>
                  <w:vAlign w:val="center"/>
                </w:tcPr>
                <w:p w14:paraId="6CC9E0D8">
                  <w:pPr>
                    <w:pStyle w:val="40"/>
                    <w:bidi w:val="0"/>
                    <w:rPr>
                      <w:rFonts w:hint="default" w:eastAsia="宋体"/>
                      <w:color w:val="auto"/>
                      <w:highlight w:val="none"/>
                      <w:lang w:val="en-US" w:eastAsia="zh-CN"/>
                    </w:rPr>
                  </w:pPr>
                  <w:r>
                    <w:rPr>
                      <w:rFonts w:hint="eastAsia"/>
                      <w:color w:val="auto"/>
                      <w:spacing w:val="0"/>
                      <w:sz w:val="21"/>
                      <w:highlight w:val="none"/>
                      <w:lang w:val="en-US" w:eastAsia="zh-CN"/>
                    </w:rPr>
                    <w:t>W1锅炉定排水</w:t>
                  </w:r>
                </w:p>
              </w:tc>
              <w:tc>
                <w:tcPr>
                  <w:tcW w:w="526" w:type="pct"/>
                  <w:tcBorders>
                    <w:tl2br w:val="nil"/>
                    <w:tr2bl w:val="nil"/>
                  </w:tcBorders>
                  <w:noWrap/>
                  <w:vAlign w:val="center"/>
                </w:tcPr>
                <w:p w14:paraId="7F85EB37">
                  <w:pPr>
                    <w:pStyle w:val="40"/>
                    <w:bidi w:val="0"/>
                    <w:rPr>
                      <w:rFonts w:hint="default"/>
                      <w:color w:val="auto"/>
                      <w:spacing w:val="-11"/>
                      <w:sz w:val="21"/>
                      <w:highlight w:val="none"/>
                      <w:lang w:val="en-US" w:eastAsia="zh-CN"/>
                    </w:rPr>
                  </w:pPr>
                  <w:r>
                    <w:rPr>
                      <w:rFonts w:hint="eastAsia"/>
                      <w:color w:val="auto"/>
                      <w:spacing w:val="-11"/>
                      <w:sz w:val="21"/>
                      <w:highlight w:val="none"/>
                      <w:lang w:val="en-US" w:eastAsia="zh-CN"/>
                    </w:rPr>
                    <w:t>2160.0</w:t>
                  </w:r>
                </w:p>
              </w:tc>
              <w:tc>
                <w:tcPr>
                  <w:tcW w:w="789" w:type="pct"/>
                  <w:tcBorders>
                    <w:tl2br w:val="nil"/>
                    <w:tr2bl w:val="nil"/>
                  </w:tcBorders>
                  <w:noWrap w:val="0"/>
                  <w:vAlign w:val="center"/>
                </w:tcPr>
                <w:p w14:paraId="0F333EC6">
                  <w:pPr>
                    <w:pStyle w:val="40"/>
                    <w:bidi w:val="0"/>
                    <w:rPr>
                      <w:rFonts w:hint="eastAsia"/>
                      <w:color w:val="auto"/>
                      <w:highlight w:val="none"/>
                    </w:rPr>
                  </w:pPr>
                  <w:r>
                    <w:rPr>
                      <w:rFonts w:hint="eastAsia"/>
                      <w:color w:val="auto"/>
                      <w:highlight w:val="none"/>
                    </w:rPr>
                    <w:t>SS</w:t>
                  </w:r>
                </w:p>
              </w:tc>
              <w:tc>
                <w:tcPr>
                  <w:tcW w:w="419" w:type="pct"/>
                  <w:tcBorders>
                    <w:tl2br w:val="nil"/>
                    <w:tr2bl w:val="nil"/>
                  </w:tcBorders>
                  <w:noWrap w:val="0"/>
                  <w:vAlign w:val="center"/>
                </w:tcPr>
                <w:p w14:paraId="7C5726D0">
                  <w:pPr>
                    <w:pStyle w:val="40"/>
                    <w:bidi w:val="0"/>
                    <w:rPr>
                      <w:rFonts w:hint="eastAsia" w:eastAsia="宋体"/>
                      <w:color w:val="auto"/>
                      <w:highlight w:val="none"/>
                      <w:lang w:val="en-US" w:eastAsia="zh-CN"/>
                    </w:rPr>
                  </w:pPr>
                  <w:r>
                    <w:rPr>
                      <w:rFonts w:hint="eastAsia"/>
                      <w:color w:val="auto"/>
                      <w:highlight w:val="none"/>
                      <w:lang w:val="en-US" w:eastAsia="zh-CN"/>
                    </w:rPr>
                    <w:t>/</w:t>
                  </w:r>
                </w:p>
              </w:tc>
              <w:tc>
                <w:tcPr>
                  <w:tcW w:w="455" w:type="pct"/>
                  <w:tcBorders>
                    <w:tl2br w:val="nil"/>
                    <w:tr2bl w:val="nil"/>
                  </w:tcBorders>
                  <w:noWrap w:val="0"/>
                  <w:vAlign w:val="center"/>
                </w:tcPr>
                <w:p w14:paraId="3220FC34">
                  <w:pPr>
                    <w:pStyle w:val="40"/>
                    <w:bidi w:val="0"/>
                    <w:rPr>
                      <w:rFonts w:hint="default"/>
                      <w:color w:val="auto"/>
                      <w:highlight w:val="none"/>
                      <w:lang w:val="en-US" w:eastAsia="zh-CN"/>
                    </w:rPr>
                  </w:pPr>
                  <w:r>
                    <w:rPr>
                      <w:rFonts w:hint="eastAsia"/>
                      <w:color w:val="auto"/>
                      <w:highlight w:val="none"/>
                      <w:lang w:val="en-US" w:eastAsia="zh-CN"/>
                    </w:rPr>
                    <w:t>/</w:t>
                  </w:r>
                </w:p>
              </w:tc>
              <w:tc>
                <w:tcPr>
                  <w:tcW w:w="1062" w:type="pct"/>
                  <w:vMerge w:val="restart"/>
                  <w:tcBorders>
                    <w:tl2br w:val="nil"/>
                    <w:tr2bl w:val="nil"/>
                  </w:tcBorders>
                  <w:noWrap w:val="0"/>
                  <w:vAlign w:val="center"/>
                </w:tcPr>
                <w:p w14:paraId="1E1D3262">
                  <w:pPr>
                    <w:pStyle w:val="40"/>
                    <w:bidi w:val="0"/>
                    <w:rPr>
                      <w:rFonts w:hint="default"/>
                      <w:color w:val="auto"/>
                      <w:spacing w:val="-6"/>
                      <w:sz w:val="21"/>
                      <w:highlight w:val="none"/>
                      <w:lang w:val="en-US"/>
                    </w:rPr>
                  </w:pPr>
                  <w:r>
                    <w:rPr>
                      <w:rFonts w:hint="eastAsia"/>
                      <w:color w:val="auto"/>
                      <w:spacing w:val="-6"/>
                      <w:sz w:val="21"/>
                      <w:highlight w:val="none"/>
                      <w:lang w:val="en-US" w:eastAsia="zh-CN"/>
                    </w:rPr>
                    <w:t>经暂存池</w:t>
                  </w:r>
                  <w:r>
                    <w:rPr>
                      <w:rFonts w:hint="eastAsia"/>
                      <w:color w:val="auto"/>
                      <w:spacing w:val="-6"/>
                      <w:sz w:val="21"/>
                      <w:highlight w:val="none"/>
                      <w:lang w:eastAsia="zh-CN"/>
                    </w:rPr>
                    <w:t>（</w:t>
                  </w:r>
                  <w:r>
                    <w:rPr>
                      <w:rFonts w:hint="eastAsia"/>
                      <w:color w:val="auto"/>
                      <w:spacing w:val="-6"/>
                      <w:sz w:val="21"/>
                      <w:highlight w:val="none"/>
                      <w:lang w:val="en-US" w:eastAsia="zh-CN"/>
                    </w:rPr>
                    <w:t>10</w:t>
                  </w:r>
                  <w:r>
                    <w:rPr>
                      <w:rFonts w:hint="eastAsia"/>
                      <w:color w:val="auto"/>
                      <w:spacing w:val="-6"/>
                      <w:sz w:val="21"/>
                      <w:highlight w:val="none"/>
                    </w:rPr>
                    <w:t>m</w:t>
                  </w:r>
                  <w:r>
                    <w:rPr>
                      <w:rFonts w:hint="eastAsia"/>
                      <w:color w:val="auto"/>
                      <w:spacing w:val="-6"/>
                      <w:sz w:val="21"/>
                      <w:highlight w:val="none"/>
                      <w:vertAlign w:val="superscript"/>
                    </w:rPr>
                    <w:t>3</w:t>
                  </w:r>
                  <w:r>
                    <w:rPr>
                      <w:rFonts w:hint="eastAsia"/>
                      <w:color w:val="auto"/>
                      <w:spacing w:val="-6"/>
                      <w:sz w:val="21"/>
                      <w:highlight w:val="none"/>
                      <w:lang w:eastAsia="zh-CN"/>
                    </w:rPr>
                    <w:t>）</w:t>
                  </w:r>
                  <w:r>
                    <w:rPr>
                      <w:rFonts w:hint="eastAsia"/>
                      <w:color w:val="auto"/>
                      <w:spacing w:val="-6"/>
                      <w:sz w:val="21"/>
                      <w:highlight w:val="none"/>
                      <w:lang w:val="en-US" w:eastAsia="zh-CN"/>
                    </w:rPr>
                    <w:t>收集后回用于混凝土搅拌工序</w:t>
                  </w:r>
                </w:p>
              </w:tc>
              <w:tc>
                <w:tcPr>
                  <w:tcW w:w="701" w:type="pct"/>
                  <w:gridSpan w:val="2"/>
                  <w:vMerge w:val="continue"/>
                  <w:tcBorders>
                    <w:tl2br w:val="nil"/>
                    <w:tr2bl w:val="nil"/>
                  </w:tcBorders>
                  <w:noWrap w:val="0"/>
                  <w:vAlign w:val="center"/>
                </w:tcPr>
                <w:p w14:paraId="3B5CFC43">
                  <w:pPr>
                    <w:pStyle w:val="40"/>
                    <w:bidi w:val="0"/>
                    <w:rPr>
                      <w:color w:val="auto"/>
                      <w:highlight w:val="none"/>
                    </w:rPr>
                  </w:pPr>
                </w:p>
              </w:tc>
            </w:tr>
            <w:tr w14:paraId="14CC9F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044" w:type="pct"/>
                  <w:tcBorders>
                    <w:tl2br w:val="nil"/>
                    <w:tr2bl w:val="nil"/>
                  </w:tcBorders>
                  <w:noWrap w:val="0"/>
                  <w:vAlign w:val="center"/>
                </w:tcPr>
                <w:p w14:paraId="30E0239D">
                  <w:pPr>
                    <w:pStyle w:val="40"/>
                    <w:bidi w:val="0"/>
                    <w:rPr>
                      <w:rFonts w:hint="default" w:eastAsia="宋体"/>
                      <w:color w:val="auto"/>
                      <w:highlight w:val="none"/>
                      <w:lang w:val="en-US" w:eastAsia="zh-CN"/>
                    </w:rPr>
                  </w:pPr>
                  <w:r>
                    <w:rPr>
                      <w:rFonts w:hint="eastAsia"/>
                      <w:color w:val="auto"/>
                      <w:spacing w:val="-6"/>
                      <w:sz w:val="21"/>
                      <w:highlight w:val="none"/>
                      <w:lang w:val="en-US" w:eastAsia="zh-CN"/>
                    </w:rPr>
                    <w:t>W2蒸汽凝结水</w:t>
                  </w:r>
                </w:p>
              </w:tc>
              <w:tc>
                <w:tcPr>
                  <w:tcW w:w="526" w:type="pct"/>
                  <w:tcBorders>
                    <w:tl2br w:val="nil"/>
                    <w:tr2bl w:val="nil"/>
                  </w:tcBorders>
                  <w:noWrap/>
                  <w:vAlign w:val="center"/>
                </w:tcPr>
                <w:p w14:paraId="235BD823">
                  <w:pPr>
                    <w:pStyle w:val="40"/>
                    <w:bidi w:val="0"/>
                    <w:rPr>
                      <w:rFonts w:hint="default"/>
                      <w:color w:val="auto"/>
                      <w:spacing w:val="-11"/>
                      <w:sz w:val="21"/>
                      <w:highlight w:val="none"/>
                      <w:lang w:val="en-US" w:eastAsia="zh-CN"/>
                    </w:rPr>
                  </w:pPr>
                  <w:r>
                    <w:rPr>
                      <w:rFonts w:hint="eastAsia"/>
                      <w:color w:val="auto"/>
                      <w:spacing w:val="-11"/>
                      <w:sz w:val="21"/>
                      <w:highlight w:val="none"/>
                      <w:lang w:val="en-US" w:eastAsia="zh-CN"/>
                    </w:rPr>
                    <w:t>10800.0</w:t>
                  </w:r>
                </w:p>
              </w:tc>
              <w:tc>
                <w:tcPr>
                  <w:tcW w:w="789" w:type="pct"/>
                  <w:tcBorders>
                    <w:tl2br w:val="nil"/>
                    <w:tr2bl w:val="nil"/>
                  </w:tcBorders>
                  <w:noWrap w:val="0"/>
                  <w:vAlign w:val="center"/>
                </w:tcPr>
                <w:p w14:paraId="528E0F58">
                  <w:pPr>
                    <w:pStyle w:val="40"/>
                    <w:bidi w:val="0"/>
                    <w:rPr>
                      <w:rFonts w:hint="default" w:eastAsia="宋体"/>
                      <w:color w:val="auto"/>
                      <w:spacing w:val="-6"/>
                      <w:sz w:val="21"/>
                      <w:highlight w:val="none"/>
                      <w:lang w:val="en-US" w:eastAsia="zh-CN"/>
                    </w:rPr>
                  </w:pPr>
                  <w:r>
                    <w:rPr>
                      <w:rFonts w:hint="eastAsia"/>
                      <w:color w:val="auto"/>
                      <w:spacing w:val="-6"/>
                      <w:sz w:val="21"/>
                      <w:highlight w:val="none"/>
                      <w:lang w:val="en-US" w:eastAsia="zh-CN"/>
                    </w:rPr>
                    <w:t>SS</w:t>
                  </w:r>
                </w:p>
              </w:tc>
              <w:tc>
                <w:tcPr>
                  <w:tcW w:w="419" w:type="pct"/>
                  <w:tcBorders>
                    <w:tl2br w:val="nil"/>
                    <w:tr2bl w:val="nil"/>
                  </w:tcBorders>
                  <w:noWrap w:val="0"/>
                  <w:vAlign w:val="center"/>
                </w:tcPr>
                <w:p w14:paraId="5B020491">
                  <w:pPr>
                    <w:pStyle w:val="40"/>
                    <w:bidi w:val="0"/>
                    <w:rPr>
                      <w:rFonts w:hint="eastAsia" w:eastAsia="宋体"/>
                      <w:color w:val="auto"/>
                      <w:highlight w:val="none"/>
                      <w:lang w:val="en-US" w:eastAsia="zh-CN"/>
                    </w:rPr>
                  </w:pPr>
                  <w:r>
                    <w:rPr>
                      <w:rFonts w:hint="eastAsia"/>
                      <w:color w:val="auto"/>
                      <w:highlight w:val="none"/>
                      <w:lang w:val="en-US" w:eastAsia="zh-CN"/>
                    </w:rPr>
                    <w:t>/</w:t>
                  </w:r>
                </w:p>
              </w:tc>
              <w:tc>
                <w:tcPr>
                  <w:tcW w:w="455" w:type="pct"/>
                  <w:tcBorders>
                    <w:tl2br w:val="nil"/>
                    <w:tr2bl w:val="nil"/>
                  </w:tcBorders>
                  <w:noWrap w:val="0"/>
                  <w:vAlign w:val="center"/>
                </w:tcPr>
                <w:p w14:paraId="7BA33979">
                  <w:pPr>
                    <w:pStyle w:val="40"/>
                    <w:bidi w:val="0"/>
                    <w:rPr>
                      <w:rFonts w:hint="default"/>
                      <w:color w:val="auto"/>
                      <w:highlight w:val="none"/>
                      <w:lang w:val="en-US" w:eastAsia="zh-CN"/>
                    </w:rPr>
                  </w:pPr>
                  <w:r>
                    <w:rPr>
                      <w:rFonts w:hint="eastAsia"/>
                      <w:color w:val="auto"/>
                      <w:highlight w:val="none"/>
                      <w:lang w:val="en-US" w:eastAsia="zh-CN"/>
                    </w:rPr>
                    <w:t>/</w:t>
                  </w:r>
                </w:p>
              </w:tc>
              <w:tc>
                <w:tcPr>
                  <w:tcW w:w="1062" w:type="pct"/>
                  <w:vMerge w:val="continue"/>
                  <w:tcBorders>
                    <w:tl2br w:val="nil"/>
                    <w:tr2bl w:val="nil"/>
                  </w:tcBorders>
                  <w:noWrap w:val="0"/>
                  <w:vAlign w:val="center"/>
                </w:tcPr>
                <w:p w14:paraId="4FA2B991">
                  <w:pPr>
                    <w:pStyle w:val="40"/>
                    <w:bidi w:val="0"/>
                    <w:rPr>
                      <w:rFonts w:hint="eastAsia"/>
                      <w:color w:val="auto"/>
                      <w:spacing w:val="-6"/>
                      <w:sz w:val="21"/>
                      <w:highlight w:val="none"/>
                    </w:rPr>
                  </w:pPr>
                </w:p>
              </w:tc>
              <w:tc>
                <w:tcPr>
                  <w:tcW w:w="701" w:type="pct"/>
                  <w:gridSpan w:val="2"/>
                  <w:vMerge w:val="continue"/>
                  <w:tcBorders>
                    <w:tl2br w:val="nil"/>
                    <w:tr2bl w:val="nil"/>
                  </w:tcBorders>
                  <w:noWrap w:val="0"/>
                  <w:vAlign w:val="center"/>
                </w:tcPr>
                <w:p w14:paraId="180E758E">
                  <w:pPr>
                    <w:pStyle w:val="40"/>
                    <w:bidi w:val="0"/>
                    <w:rPr>
                      <w:color w:val="auto"/>
                      <w:highlight w:val="none"/>
                    </w:rPr>
                  </w:pPr>
                </w:p>
              </w:tc>
            </w:tr>
            <w:tr w14:paraId="594A97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044" w:type="pct"/>
                  <w:tcBorders>
                    <w:tl2br w:val="nil"/>
                    <w:tr2bl w:val="nil"/>
                  </w:tcBorders>
                  <w:noWrap w:val="0"/>
                  <w:vAlign w:val="center"/>
                </w:tcPr>
                <w:p w14:paraId="474491A3">
                  <w:pPr>
                    <w:pStyle w:val="40"/>
                    <w:bidi w:val="0"/>
                    <w:rPr>
                      <w:rFonts w:hint="default" w:eastAsia="宋体"/>
                      <w:color w:val="auto"/>
                      <w:highlight w:val="none"/>
                      <w:lang w:val="en-US" w:eastAsia="zh-CN"/>
                    </w:rPr>
                  </w:pPr>
                  <w:r>
                    <w:rPr>
                      <w:rFonts w:hint="eastAsia"/>
                      <w:color w:val="auto"/>
                      <w:highlight w:val="none"/>
                      <w:lang w:val="en-US" w:eastAsia="zh-CN"/>
                    </w:rPr>
                    <w:t>W3离子交换树脂再生废水</w:t>
                  </w:r>
                </w:p>
              </w:tc>
              <w:tc>
                <w:tcPr>
                  <w:tcW w:w="526" w:type="pct"/>
                  <w:tcBorders>
                    <w:tl2br w:val="nil"/>
                    <w:tr2bl w:val="nil"/>
                  </w:tcBorders>
                  <w:noWrap/>
                  <w:vAlign w:val="center"/>
                </w:tcPr>
                <w:p w14:paraId="0F6A9711">
                  <w:pPr>
                    <w:pStyle w:val="40"/>
                    <w:bidi w:val="0"/>
                    <w:rPr>
                      <w:rFonts w:hint="default"/>
                      <w:color w:val="auto"/>
                      <w:spacing w:val="-11"/>
                      <w:sz w:val="21"/>
                      <w:highlight w:val="none"/>
                      <w:lang w:val="en-US" w:eastAsia="zh-CN"/>
                    </w:rPr>
                  </w:pPr>
                  <w:r>
                    <w:rPr>
                      <w:rFonts w:hint="eastAsia"/>
                      <w:color w:val="auto"/>
                      <w:spacing w:val="-11"/>
                      <w:sz w:val="21"/>
                      <w:highlight w:val="none"/>
                      <w:lang w:val="en-US" w:eastAsia="zh-CN"/>
                    </w:rPr>
                    <w:t>235.5</w:t>
                  </w:r>
                </w:p>
              </w:tc>
              <w:tc>
                <w:tcPr>
                  <w:tcW w:w="789" w:type="pct"/>
                  <w:tcBorders>
                    <w:tl2br w:val="nil"/>
                    <w:tr2bl w:val="nil"/>
                  </w:tcBorders>
                  <w:noWrap w:val="0"/>
                  <w:vAlign w:val="center"/>
                </w:tcPr>
                <w:p w14:paraId="61D1CED9">
                  <w:pPr>
                    <w:pStyle w:val="40"/>
                    <w:bidi w:val="0"/>
                    <w:rPr>
                      <w:rFonts w:hint="eastAsia"/>
                      <w:color w:val="auto"/>
                      <w:spacing w:val="-6"/>
                      <w:sz w:val="21"/>
                      <w:highlight w:val="none"/>
                    </w:rPr>
                  </w:pPr>
                  <w:r>
                    <w:rPr>
                      <w:rFonts w:hint="eastAsia"/>
                      <w:color w:val="auto"/>
                      <w:spacing w:val="-6"/>
                      <w:sz w:val="21"/>
                      <w:highlight w:val="none"/>
                      <w:lang w:val="en-US" w:eastAsia="zh-CN"/>
                    </w:rPr>
                    <w:t>Ca</w:t>
                  </w:r>
                  <w:r>
                    <w:rPr>
                      <w:rFonts w:hint="eastAsia"/>
                      <w:color w:val="auto"/>
                      <w:spacing w:val="-6"/>
                      <w:sz w:val="21"/>
                      <w:highlight w:val="none"/>
                      <w:vertAlign w:val="superscript"/>
                      <w:lang w:val="en-US" w:eastAsia="zh-CN"/>
                    </w:rPr>
                    <w:t>2+</w:t>
                  </w:r>
                  <w:r>
                    <w:rPr>
                      <w:rFonts w:hint="eastAsia"/>
                      <w:color w:val="auto"/>
                      <w:spacing w:val="-6"/>
                      <w:sz w:val="21"/>
                      <w:highlight w:val="none"/>
                      <w:lang w:val="en-US" w:eastAsia="zh-CN"/>
                    </w:rPr>
                    <w:t>、Mg</w:t>
                  </w:r>
                  <w:r>
                    <w:rPr>
                      <w:rFonts w:hint="eastAsia"/>
                      <w:color w:val="auto"/>
                      <w:spacing w:val="-6"/>
                      <w:sz w:val="21"/>
                      <w:highlight w:val="none"/>
                      <w:vertAlign w:val="superscript"/>
                      <w:lang w:val="en-US" w:eastAsia="zh-CN"/>
                    </w:rPr>
                    <w:t>2+</w:t>
                  </w:r>
                </w:p>
              </w:tc>
              <w:tc>
                <w:tcPr>
                  <w:tcW w:w="419" w:type="pct"/>
                  <w:tcBorders>
                    <w:tl2br w:val="nil"/>
                    <w:tr2bl w:val="nil"/>
                  </w:tcBorders>
                  <w:noWrap w:val="0"/>
                  <w:vAlign w:val="center"/>
                </w:tcPr>
                <w:p w14:paraId="42BF5230">
                  <w:pPr>
                    <w:pStyle w:val="40"/>
                    <w:bidi w:val="0"/>
                    <w:rPr>
                      <w:rFonts w:hint="eastAsia" w:eastAsia="宋体"/>
                      <w:color w:val="auto"/>
                      <w:highlight w:val="none"/>
                      <w:lang w:val="en-US" w:eastAsia="zh-CN"/>
                    </w:rPr>
                  </w:pPr>
                  <w:r>
                    <w:rPr>
                      <w:rFonts w:hint="eastAsia"/>
                      <w:color w:val="auto"/>
                      <w:highlight w:val="none"/>
                      <w:lang w:val="en-US" w:eastAsia="zh-CN"/>
                    </w:rPr>
                    <w:t>/</w:t>
                  </w:r>
                </w:p>
              </w:tc>
              <w:tc>
                <w:tcPr>
                  <w:tcW w:w="455" w:type="pct"/>
                  <w:tcBorders>
                    <w:tl2br w:val="nil"/>
                    <w:tr2bl w:val="nil"/>
                  </w:tcBorders>
                  <w:noWrap w:val="0"/>
                  <w:vAlign w:val="center"/>
                </w:tcPr>
                <w:p w14:paraId="5D9B3AC7">
                  <w:pPr>
                    <w:pStyle w:val="40"/>
                    <w:bidi w:val="0"/>
                    <w:rPr>
                      <w:rFonts w:hint="default"/>
                      <w:color w:val="auto"/>
                      <w:highlight w:val="none"/>
                      <w:lang w:val="en-US" w:eastAsia="zh-CN"/>
                    </w:rPr>
                  </w:pPr>
                  <w:r>
                    <w:rPr>
                      <w:rFonts w:hint="eastAsia"/>
                      <w:color w:val="auto"/>
                      <w:highlight w:val="none"/>
                      <w:lang w:val="en-US" w:eastAsia="zh-CN"/>
                    </w:rPr>
                    <w:t>/</w:t>
                  </w:r>
                </w:p>
              </w:tc>
              <w:tc>
                <w:tcPr>
                  <w:tcW w:w="1062" w:type="pct"/>
                  <w:vMerge w:val="continue"/>
                  <w:tcBorders>
                    <w:tl2br w:val="nil"/>
                    <w:tr2bl w:val="nil"/>
                  </w:tcBorders>
                  <w:noWrap w:val="0"/>
                  <w:vAlign w:val="center"/>
                </w:tcPr>
                <w:p w14:paraId="0553A7CC">
                  <w:pPr>
                    <w:pStyle w:val="40"/>
                    <w:bidi w:val="0"/>
                    <w:rPr>
                      <w:rFonts w:hint="eastAsia"/>
                      <w:color w:val="auto"/>
                      <w:spacing w:val="-6"/>
                      <w:sz w:val="21"/>
                      <w:highlight w:val="none"/>
                    </w:rPr>
                  </w:pPr>
                </w:p>
              </w:tc>
              <w:tc>
                <w:tcPr>
                  <w:tcW w:w="701" w:type="pct"/>
                  <w:gridSpan w:val="2"/>
                  <w:vMerge w:val="continue"/>
                  <w:tcBorders>
                    <w:tl2br w:val="nil"/>
                    <w:tr2bl w:val="nil"/>
                  </w:tcBorders>
                  <w:noWrap w:val="0"/>
                  <w:vAlign w:val="center"/>
                </w:tcPr>
                <w:p w14:paraId="51D8802C">
                  <w:pPr>
                    <w:pStyle w:val="40"/>
                    <w:bidi w:val="0"/>
                    <w:rPr>
                      <w:color w:val="auto"/>
                      <w:highlight w:val="none"/>
                    </w:rPr>
                  </w:pPr>
                </w:p>
              </w:tc>
            </w:tr>
            <w:tr w14:paraId="35FE01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044" w:type="pct"/>
                  <w:tcBorders>
                    <w:tl2br w:val="nil"/>
                    <w:tr2bl w:val="nil"/>
                  </w:tcBorders>
                  <w:shd w:val="clear" w:color="auto" w:fill="auto"/>
                  <w:noWrap w:val="0"/>
                  <w:vAlign w:val="center"/>
                </w:tcPr>
                <w:p w14:paraId="7549EA58">
                  <w:pPr>
                    <w:pStyle w:val="40"/>
                    <w:bidi w:val="0"/>
                    <w:ind w:firstLine="0" w:firstLineChars="0"/>
                    <w:rPr>
                      <w:rFonts w:hint="eastAsia" w:ascii="Times New Roman" w:hAnsi="Times New Roman" w:eastAsia="宋体" w:cs="Times New Roman"/>
                      <w:b w:val="0"/>
                      <w:bCs w:val="0"/>
                      <w:color w:val="auto"/>
                      <w:spacing w:val="-11"/>
                      <w:kern w:val="2"/>
                      <w:sz w:val="21"/>
                      <w:szCs w:val="21"/>
                      <w:highlight w:val="none"/>
                      <w:lang w:val="en-US" w:eastAsia="zh-CN" w:bidi="ar-SA"/>
                    </w:rPr>
                  </w:pPr>
                  <w:r>
                    <w:rPr>
                      <w:rFonts w:hint="eastAsia"/>
                      <w:color w:val="auto"/>
                      <w:spacing w:val="-11"/>
                      <w:sz w:val="21"/>
                      <w:highlight w:val="none"/>
                      <w:lang w:val="en-US" w:eastAsia="zh-CN"/>
                    </w:rPr>
                    <w:t>W4</w:t>
                  </w:r>
                  <w:r>
                    <w:rPr>
                      <w:rFonts w:hint="eastAsia"/>
                      <w:color w:val="auto"/>
                      <w:spacing w:val="-11"/>
                      <w:sz w:val="21"/>
                      <w:highlight w:val="none"/>
                    </w:rPr>
                    <w:t>设备</w:t>
                  </w:r>
                  <w:r>
                    <w:rPr>
                      <w:rFonts w:hint="eastAsia"/>
                      <w:color w:val="auto"/>
                      <w:spacing w:val="-11"/>
                      <w:sz w:val="21"/>
                      <w:highlight w:val="none"/>
                      <w:lang w:val="en-US" w:eastAsia="zh-CN"/>
                    </w:rPr>
                    <w:t>清洗</w:t>
                  </w:r>
                  <w:r>
                    <w:rPr>
                      <w:rFonts w:hint="eastAsia"/>
                      <w:color w:val="auto"/>
                      <w:spacing w:val="-11"/>
                      <w:sz w:val="21"/>
                      <w:highlight w:val="none"/>
                    </w:rPr>
                    <w:t>废水</w:t>
                  </w:r>
                </w:p>
              </w:tc>
              <w:tc>
                <w:tcPr>
                  <w:tcW w:w="526" w:type="pct"/>
                  <w:tcBorders>
                    <w:tl2br w:val="nil"/>
                    <w:tr2bl w:val="nil"/>
                  </w:tcBorders>
                  <w:shd w:val="clear" w:color="auto" w:fill="auto"/>
                  <w:noWrap/>
                  <w:vAlign w:val="center"/>
                </w:tcPr>
                <w:p w14:paraId="20A03C98">
                  <w:pPr>
                    <w:pStyle w:val="40"/>
                    <w:bidi w:val="0"/>
                    <w:ind w:firstLine="0" w:firstLineChars="0"/>
                    <w:rPr>
                      <w:rFonts w:hint="eastAsia" w:ascii="Times New Roman" w:hAnsi="Times New Roman" w:eastAsia="宋体" w:cs="Times New Roman"/>
                      <w:b w:val="0"/>
                      <w:bCs w:val="0"/>
                      <w:color w:val="auto"/>
                      <w:spacing w:val="-11"/>
                      <w:kern w:val="2"/>
                      <w:sz w:val="21"/>
                      <w:szCs w:val="21"/>
                      <w:highlight w:val="none"/>
                      <w:lang w:val="en-US" w:eastAsia="zh-CN" w:bidi="ar-SA"/>
                    </w:rPr>
                  </w:pPr>
                  <w:r>
                    <w:rPr>
                      <w:rFonts w:hint="eastAsia" w:eastAsia="宋体"/>
                      <w:color w:val="auto"/>
                      <w:spacing w:val="-11"/>
                      <w:sz w:val="21"/>
                      <w:highlight w:val="none"/>
                      <w:lang w:val="en-US" w:eastAsia="zh-CN"/>
                    </w:rPr>
                    <w:t>15444</w:t>
                  </w:r>
                  <w:r>
                    <w:rPr>
                      <w:rFonts w:hint="eastAsia"/>
                      <w:color w:val="auto"/>
                      <w:spacing w:val="-11"/>
                      <w:sz w:val="21"/>
                      <w:highlight w:val="none"/>
                      <w:lang w:val="en-US" w:eastAsia="zh-CN"/>
                    </w:rPr>
                    <w:t>.0</w:t>
                  </w:r>
                </w:p>
              </w:tc>
              <w:tc>
                <w:tcPr>
                  <w:tcW w:w="789" w:type="pct"/>
                  <w:tcBorders>
                    <w:tl2br w:val="nil"/>
                    <w:tr2bl w:val="nil"/>
                  </w:tcBorders>
                  <w:shd w:val="clear" w:color="auto" w:fill="auto"/>
                  <w:noWrap w:val="0"/>
                  <w:vAlign w:val="center"/>
                </w:tcPr>
                <w:p w14:paraId="0180A104">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rPr>
                    <w:t>SS</w:t>
                  </w:r>
                </w:p>
              </w:tc>
              <w:tc>
                <w:tcPr>
                  <w:tcW w:w="419" w:type="pct"/>
                  <w:tcBorders>
                    <w:tl2br w:val="nil"/>
                    <w:tr2bl w:val="nil"/>
                  </w:tcBorders>
                  <w:shd w:val="clear" w:color="auto" w:fill="auto"/>
                  <w:noWrap w:val="0"/>
                  <w:vAlign w:val="center"/>
                </w:tcPr>
                <w:p w14:paraId="611DED5E">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rPr>
                    <w:t>3000</w:t>
                  </w:r>
                </w:p>
              </w:tc>
              <w:tc>
                <w:tcPr>
                  <w:tcW w:w="455" w:type="pct"/>
                  <w:tcBorders>
                    <w:tl2br w:val="nil"/>
                    <w:tr2bl w:val="nil"/>
                  </w:tcBorders>
                  <w:shd w:val="clear" w:color="auto" w:fill="auto"/>
                  <w:noWrap w:val="0"/>
                  <w:vAlign w:val="center"/>
                </w:tcPr>
                <w:p w14:paraId="0A4582F4">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46.33</w:t>
                  </w:r>
                </w:p>
              </w:tc>
              <w:tc>
                <w:tcPr>
                  <w:tcW w:w="1062" w:type="pct"/>
                  <w:tcBorders>
                    <w:tl2br w:val="nil"/>
                    <w:tr2bl w:val="nil"/>
                  </w:tcBorders>
                  <w:shd w:val="clear" w:color="auto" w:fill="auto"/>
                  <w:noWrap w:val="0"/>
                  <w:vAlign w:val="center"/>
                </w:tcPr>
                <w:p w14:paraId="6B8B1F69">
                  <w:pPr>
                    <w:pStyle w:val="40"/>
                    <w:bidi w:val="0"/>
                    <w:ind w:firstLine="0" w:firstLineChars="0"/>
                    <w:rPr>
                      <w:rFonts w:hint="eastAsia"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sz w:val="21"/>
                      <w:highlight w:val="none"/>
                    </w:rPr>
                    <w:t>经过砂石分离机，进入</w:t>
                  </w:r>
                  <w:r>
                    <w:rPr>
                      <w:rFonts w:hint="eastAsia"/>
                      <w:color w:val="auto"/>
                      <w:spacing w:val="-6"/>
                      <w:sz w:val="21"/>
                      <w:highlight w:val="none"/>
                      <w:lang w:val="en-US" w:eastAsia="zh-CN"/>
                    </w:rPr>
                    <w:t>三级</w:t>
                  </w:r>
                  <w:r>
                    <w:rPr>
                      <w:color w:val="auto"/>
                      <w:spacing w:val="-6"/>
                      <w:sz w:val="21"/>
                      <w:highlight w:val="none"/>
                    </w:rPr>
                    <w:t>沉淀池</w:t>
                  </w:r>
                  <w:r>
                    <w:rPr>
                      <w:rFonts w:hint="eastAsia"/>
                      <w:color w:val="auto"/>
                      <w:spacing w:val="-6"/>
                      <w:sz w:val="21"/>
                      <w:highlight w:val="none"/>
                    </w:rPr>
                    <w:t>，回用于</w:t>
                  </w:r>
                  <w:r>
                    <w:rPr>
                      <w:rFonts w:hint="eastAsia"/>
                      <w:color w:val="auto"/>
                      <w:spacing w:val="-6"/>
                      <w:sz w:val="21"/>
                      <w:highlight w:val="none"/>
                      <w:lang w:val="en-US" w:eastAsia="zh-CN"/>
                    </w:rPr>
                    <w:t>混凝土</w:t>
                  </w:r>
                  <w:r>
                    <w:rPr>
                      <w:rFonts w:hint="eastAsia"/>
                      <w:color w:val="auto"/>
                      <w:spacing w:val="-6"/>
                      <w:sz w:val="21"/>
                      <w:highlight w:val="none"/>
                    </w:rPr>
                    <w:t>搅拌</w:t>
                  </w:r>
                  <w:r>
                    <w:rPr>
                      <w:rFonts w:hint="eastAsia"/>
                      <w:color w:val="auto"/>
                      <w:spacing w:val="-6"/>
                      <w:sz w:val="21"/>
                      <w:highlight w:val="none"/>
                      <w:lang w:val="en-US" w:eastAsia="zh-CN"/>
                    </w:rPr>
                    <w:t>工序</w:t>
                  </w:r>
                </w:p>
              </w:tc>
              <w:tc>
                <w:tcPr>
                  <w:tcW w:w="701" w:type="pct"/>
                  <w:gridSpan w:val="2"/>
                  <w:vMerge w:val="continue"/>
                  <w:tcBorders>
                    <w:tl2br w:val="nil"/>
                    <w:tr2bl w:val="nil"/>
                  </w:tcBorders>
                  <w:noWrap w:val="0"/>
                  <w:vAlign w:val="center"/>
                </w:tcPr>
                <w:p w14:paraId="1428A7A4">
                  <w:pPr>
                    <w:pStyle w:val="40"/>
                    <w:bidi w:val="0"/>
                    <w:rPr>
                      <w:color w:val="auto"/>
                      <w:highlight w:val="none"/>
                    </w:rPr>
                  </w:pPr>
                </w:p>
              </w:tc>
            </w:tr>
            <w:tr w14:paraId="2710BE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044" w:type="pct"/>
                  <w:tcBorders>
                    <w:tl2br w:val="nil"/>
                    <w:tr2bl w:val="nil"/>
                  </w:tcBorders>
                  <w:shd w:val="clear" w:color="auto" w:fill="auto"/>
                  <w:noWrap w:val="0"/>
                  <w:vAlign w:val="center"/>
                </w:tcPr>
                <w:p w14:paraId="1309155F">
                  <w:pPr>
                    <w:pStyle w:val="40"/>
                    <w:bidi w:val="0"/>
                    <w:ind w:firstLine="0" w:firstLineChars="0"/>
                    <w:rPr>
                      <w:rFonts w:hint="eastAsia" w:ascii="Times New Roman" w:hAnsi="Times New Roman" w:eastAsia="宋体" w:cs="Times New Roman"/>
                      <w:b w:val="0"/>
                      <w:bCs w:val="0"/>
                      <w:color w:val="auto"/>
                      <w:spacing w:val="-11"/>
                      <w:kern w:val="2"/>
                      <w:sz w:val="21"/>
                      <w:szCs w:val="21"/>
                      <w:highlight w:val="none"/>
                      <w:lang w:val="en-US" w:eastAsia="zh-CN" w:bidi="ar-SA"/>
                    </w:rPr>
                  </w:pPr>
                  <w:r>
                    <w:rPr>
                      <w:rFonts w:hint="eastAsia"/>
                      <w:color w:val="auto"/>
                      <w:spacing w:val="-11"/>
                      <w:sz w:val="21"/>
                      <w:highlight w:val="none"/>
                      <w:lang w:val="en-US" w:eastAsia="zh-CN"/>
                    </w:rPr>
                    <w:t>W5</w:t>
                  </w:r>
                  <w:r>
                    <w:rPr>
                      <w:rFonts w:hint="eastAsia"/>
                      <w:color w:val="auto"/>
                      <w:spacing w:val="-11"/>
                      <w:sz w:val="21"/>
                      <w:highlight w:val="none"/>
                    </w:rPr>
                    <w:t>车辆冲洗废水</w:t>
                  </w:r>
                </w:p>
              </w:tc>
              <w:tc>
                <w:tcPr>
                  <w:tcW w:w="526" w:type="pct"/>
                  <w:tcBorders>
                    <w:tl2br w:val="nil"/>
                    <w:tr2bl w:val="nil"/>
                  </w:tcBorders>
                  <w:shd w:val="clear" w:color="auto" w:fill="auto"/>
                  <w:noWrap/>
                  <w:vAlign w:val="center"/>
                </w:tcPr>
                <w:p w14:paraId="51C31B4C">
                  <w:pPr>
                    <w:pStyle w:val="40"/>
                    <w:bidi w:val="0"/>
                    <w:ind w:firstLine="0" w:firstLineChars="0"/>
                    <w:rPr>
                      <w:rFonts w:hint="eastAsia" w:ascii="Times New Roman" w:hAnsi="Times New Roman" w:eastAsia="宋体" w:cs="Times New Roman"/>
                      <w:b w:val="0"/>
                      <w:bCs w:val="0"/>
                      <w:color w:val="auto"/>
                      <w:spacing w:val="-11"/>
                      <w:kern w:val="2"/>
                      <w:sz w:val="21"/>
                      <w:szCs w:val="21"/>
                      <w:highlight w:val="none"/>
                      <w:lang w:val="en-US" w:eastAsia="zh-CN" w:bidi="ar-SA"/>
                    </w:rPr>
                  </w:pPr>
                  <w:r>
                    <w:rPr>
                      <w:rFonts w:hint="eastAsia"/>
                      <w:color w:val="auto"/>
                      <w:spacing w:val="-11"/>
                      <w:sz w:val="21"/>
                      <w:highlight w:val="none"/>
                      <w:lang w:val="en-US" w:eastAsia="zh-CN"/>
                    </w:rPr>
                    <w:t>12492.2</w:t>
                  </w:r>
                </w:p>
              </w:tc>
              <w:tc>
                <w:tcPr>
                  <w:tcW w:w="789" w:type="pct"/>
                  <w:tcBorders>
                    <w:tl2br w:val="nil"/>
                    <w:tr2bl w:val="nil"/>
                  </w:tcBorders>
                  <w:shd w:val="clear" w:color="auto" w:fill="auto"/>
                  <w:noWrap w:val="0"/>
                  <w:vAlign w:val="center"/>
                </w:tcPr>
                <w:p w14:paraId="4F1F93E8">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rPr>
                    <w:t>SS</w:t>
                  </w:r>
                </w:p>
              </w:tc>
              <w:tc>
                <w:tcPr>
                  <w:tcW w:w="419" w:type="pct"/>
                  <w:tcBorders>
                    <w:tl2br w:val="nil"/>
                    <w:tr2bl w:val="nil"/>
                  </w:tcBorders>
                  <w:shd w:val="clear" w:color="auto" w:fill="auto"/>
                  <w:noWrap w:val="0"/>
                  <w:vAlign w:val="center"/>
                </w:tcPr>
                <w:p w14:paraId="393DA082">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rPr>
                    <w:t>500</w:t>
                  </w:r>
                </w:p>
              </w:tc>
              <w:tc>
                <w:tcPr>
                  <w:tcW w:w="455" w:type="pct"/>
                  <w:tcBorders>
                    <w:tl2br w:val="nil"/>
                    <w:tr2bl w:val="nil"/>
                  </w:tcBorders>
                  <w:shd w:val="clear" w:color="auto" w:fill="auto"/>
                  <w:noWrap w:val="0"/>
                  <w:vAlign w:val="center"/>
                </w:tcPr>
                <w:p w14:paraId="3AB39188">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6.25</w:t>
                  </w:r>
                </w:p>
              </w:tc>
              <w:tc>
                <w:tcPr>
                  <w:tcW w:w="1062" w:type="pct"/>
                  <w:tcBorders>
                    <w:tl2br w:val="nil"/>
                    <w:tr2bl w:val="nil"/>
                  </w:tcBorders>
                  <w:shd w:val="clear" w:color="auto" w:fill="auto"/>
                  <w:noWrap w:val="0"/>
                  <w:vAlign w:val="center"/>
                </w:tcPr>
                <w:p w14:paraId="280986C9">
                  <w:pPr>
                    <w:pStyle w:val="40"/>
                    <w:bidi w:val="0"/>
                    <w:ind w:firstLine="0" w:firstLineChars="0"/>
                    <w:rPr>
                      <w:rFonts w:hint="eastAsia"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sz w:val="21"/>
                      <w:highlight w:val="none"/>
                    </w:rPr>
                    <w:t>经</w:t>
                  </w:r>
                  <w:r>
                    <w:rPr>
                      <w:color w:val="auto"/>
                      <w:spacing w:val="-6"/>
                      <w:sz w:val="21"/>
                      <w:highlight w:val="none"/>
                    </w:rPr>
                    <w:t>沉淀池</w:t>
                  </w:r>
                  <w:r>
                    <w:rPr>
                      <w:rFonts w:hint="eastAsia"/>
                      <w:color w:val="auto"/>
                      <w:spacing w:val="-6"/>
                      <w:sz w:val="21"/>
                      <w:highlight w:val="none"/>
                      <w:lang w:eastAsia="zh-CN"/>
                    </w:rPr>
                    <w:t>（</w:t>
                  </w:r>
                  <w:r>
                    <w:rPr>
                      <w:rFonts w:hint="eastAsia"/>
                      <w:color w:val="auto"/>
                      <w:spacing w:val="-6"/>
                      <w:sz w:val="21"/>
                      <w:highlight w:val="none"/>
                      <w:lang w:val="en-US" w:eastAsia="zh-CN"/>
                    </w:rPr>
                    <w:t>20m</w:t>
                  </w:r>
                  <w:r>
                    <w:rPr>
                      <w:rFonts w:hint="eastAsia"/>
                      <w:color w:val="auto"/>
                      <w:spacing w:val="-6"/>
                      <w:sz w:val="21"/>
                      <w:highlight w:val="none"/>
                      <w:vertAlign w:val="superscript"/>
                      <w:lang w:val="en-US" w:eastAsia="zh-CN"/>
                    </w:rPr>
                    <w:t>3</w:t>
                  </w:r>
                  <w:r>
                    <w:rPr>
                      <w:rFonts w:hint="eastAsia"/>
                      <w:color w:val="auto"/>
                      <w:spacing w:val="-6"/>
                      <w:sz w:val="21"/>
                      <w:highlight w:val="none"/>
                      <w:vertAlign w:val="baseline"/>
                      <w:lang w:val="en-US" w:eastAsia="zh-CN"/>
                    </w:rPr>
                    <w:t>）</w:t>
                  </w:r>
                  <w:r>
                    <w:rPr>
                      <w:color w:val="auto"/>
                      <w:spacing w:val="-6"/>
                      <w:sz w:val="21"/>
                      <w:highlight w:val="none"/>
                      <w:lang w:val="zh-TW"/>
                    </w:rPr>
                    <w:t>沉淀</w:t>
                  </w:r>
                  <w:r>
                    <w:rPr>
                      <w:rFonts w:hint="eastAsia"/>
                      <w:color w:val="auto"/>
                      <w:spacing w:val="-6"/>
                      <w:sz w:val="21"/>
                      <w:highlight w:val="none"/>
                    </w:rPr>
                    <w:t>后</w:t>
                  </w:r>
                  <w:r>
                    <w:rPr>
                      <w:color w:val="auto"/>
                      <w:spacing w:val="-6"/>
                      <w:sz w:val="21"/>
                      <w:highlight w:val="none"/>
                      <w:lang w:val="zh-TW"/>
                    </w:rPr>
                    <w:t>循环使用</w:t>
                  </w:r>
                </w:p>
              </w:tc>
              <w:tc>
                <w:tcPr>
                  <w:tcW w:w="701" w:type="pct"/>
                  <w:gridSpan w:val="2"/>
                  <w:vMerge w:val="continue"/>
                  <w:tcBorders>
                    <w:tl2br w:val="nil"/>
                    <w:tr2bl w:val="nil"/>
                  </w:tcBorders>
                  <w:noWrap w:val="0"/>
                  <w:vAlign w:val="center"/>
                </w:tcPr>
                <w:p w14:paraId="3718B1A8">
                  <w:pPr>
                    <w:pStyle w:val="40"/>
                    <w:bidi w:val="0"/>
                    <w:rPr>
                      <w:color w:val="auto"/>
                      <w:highlight w:val="none"/>
                    </w:rPr>
                  </w:pPr>
                </w:p>
              </w:tc>
            </w:tr>
          </w:tbl>
          <w:p w14:paraId="2094E039">
            <w:pPr>
              <w:pStyle w:val="41"/>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color w:val="auto"/>
                <w:highlight w:val="none"/>
                <w:lang w:val="en-US" w:eastAsia="zh-CN"/>
              </w:rPr>
            </w:pPr>
            <w:r>
              <w:rPr>
                <w:rFonts w:hint="eastAsia"/>
                <w:color w:val="auto"/>
                <w:highlight w:val="none"/>
                <w:lang w:val="en-US" w:eastAsia="zh-CN"/>
              </w:rPr>
              <w:t>2、初期雨水</w:t>
            </w:r>
          </w:p>
          <w:p w14:paraId="4AB89011">
            <w:pPr>
              <w:bidi w:val="0"/>
              <w:rPr>
                <w:rFonts w:hint="eastAsia"/>
                <w:color w:val="auto"/>
                <w:highlight w:val="none"/>
              </w:rPr>
            </w:pPr>
            <w:r>
              <w:rPr>
                <w:rFonts w:hint="eastAsia"/>
                <w:color w:val="auto"/>
                <w:highlight w:val="none"/>
                <w:lang w:val="en-US" w:eastAsia="zh-CN"/>
              </w:rPr>
              <w:t>项目厂区设置</w:t>
            </w:r>
            <w:r>
              <w:rPr>
                <w:rFonts w:hint="eastAsia"/>
                <w:color w:val="auto"/>
                <w:highlight w:val="none"/>
              </w:rPr>
              <w:t>一套雨水收集系统，主要包括集雨、储存、利用三个方面。厂区室外雨水通过场地内设置的盖板明沟汇总后，排入</w:t>
            </w:r>
            <w:r>
              <w:rPr>
                <w:rFonts w:hint="eastAsia"/>
                <w:color w:val="auto"/>
                <w:highlight w:val="none"/>
                <w:lang w:val="en-US" w:eastAsia="zh-CN"/>
              </w:rPr>
              <w:t>初期</w:t>
            </w:r>
            <w:r>
              <w:rPr>
                <w:rFonts w:hint="eastAsia"/>
                <w:color w:val="auto"/>
                <w:highlight w:val="none"/>
              </w:rPr>
              <w:t>雨水收集池，回收的雨水经沉淀处理后回用于项目场地降尘用水</w:t>
            </w:r>
            <w:r>
              <w:rPr>
                <w:rFonts w:hint="eastAsia"/>
                <w:color w:val="auto"/>
                <w:highlight w:val="none"/>
                <w:lang w:eastAsia="zh-CN"/>
              </w:rPr>
              <w:t>，</w:t>
            </w:r>
            <w:r>
              <w:rPr>
                <w:rFonts w:hint="eastAsia"/>
                <w:color w:val="auto"/>
                <w:highlight w:val="none"/>
                <w:lang w:val="en-US" w:eastAsia="zh-CN"/>
              </w:rPr>
              <w:t>从而</w:t>
            </w:r>
            <w:r>
              <w:rPr>
                <w:color w:val="auto"/>
                <w:highlight w:val="none"/>
              </w:rPr>
              <w:t>降低初期雨水直接外排对水环境的影响</w:t>
            </w:r>
            <w:r>
              <w:rPr>
                <w:rFonts w:hint="eastAsia"/>
                <w:color w:val="auto"/>
                <w:highlight w:val="none"/>
              </w:rPr>
              <w:t>。</w:t>
            </w:r>
          </w:p>
          <w:p w14:paraId="49D0567E">
            <w:pPr>
              <w:bidi w:val="0"/>
              <w:rPr>
                <w:color w:val="auto"/>
                <w:highlight w:val="none"/>
              </w:rPr>
            </w:pPr>
            <w:r>
              <w:rPr>
                <w:color w:val="auto"/>
                <w:highlight w:val="none"/>
              </w:rPr>
              <w:t>一般降水地表不会产生径流，只有在强降水条件下可形成径流。本项目</w:t>
            </w:r>
            <w:r>
              <w:rPr>
                <w:rFonts w:hint="eastAsia"/>
                <w:color w:val="auto"/>
                <w:highlight w:val="none"/>
                <w:lang w:val="en-US" w:eastAsia="zh-CN"/>
              </w:rPr>
              <w:t>初期雨水收集池</w:t>
            </w:r>
            <w:r>
              <w:rPr>
                <w:color w:val="auto"/>
                <w:highlight w:val="none"/>
              </w:rPr>
              <w:t>容量采用榆林市暴雨强度公式计算确定，公式如下：</w:t>
            </w:r>
          </w:p>
          <w:p w14:paraId="2A9820E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Style w:val="49"/>
                <w:rFonts w:hint="default" w:ascii="Times New Roman" w:hAnsi="Times New Roman" w:cs="Times New Roman"/>
                <w:i/>
                <w:iCs/>
                <w:color w:val="auto"/>
                <w:highlight w:val="none"/>
                <w:lang w:val="en-US" w:eastAsia="zh-CN"/>
              </w:rPr>
            </w:pPr>
            <m:oMathPara>
              <m:oMath>
                <m:r>
                  <m:rPr/>
                  <w:rPr>
                    <w:rStyle w:val="49"/>
                    <w:rFonts w:hint="default" w:ascii="Cambria Math" w:hAnsi="Cambria Math" w:cs="Times New Roman"/>
                    <w:color w:val="auto"/>
                    <w:highlight w:val="none"/>
                    <w:lang w:val="en-US" w:eastAsia="zh-CN"/>
                  </w:rPr>
                  <m:t>q=</m:t>
                </m:r>
                <m:f>
                  <m:fPr>
                    <m:ctrlPr>
                      <w:rPr>
                        <w:rStyle w:val="49"/>
                        <w:rFonts w:hint="default" w:ascii="Cambria Math" w:hAnsi="Cambria Math" w:cs="Times New Roman"/>
                        <w:i/>
                        <w:iCs/>
                        <w:color w:val="auto"/>
                        <w:highlight w:val="none"/>
                        <w:lang w:val="en-US" w:eastAsia="zh-CN"/>
                      </w:rPr>
                    </m:ctrlPr>
                  </m:fPr>
                  <m:num>
                    <m:r>
                      <m:rPr/>
                      <w:rPr>
                        <w:rStyle w:val="49"/>
                        <w:rFonts w:hint="default" w:ascii="Cambria Math" w:hAnsi="Cambria Math" w:cs="Times New Roman"/>
                        <w:color w:val="auto"/>
                        <w:highlight w:val="none"/>
                        <w:lang w:val="en-US" w:eastAsia="zh-CN"/>
                      </w:rPr>
                      <m:t>2806</m:t>
                    </m:r>
                    <m:d>
                      <m:dPr>
                        <m:ctrlPr>
                          <w:rPr>
                            <w:rStyle w:val="49"/>
                            <w:rFonts w:hint="default" w:ascii="Cambria Math" w:hAnsi="Cambria Math" w:cs="Times New Roman"/>
                            <w:i/>
                            <w:iCs/>
                            <w:color w:val="auto"/>
                            <w:highlight w:val="none"/>
                            <w:lang w:val="en-US" w:eastAsia="zh-CN"/>
                          </w:rPr>
                        </m:ctrlPr>
                      </m:dPr>
                      <m:e>
                        <m:r>
                          <m:rPr/>
                          <w:rPr>
                            <w:rStyle w:val="49"/>
                            <w:rFonts w:hint="default" w:ascii="Cambria Math" w:hAnsi="Cambria Math" w:cs="Times New Roman"/>
                            <w:color w:val="auto"/>
                            <w:highlight w:val="none"/>
                            <w:lang w:val="en-US" w:eastAsia="zh-CN"/>
                          </w:rPr>
                          <m:t>1</m:t>
                        </m:r>
                        <m:r>
                          <m:rPr/>
                          <w:rPr>
                            <w:rStyle w:val="49"/>
                            <w:rFonts w:hint="default" w:ascii="Cambria Math" w:hAnsi="Cambria Math" w:cs="Times New Roman"/>
                            <w:color w:val="auto"/>
                            <w:highlight w:val="none"/>
                            <w:lang w:val="en-US"/>
                          </w:rPr>
                          <m:t>+</m:t>
                        </m:r>
                        <m:r>
                          <m:rPr/>
                          <w:rPr>
                            <w:rStyle w:val="49"/>
                            <w:rFonts w:hint="default" w:ascii="Cambria Math" w:hAnsi="Cambria Math" w:cs="Times New Roman"/>
                            <w:color w:val="auto"/>
                            <w:highlight w:val="none"/>
                            <w:lang w:val="en-US" w:eastAsia="zh-CN"/>
                          </w:rPr>
                          <m:t>0.803</m:t>
                        </m:r>
                        <m:func>
                          <m:funcPr>
                            <m:ctrlPr>
                              <w:rPr>
                                <w:rStyle w:val="49"/>
                                <w:rFonts w:hint="default" w:ascii="Cambria Math" w:hAnsi="Cambria Math" w:cs="Times New Roman"/>
                                <w:i/>
                                <w:iCs/>
                                <w:color w:val="auto"/>
                                <w:highlight w:val="none"/>
                                <w:lang w:val="en-US" w:eastAsia="zh-CN"/>
                              </w:rPr>
                            </m:ctrlPr>
                          </m:funcPr>
                          <m:fName>
                            <m:r>
                              <m:rPr/>
                              <w:rPr>
                                <w:rStyle w:val="49"/>
                                <w:rFonts w:hint="default" w:ascii="Cambria Math" w:hAnsi="Cambria Math" w:cs="Times New Roman"/>
                                <w:color w:val="auto"/>
                                <w:highlight w:val="none"/>
                                <w:lang w:val="en-US"/>
                              </w:rPr>
                              <m:t>lg</m:t>
                            </m:r>
                            <m:ctrlPr>
                              <w:rPr>
                                <w:rStyle w:val="49"/>
                                <w:rFonts w:hint="default" w:ascii="Cambria Math" w:hAnsi="Cambria Math" w:cs="Times New Roman"/>
                                <w:i/>
                                <w:iCs/>
                                <w:color w:val="auto"/>
                                <w:highlight w:val="none"/>
                                <w:lang w:val="en-US" w:eastAsia="zh-CN"/>
                              </w:rPr>
                            </m:ctrlPr>
                          </m:fName>
                          <m:e>
                            <m:r>
                              <m:rPr/>
                              <w:rPr>
                                <w:rStyle w:val="49"/>
                                <w:rFonts w:hint="default" w:ascii="Cambria Math" w:hAnsi="Cambria Math" w:cs="Times New Roman"/>
                                <w:color w:val="auto"/>
                                <w:highlight w:val="none"/>
                                <w:lang w:val="en-US" w:eastAsia="zh-CN"/>
                              </w:rPr>
                              <m:t>P</m:t>
                            </m:r>
                            <m:ctrlPr>
                              <w:rPr>
                                <w:rStyle w:val="49"/>
                                <w:rFonts w:hint="default" w:ascii="Cambria Math" w:hAnsi="Cambria Math" w:cs="Times New Roman"/>
                                <w:i/>
                                <w:iCs/>
                                <w:color w:val="auto"/>
                                <w:highlight w:val="none"/>
                                <w:lang w:val="en-US" w:eastAsia="zh-CN"/>
                              </w:rPr>
                            </m:ctrlPr>
                          </m:e>
                        </m:func>
                        <m:ctrlPr>
                          <w:rPr>
                            <w:rStyle w:val="49"/>
                            <w:rFonts w:hint="default" w:ascii="Cambria Math" w:hAnsi="Cambria Math" w:cs="Times New Roman"/>
                            <w:i/>
                            <w:iCs/>
                            <w:color w:val="auto"/>
                            <w:highlight w:val="none"/>
                            <w:lang w:val="en-US" w:eastAsia="zh-CN"/>
                          </w:rPr>
                        </m:ctrlPr>
                      </m:e>
                    </m:d>
                    <m:ctrlPr>
                      <w:rPr>
                        <w:rStyle w:val="49"/>
                        <w:rFonts w:hint="default" w:ascii="Cambria Math" w:hAnsi="Cambria Math" w:cs="Times New Roman"/>
                        <w:i/>
                        <w:iCs/>
                        <w:color w:val="auto"/>
                        <w:highlight w:val="none"/>
                        <w:lang w:val="en-US" w:eastAsia="zh-CN"/>
                      </w:rPr>
                    </m:ctrlPr>
                  </m:num>
                  <m:den>
                    <m:sSup>
                      <m:sSupPr>
                        <m:ctrlPr>
                          <w:rPr>
                            <w:rStyle w:val="49"/>
                            <w:rFonts w:hint="default" w:ascii="Cambria Math" w:hAnsi="Cambria Math" w:cs="Times New Roman"/>
                            <w:i/>
                            <w:iCs/>
                            <w:color w:val="auto"/>
                            <w:highlight w:val="none"/>
                            <w:lang w:val="en-US" w:eastAsia="zh-CN"/>
                          </w:rPr>
                        </m:ctrlPr>
                      </m:sSupPr>
                      <m:e>
                        <m:d>
                          <m:dPr>
                            <m:ctrlPr>
                              <w:rPr>
                                <w:rStyle w:val="49"/>
                                <w:rFonts w:hint="default" w:ascii="Cambria Math" w:hAnsi="Cambria Math" w:cs="Times New Roman"/>
                                <w:i/>
                                <w:iCs/>
                                <w:color w:val="auto"/>
                                <w:highlight w:val="none"/>
                                <w:lang w:val="en-US" w:eastAsia="zh-CN"/>
                              </w:rPr>
                            </m:ctrlPr>
                          </m:dPr>
                          <m:e>
                            <m:r>
                              <m:rPr/>
                              <w:rPr>
                                <w:rStyle w:val="49"/>
                                <w:rFonts w:hint="default" w:ascii="Cambria Math" w:hAnsi="Cambria Math" w:cs="Times New Roman"/>
                                <w:color w:val="auto"/>
                                <w:highlight w:val="none"/>
                                <w:lang w:val="en-US" w:eastAsia="zh-CN"/>
                              </w:rPr>
                              <m:t>t</m:t>
                            </m:r>
                            <m:r>
                              <m:rPr/>
                              <w:rPr>
                                <w:rStyle w:val="49"/>
                                <w:rFonts w:hint="default" w:ascii="Cambria Math" w:hAnsi="Cambria Math" w:cs="Times New Roman"/>
                                <w:color w:val="auto"/>
                                <w:highlight w:val="none"/>
                                <w:lang w:val="en-US"/>
                              </w:rPr>
                              <m:t>+</m:t>
                            </m:r>
                            <m:r>
                              <m:rPr/>
                              <w:rPr>
                                <w:rStyle w:val="49"/>
                                <w:rFonts w:hint="default" w:ascii="Cambria Math" w:hAnsi="Cambria Math" w:cs="Times New Roman"/>
                                <w:color w:val="auto"/>
                                <w:highlight w:val="none"/>
                                <w:lang w:val="en-US" w:eastAsia="zh-CN"/>
                              </w:rPr>
                              <m:t>12.8</m:t>
                            </m:r>
                            <m:sSup>
                              <m:sSupPr>
                                <m:ctrlPr>
                                  <w:rPr>
                                    <w:rStyle w:val="49"/>
                                    <w:rFonts w:hint="default" w:ascii="Cambria Math" w:hAnsi="Cambria Math" w:cs="Times New Roman"/>
                                    <w:i/>
                                    <w:iCs/>
                                    <w:color w:val="auto"/>
                                    <w:highlight w:val="none"/>
                                    <w:lang w:val="en-US" w:eastAsia="zh-CN"/>
                                  </w:rPr>
                                </m:ctrlPr>
                              </m:sSupPr>
                              <m:e>
                                <m:r>
                                  <m:rPr/>
                                  <w:rPr>
                                    <w:rStyle w:val="49"/>
                                    <w:rFonts w:hint="default" w:ascii="Cambria Math" w:hAnsi="Cambria Math" w:cs="Times New Roman"/>
                                    <w:color w:val="auto"/>
                                    <w:highlight w:val="none"/>
                                    <w:lang w:val="en-US" w:eastAsia="zh-CN"/>
                                  </w:rPr>
                                  <m:t>P</m:t>
                                </m:r>
                                <m:ctrlPr>
                                  <w:rPr>
                                    <w:rStyle w:val="49"/>
                                    <w:rFonts w:hint="default" w:ascii="Cambria Math" w:hAnsi="Cambria Math" w:cs="Times New Roman"/>
                                    <w:i/>
                                    <w:iCs/>
                                    <w:color w:val="auto"/>
                                    <w:highlight w:val="none"/>
                                    <w:lang w:val="en-US" w:eastAsia="zh-CN"/>
                                  </w:rPr>
                                </m:ctrlPr>
                              </m:e>
                              <m:sup>
                                <m:r>
                                  <m:rPr/>
                                  <w:rPr>
                                    <w:rStyle w:val="49"/>
                                    <w:rFonts w:hint="default" w:ascii="Cambria Math" w:hAnsi="Cambria Math" w:cs="Times New Roman"/>
                                    <w:color w:val="auto"/>
                                    <w:highlight w:val="none"/>
                                    <w:lang w:val="en-US" w:eastAsia="zh-CN"/>
                                  </w:rPr>
                                  <m:t>0.231</m:t>
                                </m:r>
                                <m:ctrlPr>
                                  <w:rPr>
                                    <w:rStyle w:val="49"/>
                                    <w:rFonts w:hint="default" w:ascii="Cambria Math" w:hAnsi="Cambria Math" w:cs="Times New Roman"/>
                                    <w:i/>
                                    <w:iCs/>
                                    <w:color w:val="auto"/>
                                    <w:highlight w:val="none"/>
                                    <w:lang w:val="en-US" w:eastAsia="zh-CN"/>
                                  </w:rPr>
                                </m:ctrlPr>
                              </m:sup>
                            </m:sSup>
                            <m:ctrlPr>
                              <w:rPr>
                                <w:rStyle w:val="49"/>
                                <w:rFonts w:hint="default" w:ascii="Cambria Math" w:hAnsi="Cambria Math" w:cs="Times New Roman"/>
                                <w:i/>
                                <w:iCs/>
                                <w:color w:val="auto"/>
                                <w:highlight w:val="none"/>
                                <w:lang w:val="en-US" w:eastAsia="zh-CN"/>
                              </w:rPr>
                            </m:ctrlPr>
                          </m:e>
                        </m:d>
                        <m:ctrlPr>
                          <w:rPr>
                            <w:rStyle w:val="49"/>
                            <w:rFonts w:hint="default" w:ascii="Cambria Math" w:hAnsi="Cambria Math" w:cs="Times New Roman"/>
                            <w:i/>
                            <w:iCs/>
                            <w:color w:val="auto"/>
                            <w:highlight w:val="none"/>
                            <w:lang w:val="en-US" w:eastAsia="zh-CN"/>
                          </w:rPr>
                        </m:ctrlPr>
                      </m:e>
                      <m:sup>
                        <m:r>
                          <m:rPr/>
                          <w:rPr>
                            <w:rStyle w:val="49"/>
                            <w:rFonts w:hint="default" w:ascii="Cambria Math" w:hAnsi="Cambria Math" w:cs="Times New Roman"/>
                            <w:color w:val="auto"/>
                            <w:highlight w:val="none"/>
                            <w:lang w:val="en-US" w:eastAsia="zh-CN"/>
                          </w:rPr>
                          <m:t>0.768</m:t>
                        </m:r>
                        <m:ctrlPr>
                          <w:rPr>
                            <w:rStyle w:val="49"/>
                            <w:rFonts w:hint="default" w:ascii="Cambria Math" w:hAnsi="Cambria Math" w:cs="Times New Roman"/>
                            <w:i/>
                            <w:iCs/>
                            <w:color w:val="auto"/>
                            <w:highlight w:val="none"/>
                            <w:lang w:val="en-US" w:eastAsia="zh-CN"/>
                          </w:rPr>
                        </m:ctrlPr>
                      </m:sup>
                    </m:sSup>
                    <m:ctrlPr>
                      <w:rPr>
                        <w:rStyle w:val="49"/>
                        <w:rFonts w:hint="default" w:ascii="Cambria Math" w:hAnsi="Cambria Math" w:cs="Times New Roman"/>
                        <w:i/>
                        <w:iCs/>
                        <w:color w:val="auto"/>
                        <w:highlight w:val="none"/>
                        <w:lang w:val="en-US" w:eastAsia="zh-CN"/>
                      </w:rPr>
                    </m:ctrlPr>
                  </m:den>
                </m:f>
              </m:oMath>
            </m:oMathPara>
          </w:p>
          <w:p w14:paraId="777F61D1">
            <w:pPr>
              <w:bidi w:val="0"/>
              <w:rPr>
                <w:rFonts w:hint="eastAsia" w:eastAsia="宋体"/>
                <w:color w:val="auto"/>
                <w:highlight w:val="none"/>
                <w:lang w:eastAsia="zh-CN"/>
              </w:rPr>
            </w:pPr>
            <w:r>
              <w:rPr>
                <w:rFonts w:hint="eastAsia"/>
                <w:color w:val="auto"/>
                <w:highlight w:val="none"/>
                <w:lang w:val="en-US" w:eastAsia="zh-CN"/>
              </w:rPr>
              <w:t>式中：</w:t>
            </w:r>
            <w:r>
              <w:rPr>
                <w:i/>
                <w:iCs/>
                <w:color w:val="auto"/>
                <w:highlight w:val="none"/>
              </w:rPr>
              <w:t>q</w:t>
            </w:r>
            <w:r>
              <w:rPr>
                <w:color w:val="auto"/>
                <w:highlight w:val="none"/>
              </w:rPr>
              <w:t>——暴雨强度，</w:t>
            </w:r>
            <w:r>
              <w:rPr>
                <w:rFonts w:hint="eastAsia"/>
                <w:color w:val="auto"/>
                <w:highlight w:val="none"/>
                <w:lang w:val="en-US" w:eastAsia="zh-CN"/>
              </w:rPr>
              <w:t>L</w:t>
            </w:r>
            <w:r>
              <w:rPr>
                <w:color w:val="auto"/>
                <w:highlight w:val="none"/>
              </w:rPr>
              <w:t>/s·ha</w:t>
            </w:r>
            <w:r>
              <w:rPr>
                <w:rFonts w:hint="eastAsia"/>
                <w:color w:val="auto"/>
                <w:highlight w:val="none"/>
                <w:lang w:eastAsia="zh-CN"/>
              </w:rPr>
              <w:t>；</w:t>
            </w:r>
          </w:p>
          <w:p w14:paraId="1E5C944F">
            <w:pPr>
              <w:bidi w:val="0"/>
              <w:ind w:firstLine="1200" w:firstLineChars="500"/>
              <w:rPr>
                <w:rFonts w:hint="eastAsia" w:eastAsia="宋体"/>
                <w:color w:val="auto"/>
                <w:highlight w:val="none"/>
                <w:lang w:eastAsia="zh-CN"/>
              </w:rPr>
            </w:pPr>
            <w:r>
              <w:rPr>
                <w:i/>
                <w:iCs/>
                <w:color w:val="auto"/>
                <w:highlight w:val="none"/>
              </w:rPr>
              <w:t>P</w:t>
            </w:r>
            <w:r>
              <w:rPr>
                <w:color w:val="auto"/>
                <w:highlight w:val="none"/>
              </w:rPr>
              <w:t>——重现值，年</w:t>
            </w:r>
            <w:r>
              <w:rPr>
                <w:rFonts w:hint="eastAsia"/>
                <w:color w:val="auto"/>
                <w:highlight w:val="none"/>
                <w:lang w:eastAsia="zh-CN"/>
              </w:rPr>
              <w:t>；</w:t>
            </w:r>
          </w:p>
          <w:p w14:paraId="022336C6">
            <w:pPr>
              <w:bidi w:val="0"/>
              <w:ind w:firstLine="1200" w:firstLineChars="500"/>
              <w:rPr>
                <w:rFonts w:hint="eastAsia" w:eastAsia="宋体"/>
                <w:color w:val="auto"/>
                <w:highlight w:val="none"/>
                <w:lang w:eastAsia="zh-CN"/>
              </w:rPr>
            </w:pPr>
            <w:r>
              <w:rPr>
                <w:i/>
                <w:iCs/>
                <w:color w:val="auto"/>
                <w:highlight w:val="none"/>
              </w:rPr>
              <w:t>t</w:t>
            </w:r>
            <w:r>
              <w:rPr>
                <w:color w:val="auto"/>
                <w:highlight w:val="none"/>
              </w:rPr>
              <w:t>——降雨历时，min</w:t>
            </w:r>
            <w:r>
              <w:rPr>
                <w:rFonts w:hint="eastAsia"/>
                <w:color w:val="auto"/>
                <w:highlight w:val="none"/>
                <w:lang w:eastAsia="zh-CN"/>
              </w:rPr>
              <w:t>；</w:t>
            </w:r>
          </w:p>
          <w:p w14:paraId="762E4BA1">
            <w:pPr>
              <w:bidi w:val="0"/>
              <w:rPr>
                <w:rFonts w:hint="default" w:eastAsia="宋体"/>
                <w:i/>
                <w:iCs/>
                <w:color w:val="auto"/>
                <w:highlight w:val="none"/>
                <w:lang w:val="en-US" w:eastAsia="zh-CN"/>
              </w:rPr>
            </w:pPr>
            <w:r>
              <w:rPr>
                <w:color w:val="auto"/>
                <w:highlight w:val="none"/>
              </w:rPr>
              <w:t>雨水设计流量：</w:t>
            </w:r>
            <m:oMath>
              <m:r>
                <m:rPr/>
                <w:rPr>
                  <w:rFonts w:hint="default" w:ascii="Cambria Math" w:hAnsi="Cambria Math" w:cs="Times New Roman"/>
                  <w:color w:val="auto"/>
                  <w:kern w:val="2"/>
                  <w:sz w:val="24"/>
                  <w:szCs w:val="24"/>
                  <w:highlight w:val="none"/>
                  <w:lang w:val="en-US" w:eastAsia="zh-CN" w:bidi="ar-SA"/>
                </w:rPr>
                <m:t>Q=</m:t>
              </m:r>
              <m:r>
                <m:rPr/>
                <w:rPr>
                  <w:rFonts w:hint="default" w:ascii="Cambria Math" w:hAnsi="Cambria Math"/>
                  <w:color w:val="auto"/>
                  <w:highlight w:val="none"/>
                </w:rPr>
                <m:t>Ψ</m:t>
              </m:r>
              <m:r>
                <m:rPr/>
                <w:rPr>
                  <w:rFonts w:hint="default" w:ascii="Cambria Math" w:hAnsi="Cambria Math"/>
                  <w:color w:val="auto"/>
                  <w:highlight w:val="none"/>
                  <w:lang w:val="en-US" w:eastAsia="zh-CN"/>
                </w:rPr>
                <m:t>qF</m:t>
              </m:r>
            </m:oMath>
          </w:p>
          <w:p w14:paraId="1B05FDF3">
            <w:pPr>
              <w:bidi w:val="0"/>
              <w:rPr>
                <w:rFonts w:hint="eastAsia" w:eastAsia="宋体"/>
                <w:color w:val="auto"/>
                <w:highlight w:val="none"/>
                <w:lang w:eastAsia="zh-CN"/>
              </w:rPr>
            </w:pPr>
            <w:r>
              <w:rPr>
                <w:rFonts w:hint="eastAsia"/>
                <w:color w:val="auto"/>
                <w:highlight w:val="none"/>
                <w:lang w:val="en-US" w:eastAsia="zh-CN"/>
              </w:rPr>
              <w:t>式中：</w:t>
            </w:r>
            <w:r>
              <w:rPr>
                <w:i/>
                <w:iCs/>
                <w:color w:val="auto"/>
                <w:highlight w:val="none"/>
              </w:rPr>
              <w:t>Ψ</w:t>
            </w:r>
            <w:r>
              <w:rPr>
                <w:color w:val="auto"/>
                <w:highlight w:val="none"/>
              </w:rPr>
              <w:t>——径流系数</w:t>
            </w:r>
            <w:r>
              <w:rPr>
                <w:rFonts w:hint="eastAsia"/>
                <w:color w:val="auto"/>
                <w:highlight w:val="none"/>
                <w:lang w:eastAsia="zh-CN"/>
              </w:rPr>
              <w:t>；</w:t>
            </w:r>
          </w:p>
          <w:p w14:paraId="23BF0B88">
            <w:pPr>
              <w:bidi w:val="0"/>
              <w:ind w:firstLine="1200" w:firstLineChars="500"/>
              <w:rPr>
                <w:rFonts w:hint="eastAsia" w:eastAsia="宋体"/>
                <w:color w:val="auto"/>
                <w:highlight w:val="none"/>
                <w:vertAlign w:val="baseline"/>
                <w:lang w:eastAsia="zh-CN"/>
              </w:rPr>
            </w:pPr>
            <w:r>
              <w:rPr>
                <w:i/>
                <w:iCs/>
                <w:color w:val="auto"/>
                <w:highlight w:val="none"/>
              </w:rPr>
              <w:t>F</w:t>
            </w:r>
            <w:r>
              <w:rPr>
                <w:color w:val="auto"/>
                <w:highlight w:val="none"/>
              </w:rPr>
              <w:t>——汇水面积，hm</w:t>
            </w:r>
            <w:r>
              <w:rPr>
                <w:color w:val="auto"/>
                <w:highlight w:val="none"/>
                <w:vertAlign w:val="superscript"/>
              </w:rPr>
              <w:t>2</w:t>
            </w:r>
            <w:r>
              <w:rPr>
                <w:rFonts w:hint="eastAsia"/>
                <w:color w:val="auto"/>
                <w:highlight w:val="none"/>
                <w:vertAlign w:val="baseline"/>
                <w:lang w:eastAsia="zh-CN"/>
              </w:rPr>
              <w:t>；</w:t>
            </w:r>
          </w:p>
          <w:p w14:paraId="4961707C">
            <w:pPr>
              <w:bidi w:val="0"/>
              <w:rPr>
                <w:rFonts w:hint="eastAsia"/>
                <w:color w:val="auto"/>
                <w:highlight w:val="none"/>
                <w:lang w:eastAsia="zh-CN"/>
              </w:rPr>
            </w:pPr>
            <w:r>
              <w:rPr>
                <w:i/>
                <w:iCs/>
                <w:color w:val="auto"/>
                <w:highlight w:val="none"/>
              </w:rPr>
              <w:t>P</w:t>
            </w:r>
            <w:r>
              <w:rPr>
                <w:color w:val="auto"/>
                <w:highlight w:val="none"/>
              </w:rPr>
              <w:t>取值1年，t取值</w:t>
            </w:r>
            <w:r>
              <w:rPr>
                <w:rFonts w:hint="eastAsia"/>
                <w:color w:val="auto"/>
                <w:highlight w:val="none"/>
                <w:lang w:val="en-US" w:eastAsia="zh-CN"/>
              </w:rPr>
              <w:t>30</w:t>
            </w:r>
            <w:r>
              <w:rPr>
                <w:color w:val="auto"/>
                <w:highlight w:val="none"/>
              </w:rPr>
              <w:t>min，</w:t>
            </w:r>
            <w:r>
              <w:rPr>
                <w:i/>
                <w:iCs/>
                <w:color w:val="auto"/>
                <w:highlight w:val="none"/>
              </w:rPr>
              <w:t>Ψ</w:t>
            </w:r>
            <w:r>
              <w:rPr>
                <w:color w:val="auto"/>
                <w:highlight w:val="none"/>
              </w:rPr>
              <w:t>取值0.</w:t>
            </w:r>
            <w:r>
              <w:rPr>
                <w:rFonts w:hint="eastAsia"/>
                <w:color w:val="auto"/>
                <w:highlight w:val="none"/>
                <w:lang w:val="en-US" w:eastAsia="zh-CN"/>
              </w:rPr>
              <w:t>8</w:t>
            </w:r>
            <w:r>
              <w:rPr>
                <w:color w:val="auto"/>
                <w:highlight w:val="none"/>
              </w:rPr>
              <w:t>，</w:t>
            </w:r>
            <w:r>
              <w:rPr>
                <w:i/>
                <w:iCs/>
                <w:color w:val="auto"/>
                <w:highlight w:val="none"/>
              </w:rPr>
              <w:t>F</w:t>
            </w:r>
            <w:r>
              <w:rPr>
                <w:color w:val="auto"/>
                <w:highlight w:val="none"/>
              </w:rPr>
              <w:t>为</w:t>
            </w:r>
            <w:r>
              <w:rPr>
                <w:rFonts w:hint="eastAsia"/>
                <w:color w:val="auto"/>
                <w:highlight w:val="none"/>
                <w:lang w:val="en-US" w:eastAsia="zh-CN"/>
              </w:rPr>
              <w:t>4.1701</w:t>
            </w:r>
            <w:r>
              <w:rPr>
                <w:color w:val="auto"/>
                <w:highlight w:val="none"/>
              </w:rPr>
              <w:t>hm</w:t>
            </w:r>
            <w:r>
              <w:rPr>
                <w:color w:val="auto"/>
                <w:highlight w:val="none"/>
                <w:vertAlign w:val="superscript"/>
              </w:rPr>
              <w:t>2</w:t>
            </w:r>
            <w:r>
              <w:rPr>
                <w:color w:val="auto"/>
                <w:highlight w:val="none"/>
              </w:rPr>
              <w:t>（有效收集雨水面积）</w:t>
            </w:r>
            <w:r>
              <w:rPr>
                <w:rFonts w:hint="eastAsia"/>
                <w:color w:val="auto"/>
                <w:highlight w:val="none"/>
                <w:lang w:eastAsia="zh-CN"/>
              </w:rPr>
              <w:t>。</w:t>
            </w:r>
          </w:p>
          <w:p w14:paraId="09DA35C7">
            <w:pPr>
              <w:bidi w:val="0"/>
              <w:rPr>
                <w:rFonts w:hint="eastAsia"/>
                <w:color w:val="auto"/>
                <w:highlight w:val="none"/>
                <w:lang w:val="en-US" w:eastAsia="zh-CN"/>
              </w:rPr>
            </w:pPr>
            <w:r>
              <w:rPr>
                <w:color w:val="auto"/>
                <w:highlight w:val="none"/>
              </w:rPr>
              <w:t>经计算，一次（以</w:t>
            </w:r>
            <w:r>
              <w:rPr>
                <w:rFonts w:hint="eastAsia"/>
                <w:color w:val="auto"/>
                <w:highlight w:val="none"/>
                <w:lang w:val="en-US" w:eastAsia="zh-CN"/>
              </w:rPr>
              <w:t>30</w:t>
            </w:r>
            <w:r>
              <w:rPr>
                <w:color w:val="auto"/>
                <w:highlight w:val="none"/>
              </w:rPr>
              <w:t>min计）强降水厂区收集</w:t>
            </w:r>
            <w:r>
              <w:rPr>
                <w:rFonts w:hint="eastAsia"/>
                <w:color w:val="auto"/>
                <w:highlight w:val="none"/>
                <w:lang w:val="en-US" w:eastAsia="zh-CN"/>
              </w:rPr>
              <w:t>初期雨</w:t>
            </w:r>
            <w:r>
              <w:rPr>
                <w:color w:val="auto"/>
                <w:highlight w:val="none"/>
              </w:rPr>
              <w:t>水为</w:t>
            </w:r>
            <w:r>
              <w:rPr>
                <w:rFonts w:hint="eastAsia"/>
                <w:color w:val="auto"/>
                <w:highlight w:val="none"/>
                <w:lang w:val="en-US" w:eastAsia="zh-CN"/>
              </w:rPr>
              <w:t>522.85</w:t>
            </w:r>
            <w:r>
              <w:rPr>
                <w:color w:val="auto"/>
                <w:highlight w:val="none"/>
              </w:rPr>
              <w:t>m</w:t>
            </w:r>
            <w:r>
              <w:rPr>
                <w:color w:val="auto"/>
                <w:highlight w:val="none"/>
                <w:vertAlign w:val="superscript"/>
              </w:rPr>
              <w:t>3</w:t>
            </w:r>
            <w:r>
              <w:rPr>
                <w:color w:val="auto"/>
                <w:highlight w:val="none"/>
              </w:rPr>
              <w:t>，</w:t>
            </w:r>
            <w:r>
              <w:rPr>
                <w:rFonts w:hint="eastAsia"/>
                <w:color w:val="auto"/>
                <w:highlight w:val="none"/>
                <w:lang w:val="en-US" w:eastAsia="zh-CN"/>
              </w:rPr>
              <w:t>本项目初期雨水收集池</w:t>
            </w:r>
            <w:r>
              <w:rPr>
                <w:rFonts w:hint="eastAsia"/>
                <w:color w:val="auto"/>
                <w:highlight w:val="none"/>
              </w:rPr>
              <w:t>容积</w:t>
            </w:r>
            <w:r>
              <w:rPr>
                <w:color w:val="auto"/>
                <w:highlight w:val="none"/>
              </w:rPr>
              <w:t>为</w:t>
            </w:r>
            <w:r>
              <w:rPr>
                <w:rFonts w:hint="eastAsia"/>
                <w:color w:val="auto"/>
                <w:highlight w:val="none"/>
                <w:lang w:val="en-US" w:eastAsia="zh-CN"/>
              </w:rPr>
              <w:t>600</w:t>
            </w:r>
            <w:r>
              <w:rPr>
                <w:color w:val="auto"/>
                <w:highlight w:val="none"/>
              </w:rPr>
              <w:t>m</w:t>
            </w:r>
            <w:r>
              <w:rPr>
                <w:color w:val="auto"/>
                <w:highlight w:val="none"/>
                <w:vertAlign w:val="superscript"/>
              </w:rPr>
              <w:t>3</w:t>
            </w:r>
            <w:r>
              <w:rPr>
                <w:color w:val="auto"/>
                <w:highlight w:val="none"/>
              </w:rPr>
              <w:t>，应设置在场内地势最低处，可确保项目在强降雨状态下</w:t>
            </w:r>
            <w:r>
              <w:rPr>
                <w:rFonts w:hint="eastAsia"/>
                <w:color w:val="auto"/>
                <w:highlight w:val="none"/>
                <w:lang w:val="en-US" w:eastAsia="zh-CN"/>
              </w:rPr>
              <w:t>初期雨水</w:t>
            </w:r>
            <w:r>
              <w:rPr>
                <w:color w:val="auto"/>
                <w:highlight w:val="none"/>
              </w:rPr>
              <w:t>不外排。</w:t>
            </w:r>
          </w:p>
          <w:p w14:paraId="79B06AF6">
            <w:pPr>
              <w:pStyle w:val="41"/>
              <w:bidi w:val="0"/>
              <w:rPr>
                <w:rFonts w:hint="default"/>
                <w:color w:val="auto"/>
                <w:highlight w:val="none"/>
                <w:lang w:val="en-US" w:eastAsia="zh-CN"/>
              </w:rPr>
            </w:pPr>
            <w:r>
              <w:rPr>
                <w:rFonts w:hint="eastAsia"/>
                <w:color w:val="auto"/>
                <w:highlight w:val="none"/>
                <w:lang w:val="en-US" w:eastAsia="zh-CN"/>
              </w:rPr>
              <w:t>3、环境影响分析</w:t>
            </w:r>
          </w:p>
          <w:p w14:paraId="68ED8097">
            <w:pPr>
              <w:bidi w:val="0"/>
              <w:rPr>
                <w:color w:val="auto"/>
                <w:highlight w:val="none"/>
              </w:rPr>
            </w:pPr>
            <w:r>
              <w:rPr>
                <w:rFonts w:hint="eastAsia"/>
                <w:color w:val="auto"/>
                <w:highlight w:val="none"/>
              </w:rPr>
              <w:t>生活污水经沉淀池（</w:t>
            </w:r>
            <w:r>
              <w:rPr>
                <w:rFonts w:hint="eastAsia"/>
                <w:color w:val="auto"/>
                <w:highlight w:val="none"/>
                <w:lang w:val="en-US" w:eastAsia="zh-CN"/>
              </w:rPr>
              <w:t>2</w:t>
            </w:r>
            <w:r>
              <w:rPr>
                <w:rFonts w:hint="eastAsia"/>
                <w:color w:val="auto"/>
                <w:highlight w:val="none"/>
              </w:rPr>
              <w:t>m</w:t>
            </w:r>
            <w:r>
              <w:rPr>
                <w:rFonts w:hint="eastAsia"/>
                <w:color w:val="auto"/>
                <w:highlight w:val="none"/>
                <w:vertAlign w:val="superscript"/>
              </w:rPr>
              <w:t>3</w:t>
            </w:r>
            <w:r>
              <w:rPr>
                <w:rFonts w:hint="eastAsia"/>
                <w:color w:val="auto"/>
                <w:highlight w:val="none"/>
              </w:rPr>
              <w:t>）处理后用于厂区洒水抑尘，不外排</w:t>
            </w:r>
            <w:r>
              <w:rPr>
                <w:rFonts w:hint="eastAsia"/>
                <w:color w:val="auto"/>
                <w:highlight w:val="none"/>
                <w:lang w:eastAsia="zh-CN"/>
              </w:rPr>
              <w:t>；</w:t>
            </w:r>
            <w:r>
              <w:rPr>
                <w:rFonts w:hint="eastAsia"/>
                <w:color w:val="auto"/>
                <w:highlight w:val="none"/>
                <w:lang w:val="en-US" w:eastAsia="zh-CN"/>
              </w:rPr>
              <w:t>锅炉定排水、蒸汽凝结水和离子交换树脂再生废水经暂存池（10m</w:t>
            </w:r>
            <w:r>
              <w:rPr>
                <w:rFonts w:hint="eastAsia"/>
                <w:color w:val="auto"/>
                <w:highlight w:val="none"/>
                <w:vertAlign w:val="superscript"/>
                <w:lang w:val="en-US" w:eastAsia="zh-CN"/>
              </w:rPr>
              <w:t>3</w:t>
            </w:r>
            <w:r>
              <w:rPr>
                <w:rFonts w:hint="eastAsia"/>
                <w:color w:val="auto"/>
                <w:highlight w:val="none"/>
                <w:lang w:val="en-US" w:eastAsia="zh-CN"/>
              </w:rPr>
              <w:t>）收集后回用于混凝土搅拌工序</w:t>
            </w:r>
            <w:r>
              <w:rPr>
                <w:rFonts w:hint="eastAsia"/>
                <w:color w:val="auto"/>
                <w:highlight w:val="none"/>
              </w:rPr>
              <w:t>，设备</w:t>
            </w:r>
            <w:r>
              <w:rPr>
                <w:rFonts w:hint="eastAsia"/>
                <w:color w:val="auto"/>
                <w:highlight w:val="none"/>
                <w:lang w:val="en-US" w:eastAsia="zh-CN"/>
              </w:rPr>
              <w:t>清洗废水</w:t>
            </w:r>
            <w:r>
              <w:rPr>
                <w:rFonts w:hint="eastAsia"/>
                <w:color w:val="auto"/>
                <w:highlight w:val="none"/>
              </w:rPr>
              <w:t>回用于搅拌</w:t>
            </w:r>
            <w:r>
              <w:rPr>
                <w:rFonts w:hint="eastAsia"/>
                <w:color w:val="auto"/>
                <w:highlight w:val="none"/>
                <w:lang w:val="en-US" w:eastAsia="zh-CN"/>
              </w:rPr>
              <w:t>工序</w:t>
            </w:r>
            <w:r>
              <w:rPr>
                <w:rFonts w:hint="eastAsia"/>
                <w:color w:val="auto"/>
                <w:highlight w:val="none"/>
              </w:rPr>
              <w:t>，车辆冲洗废水循环利用</w:t>
            </w:r>
            <w:r>
              <w:rPr>
                <w:rFonts w:hint="eastAsia"/>
                <w:color w:val="auto"/>
                <w:highlight w:val="none"/>
                <w:lang w:eastAsia="zh-CN"/>
              </w:rPr>
              <w:t>，</w:t>
            </w:r>
            <w:r>
              <w:rPr>
                <w:rFonts w:hint="eastAsia"/>
                <w:color w:val="auto"/>
                <w:highlight w:val="none"/>
                <w:lang w:val="en-US" w:eastAsia="zh-CN"/>
              </w:rPr>
              <w:t>初期雨水</w:t>
            </w:r>
            <w:r>
              <w:rPr>
                <w:rFonts w:hint="eastAsia"/>
                <w:color w:val="auto"/>
                <w:highlight w:val="none"/>
              </w:rPr>
              <w:t>经沉淀处理后回用于项目场地降尘用水。</w:t>
            </w:r>
            <w:r>
              <w:rPr>
                <w:color w:val="auto"/>
                <w:highlight w:val="none"/>
              </w:rPr>
              <w:t>综上所述，项目运营期废水均得到</w:t>
            </w:r>
            <w:r>
              <w:rPr>
                <w:rFonts w:hint="eastAsia"/>
                <w:color w:val="auto"/>
                <w:highlight w:val="none"/>
              </w:rPr>
              <w:t>有效利用</w:t>
            </w:r>
            <w:r>
              <w:rPr>
                <w:color w:val="auto"/>
                <w:highlight w:val="none"/>
              </w:rPr>
              <w:t>，</w:t>
            </w:r>
            <w:r>
              <w:rPr>
                <w:rFonts w:hint="eastAsia"/>
                <w:color w:val="auto"/>
                <w:highlight w:val="none"/>
                <w:lang w:val="en-US" w:eastAsia="zh-CN"/>
              </w:rPr>
              <w:t>不外排，</w:t>
            </w:r>
            <w:r>
              <w:rPr>
                <w:color w:val="auto"/>
                <w:highlight w:val="none"/>
              </w:rPr>
              <w:t>不会对</w:t>
            </w:r>
            <w:r>
              <w:rPr>
                <w:rFonts w:hint="eastAsia"/>
                <w:color w:val="auto"/>
                <w:highlight w:val="none"/>
                <w:lang w:val="en-US" w:eastAsia="zh-CN"/>
              </w:rPr>
              <w:t>周边</w:t>
            </w:r>
            <w:r>
              <w:rPr>
                <w:color w:val="auto"/>
                <w:highlight w:val="none"/>
              </w:rPr>
              <w:t>地表水</w:t>
            </w:r>
            <w:r>
              <w:rPr>
                <w:rFonts w:hint="eastAsia"/>
                <w:color w:val="auto"/>
                <w:highlight w:val="none"/>
                <w:lang w:val="en-US" w:eastAsia="zh-CN"/>
              </w:rPr>
              <w:t>及地下水</w:t>
            </w:r>
            <w:r>
              <w:rPr>
                <w:color w:val="auto"/>
                <w:highlight w:val="none"/>
              </w:rPr>
              <w:t>环境产生明显影响。</w:t>
            </w:r>
          </w:p>
          <w:p w14:paraId="400EE541">
            <w:pPr>
              <w:pStyle w:val="41"/>
              <w:bidi w:val="0"/>
              <w:rPr>
                <w:rFonts w:hint="eastAsia"/>
                <w:color w:val="auto"/>
                <w:highlight w:val="none"/>
                <w:lang w:val="en-US" w:eastAsia="zh-CN"/>
              </w:rPr>
            </w:pPr>
            <w:r>
              <w:rPr>
                <w:rFonts w:hint="eastAsia"/>
                <w:color w:val="auto"/>
                <w:highlight w:val="none"/>
                <w:lang w:val="en-US" w:eastAsia="zh-CN"/>
              </w:rPr>
              <w:t>三、噪声环境影响和保护措施</w:t>
            </w:r>
          </w:p>
          <w:p w14:paraId="151B7FA9">
            <w:pPr>
              <w:pStyle w:val="41"/>
              <w:bidi w:val="0"/>
              <w:rPr>
                <w:rFonts w:hint="eastAsia"/>
                <w:color w:val="auto"/>
                <w:highlight w:val="none"/>
                <w:lang w:val="en-US" w:eastAsia="zh-CN"/>
              </w:rPr>
            </w:pPr>
            <w:r>
              <w:rPr>
                <w:rFonts w:hint="eastAsia"/>
                <w:color w:val="auto"/>
                <w:highlight w:val="none"/>
                <w:lang w:val="en-US" w:eastAsia="zh-CN"/>
              </w:rPr>
              <w:t>1、</w:t>
            </w:r>
            <w:r>
              <w:rPr>
                <w:color w:val="auto"/>
                <w:highlight w:val="none"/>
              </w:rPr>
              <w:t>噪声源</w:t>
            </w:r>
            <w:r>
              <w:rPr>
                <w:rFonts w:hint="eastAsia"/>
                <w:color w:val="auto"/>
                <w:highlight w:val="none"/>
              </w:rPr>
              <w:t>统计情况</w:t>
            </w:r>
            <w:r>
              <w:rPr>
                <w:rFonts w:hint="eastAsia"/>
                <w:color w:val="auto"/>
                <w:highlight w:val="none"/>
                <w:lang w:eastAsia="zh-CN"/>
              </w:rPr>
              <w:t>及治理措施</w:t>
            </w:r>
          </w:p>
          <w:p w14:paraId="7113A863">
            <w:pPr>
              <w:bidi w:val="0"/>
              <w:rPr>
                <w:rFonts w:hint="eastAsia"/>
                <w:color w:val="auto"/>
                <w:highlight w:val="none"/>
              </w:rPr>
            </w:pPr>
            <w:r>
              <w:rPr>
                <w:rFonts w:hint="eastAsia"/>
                <w:color w:val="auto"/>
                <w:highlight w:val="none"/>
              </w:rPr>
              <w:t>本项目</w:t>
            </w:r>
            <w:r>
              <w:rPr>
                <w:rFonts w:hint="eastAsia"/>
                <w:color w:val="auto"/>
                <w:highlight w:val="none"/>
                <w:lang w:val="en-US" w:eastAsia="zh-CN"/>
              </w:rPr>
              <w:t>生产车间</w:t>
            </w:r>
            <w:r>
              <w:rPr>
                <w:rFonts w:hint="eastAsia"/>
                <w:color w:val="auto"/>
                <w:highlight w:val="none"/>
              </w:rPr>
              <w:t>均布置有高噪声设备</w:t>
            </w:r>
            <w:r>
              <w:rPr>
                <w:rFonts w:hint="eastAsia"/>
                <w:color w:val="auto"/>
                <w:highlight w:val="none"/>
                <w:lang w:eastAsia="zh-CN"/>
              </w:rPr>
              <w:t>，声源声级值在</w:t>
            </w:r>
            <w:r>
              <w:rPr>
                <w:rFonts w:hint="eastAsia"/>
                <w:color w:val="auto"/>
                <w:highlight w:val="none"/>
                <w:lang w:val="en-US" w:eastAsia="zh-CN"/>
              </w:rPr>
              <w:t>60~97</w:t>
            </w:r>
            <w:r>
              <w:rPr>
                <w:color w:val="auto"/>
                <w:highlight w:val="none"/>
                <w:lang w:val="en-US" w:eastAsia="zh-CN"/>
              </w:rPr>
              <w:t>dB</w:t>
            </w:r>
            <w:r>
              <w:rPr>
                <w:rFonts w:hint="eastAsia"/>
                <w:color w:val="auto"/>
                <w:highlight w:val="none"/>
                <w:lang w:val="en-US" w:eastAsia="zh-CN"/>
              </w:rPr>
              <w:t>（A）之间。项目通过采取选用低噪声设备、基础减振、置于室内、厂房隔声等措施来控制噪声排放。项目主要噪声源源强及治理措施见</w:t>
            </w:r>
            <w:r>
              <w:rPr>
                <w:rFonts w:hint="eastAsia"/>
                <w:color w:val="auto"/>
                <w:highlight w:val="none"/>
                <w:lang w:val="en-US" w:eastAsia="zh-CN"/>
              </w:rPr>
              <w:fldChar w:fldCharType="begin"/>
            </w:r>
            <w:r>
              <w:rPr>
                <w:rFonts w:hint="eastAsia"/>
                <w:color w:val="auto"/>
                <w:highlight w:val="none"/>
                <w:lang w:val="en-US" w:eastAsia="zh-CN"/>
              </w:rPr>
              <w:instrText xml:space="preserve"> REF _Ref18695 \h </w:instrText>
            </w:r>
            <w:r>
              <w:rPr>
                <w:rFonts w:hint="eastAsia"/>
                <w:color w:val="auto"/>
                <w:highlight w:val="none"/>
                <w:lang w:val="en-US" w:eastAsia="zh-CN"/>
              </w:rPr>
              <w:fldChar w:fldCharType="separate"/>
            </w:r>
            <w:r>
              <w:rPr>
                <w:color w:val="auto"/>
                <w:highlight w:val="none"/>
              </w:rPr>
              <w:t>表4-7</w:t>
            </w:r>
            <w:r>
              <w:rPr>
                <w:rFonts w:hint="eastAsia"/>
                <w:color w:val="auto"/>
                <w:highlight w:val="none"/>
                <w:lang w:val="en-US" w:eastAsia="zh-CN"/>
              </w:rPr>
              <w:fldChar w:fldCharType="end"/>
            </w:r>
            <w:r>
              <w:rPr>
                <w:rFonts w:hint="eastAsia"/>
                <w:color w:val="auto"/>
                <w:highlight w:val="none"/>
                <w:lang w:val="en-US" w:eastAsia="zh-CN"/>
              </w:rPr>
              <w:t>。</w:t>
            </w:r>
          </w:p>
          <w:p w14:paraId="0AE21FFB">
            <w:pPr>
              <w:pStyle w:val="7"/>
              <w:rPr>
                <w:rFonts w:hint="eastAsia"/>
                <w:color w:val="auto"/>
                <w:highlight w:val="none"/>
              </w:rPr>
            </w:pPr>
            <w:bookmarkStart w:id="58" w:name="_Ref18695"/>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7</w:t>
            </w:r>
            <w:r>
              <w:rPr>
                <w:color w:val="auto"/>
                <w:highlight w:val="none"/>
              </w:rPr>
              <w:fldChar w:fldCharType="end"/>
            </w:r>
            <w:bookmarkEnd w:id="58"/>
            <w:r>
              <w:rPr>
                <w:rFonts w:hint="eastAsia"/>
                <w:color w:val="auto"/>
                <w:highlight w:val="none"/>
                <w:lang w:val="en-US" w:eastAsia="zh-CN"/>
              </w:rPr>
              <w:t xml:space="preserve">  </w:t>
            </w:r>
            <w:r>
              <w:rPr>
                <w:rFonts w:hint="eastAsia"/>
                <w:color w:val="auto"/>
                <w:highlight w:val="none"/>
              </w:rPr>
              <w:t>主要设备噪声声级</w:t>
            </w:r>
          </w:p>
          <w:tbl>
            <w:tblPr>
              <w:tblStyle w:val="24"/>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421"/>
              <w:gridCol w:w="1267"/>
              <w:gridCol w:w="1304"/>
              <w:gridCol w:w="1050"/>
              <w:gridCol w:w="957"/>
              <w:gridCol w:w="3112"/>
            </w:tblGrid>
            <w:tr w14:paraId="646172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1040" w:type="pct"/>
                  <w:gridSpan w:val="2"/>
                  <w:tcBorders>
                    <w:tl2br w:val="nil"/>
                    <w:tr2bl w:val="nil"/>
                  </w:tcBorders>
                  <w:shd w:val="clear" w:color="auto" w:fill="auto"/>
                  <w:vAlign w:val="center"/>
                </w:tcPr>
                <w:p w14:paraId="746975E3">
                  <w:pPr>
                    <w:pStyle w:val="40"/>
                    <w:bidi w:val="0"/>
                    <w:rPr>
                      <w:rFonts w:hint="eastAsia"/>
                      <w:color w:val="auto"/>
                      <w:spacing w:val="-6"/>
                      <w:sz w:val="21"/>
                      <w:highlight w:val="none"/>
                    </w:rPr>
                  </w:pPr>
                  <w:r>
                    <w:rPr>
                      <w:rFonts w:hint="eastAsia"/>
                      <w:color w:val="auto"/>
                      <w:spacing w:val="-6"/>
                      <w:sz w:val="21"/>
                      <w:highlight w:val="none"/>
                      <w:lang w:val="en-US" w:eastAsia="zh-CN"/>
                    </w:rPr>
                    <w:t>车间名称</w:t>
                  </w:r>
                </w:p>
              </w:tc>
              <w:tc>
                <w:tcPr>
                  <w:tcW w:w="803" w:type="pct"/>
                  <w:tcBorders>
                    <w:tl2br w:val="nil"/>
                    <w:tr2bl w:val="nil"/>
                  </w:tcBorders>
                  <w:shd w:val="clear" w:color="auto" w:fill="auto"/>
                  <w:vAlign w:val="center"/>
                </w:tcPr>
                <w:p w14:paraId="510522CC">
                  <w:pPr>
                    <w:pStyle w:val="40"/>
                    <w:bidi w:val="0"/>
                    <w:rPr>
                      <w:rFonts w:hint="eastAsia"/>
                      <w:color w:val="auto"/>
                      <w:spacing w:val="-6"/>
                      <w:sz w:val="21"/>
                      <w:highlight w:val="none"/>
                    </w:rPr>
                  </w:pPr>
                  <w:r>
                    <w:rPr>
                      <w:rFonts w:hint="eastAsia"/>
                      <w:color w:val="auto"/>
                      <w:spacing w:val="-6"/>
                      <w:sz w:val="21"/>
                      <w:highlight w:val="none"/>
                      <w:lang w:val="en-US" w:eastAsia="zh-CN"/>
                    </w:rPr>
                    <w:t>设备名称</w:t>
                  </w:r>
                </w:p>
              </w:tc>
              <w:tc>
                <w:tcPr>
                  <w:tcW w:w="647" w:type="pct"/>
                  <w:tcBorders>
                    <w:tl2br w:val="nil"/>
                    <w:tr2bl w:val="nil"/>
                  </w:tcBorders>
                  <w:shd w:val="clear" w:color="auto" w:fill="auto"/>
                  <w:vAlign w:val="center"/>
                </w:tcPr>
                <w:p w14:paraId="303168B9">
                  <w:pPr>
                    <w:pStyle w:val="40"/>
                    <w:bidi w:val="0"/>
                    <w:rPr>
                      <w:rFonts w:hint="eastAsia"/>
                      <w:color w:val="auto"/>
                      <w:spacing w:val="-6"/>
                      <w:sz w:val="21"/>
                      <w:highlight w:val="none"/>
                    </w:rPr>
                  </w:pPr>
                  <w:r>
                    <w:rPr>
                      <w:rFonts w:hint="eastAsia"/>
                      <w:color w:val="auto"/>
                      <w:spacing w:val="-6"/>
                      <w:sz w:val="21"/>
                      <w:highlight w:val="none"/>
                      <w:lang w:val="en-US" w:eastAsia="zh-CN"/>
                    </w:rPr>
                    <w:t>声功率级</w:t>
                  </w:r>
                  <w:r>
                    <w:rPr>
                      <w:color w:val="auto"/>
                      <w:spacing w:val="-6"/>
                      <w:sz w:val="21"/>
                      <w:highlight w:val="none"/>
                      <w:lang w:val="en-US" w:eastAsia="zh-CN"/>
                    </w:rPr>
                    <w:t>dB</w:t>
                  </w:r>
                  <w:r>
                    <w:rPr>
                      <w:rFonts w:hint="eastAsia"/>
                      <w:color w:val="auto"/>
                      <w:spacing w:val="-6"/>
                      <w:sz w:val="21"/>
                      <w:highlight w:val="none"/>
                      <w:lang w:val="en-US" w:eastAsia="zh-CN"/>
                    </w:rPr>
                    <w:t>（</w:t>
                  </w:r>
                  <w:r>
                    <w:rPr>
                      <w:color w:val="auto"/>
                      <w:spacing w:val="-6"/>
                      <w:sz w:val="21"/>
                      <w:highlight w:val="none"/>
                      <w:lang w:val="en-US" w:eastAsia="zh-CN"/>
                    </w:rPr>
                    <w:t>A</w:t>
                  </w:r>
                  <w:r>
                    <w:rPr>
                      <w:rFonts w:hint="eastAsia"/>
                      <w:color w:val="auto"/>
                      <w:spacing w:val="-6"/>
                      <w:sz w:val="21"/>
                      <w:highlight w:val="none"/>
                      <w:lang w:val="en-US" w:eastAsia="zh-CN"/>
                    </w:rPr>
                    <w:t>）</w:t>
                  </w:r>
                </w:p>
              </w:tc>
              <w:tc>
                <w:tcPr>
                  <w:tcW w:w="589" w:type="pct"/>
                  <w:tcBorders>
                    <w:tl2br w:val="nil"/>
                    <w:tr2bl w:val="nil"/>
                  </w:tcBorders>
                  <w:shd w:val="clear" w:color="auto" w:fill="auto"/>
                  <w:vAlign w:val="center"/>
                </w:tcPr>
                <w:p w14:paraId="6AE050EA">
                  <w:pPr>
                    <w:pStyle w:val="40"/>
                    <w:bidi w:val="0"/>
                    <w:rPr>
                      <w:rFonts w:hint="eastAsia"/>
                      <w:color w:val="auto"/>
                      <w:spacing w:val="-6"/>
                      <w:sz w:val="21"/>
                      <w:highlight w:val="none"/>
                    </w:rPr>
                  </w:pPr>
                  <w:r>
                    <w:rPr>
                      <w:rFonts w:hint="eastAsia"/>
                      <w:color w:val="auto"/>
                      <w:spacing w:val="-6"/>
                      <w:sz w:val="21"/>
                      <w:highlight w:val="none"/>
                      <w:lang w:val="en-US" w:eastAsia="zh-CN"/>
                    </w:rPr>
                    <w:t>运行数量（台）</w:t>
                  </w:r>
                </w:p>
              </w:tc>
              <w:tc>
                <w:tcPr>
                  <w:tcW w:w="1918" w:type="pct"/>
                  <w:tcBorders>
                    <w:tl2br w:val="nil"/>
                    <w:tr2bl w:val="nil"/>
                  </w:tcBorders>
                  <w:shd w:val="clear" w:color="auto" w:fill="auto"/>
                  <w:vAlign w:val="center"/>
                </w:tcPr>
                <w:p w14:paraId="2BC04C66">
                  <w:pPr>
                    <w:pStyle w:val="40"/>
                    <w:bidi w:val="0"/>
                    <w:rPr>
                      <w:rFonts w:hint="eastAsia"/>
                      <w:color w:val="auto"/>
                      <w:spacing w:val="-6"/>
                      <w:sz w:val="21"/>
                      <w:highlight w:val="none"/>
                    </w:rPr>
                  </w:pPr>
                  <w:r>
                    <w:rPr>
                      <w:rFonts w:hint="eastAsia"/>
                      <w:color w:val="auto"/>
                      <w:spacing w:val="-6"/>
                      <w:sz w:val="21"/>
                      <w:highlight w:val="none"/>
                      <w:lang w:val="en-US" w:eastAsia="zh-CN"/>
                    </w:rPr>
                    <w:t>治理措施</w:t>
                  </w:r>
                </w:p>
              </w:tc>
            </w:tr>
            <w:tr w14:paraId="6C5D65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59" w:type="pct"/>
                  <w:vMerge w:val="restart"/>
                  <w:tcBorders>
                    <w:tl2br w:val="nil"/>
                    <w:tr2bl w:val="nil"/>
                  </w:tcBorders>
                  <w:shd w:val="clear" w:color="auto" w:fill="auto"/>
                  <w:vAlign w:val="center"/>
                </w:tcPr>
                <w:p w14:paraId="65322BD0">
                  <w:pPr>
                    <w:pStyle w:val="40"/>
                    <w:bidi w:val="0"/>
                    <w:rPr>
                      <w:rFonts w:hint="default" w:eastAsia="宋体"/>
                      <w:color w:val="auto"/>
                      <w:highlight w:val="none"/>
                      <w:lang w:val="en-US" w:eastAsia="zh-CN"/>
                    </w:rPr>
                  </w:pPr>
                  <w:r>
                    <w:rPr>
                      <w:rFonts w:hint="eastAsia"/>
                      <w:color w:val="auto"/>
                      <w:highlight w:val="none"/>
                      <w:lang w:val="en-US" w:eastAsia="zh-CN"/>
                    </w:rPr>
                    <w:t>蒸压硅酸盐功能骨料生产车间</w:t>
                  </w:r>
                </w:p>
              </w:tc>
              <w:tc>
                <w:tcPr>
                  <w:tcW w:w="781" w:type="pct"/>
                  <w:vMerge w:val="restart"/>
                  <w:tcBorders>
                    <w:tl2br w:val="nil"/>
                    <w:tr2bl w:val="nil"/>
                  </w:tcBorders>
                  <w:shd w:val="clear" w:color="auto" w:fill="auto"/>
                  <w:vAlign w:val="center"/>
                </w:tcPr>
                <w:p w14:paraId="33F80F2C">
                  <w:pPr>
                    <w:pStyle w:val="40"/>
                    <w:bidi w:val="0"/>
                    <w:rPr>
                      <w:rFonts w:hint="eastAsia"/>
                      <w:color w:val="auto"/>
                      <w:highlight w:val="none"/>
                    </w:rPr>
                  </w:pPr>
                  <w:r>
                    <w:rPr>
                      <w:rFonts w:hint="eastAsia"/>
                      <w:color w:val="auto"/>
                      <w:highlight w:val="none"/>
                      <w:lang w:val="en-US" w:eastAsia="zh-CN"/>
                    </w:rPr>
                    <w:t>预处理区</w:t>
                  </w:r>
                </w:p>
              </w:tc>
              <w:tc>
                <w:tcPr>
                  <w:tcW w:w="803" w:type="pct"/>
                  <w:tcBorders>
                    <w:tl2br w:val="nil"/>
                    <w:tr2bl w:val="nil"/>
                  </w:tcBorders>
                  <w:shd w:val="clear" w:color="auto" w:fill="auto"/>
                  <w:vAlign w:val="center"/>
                </w:tcPr>
                <w:p w14:paraId="16A20F9C">
                  <w:pPr>
                    <w:pStyle w:val="40"/>
                    <w:bidi w:val="0"/>
                    <w:rPr>
                      <w:rFonts w:hint="eastAsia"/>
                      <w:color w:val="auto"/>
                      <w:highlight w:val="none"/>
                    </w:rPr>
                  </w:pPr>
                  <w:r>
                    <w:rPr>
                      <w:rFonts w:hint="eastAsia"/>
                      <w:color w:val="auto"/>
                      <w:highlight w:val="none"/>
                      <w:lang w:val="en-US" w:eastAsia="zh-CN"/>
                    </w:rPr>
                    <w:t>球磨机</w:t>
                  </w:r>
                </w:p>
              </w:tc>
              <w:tc>
                <w:tcPr>
                  <w:tcW w:w="647" w:type="pct"/>
                  <w:tcBorders>
                    <w:tl2br w:val="nil"/>
                    <w:tr2bl w:val="nil"/>
                  </w:tcBorders>
                  <w:shd w:val="clear" w:color="auto" w:fill="auto"/>
                  <w:vAlign w:val="center"/>
                </w:tcPr>
                <w:p w14:paraId="4F934F71">
                  <w:pPr>
                    <w:pStyle w:val="40"/>
                    <w:bidi w:val="0"/>
                    <w:rPr>
                      <w:rFonts w:hint="default"/>
                      <w:color w:val="auto"/>
                      <w:highlight w:val="none"/>
                    </w:rPr>
                  </w:pPr>
                  <w:r>
                    <w:rPr>
                      <w:rFonts w:hint="default"/>
                      <w:color w:val="auto"/>
                      <w:highlight w:val="none"/>
                      <w:lang w:val="en-US" w:eastAsia="zh-CN"/>
                    </w:rPr>
                    <w:t>97</w:t>
                  </w:r>
                </w:p>
              </w:tc>
              <w:tc>
                <w:tcPr>
                  <w:tcW w:w="589" w:type="pct"/>
                  <w:tcBorders>
                    <w:tl2br w:val="nil"/>
                    <w:tr2bl w:val="nil"/>
                  </w:tcBorders>
                  <w:shd w:val="clear" w:color="auto" w:fill="auto"/>
                  <w:vAlign w:val="center"/>
                </w:tcPr>
                <w:p w14:paraId="12F35B2E">
                  <w:pPr>
                    <w:pStyle w:val="40"/>
                    <w:bidi w:val="0"/>
                    <w:rPr>
                      <w:rFonts w:hint="default"/>
                      <w:color w:val="auto"/>
                      <w:highlight w:val="none"/>
                    </w:rPr>
                  </w:pPr>
                  <w:r>
                    <w:rPr>
                      <w:rFonts w:hint="default"/>
                      <w:color w:val="auto"/>
                      <w:highlight w:val="none"/>
                      <w:lang w:val="en-US" w:eastAsia="zh-CN"/>
                    </w:rPr>
                    <w:t>3</w:t>
                  </w:r>
                </w:p>
              </w:tc>
              <w:tc>
                <w:tcPr>
                  <w:tcW w:w="1918" w:type="pct"/>
                  <w:vMerge w:val="restart"/>
                  <w:tcBorders>
                    <w:tl2br w:val="nil"/>
                    <w:tr2bl w:val="nil"/>
                  </w:tcBorders>
                  <w:shd w:val="clear" w:color="auto" w:fill="auto"/>
                  <w:vAlign w:val="center"/>
                </w:tcPr>
                <w:p w14:paraId="09B8E0C1">
                  <w:pPr>
                    <w:pStyle w:val="40"/>
                    <w:bidi w:val="0"/>
                    <w:rPr>
                      <w:rFonts w:hint="eastAsia"/>
                      <w:color w:val="auto"/>
                      <w:spacing w:val="-6"/>
                      <w:sz w:val="21"/>
                      <w:highlight w:val="none"/>
                    </w:rPr>
                  </w:pPr>
                  <w:r>
                    <w:rPr>
                      <w:rFonts w:hint="eastAsia"/>
                      <w:color w:val="auto"/>
                      <w:spacing w:val="-6"/>
                      <w:sz w:val="21"/>
                      <w:highlight w:val="none"/>
                    </w:rPr>
                    <w:t>选用低噪声设备，置于室内，基础减振，风机安装隔声罩</w:t>
                  </w:r>
                </w:p>
              </w:tc>
            </w:tr>
            <w:tr w14:paraId="5BF9CF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59" w:type="pct"/>
                  <w:vMerge w:val="continue"/>
                  <w:tcBorders>
                    <w:tl2br w:val="nil"/>
                    <w:tr2bl w:val="nil"/>
                  </w:tcBorders>
                  <w:shd w:val="clear" w:color="auto" w:fill="auto"/>
                  <w:vAlign w:val="center"/>
                </w:tcPr>
                <w:p w14:paraId="0CCF979D">
                  <w:pPr>
                    <w:pStyle w:val="40"/>
                    <w:bidi w:val="0"/>
                    <w:rPr>
                      <w:rFonts w:hint="eastAsia"/>
                      <w:color w:val="auto"/>
                      <w:highlight w:val="none"/>
                    </w:rPr>
                  </w:pPr>
                </w:p>
              </w:tc>
              <w:tc>
                <w:tcPr>
                  <w:tcW w:w="781" w:type="pct"/>
                  <w:vMerge w:val="continue"/>
                  <w:tcBorders>
                    <w:tl2br w:val="nil"/>
                    <w:tr2bl w:val="nil"/>
                  </w:tcBorders>
                  <w:shd w:val="clear" w:color="auto" w:fill="auto"/>
                  <w:vAlign w:val="center"/>
                </w:tcPr>
                <w:p w14:paraId="19073981">
                  <w:pPr>
                    <w:pStyle w:val="40"/>
                    <w:bidi w:val="0"/>
                    <w:rPr>
                      <w:rFonts w:hint="eastAsia"/>
                      <w:color w:val="auto"/>
                      <w:highlight w:val="none"/>
                    </w:rPr>
                  </w:pPr>
                </w:p>
              </w:tc>
              <w:tc>
                <w:tcPr>
                  <w:tcW w:w="803" w:type="pct"/>
                  <w:tcBorders>
                    <w:tl2br w:val="nil"/>
                    <w:tr2bl w:val="nil"/>
                  </w:tcBorders>
                  <w:shd w:val="clear" w:color="auto" w:fill="auto"/>
                  <w:vAlign w:val="center"/>
                </w:tcPr>
                <w:p w14:paraId="173B0A5C">
                  <w:pPr>
                    <w:pStyle w:val="40"/>
                    <w:bidi w:val="0"/>
                    <w:rPr>
                      <w:rFonts w:hint="eastAsia"/>
                      <w:color w:val="auto"/>
                      <w:highlight w:val="none"/>
                    </w:rPr>
                  </w:pPr>
                  <w:r>
                    <w:rPr>
                      <w:rFonts w:hint="eastAsia"/>
                      <w:color w:val="auto"/>
                      <w:highlight w:val="none"/>
                      <w:lang w:val="en-US" w:eastAsia="zh-CN"/>
                    </w:rPr>
                    <w:t>风机</w:t>
                  </w:r>
                </w:p>
              </w:tc>
              <w:tc>
                <w:tcPr>
                  <w:tcW w:w="647" w:type="pct"/>
                  <w:tcBorders>
                    <w:tl2br w:val="nil"/>
                    <w:tr2bl w:val="nil"/>
                  </w:tcBorders>
                  <w:shd w:val="clear" w:color="auto" w:fill="auto"/>
                  <w:vAlign w:val="center"/>
                </w:tcPr>
                <w:p w14:paraId="2380606E">
                  <w:pPr>
                    <w:pStyle w:val="40"/>
                    <w:bidi w:val="0"/>
                    <w:rPr>
                      <w:rFonts w:hint="default"/>
                      <w:color w:val="auto"/>
                      <w:highlight w:val="none"/>
                    </w:rPr>
                  </w:pPr>
                  <w:r>
                    <w:rPr>
                      <w:rFonts w:hint="default"/>
                      <w:color w:val="auto"/>
                      <w:highlight w:val="none"/>
                      <w:lang w:val="en-US" w:eastAsia="zh-CN"/>
                    </w:rPr>
                    <w:t>90</w:t>
                  </w:r>
                </w:p>
              </w:tc>
              <w:tc>
                <w:tcPr>
                  <w:tcW w:w="589" w:type="pct"/>
                  <w:tcBorders>
                    <w:tl2br w:val="nil"/>
                    <w:tr2bl w:val="nil"/>
                  </w:tcBorders>
                  <w:shd w:val="clear" w:color="auto" w:fill="auto"/>
                  <w:vAlign w:val="center"/>
                </w:tcPr>
                <w:p w14:paraId="2B78DECD">
                  <w:pPr>
                    <w:pStyle w:val="40"/>
                    <w:bidi w:val="0"/>
                    <w:rPr>
                      <w:rFonts w:hint="default"/>
                      <w:color w:val="auto"/>
                      <w:highlight w:val="none"/>
                    </w:rPr>
                  </w:pPr>
                  <w:r>
                    <w:rPr>
                      <w:rFonts w:hint="eastAsia"/>
                      <w:color w:val="auto"/>
                      <w:highlight w:val="none"/>
                      <w:lang w:val="en-US" w:eastAsia="zh-CN"/>
                    </w:rPr>
                    <w:t>1</w:t>
                  </w:r>
                </w:p>
              </w:tc>
              <w:tc>
                <w:tcPr>
                  <w:tcW w:w="1918" w:type="pct"/>
                  <w:vMerge w:val="continue"/>
                  <w:tcBorders>
                    <w:tl2br w:val="nil"/>
                    <w:tr2bl w:val="nil"/>
                  </w:tcBorders>
                  <w:shd w:val="clear" w:color="auto" w:fill="auto"/>
                  <w:vAlign w:val="center"/>
                </w:tcPr>
                <w:p w14:paraId="603654C2">
                  <w:pPr>
                    <w:pStyle w:val="40"/>
                    <w:bidi w:val="0"/>
                    <w:rPr>
                      <w:rFonts w:hint="eastAsia"/>
                      <w:color w:val="auto"/>
                      <w:spacing w:val="-6"/>
                      <w:sz w:val="21"/>
                      <w:highlight w:val="none"/>
                    </w:rPr>
                  </w:pPr>
                </w:p>
              </w:tc>
            </w:tr>
            <w:tr w14:paraId="631FBF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59" w:type="pct"/>
                  <w:vMerge w:val="continue"/>
                  <w:tcBorders>
                    <w:tl2br w:val="nil"/>
                    <w:tr2bl w:val="nil"/>
                  </w:tcBorders>
                  <w:shd w:val="clear" w:color="auto" w:fill="auto"/>
                  <w:vAlign w:val="center"/>
                </w:tcPr>
                <w:p w14:paraId="693A614F">
                  <w:pPr>
                    <w:pStyle w:val="40"/>
                    <w:bidi w:val="0"/>
                    <w:rPr>
                      <w:rFonts w:hint="eastAsia"/>
                      <w:color w:val="auto"/>
                      <w:highlight w:val="none"/>
                    </w:rPr>
                  </w:pPr>
                </w:p>
              </w:tc>
              <w:tc>
                <w:tcPr>
                  <w:tcW w:w="781" w:type="pct"/>
                  <w:vMerge w:val="restart"/>
                  <w:tcBorders>
                    <w:tl2br w:val="nil"/>
                    <w:tr2bl w:val="nil"/>
                  </w:tcBorders>
                  <w:shd w:val="clear" w:color="auto" w:fill="auto"/>
                  <w:vAlign w:val="center"/>
                </w:tcPr>
                <w:p w14:paraId="7D67F4BF">
                  <w:pPr>
                    <w:pStyle w:val="40"/>
                    <w:bidi w:val="0"/>
                    <w:rPr>
                      <w:rFonts w:hint="eastAsia"/>
                      <w:color w:val="auto"/>
                      <w:highlight w:val="none"/>
                    </w:rPr>
                  </w:pPr>
                  <w:r>
                    <w:rPr>
                      <w:rFonts w:hint="eastAsia"/>
                      <w:color w:val="auto"/>
                      <w:highlight w:val="none"/>
                      <w:lang w:val="en-US" w:eastAsia="zh-CN"/>
                    </w:rPr>
                    <w:t>搅拌及成核区</w:t>
                  </w:r>
                </w:p>
              </w:tc>
              <w:tc>
                <w:tcPr>
                  <w:tcW w:w="803" w:type="pct"/>
                  <w:tcBorders>
                    <w:tl2br w:val="nil"/>
                    <w:tr2bl w:val="nil"/>
                  </w:tcBorders>
                  <w:shd w:val="clear" w:color="auto" w:fill="auto"/>
                  <w:vAlign w:val="center"/>
                </w:tcPr>
                <w:p w14:paraId="0AE75691">
                  <w:pPr>
                    <w:pStyle w:val="40"/>
                    <w:bidi w:val="0"/>
                    <w:rPr>
                      <w:rFonts w:hint="eastAsia"/>
                      <w:color w:val="auto"/>
                      <w:highlight w:val="none"/>
                    </w:rPr>
                  </w:pPr>
                  <w:r>
                    <w:rPr>
                      <w:rFonts w:hint="eastAsia"/>
                      <w:color w:val="auto"/>
                      <w:highlight w:val="none"/>
                      <w:lang w:val="en-US" w:eastAsia="zh-CN"/>
                    </w:rPr>
                    <w:t>搅拌机</w:t>
                  </w:r>
                </w:p>
              </w:tc>
              <w:tc>
                <w:tcPr>
                  <w:tcW w:w="647" w:type="pct"/>
                  <w:tcBorders>
                    <w:tl2br w:val="nil"/>
                    <w:tr2bl w:val="nil"/>
                  </w:tcBorders>
                  <w:shd w:val="clear" w:color="auto" w:fill="auto"/>
                  <w:vAlign w:val="center"/>
                </w:tcPr>
                <w:p w14:paraId="0901E1D5">
                  <w:pPr>
                    <w:pStyle w:val="40"/>
                    <w:bidi w:val="0"/>
                    <w:rPr>
                      <w:rFonts w:hint="default"/>
                      <w:color w:val="auto"/>
                      <w:highlight w:val="none"/>
                    </w:rPr>
                  </w:pPr>
                  <w:r>
                    <w:rPr>
                      <w:rFonts w:hint="default"/>
                      <w:color w:val="auto"/>
                      <w:highlight w:val="none"/>
                      <w:lang w:val="en-US" w:eastAsia="zh-CN"/>
                    </w:rPr>
                    <w:t>80</w:t>
                  </w:r>
                </w:p>
              </w:tc>
              <w:tc>
                <w:tcPr>
                  <w:tcW w:w="589" w:type="pct"/>
                  <w:tcBorders>
                    <w:tl2br w:val="nil"/>
                    <w:tr2bl w:val="nil"/>
                  </w:tcBorders>
                  <w:shd w:val="clear" w:color="auto" w:fill="auto"/>
                  <w:vAlign w:val="center"/>
                </w:tcPr>
                <w:p w14:paraId="68E74BD9">
                  <w:pPr>
                    <w:pStyle w:val="40"/>
                    <w:bidi w:val="0"/>
                    <w:rPr>
                      <w:rFonts w:hint="default"/>
                      <w:color w:val="auto"/>
                      <w:highlight w:val="none"/>
                    </w:rPr>
                  </w:pPr>
                  <w:r>
                    <w:rPr>
                      <w:rFonts w:hint="default"/>
                      <w:color w:val="auto"/>
                      <w:highlight w:val="none"/>
                      <w:lang w:val="en-US" w:eastAsia="zh-CN"/>
                    </w:rPr>
                    <w:t>5</w:t>
                  </w:r>
                </w:p>
              </w:tc>
              <w:tc>
                <w:tcPr>
                  <w:tcW w:w="1918" w:type="pct"/>
                  <w:vMerge w:val="continue"/>
                  <w:tcBorders>
                    <w:tl2br w:val="nil"/>
                    <w:tr2bl w:val="nil"/>
                  </w:tcBorders>
                  <w:shd w:val="clear" w:color="auto" w:fill="auto"/>
                  <w:vAlign w:val="center"/>
                </w:tcPr>
                <w:p w14:paraId="6A041AF7">
                  <w:pPr>
                    <w:pStyle w:val="40"/>
                    <w:bidi w:val="0"/>
                    <w:rPr>
                      <w:rFonts w:hint="eastAsia"/>
                      <w:color w:val="auto"/>
                      <w:spacing w:val="-6"/>
                      <w:sz w:val="21"/>
                      <w:highlight w:val="none"/>
                    </w:rPr>
                  </w:pPr>
                </w:p>
              </w:tc>
            </w:tr>
            <w:tr w14:paraId="415509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59" w:type="pct"/>
                  <w:vMerge w:val="continue"/>
                  <w:tcBorders>
                    <w:tl2br w:val="nil"/>
                    <w:tr2bl w:val="nil"/>
                  </w:tcBorders>
                  <w:shd w:val="clear" w:color="auto" w:fill="auto"/>
                  <w:vAlign w:val="center"/>
                </w:tcPr>
                <w:p w14:paraId="43B69E0B">
                  <w:pPr>
                    <w:pStyle w:val="40"/>
                    <w:bidi w:val="0"/>
                    <w:rPr>
                      <w:rFonts w:hint="eastAsia"/>
                      <w:color w:val="auto"/>
                      <w:highlight w:val="none"/>
                    </w:rPr>
                  </w:pPr>
                </w:p>
              </w:tc>
              <w:tc>
                <w:tcPr>
                  <w:tcW w:w="781" w:type="pct"/>
                  <w:vMerge w:val="continue"/>
                  <w:tcBorders>
                    <w:tl2br w:val="nil"/>
                    <w:tr2bl w:val="nil"/>
                  </w:tcBorders>
                  <w:shd w:val="clear" w:color="auto" w:fill="auto"/>
                  <w:vAlign w:val="center"/>
                </w:tcPr>
                <w:p w14:paraId="20013400">
                  <w:pPr>
                    <w:pStyle w:val="40"/>
                    <w:bidi w:val="0"/>
                    <w:rPr>
                      <w:rFonts w:hint="eastAsia"/>
                      <w:color w:val="auto"/>
                      <w:highlight w:val="none"/>
                    </w:rPr>
                  </w:pPr>
                </w:p>
              </w:tc>
              <w:tc>
                <w:tcPr>
                  <w:tcW w:w="803" w:type="pct"/>
                  <w:tcBorders>
                    <w:tl2br w:val="nil"/>
                    <w:tr2bl w:val="nil"/>
                  </w:tcBorders>
                  <w:shd w:val="clear" w:color="auto" w:fill="auto"/>
                  <w:vAlign w:val="center"/>
                </w:tcPr>
                <w:p w14:paraId="0CDF3909">
                  <w:pPr>
                    <w:pStyle w:val="40"/>
                    <w:bidi w:val="0"/>
                    <w:rPr>
                      <w:rFonts w:hint="eastAsia"/>
                      <w:color w:val="auto"/>
                      <w:highlight w:val="none"/>
                    </w:rPr>
                  </w:pPr>
                  <w:r>
                    <w:rPr>
                      <w:rFonts w:hint="eastAsia"/>
                      <w:color w:val="auto"/>
                      <w:highlight w:val="none"/>
                      <w:lang w:val="en-US" w:eastAsia="zh-CN"/>
                    </w:rPr>
                    <w:t>风机</w:t>
                  </w:r>
                </w:p>
              </w:tc>
              <w:tc>
                <w:tcPr>
                  <w:tcW w:w="647" w:type="pct"/>
                  <w:tcBorders>
                    <w:tl2br w:val="nil"/>
                    <w:tr2bl w:val="nil"/>
                  </w:tcBorders>
                  <w:shd w:val="clear" w:color="auto" w:fill="auto"/>
                  <w:vAlign w:val="center"/>
                </w:tcPr>
                <w:p w14:paraId="3A7046B5">
                  <w:pPr>
                    <w:pStyle w:val="40"/>
                    <w:bidi w:val="0"/>
                    <w:rPr>
                      <w:rFonts w:hint="default"/>
                      <w:color w:val="auto"/>
                      <w:highlight w:val="none"/>
                    </w:rPr>
                  </w:pPr>
                  <w:r>
                    <w:rPr>
                      <w:rFonts w:hint="default"/>
                      <w:color w:val="auto"/>
                      <w:highlight w:val="none"/>
                      <w:lang w:val="en-US" w:eastAsia="zh-CN"/>
                    </w:rPr>
                    <w:t>90</w:t>
                  </w:r>
                </w:p>
              </w:tc>
              <w:tc>
                <w:tcPr>
                  <w:tcW w:w="589" w:type="pct"/>
                  <w:tcBorders>
                    <w:tl2br w:val="nil"/>
                    <w:tr2bl w:val="nil"/>
                  </w:tcBorders>
                  <w:shd w:val="clear" w:color="auto" w:fill="auto"/>
                  <w:vAlign w:val="center"/>
                </w:tcPr>
                <w:p w14:paraId="3874A72A">
                  <w:pPr>
                    <w:pStyle w:val="40"/>
                    <w:bidi w:val="0"/>
                    <w:rPr>
                      <w:rFonts w:hint="default"/>
                      <w:color w:val="auto"/>
                      <w:highlight w:val="none"/>
                    </w:rPr>
                  </w:pPr>
                  <w:r>
                    <w:rPr>
                      <w:rFonts w:hint="eastAsia"/>
                      <w:color w:val="auto"/>
                      <w:highlight w:val="none"/>
                      <w:lang w:val="en-US" w:eastAsia="zh-CN"/>
                    </w:rPr>
                    <w:t>1</w:t>
                  </w:r>
                </w:p>
              </w:tc>
              <w:tc>
                <w:tcPr>
                  <w:tcW w:w="1918" w:type="pct"/>
                  <w:vMerge w:val="continue"/>
                  <w:tcBorders>
                    <w:tl2br w:val="nil"/>
                    <w:tr2bl w:val="nil"/>
                  </w:tcBorders>
                  <w:shd w:val="clear" w:color="auto" w:fill="auto"/>
                  <w:vAlign w:val="center"/>
                </w:tcPr>
                <w:p w14:paraId="77ABCADE">
                  <w:pPr>
                    <w:pStyle w:val="40"/>
                    <w:bidi w:val="0"/>
                    <w:rPr>
                      <w:rFonts w:hint="eastAsia"/>
                      <w:color w:val="auto"/>
                      <w:spacing w:val="-6"/>
                      <w:sz w:val="21"/>
                      <w:highlight w:val="none"/>
                    </w:rPr>
                  </w:pPr>
                </w:p>
              </w:tc>
            </w:tr>
            <w:tr w14:paraId="5503F6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59" w:type="pct"/>
                  <w:vMerge w:val="continue"/>
                  <w:tcBorders>
                    <w:tl2br w:val="nil"/>
                    <w:tr2bl w:val="nil"/>
                  </w:tcBorders>
                  <w:shd w:val="clear" w:color="auto" w:fill="auto"/>
                  <w:vAlign w:val="center"/>
                </w:tcPr>
                <w:p w14:paraId="6647C48C">
                  <w:pPr>
                    <w:pStyle w:val="40"/>
                    <w:bidi w:val="0"/>
                    <w:rPr>
                      <w:rFonts w:hint="eastAsia"/>
                      <w:color w:val="auto"/>
                      <w:highlight w:val="none"/>
                    </w:rPr>
                  </w:pPr>
                </w:p>
              </w:tc>
              <w:tc>
                <w:tcPr>
                  <w:tcW w:w="781" w:type="pct"/>
                  <w:vMerge w:val="continue"/>
                  <w:tcBorders>
                    <w:tl2br w:val="nil"/>
                    <w:tr2bl w:val="nil"/>
                  </w:tcBorders>
                  <w:shd w:val="clear" w:color="auto" w:fill="auto"/>
                  <w:vAlign w:val="center"/>
                </w:tcPr>
                <w:p w14:paraId="231E0C10">
                  <w:pPr>
                    <w:pStyle w:val="40"/>
                    <w:bidi w:val="0"/>
                    <w:rPr>
                      <w:rFonts w:hint="eastAsia"/>
                      <w:color w:val="auto"/>
                      <w:highlight w:val="none"/>
                    </w:rPr>
                  </w:pPr>
                </w:p>
              </w:tc>
              <w:tc>
                <w:tcPr>
                  <w:tcW w:w="803" w:type="pct"/>
                  <w:tcBorders>
                    <w:tl2br w:val="nil"/>
                    <w:tr2bl w:val="nil"/>
                  </w:tcBorders>
                  <w:shd w:val="clear" w:color="auto" w:fill="auto"/>
                  <w:vAlign w:val="center"/>
                </w:tcPr>
                <w:p w14:paraId="19FB193D">
                  <w:pPr>
                    <w:pStyle w:val="40"/>
                    <w:bidi w:val="0"/>
                    <w:rPr>
                      <w:rFonts w:hint="eastAsia"/>
                      <w:color w:val="auto"/>
                      <w:highlight w:val="none"/>
                    </w:rPr>
                  </w:pPr>
                  <w:r>
                    <w:rPr>
                      <w:rFonts w:hint="eastAsia"/>
                      <w:color w:val="auto"/>
                      <w:highlight w:val="none"/>
                      <w:lang w:val="en-US" w:eastAsia="zh-CN"/>
                    </w:rPr>
                    <w:t>均化机</w:t>
                  </w:r>
                </w:p>
              </w:tc>
              <w:tc>
                <w:tcPr>
                  <w:tcW w:w="647" w:type="pct"/>
                  <w:tcBorders>
                    <w:tl2br w:val="nil"/>
                    <w:tr2bl w:val="nil"/>
                  </w:tcBorders>
                  <w:shd w:val="clear" w:color="auto" w:fill="auto"/>
                  <w:vAlign w:val="center"/>
                </w:tcPr>
                <w:p w14:paraId="75A6D97E">
                  <w:pPr>
                    <w:pStyle w:val="40"/>
                    <w:bidi w:val="0"/>
                    <w:rPr>
                      <w:rFonts w:hint="default"/>
                      <w:color w:val="auto"/>
                      <w:highlight w:val="none"/>
                    </w:rPr>
                  </w:pPr>
                  <w:r>
                    <w:rPr>
                      <w:rFonts w:hint="default"/>
                      <w:color w:val="auto"/>
                      <w:highlight w:val="none"/>
                      <w:lang w:val="en-US" w:eastAsia="zh-CN"/>
                    </w:rPr>
                    <w:t>60</w:t>
                  </w:r>
                </w:p>
              </w:tc>
              <w:tc>
                <w:tcPr>
                  <w:tcW w:w="589" w:type="pct"/>
                  <w:tcBorders>
                    <w:tl2br w:val="nil"/>
                    <w:tr2bl w:val="nil"/>
                  </w:tcBorders>
                  <w:shd w:val="clear" w:color="auto" w:fill="auto"/>
                  <w:vAlign w:val="center"/>
                </w:tcPr>
                <w:p w14:paraId="5A9D7A6F">
                  <w:pPr>
                    <w:pStyle w:val="40"/>
                    <w:bidi w:val="0"/>
                    <w:rPr>
                      <w:rFonts w:hint="default"/>
                      <w:color w:val="auto"/>
                      <w:highlight w:val="none"/>
                    </w:rPr>
                  </w:pPr>
                  <w:r>
                    <w:rPr>
                      <w:rFonts w:hint="default"/>
                      <w:color w:val="auto"/>
                      <w:highlight w:val="none"/>
                      <w:lang w:val="en-US" w:eastAsia="zh-CN"/>
                    </w:rPr>
                    <w:t>5</w:t>
                  </w:r>
                </w:p>
              </w:tc>
              <w:tc>
                <w:tcPr>
                  <w:tcW w:w="1918" w:type="pct"/>
                  <w:vMerge w:val="continue"/>
                  <w:tcBorders>
                    <w:tl2br w:val="nil"/>
                    <w:tr2bl w:val="nil"/>
                  </w:tcBorders>
                  <w:shd w:val="clear" w:color="auto" w:fill="auto"/>
                  <w:vAlign w:val="center"/>
                </w:tcPr>
                <w:p w14:paraId="25E2199F">
                  <w:pPr>
                    <w:pStyle w:val="40"/>
                    <w:bidi w:val="0"/>
                    <w:rPr>
                      <w:rFonts w:hint="eastAsia"/>
                      <w:color w:val="auto"/>
                      <w:spacing w:val="-6"/>
                      <w:sz w:val="21"/>
                      <w:highlight w:val="none"/>
                    </w:rPr>
                  </w:pPr>
                </w:p>
              </w:tc>
            </w:tr>
            <w:tr w14:paraId="7294A6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59" w:type="pct"/>
                  <w:vMerge w:val="continue"/>
                  <w:tcBorders>
                    <w:tl2br w:val="nil"/>
                    <w:tr2bl w:val="nil"/>
                  </w:tcBorders>
                  <w:shd w:val="clear" w:color="auto" w:fill="auto"/>
                  <w:vAlign w:val="center"/>
                </w:tcPr>
                <w:p w14:paraId="3B086F9B">
                  <w:pPr>
                    <w:pStyle w:val="40"/>
                    <w:bidi w:val="0"/>
                    <w:rPr>
                      <w:rFonts w:hint="eastAsia"/>
                      <w:color w:val="auto"/>
                      <w:highlight w:val="none"/>
                    </w:rPr>
                  </w:pPr>
                </w:p>
              </w:tc>
              <w:tc>
                <w:tcPr>
                  <w:tcW w:w="781" w:type="pct"/>
                  <w:vMerge w:val="restart"/>
                  <w:tcBorders>
                    <w:tl2br w:val="nil"/>
                    <w:tr2bl w:val="nil"/>
                  </w:tcBorders>
                  <w:shd w:val="clear" w:color="auto" w:fill="auto"/>
                  <w:vAlign w:val="center"/>
                </w:tcPr>
                <w:p w14:paraId="153B3FFC">
                  <w:pPr>
                    <w:pStyle w:val="40"/>
                    <w:bidi w:val="0"/>
                    <w:rPr>
                      <w:rFonts w:hint="eastAsia"/>
                      <w:color w:val="auto"/>
                      <w:highlight w:val="none"/>
                    </w:rPr>
                  </w:pPr>
                  <w:r>
                    <w:rPr>
                      <w:rFonts w:hint="eastAsia"/>
                      <w:color w:val="auto"/>
                      <w:highlight w:val="none"/>
                      <w:lang w:val="en-US" w:eastAsia="zh-CN"/>
                    </w:rPr>
                    <w:t>成球包膜区</w:t>
                  </w:r>
                </w:p>
              </w:tc>
              <w:tc>
                <w:tcPr>
                  <w:tcW w:w="803" w:type="pct"/>
                  <w:tcBorders>
                    <w:tl2br w:val="nil"/>
                    <w:tr2bl w:val="nil"/>
                  </w:tcBorders>
                  <w:shd w:val="clear" w:color="auto" w:fill="auto"/>
                  <w:vAlign w:val="center"/>
                </w:tcPr>
                <w:p w14:paraId="4598A221">
                  <w:pPr>
                    <w:pStyle w:val="40"/>
                    <w:bidi w:val="0"/>
                    <w:rPr>
                      <w:rFonts w:hint="eastAsia"/>
                      <w:color w:val="auto"/>
                      <w:highlight w:val="none"/>
                    </w:rPr>
                  </w:pPr>
                  <w:r>
                    <w:rPr>
                      <w:rFonts w:hint="eastAsia"/>
                      <w:color w:val="auto"/>
                      <w:highlight w:val="none"/>
                      <w:lang w:val="en-US" w:eastAsia="zh-CN"/>
                    </w:rPr>
                    <w:t>成球机</w:t>
                  </w:r>
                </w:p>
              </w:tc>
              <w:tc>
                <w:tcPr>
                  <w:tcW w:w="647" w:type="pct"/>
                  <w:tcBorders>
                    <w:tl2br w:val="nil"/>
                    <w:tr2bl w:val="nil"/>
                  </w:tcBorders>
                  <w:shd w:val="clear" w:color="auto" w:fill="auto"/>
                  <w:vAlign w:val="center"/>
                </w:tcPr>
                <w:p w14:paraId="3B742A22">
                  <w:pPr>
                    <w:pStyle w:val="40"/>
                    <w:bidi w:val="0"/>
                    <w:rPr>
                      <w:rFonts w:hint="default"/>
                      <w:color w:val="auto"/>
                      <w:highlight w:val="none"/>
                    </w:rPr>
                  </w:pPr>
                  <w:r>
                    <w:rPr>
                      <w:rFonts w:hint="default"/>
                      <w:color w:val="auto"/>
                      <w:highlight w:val="none"/>
                      <w:lang w:val="en-US" w:eastAsia="zh-CN"/>
                    </w:rPr>
                    <w:t>85</w:t>
                  </w:r>
                </w:p>
              </w:tc>
              <w:tc>
                <w:tcPr>
                  <w:tcW w:w="589" w:type="pct"/>
                  <w:tcBorders>
                    <w:tl2br w:val="nil"/>
                    <w:tr2bl w:val="nil"/>
                  </w:tcBorders>
                  <w:shd w:val="clear" w:color="auto" w:fill="auto"/>
                  <w:vAlign w:val="center"/>
                </w:tcPr>
                <w:p w14:paraId="01F0F53C">
                  <w:pPr>
                    <w:pStyle w:val="40"/>
                    <w:bidi w:val="0"/>
                    <w:rPr>
                      <w:rFonts w:hint="default"/>
                      <w:color w:val="auto"/>
                      <w:highlight w:val="none"/>
                    </w:rPr>
                  </w:pPr>
                  <w:r>
                    <w:rPr>
                      <w:rFonts w:hint="default"/>
                      <w:color w:val="auto"/>
                      <w:highlight w:val="none"/>
                      <w:lang w:val="en-US" w:eastAsia="zh-CN"/>
                    </w:rPr>
                    <w:t>5</w:t>
                  </w:r>
                </w:p>
              </w:tc>
              <w:tc>
                <w:tcPr>
                  <w:tcW w:w="1918" w:type="pct"/>
                  <w:vMerge w:val="continue"/>
                  <w:tcBorders>
                    <w:tl2br w:val="nil"/>
                    <w:tr2bl w:val="nil"/>
                  </w:tcBorders>
                  <w:shd w:val="clear" w:color="auto" w:fill="auto"/>
                  <w:vAlign w:val="center"/>
                </w:tcPr>
                <w:p w14:paraId="1F5A80B1">
                  <w:pPr>
                    <w:pStyle w:val="40"/>
                    <w:bidi w:val="0"/>
                    <w:rPr>
                      <w:rFonts w:hint="eastAsia"/>
                      <w:color w:val="auto"/>
                      <w:spacing w:val="-6"/>
                      <w:sz w:val="21"/>
                      <w:highlight w:val="none"/>
                    </w:rPr>
                  </w:pPr>
                </w:p>
              </w:tc>
            </w:tr>
            <w:tr w14:paraId="6C2184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59" w:type="pct"/>
                  <w:vMerge w:val="continue"/>
                  <w:tcBorders>
                    <w:tl2br w:val="nil"/>
                    <w:tr2bl w:val="nil"/>
                  </w:tcBorders>
                  <w:shd w:val="clear" w:color="auto" w:fill="auto"/>
                  <w:vAlign w:val="center"/>
                </w:tcPr>
                <w:p w14:paraId="77A54368">
                  <w:pPr>
                    <w:pStyle w:val="40"/>
                    <w:bidi w:val="0"/>
                    <w:rPr>
                      <w:rFonts w:hint="eastAsia"/>
                      <w:color w:val="auto"/>
                      <w:highlight w:val="none"/>
                    </w:rPr>
                  </w:pPr>
                </w:p>
              </w:tc>
              <w:tc>
                <w:tcPr>
                  <w:tcW w:w="781" w:type="pct"/>
                  <w:vMerge w:val="continue"/>
                  <w:tcBorders>
                    <w:tl2br w:val="nil"/>
                    <w:tr2bl w:val="nil"/>
                  </w:tcBorders>
                  <w:shd w:val="clear" w:color="auto" w:fill="auto"/>
                  <w:vAlign w:val="center"/>
                </w:tcPr>
                <w:p w14:paraId="4E1120F0">
                  <w:pPr>
                    <w:pStyle w:val="40"/>
                    <w:bidi w:val="0"/>
                    <w:rPr>
                      <w:rFonts w:hint="eastAsia"/>
                      <w:color w:val="auto"/>
                      <w:highlight w:val="none"/>
                    </w:rPr>
                  </w:pPr>
                </w:p>
              </w:tc>
              <w:tc>
                <w:tcPr>
                  <w:tcW w:w="803" w:type="pct"/>
                  <w:tcBorders>
                    <w:tl2br w:val="nil"/>
                    <w:tr2bl w:val="nil"/>
                  </w:tcBorders>
                  <w:shd w:val="clear" w:color="auto" w:fill="auto"/>
                  <w:vAlign w:val="center"/>
                </w:tcPr>
                <w:p w14:paraId="3D919DF0">
                  <w:pPr>
                    <w:pStyle w:val="40"/>
                    <w:bidi w:val="0"/>
                    <w:rPr>
                      <w:rFonts w:hint="eastAsia"/>
                      <w:color w:val="auto"/>
                      <w:highlight w:val="none"/>
                    </w:rPr>
                  </w:pPr>
                  <w:r>
                    <w:rPr>
                      <w:rFonts w:hint="eastAsia"/>
                      <w:color w:val="auto"/>
                      <w:highlight w:val="none"/>
                      <w:lang w:val="en-US" w:eastAsia="zh-CN"/>
                    </w:rPr>
                    <w:t>包膜机</w:t>
                  </w:r>
                </w:p>
              </w:tc>
              <w:tc>
                <w:tcPr>
                  <w:tcW w:w="647" w:type="pct"/>
                  <w:tcBorders>
                    <w:tl2br w:val="nil"/>
                    <w:tr2bl w:val="nil"/>
                  </w:tcBorders>
                  <w:shd w:val="clear" w:color="auto" w:fill="auto"/>
                  <w:vAlign w:val="center"/>
                </w:tcPr>
                <w:p w14:paraId="0C38591A">
                  <w:pPr>
                    <w:pStyle w:val="40"/>
                    <w:bidi w:val="0"/>
                    <w:rPr>
                      <w:rFonts w:hint="default"/>
                      <w:color w:val="auto"/>
                      <w:highlight w:val="none"/>
                    </w:rPr>
                  </w:pPr>
                  <w:r>
                    <w:rPr>
                      <w:rFonts w:hint="default"/>
                      <w:color w:val="auto"/>
                      <w:highlight w:val="none"/>
                      <w:lang w:val="en-US" w:eastAsia="zh-CN"/>
                    </w:rPr>
                    <w:t>85</w:t>
                  </w:r>
                </w:p>
              </w:tc>
              <w:tc>
                <w:tcPr>
                  <w:tcW w:w="589" w:type="pct"/>
                  <w:tcBorders>
                    <w:tl2br w:val="nil"/>
                    <w:tr2bl w:val="nil"/>
                  </w:tcBorders>
                  <w:shd w:val="clear" w:color="auto" w:fill="auto"/>
                  <w:vAlign w:val="center"/>
                </w:tcPr>
                <w:p w14:paraId="132229EA">
                  <w:pPr>
                    <w:pStyle w:val="40"/>
                    <w:bidi w:val="0"/>
                    <w:rPr>
                      <w:rFonts w:hint="default"/>
                      <w:color w:val="auto"/>
                      <w:highlight w:val="none"/>
                    </w:rPr>
                  </w:pPr>
                  <w:r>
                    <w:rPr>
                      <w:rFonts w:hint="default"/>
                      <w:color w:val="auto"/>
                      <w:highlight w:val="none"/>
                      <w:lang w:val="en-US" w:eastAsia="zh-CN"/>
                    </w:rPr>
                    <w:t>5</w:t>
                  </w:r>
                </w:p>
              </w:tc>
              <w:tc>
                <w:tcPr>
                  <w:tcW w:w="1918" w:type="pct"/>
                  <w:vMerge w:val="continue"/>
                  <w:tcBorders>
                    <w:tl2br w:val="nil"/>
                    <w:tr2bl w:val="nil"/>
                  </w:tcBorders>
                  <w:shd w:val="clear" w:color="auto" w:fill="auto"/>
                  <w:vAlign w:val="center"/>
                </w:tcPr>
                <w:p w14:paraId="372071D1">
                  <w:pPr>
                    <w:pStyle w:val="40"/>
                    <w:bidi w:val="0"/>
                    <w:rPr>
                      <w:rFonts w:hint="eastAsia"/>
                      <w:color w:val="auto"/>
                      <w:spacing w:val="-6"/>
                      <w:sz w:val="21"/>
                      <w:highlight w:val="none"/>
                    </w:rPr>
                  </w:pPr>
                </w:p>
              </w:tc>
            </w:tr>
            <w:tr w14:paraId="0682A3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59" w:type="pct"/>
                  <w:vMerge w:val="continue"/>
                  <w:tcBorders>
                    <w:tl2br w:val="nil"/>
                    <w:tr2bl w:val="nil"/>
                  </w:tcBorders>
                  <w:shd w:val="clear" w:color="auto" w:fill="auto"/>
                  <w:vAlign w:val="center"/>
                </w:tcPr>
                <w:p w14:paraId="3A636E7C">
                  <w:pPr>
                    <w:pStyle w:val="40"/>
                    <w:bidi w:val="0"/>
                    <w:rPr>
                      <w:rFonts w:hint="eastAsia"/>
                      <w:color w:val="auto"/>
                      <w:highlight w:val="none"/>
                    </w:rPr>
                  </w:pPr>
                </w:p>
              </w:tc>
              <w:tc>
                <w:tcPr>
                  <w:tcW w:w="781" w:type="pct"/>
                  <w:vMerge w:val="restart"/>
                  <w:tcBorders>
                    <w:tl2br w:val="nil"/>
                    <w:tr2bl w:val="nil"/>
                  </w:tcBorders>
                  <w:shd w:val="clear" w:color="auto" w:fill="auto"/>
                  <w:vAlign w:val="center"/>
                </w:tcPr>
                <w:p w14:paraId="71E059DE">
                  <w:pPr>
                    <w:pStyle w:val="40"/>
                    <w:bidi w:val="0"/>
                    <w:rPr>
                      <w:rFonts w:hint="eastAsia"/>
                      <w:color w:val="auto"/>
                      <w:highlight w:val="none"/>
                    </w:rPr>
                  </w:pPr>
                  <w:r>
                    <w:rPr>
                      <w:rFonts w:hint="eastAsia"/>
                      <w:color w:val="auto"/>
                      <w:highlight w:val="none"/>
                      <w:lang w:val="en-US" w:eastAsia="zh-CN"/>
                    </w:rPr>
                    <w:t>静养筛分区</w:t>
                  </w:r>
                </w:p>
              </w:tc>
              <w:tc>
                <w:tcPr>
                  <w:tcW w:w="803" w:type="pct"/>
                  <w:tcBorders>
                    <w:tl2br w:val="nil"/>
                    <w:tr2bl w:val="nil"/>
                  </w:tcBorders>
                  <w:shd w:val="clear" w:color="auto" w:fill="auto"/>
                  <w:vAlign w:val="center"/>
                </w:tcPr>
                <w:p w14:paraId="691335CA">
                  <w:pPr>
                    <w:pStyle w:val="40"/>
                    <w:bidi w:val="0"/>
                    <w:rPr>
                      <w:rFonts w:hint="eastAsia"/>
                      <w:color w:val="auto"/>
                      <w:highlight w:val="none"/>
                    </w:rPr>
                  </w:pPr>
                  <w:r>
                    <w:rPr>
                      <w:rFonts w:hint="eastAsia"/>
                      <w:color w:val="auto"/>
                      <w:highlight w:val="none"/>
                      <w:lang w:val="en-US" w:eastAsia="zh-CN"/>
                    </w:rPr>
                    <w:t>静养机</w:t>
                  </w:r>
                </w:p>
              </w:tc>
              <w:tc>
                <w:tcPr>
                  <w:tcW w:w="647" w:type="pct"/>
                  <w:tcBorders>
                    <w:tl2br w:val="nil"/>
                    <w:tr2bl w:val="nil"/>
                  </w:tcBorders>
                  <w:shd w:val="clear" w:color="auto" w:fill="auto"/>
                  <w:vAlign w:val="center"/>
                </w:tcPr>
                <w:p w14:paraId="232CECC4">
                  <w:pPr>
                    <w:pStyle w:val="40"/>
                    <w:bidi w:val="0"/>
                    <w:rPr>
                      <w:rFonts w:hint="default"/>
                      <w:color w:val="auto"/>
                      <w:highlight w:val="none"/>
                    </w:rPr>
                  </w:pPr>
                  <w:r>
                    <w:rPr>
                      <w:rFonts w:hint="default"/>
                      <w:color w:val="auto"/>
                      <w:highlight w:val="none"/>
                      <w:lang w:val="en-US" w:eastAsia="zh-CN"/>
                    </w:rPr>
                    <w:t>60</w:t>
                  </w:r>
                </w:p>
              </w:tc>
              <w:tc>
                <w:tcPr>
                  <w:tcW w:w="589" w:type="pct"/>
                  <w:tcBorders>
                    <w:tl2br w:val="nil"/>
                    <w:tr2bl w:val="nil"/>
                  </w:tcBorders>
                  <w:shd w:val="clear" w:color="auto" w:fill="auto"/>
                  <w:vAlign w:val="center"/>
                </w:tcPr>
                <w:p w14:paraId="02255700">
                  <w:pPr>
                    <w:pStyle w:val="40"/>
                    <w:bidi w:val="0"/>
                    <w:rPr>
                      <w:rFonts w:hint="default"/>
                      <w:color w:val="auto"/>
                      <w:highlight w:val="none"/>
                    </w:rPr>
                  </w:pPr>
                  <w:r>
                    <w:rPr>
                      <w:rFonts w:hint="default"/>
                      <w:color w:val="auto"/>
                      <w:highlight w:val="none"/>
                      <w:lang w:val="en-US" w:eastAsia="zh-CN"/>
                    </w:rPr>
                    <w:t>5</w:t>
                  </w:r>
                </w:p>
              </w:tc>
              <w:tc>
                <w:tcPr>
                  <w:tcW w:w="1918" w:type="pct"/>
                  <w:vMerge w:val="continue"/>
                  <w:tcBorders>
                    <w:tl2br w:val="nil"/>
                    <w:tr2bl w:val="nil"/>
                  </w:tcBorders>
                  <w:shd w:val="clear" w:color="auto" w:fill="auto"/>
                  <w:vAlign w:val="center"/>
                </w:tcPr>
                <w:p w14:paraId="3C0922D1">
                  <w:pPr>
                    <w:pStyle w:val="40"/>
                    <w:bidi w:val="0"/>
                    <w:rPr>
                      <w:rFonts w:hint="eastAsia"/>
                      <w:color w:val="auto"/>
                      <w:spacing w:val="-6"/>
                      <w:sz w:val="21"/>
                      <w:highlight w:val="none"/>
                    </w:rPr>
                  </w:pPr>
                </w:p>
              </w:tc>
            </w:tr>
            <w:tr w14:paraId="09A3BF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59" w:type="pct"/>
                  <w:vMerge w:val="continue"/>
                  <w:tcBorders>
                    <w:tl2br w:val="nil"/>
                    <w:tr2bl w:val="nil"/>
                  </w:tcBorders>
                  <w:shd w:val="clear" w:color="auto" w:fill="auto"/>
                  <w:vAlign w:val="center"/>
                </w:tcPr>
                <w:p w14:paraId="2865E352">
                  <w:pPr>
                    <w:pStyle w:val="40"/>
                    <w:bidi w:val="0"/>
                    <w:rPr>
                      <w:rFonts w:hint="eastAsia"/>
                      <w:color w:val="auto"/>
                      <w:highlight w:val="none"/>
                    </w:rPr>
                  </w:pPr>
                </w:p>
              </w:tc>
              <w:tc>
                <w:tcPr>
                  <w:tcW w:w="781" w:type="pct"/>
                  <w:vMerge w:val="continue"/>
                  <w:tcBorders>
                    <w:tl2br w:val="nil"/>
                    <w:tr2bl w:val="nil"/>
                  </w:tcBorders>
                  <w:shd w:val="clear" w:color="auto" w:fill="auto"/>
                  <w:vAlign w:val="center"/>
                </w:tcPr>
                <w:p w14:paraId="60771631">
                  <w:pPr>
                    <w:pStyle w:val="40"/>
                    <w:bidi w:val="0"/>
                    <w:rPr>
                      <w:rFonts w:hint="eastAsia"/>
                      <w:color w:val="auto"/>
                      <w:highlight w:val="none"/>
                    </w:rPr>
                  </w:pPr>
                </w:p>
              </w:tc>
              <w:tc>
                <w:tcPr>
                  <w:tcW w:w="803" w:type="pct"/>
                  <w:tcBorders>
                    <w:tl2br w:val="nil"/>
                    <w:tr2bl w:val="nil"/>
                  </w:tcBorders>
                  <w:shd w:val="clear" w:color="auto" w:fill="auto"/>
                  <w:vAlign w:val="center"/>
                </w:tcPr>
                <w:p w14:paraId="65B0F48B">
                  <w:pPr>
                    <w:pStyle w:val="40"/>
                    <w:bidi w:val="0"/>
                    <w:rPr>
                      <w:rFonts w:hint="eastAsia"/>
                      <w:color w:val="auto"/>
                      <w:highlight w:val="none"/>
                    </w:rPr>
                  </w:pPr>
                  <w:r>
                    <w:rPr>
                      <w:rFonts w:hint="eastAsia"/>
                      <w:color w:val="auto"/>
                      <w:highlight w:val="none"/>
                      <w:lang w:val="en-US" w:eastAsia="zh-CN"/>
                    </w:rPr>
                    <w:t>振动筛</w:t>
                  </w:r>
                </w:p>
              </w:tc>
              <w:tc>
                <w:tcPr>
                  <w:tcW w:w="647" w:type="pct"/>
                  <w:tcBorders>
                    <w:tl2br w:val="nil"/>
                    <w:tr2bl w:val="nil"/>
                  </w:tcBorders>
                  <w:shd w:val="clear" w:color="auto" w:fill="auto"/>
                  <w:vAlign w:val="center"/>
                </w:tcPr>
                <w:p w14:paraId="3D3D9922">
                  <w:pPr>
                    <w:pStyle w:val="40"/>
                    <w:bidi w:val="0"/>
                    <w:rPr>
                      <w:rFonts w:hint="default"/>
                      <w:color w:val="auto"/>
                      <w:highlight w:val="none"/>
                    </w:rPr>
                  </w:pPr>
                  <w:r>
                    <w:rPr>
                      <w:rFonts w:hint="default"/>
                      <w:color w:val="auto"/>
                      <w:highlight w:val="none"/>
                      <w:lang w:val="en-US" w:eastAsia="zh-CN"/>
                    </w:rPr>
                    <w:t>85</w:t>
                  </w:r>
                </w:p>
              </w:tc>
              <w:tc>
                <w:tcPr>
                  <w:tcW w:w="589" w:type="pct"/>
                  <w:tcBorders>
                    <w:tl2br w:val="nil"/>
                    <w:tr2bl w:val="nil"/>
                  </w:tcBorders>
                  <w:shd w:val="clear" w:color="auto" w:fill="auto"/>
                  <w:vAlign w:val="center"/>
                </w:tcPr>
                <w:p w14:paraId="5A7302F5">
                  <w:pPr>
                    <w:pStyle w:val="40"/>
                    <w:bidi w:val="0"/>
                    <w:rPr>
                      <w:rFonts w:hint="default"/>
                      <w:color w:val="auto"/>
                      <w:highlight w:val="none"/>
                    </w:rPr>
                  </w:pPr>
                  <w:r>
                    <w:rPr>
                      <w:rFonts w:hint="default"/>
                      <w:color w:val="auto"/>
                      <w:highlight w:val="none"/>
                      <w:lang w:val="en-US" w:eastAsia="zh-CN"/>
                    </w:rPr>
                    <w:t>5</w:t>
                  </w:r>
                </w:p>
              </w:tc>
              <w:tc>
                <w:tcPr>
                  <w:tcW w:w="1918" w:type="pct"/>
                  <w:vMerge w:val="continue"/>
                  <w:tcBorders>
                    <w:tl2br w:val="nil"/>
                    <w:tr2bl w:val="nil"/>
                  </w:tcBorders>
                  <w:shd w:val="clear" w:color="auto" w:fill="auto"/>
                  <w:vAlign w:val="center"/>
                </w:tcPr>
                <w:p w14:paraId="553148DD">
                  <w:pPr>
                    <w:pStyle w:val="40"/>
                    <w:bidi w:val="0"/>
                    <w:rPr>
                      <w:rFonts w:hint="eastAsia"/>
                      <w:color w:val="auto"/>
                      <w:spacing w:val="-6"/>
                      <w:sz w:val="21"/>
                      <w:highlight w:val="none"/>
                    </w:rPr>
                  </w:pPr>
                </w:p>
              </w:tc>
            </w:tr>
            <w:tr w14:paraId="4F8FCE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59" w:type="pct"/>
                  <w:vMerge w:val="continue"/>
                  <w:tcBorders>
                    <w:tl2br w:val="nil"/>
                    <w:tr2bl w:val="nil"/>
                  </w:tcBorders>
                  <w:shd w:val="clear" w:color="auto" w:fill="auto"/>
                  <w:vAlign w:val="center"/>
                </w:tcPr>
                <w:p w14:paraId="10731F94">
                  <w:pPr>
                    <w:pStyle w:val="40"/>
                    <w:bidi w:val="0"/>
                    <w:rPr>
                      <w:rFonts w:hint="eastAsia"/>
                      <w:color w:val="auto"/>
                      <w:highlight w:val="none"/>
                    </w:rPr>
                  </w:pPr>
                </w:p>
              </w:tc>
              <w:tc>
                <w:tcPr>
                  <w:tcW w:w="781" w:type="pct"/>
                  <w:tcBorders>
                    <w:tl2br w:val="nil"/>
                    <w:tr2bl w:val="nil"/>
                  </w:tcBorders>
                  <w:shd w:val="clear" w:color="auto" w:fill="auto"/>
                  <w:vAlign w:val="center"/>
                </w:tcPr>
                <w:p w14:paraId="2125ED31">
                  <w:pPr>
                    <w:pStyle w:val="40"/>
                    <w:bidi w:val="0"/>
                    <w:rPr>
                      <w:rFonts w:hint="eastAsia"/>
                      <w:color w:val="auto"/>
                      <w:highlight w:val="none"/>
                    </w:rPr>
                  </w:pPr>
                  <w:r>
                    <w:rPr>
                      <w:rFonts w:hint="eastAsia"/>
                      <w:color w:val="auto"/>
                      <w:highlight w:val="none"/>
                      <w:lang w:val="en-US" w:eastAsia="zh-CN"/>
                    </w:rPr>
                    <w:t>蒸养区</w:t>
                  </w:r>
                </w:p>
              </w:tc>
              <w:tc>
                <w:tcPr>
                  <w:tcW w:w="803" w:type="pct"/>
                  <w:tcBorders>
                    <w:tl2br w:val="nil"/>
                    <w:tr2bl w:val="nil"/>
                  </w:tcBorders>
                  <w:shd w:val="clear" w:color="auto" w:fill="auto"/>
                  <w:vAlign w:val="center"/>
                </w:tcPr>
                <w:p w14:paraId="1A46F838">
                  <w:pPr>
                    <w:pStyle w:val="40"/>
                    <w:bidi w:val="0"/>
                    <w:rPr>
                      <w:rFonts w:hint="eastAsia"/>
                      <w:color w:val="auto"/>
                      <w:highlight w:val="none"/>
                    </w:rPr>
                  </w:pPr>
                  <w:r>
                    <w:rPr>
                      <w:rFonts w:hint="eastAsia"/>
                      <w:color w:val="auto"/>
                      <w:highlight w:val="none"/>
                      <w:lang w:val="en-US" w:eastAsia="zh-CN"/>
                    </w:rPr>
                    <w:t>蒸压釜</w:t>
                  </w:r>
                </w:p>
              </w:tc>
              <w:tc>
                <w:tcPr>
                  <w:tcW w:w="647" w:type="pct"/>
                  <w:tcBorders>
                    <w:tl2br w:val="nil"/>
                    <w:tr2bl w:val="nil"/>
                  </w:tcBorders>
                  <w:shd w:val="clear" w:color="auto" w:fill="auto"/>
                  <w:vAlign w:val="center"/>
                </w:tcPr>
                <w:p w14:paraId="08CD5551">
                  <w:pPr>
                    <w:pStyle w:val="40"/>
                    <w:bidi w:val="0"/>
                    <w:rPr>
                      <w:rFonts w:hint="default" w:eastAsia="宋体"/>
                      <w:color w:val="auto"/>
                      <w:highlight w:val="none"/>
                      <w:lang w:val="en-US" w:eastAsia="zh-CN"/>
                    </w:rPr>
                  </w:pPr>
                  <w:r>
                    <w:rPr>
                      <w:rFonts w:hint="eastAsia"/>
                      <w:color w:val="auto"/>
                      <w:highlight w:val="none"/>
                      <w:lang w:val="en-US" w:eastAsia="zh-CN"/>
                    </w:rPr>
                    <w:t>90</w:t>
                  </w:r>
                </w:p>
              </w:tc>
              <w:tc>
                <w:tcPr>
                  <w:tcW w:w="589" w:type="pct"/>
                  <w:tcBorders>
                    <w:tl2br w:val="nil"/>
                    <w:tr2bl w:val="nil"/>
                  </w:tcBorders>
                  <w:shd w:val="clear" w:color="auto" w:fill="auto"/>
                  <w:vAlign w:val="center"/>
                </w:tcPr>
                <w:p w14:paraId="498573C2">
                  <w:pPr>
                    <w:pStyle w:val="40"/>
                    <w:bidi w:val="0"/>
                    <w:rPr>
                      <w:rFonts w:hint="default"/>
                      <w:color w:val="auto"/>
                      <w:highlight w:val="none"/>
                    </w:rPr>
                  </w:pPr>
                  <w:r>
                    <w:rPr>
                      <w:rFonts w:hint="default"/>
                      <w:color w:val="auto"/>
                      <w:highlight w:val="none"/>
                      <w:lang w:val="en-US" w:eastAsia="zh-CN"/>
                    </w:rPr>
                    <w:t>10</w:t>
                  </w:r>
                </w:p>
              </w:tc>
              <w:tc>
                <w:tcPr>
                  <w:tcW w:w="1918" w:type="pct"/>
                  <w:vMerge w:val="continue"/>
                  <w:tcBorders>
                    <w:tl2br w:val="nil"/>
                    <w:tr2bl w:val="nil"/>
                  </w:tcBorders>
                  <w:shd w:val="clear" w:color="auto" w:fill="auto"/>
                  <w:vAlign w:val="center"/>
                </w:tcPr>
                <w:p w14:paraId="0A874224">
                  <w:pPr>
                    <w:pStyle w:val="40"/>
                    <w:bidi w:val="0"/>
                    <w:rPr>
                      <w:rFonts w:hint="eastAsia"/>
                      <w:color w:val="auto"/>
                      <w:spacing w:val="-6"/>
                      <w:sz w:val="21"/>
                      <w:highlight w:val="none"/>
                    </w:rPr>
                  </w:pPr>
                </w:p>
              </w:tc>
            </w:tr>
            <w:tr w14:paraId="0AFE97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59" w:type="pct"/>
                  <w:vMerge w:val="continue"/>
                  <w:tcBorders>
                    <w:tl2br w:val="nil"/>
                    <w:tr2bl w:val="nil"/>
                  </w:tcBorders>
                  <w:shd w:val="clear" w:color="auto" w:fill="auto"/>
                  <w:vAlign w:val="center"/>
                </w:tcPr>
                <w:p w14:paraId="792E1393">
                  <w:pPr>
                    <w:pStyle w:val="40"/>
                    <w:bidi w:val="0"/>
                    <w:rPr>
                      <w:rFonts w:hint="eastAsia"/>
                      <w:color w:val="auto"/>
                      <w:highlight w:val="none"/>
                    </w:rPr>
                  </w:pPr>
                </w:p>
              </w:tc>
              <w:tc>
                <w:tcPr>
                  <w:tcW w:w="781" w:type="pct"/>
                  <w:vMerge w:val="restart"/>
                  <w:tcBorders>
                    <w:tl2br w:val="nil"/>
                    <w:tr2bl w:val="nil"/>
                  </w:tcBorders>
                  <w:shd w:val="clear" w:color="auto" w:fill="auto"/>
                  <w:vAlign w:val="center"/>
                </w:tcPr>
                <w:p w14:paraId="7A5CAD26">
                  <w:pPr>
                    <w:pStyle w:val="40"/>
                    <w:bidi w:val="0"/>
                    <w:rPr>
                      <w:rFonts w:hint="eastAsia"/>
                      <w:color w:val="auto"/>
                      <w:highlight w:val="none"/>
                    </w:rPr>
                  </w:pPr>
                  <w:r>
                    <w:rPr>
                      <w:rFonts w:hint="eastAsia"/>
                      <w:color w:val="auto"/>
                      <w:highlight w:val="none"/>
                      <w:lang w:val="en-US" w:eastAsia="zh-CN"/>
                    </w:rPr>
                    <w:t>成品筛分区</w:t>
                  </w:r>
                </w:p>
              </w:tc>
              <w:tc>
                <w:tcPr>
                  <w:tcW w:w="803" w:type="pct"/>
                  <w:tcBorders>
                    <w:tl2br w:val="nil"/>
                    <w:tr2bl w:val="nil"/>
                  </w:tcBorders>
                  <w:shd w:val="clear" w:color="auto" w:fill="auto"/>
                  <w:vAlign w:val="center"/>
                </w:tcPr>
                <w:p w14:paraId="76647078">
                  <w:pPr>
                    <w:pStyle w:val="40"/>
                    <w:bidi w:val="0"/>
                    <w:rPr>
                      <w:rFonts w:hint="eastAsia"/>
                      <w:color w:val="auto"/>
                      <w:highlight w:val="none"/>
                    </w:rPr>
                  </w:pPr>
                  <w:r>
                    <w:rPr>
                      <w:rFonts w:hint="eastAsia"/>
                      <w:color w:val="auto"/>
                      <w:highlight w:val="none"/>
                      <w:lang w:val="en-US" w:eastAsia="zh-CN"/>
                    </w:rPr>
                    <w:t>振动筛</w:t>
                  </w:r>
                </w:p>
              </w:tc>
              <w:tc>
                <w:tcPr>
                  <w:tcW w:w="647" w:type="pct"/>
                  <w:tcBorders>
                    <w:tl2br w:val="nil"/>
                    <w:tr2bl w:val="nil"/>
                  </w:tcBorders>
                  <w:shd w:val="clear" w:color="auto" w:fill="auto"/>
                  <w:vAlign w:val="center"/>
                </w:tcPr>
                <w:p w14:paraId="1A91C186">
                  <w:pPr>
                    <w:pStyle w:val="40"/>
                    <w:bidi w:val="0"/>
                    <w:rPr>
                      <w:rFonts w:hint="default"/>
                      <w:color w:val="auto"/>
                      <w:highlight w:val="none"/>
                    </w:rPr>
                  </w:pPr>
                  <w:r>
                    <w:rPr>
                      <w:rFonts w:hint="default"/>
                      <w:color w:val="auto"/>
                      <w:highlight w:val="none"/>
                      <w:lang w:val="en-US" w:eastAsia="zh-CN"/>
                    </w:rPr>
                    <w:t>85</w:t>
                  </w:r>
                </w:p>
              </w:tc>
              <w:tc>
                <w:tcPr>
                  <w:tcW w:w="589" w:type="pct"/>
                  <w:tcBorders>
                    <w:tl2br w:val="nil"/>
                    <w:tr2bl w:val="nil"/>
                  </w:tcBorders>
                  <w:shd w:val="clear" w:color="auto" w:fill="auto"/>
                  <w:vAlign w:val="center"/>
                </w:tcPr>
                <w:p w14:paraId="4BD76A24">
                  <w:pPr>
                    <w:pStyle w:val="40"/>
                    <w:bidi w:val="0"/>
                    <w:rPr>
                      <w:rFonts w:hint="default"/>
                      <w:color w:val="auto"/>
                      <w:highlight w:val="none"/>
                    </w:rPr>
                  </w:pPr>
                  <w:r>
                    <w:rPr>
                      <w:rFonts w:hint="default"/>
                      <w:color w:val="auto"/>
                      <w:highlight w:val="none"/>
                      <w:lang w:val="en-US" w:eastAsia="zh-CN"/>
                    </w:rPr>
                    <w:t>5</w:t>
                  </w:r>
                </w:p>
              </w:tc>
              <w:tc>
                <w:tcPr>
                  <w:tcW w:w="1918" w:type="pct"/>
                  <w:vMerge w:val="continue"/>
                  <w:tcBorders>
                    <w:tl2br w:val="nil"/>
                    <w:tr2bl w:val="nil"/>
                  </w:tcBorders>
                  <w:shd w:val="clear" w:color="auto" w:fill="auto"/>
                  <w:vAlign w:val="center"/>
                </w:tcPr>
                <w:p w14:paraId="4A002DCC">
                  <w:pPr>
                    <w:pStyle w:val="40"/>
                    <w:bidi w:val="0"/>
                    <w:rPr>
                      <w:rFonts w:hint="eastAsia"/>
                      <w:color w:val="auto"/>
                      <w:spacing w:val="-6"/>
                      <w:sz w:val="21"/>
                      <w:highlight w:val="none"/>
                    </w:rPr>
                  </w:pPr>
                </w:p>
              </w:tc>
            </w:tr>
            <w:tr w14:paraId="7E83CD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59" w:type="pct"/>
                  <w:vMerge w:val="continue"/>
                  <w:tcBorders>
                    <w:tl2br w:val="nil"/>
                    <w:tr2bl w:val="nil"/>
                  </w:tcBorders>
                  <w:shd w:val="clear" w:color="auto" w:fill="auto"/>
                  <w:vAlign w:val="center"/>
                </w:tcPr>
                <w:p w14:paraId="1E0624EE">
                  <w:pPr>
                    <w:pStyle w:val="40"/>
                    <w:bidi w:val="0"/>
                    <w:rPr>
                      <w:rFonts w:hint="eastAsia"/>
                      <w:color w:val="auto"/>
                      <w:highlight w:val="none"/>
                    </w:rPr>
                  </w:pPr>
                </w:p>
              </w:tc>
              <w:tc>
                <w:tcPr>
                  <w:tcW w:w="781" w:type="pct"/>
                  <w:vMerge w:val="continue"/>
                  <w:tcBorders>
                    <w:tl2br w:val="nil"/>
                    <w:tr2bl w:val="nil"/>
                  </w:tcBorders>
                  <w:shd w:val="clear" w:color="auto" w:fill="auto"/>
                  <w:vAlign w:val="center"/>
                </w:tcPr>
                <w:p w14:paraId="381AB50A">
                  <w:pPr>
                    <w:pStyle w:val="40"/>
                    <w:bidi w:val="0"/>
                    <w:rPr>
                      <w:rFonts w:hint="eastAsia"/>
                      <w:color w:val="auto"/>
                      <w:highlight w:val="none"/>
                    </w:rPr>
                  </w:pPr>
                </w:p>
              </w:tc>
              <w:tc>
                <w:tcPr>
                  <w:tcW w:w="803" w:type="pct"/>
                  <w:tcBorders>
                    <w:tl2br w:val="nil"/>
                    <w:tr2bl w:val="nil"/>
                  </w:tcBorders>
                  <w:shd w:val="clear" w:color="auto" w:fill="auto"/>
                  <w:vAlign w:val="center"/>
                </w:tcPr>
                <w:p w14:paraId="6AE09C55">
                  <w:pPr>
                    <w:pStyle w:val="40"/>
                    <w:bidi w:val="0"/>
                    <w:rPr>
                      <w:rFonts w:hint="eastAsia"/>
                      <w:color w:val="auto"/>
                      <w:highlight w:val="none"/>
                    </w:rPr>
                  </w:pPr>
                  <w:r>
                    <w:rPr>
                      <w:rFonts w:hint="eastAsia"/>
                      <w:color w:val="auto"/>
                      <w:highlight w:val="none"/>
                      <w:lang w:val="en-US" w:eastAsia="zh-CN"/>
                    </w:rPr>
                    <w:t>风机</w:t>
                  </w:r>
                </w:p>
              </w:tc>
              <w:tc>
                <w:tcPr>
                  <w:tcW w:w="647" w:type="pct"/>
                  <w:tcBorders>
                    <w:tl2br w:val="nil"/>
                    <w:tr2bl w:val="nil"/>
                  </w:tcBorders>
                  <w:shd w:val="clear" w:color="auto" w:fill="auto"/>
                  <w:vAlign w:val="center"/>
                </w:tcPr>
                <w:p w14:paraId="0BFE1930">
                  <w:pPr>
                    <w:pStyle w:val="40"/>
                    <w:bidi w:val="0"/>
                    <w:rPr>
                      <w:rFonts w:hint="default"/>
                      <w:color w:val="auto"/>
                      <w:highlight w:val="none"/>
                    </w:rPr>
                  </w:pPr>
                  <w:r>
                    <w:rPr>
                      <w:rFonts w:hint="default"/>
                      <w:color w:val="auto"/>
                      <w:highlight w:val="none"/>
                      <w:lang w:val="en-US" w:eastAsia="zh-CN"/>
                    </w:rPr>
                    <w:t>90</w:t>
                  </w:r>
                </w:p>
              </w:tc>
              <w:tc>
                <w:tcPr>
                  <w:tcW w:w="589" w:type="pct"/>
                  <w:tcBorders>
                    <w:tl2br w:val="nil"/>
                    <w:tr2bl w:val="nil"/>
                  </w:tcBorders>
                  <w:shd w:val="clear" w:color="auto" w:fill="auto"/>
                  <w:vAlign w:val="center"/>
                </w:tcPr>
                <w:p w14:paraId="5627EE51">
                  <w:pPr>
                    <w:pStyle w:val="40"/>
                    <w:bidi w:val="0"/>
                    <w:rPr>
                      <w:rFonts w:hint="default"/>
                      <w:color w:val="auto"/>
                      <w:highlight w:val="none"/>
                    </w:rPr>
                  </w:pPr>
                  <w:r>
                    <w:rPr>
                      <w:rFonts w:hint="eastAsia"/>
                      <w:color w:val="auto"/>
                      <w:highlight w:val="none"/>
                      <w:lang w:val="en-US" w:eastAsia="zh-CN"/>
                    </w:rPr>
                    <w:t>1</w:t>
                  </w:r>
                </w:p>
              </w:tc>
              <w:tc>
                <w:tcPr>
                  <w:tcW w:w="1918" w:type="pct"/>
                  <w:vMerge w:val="continue"/>
                  <w:tcBorders>
                    <w:tl2br w:val="nil"/>
                    <w:tr2bl w:val="nil"/>
                  </w:tcBorders>
                  <w:shd w:val="clear" w:color="auto" w:fill="auto"/>
                  <w:vAlign w:val="center"/>
                </w:tcPr>
                <w:p w14:paraId="25BFDEF6">
                  <w:pPr>
                    <w:pStyle w:val="40"/>
                    <w:bidi w:val="0"/>
                    <w:rPr>
                      <w:rFonts w:hint="eastAsia"/>
                      <w:color w:val="auto"/>
                      <w:spacing w:val="-6"/>
                      <w:sz w:val="21"/>
                      <w:highlight w:val="none"/>
                    </w:rPr>
                  </w:pPr>
                </w:p>
              </w:tc>
            </w:tr>
            <w:tr w14:paraId="1FE1B4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59" w:type="pct"/>
                  <w:vMerge w:val="continue"/>
                  <w:tcBorders>
                    <w:tl2br w:val="nil"/>
                    <w:tr2bl w:val="nil"/>
                  </w:tcBorders>
                  <w:shd w:val="clear" w:color="auto" w:fill="auto"/>
                  <w:vAlign w:val="center"/>
                </w:tcPr>
                <w:p w14:paraId="656E53B1">
                  <w:pPr>
                    <w:pStyle w:val="40"/>
                    <w:bidi w:val="0"/>
                    <w:rPr>
                      <w:rFonts w:hint="eastAsia"/>
                      <w:color w:val="auto"/>
                      <w:highlight w:val="none"/>
                    </w:rPr>
                  </w:pPr>
                </w:p>
              </w:tc>
              <w:tc>
                <w:tcPr>
                  <w:tcW w:w="781" w:type="pct"/>
                  <w:tcBorders>
                    <w:tl2br w:val="nil"/>
                    <w:tr2bl w:val="nil"/>
                  </w:tcBorders>
                  <w:shd w:val="clear" w:color="auto" w:fill="auto"/>
                  <w:vAlign w:val="center"/>
                </w:tcPr>
                <w:p w14:paraId="6E9A8D49">
                  <w:pPr>
                    <w:pStyle w:val="40"/>
                    <w:bidi w:val="0"/>
                    <w:rPr>
                      <w:rFonts w:hint="eastAsia"/>
                      <w:color w:val="auto"/>
                      <w:highlight w:val="none"/>
                    </w:rPr>
                  </w:pPr>
                  <w:r>
                    <w:rPr>
                      <w:rFonts w:hint="eastAsia"/>
                      <w:color w:val="auto"/>
                      <w:highlight w:val="none"/>
                      <w:lang w:val="en-US" w:eastAsia="zh-CN"/>
                    </w:rPr>
                    <w:t>空压站</w:t>
                  </w:r>
                </w:p>
              </w:tc>
              <w:tc>
                <w:tcPr>
                  <w:tcW w:w="803" w:type="pct"/>
                  <w:tcBorders>
                    <w:tl2br w:val="nil"/>
                    <w:tr2bl w:val="nil"/>
                  </w:tcBorders>
                  <w:shd w:val="clear" w:color="auto" w:fill="auto"/>
                  <w:vAlign w:val="center"/>
                </w:tcPr>
                <w:p w14:paraId="6965F0E3">
                  <w:pPr>
                    <w:pStyle w:val="40"/>
                    <w:bidi w:val="0"/>
                    <w:rPr>
                      <w:rFonts w:hint="eastAsia"/>
                      <w:color w:val="auto"/>
                      <w:highlight w:val="none"/>
                    </w:rPr>
                  </w:pPr>
                  <w:r>
                    <w:rPr>
                      <w:rFonts w:hint="eastAsia"/>
                      <w:color w:val="auto"/>
                      <w:highlight w:val="none"/>
                      <w:lang w:val="en-US" w:eastAsia="zh-CN"/>
                    </w:rPr>
                    <w:t>空压机</w:t>
                  </w:r>
                </w:p>
              </w:tc>
              <w:tc>
                <w:tcPr>
                  <w:tcW w:w="647" w:type="pct"/>
                  <w:tcBorders>
                    <w:tl2br w:val="nil"/>
                    <w:tr2bl w:val="nil"/>
                  </w:tcBorders>
                  <w:shd w:val="clear" w:color="auto" w:fill="auto"/>
                  <w:vAlign w:val="center"/>
                </w:tcPr>
                <w:p w14:paraId="225A6436">
                  <w:pPr>
                    <w:pStyle w:val="40"/>
                    <w:bidi w:val="0"/>
                    <w:rPr>
                      <w:rFonts w:hint="default"/>
                      <w:color w:val="auto"/>
                      <w:highlight w:val="none"/>
                    </w:rPr>
                  </w:pPr>
                  <w:r>
                    <w:rPr>
                      <w:rFonts w:hint="default"/>
                      <w:color w:val="auto"/>
                      <w:highlight w:val="none"/>
                      <w:lang w:val="en-US" w:eastAsia="zh-CN"/>
                    </w:rPr>
                    <w:t>80</w:t>
                  </w:r>
                </w:p>
              </w:tc>
              <w:tc>
                <w:tcPr>
                  <w:tcW w:w="589" w:type="pct"/>
                  <w:tcBorders>
                    <w:tl2br w:val="nil"/>
                    <w:tr2bl w:val="nil"/>
                  </w:tcBorders>
                  <w:shd w:val="clear" w:color="auto" w:fill="auto"/>
                  <w:vAlign w:val="center"/>
                </w:tcPr>
                <w:p w14:paraId="2272A0AF">
                  <w:pPr>
                    <w:pStyle w:val="40"/>
                    <w:bidi w:val="0"/>
                    <w:rPr>
                      <w:rFonts w:hint="default"/>
                      <w:color w:val="auto"/>
                      <w:highlight w:val="none"/>
                    </w:rPr>
                  </w:pPr>
                  <w:r>
                    <w:rPr>
                      <w:rFonts w:hint="default"/>
                      <w:color w:val="auto"/>
                      <w:highlight w:val="none"/>
                      <w:lang w:val="en-US" w:eastAsia="zh-CN"/>
                    </w:rPr>
                    <w:t>2</w:t>
                  </w:r>
                </w:p>
              </w:tc>
              <w:tc>
                <w:tcPr>
                  <w:tcW w:w="1918" w:type="pct"/>
                  <w:tcBorders>
                    <w:tl2br w:val="nil"/>
                    <w:tr2bl w:val="nil"/>
                  </w:tcBorders>
                  <w:shd w:val="clear" w:color="auto" w:fill="auto"/>
                  <w:vAlign w:val="center"/>
                </w:tcPr>
                <w:p w14:paraId="5FBB3BA9">
                  <w:pPr>
                    <w:pStyle w:val="40"/>
                    <w:bidi w:val="0"/>
                    <w:rPr>
                      <w:rFonts w:hint="eastAsia"/>
                      <w:color w:val="auto"/>
                      <w:spacing w:val="-6"/>
                      <w:sz w:val="21"/>
                      <w:highlight w:val="none"/>
                    </w:rPr>
                  </w:pPr>
                  <w:r>
                    <w:rPr>
                      <w:rFonts w:hint="eastAsia"/>
                      <w:color w:val="auto"/>
                      <w:spacing w:val="-6"/>
                      <w:sz w:val="21"/>
                      <w:highlight w:val="none"/>
                      <w:lang w:val="en-US" w:eastAsia="zh-CN"/>
                    </w:rPr>
                    <w:t>通风口安装消声器</w:t>
                  </w:r>
                </w:p>
              </w:tc>
            </w:tr>
            <w:tr w14:paraId="3DA59B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59" w:type="pct"/>
                  <w:vMerge w:val="restart"/>
                  <w:tcBorders>
                    <w:tl2br w:val="nil"/>
                    <w:tr2bl w:val="nil"/>
                  </w:tcBorders>
                  <w:shd w:val="clear" w:color="auto" w:fill="auto"/>
                  <w:vAlign w:val="center"/>
                </w:tcPr>
                <w:p w14:paraId="5567EF3E">
                  <w:pPr>
                    <w:pStyle w:val="40"/>
                    <w:bidi w:val="0"/>
                    <w:rPr>
                      <w:rFonts w:hint="eastAsia"/>
                      <w:color w:val="auto"/>
                      <w:highlight w:val="none"/>
                    </w:rPr>
                  </w:pPr>
                  <w:r>
                    <w:rPr>
                      <w:rFonts w:hint="eastAsia"/>
                      <w:color w:val="auto"/>
                      <w:highlight w:val="none"/>
                      <w:lang w:val="en-US" w:eastAsia="zh-CN"/>
                    </w:rPr>
                    <w:t>混凝土生产线</w:t>
                  </w:r>
                </w:p>
              </w:tc>
              <w:tc>
                <w:tcPr>
                  <w:tcW w:w="781" w:type="pct"/>
                  <w:tcBorders>
                    <w:tl2br w:val="nil"/>
                    <w:tr2bl w:val="nil"/>
                  </w:tcBorders>
                  <w:shd w:val="clear" w:color="auto" w:fill="auto"/>
                  <w:vAlign w:val="center"/>
                </w:tcPr>
                <w:p w14:paraId="37CA9ED8">
                  <w:pPr>
                    <w:pStyle w:val="40"/>
                    <w:bidi w:val="0"/>
                    <w:rPr>
                      <w:rFonts w:hint="eastAsia"/>
                      <w:color w:val="auto"/>
                      <w:highlight w:val="none"/>
                    </w:rPr>
                  </w:pPr>
                  <w:r>
                    <w:rPr>
                      <w:rFonts w:hint="eastAsia"/>
                      <w:color w:val="auto"/>
                      <w:highlight w:val="none"/>
                      <w:lang w:val="en-US" w:eastAsia="zh-CN"/>
                    </w:rPr>
                    <w:t>投料系统</w:t>
                  </w:r>
                </w:p>
              </w:tc>
              <w:tc>
                <w:tcPr>
                  <w:tcW w:w="803" w:type="pct"/>
                  <w:tcBorders>
                    <w:tl2br w:val="nil"/>
                    <w:tr2bl w:val="nil"/>
                  </w:tcBorders>
                  <w:shd w:val="clear" w:color="auto" w:fill="auto"/>
                  <w:vAlign w:val="center"/>
                </w:tcPr>
                <w:p w14:paraId="64D021A0">
                  <w:pPr>
                    <w:pStyle w:val="40"/>
                    <w:bidi w:val="0"/>
                    <w:rPr>
                      <w:rFonts w:hint="eastAsia"/>
                      <w:color w:val="auto"/>
                      <w:highlight w:val="none"/>
                    </w:rPr>
                  </w:pPr>
                  <w:r>
                    <w:rPr>
                      <w:rFonts w:hint="eastAsia"/>
                      <w:color w:val="auto"/>
                      <w:highlight w:val="none"/>
                      <w:lang w:val="en-US" w:eastAsia="zh-CN"/>
                    </w:rPr>
                    <w:t>装载机</w:t>
                  </w:r>
                </w:p>
              </w:tc>
              <w:tc>
                <w:tcPr>
                  <w:tcW w:w="647" w:type="pct"/>
                  <w:tcBorders>
                    <w:tl2br w:val="nil"/>
                    <w:tr2bl w:val="nil"/>
                  </w:tcBorders>
                  <w:shd w:val="clear" w:color="auto" w:fill="auto"/>
                  <w:vAlign w:val="center"/>
                </w:tcPr>
                <w:p w14:paraId="73E2210A">
                  <w:pPr>
                    <w:pStyle w:val="40"/>
                    <w:bidi w:val="0"/>
                    <w:rPr>
                      <w:rFonts w:hint="default"/>
                      <w:color w:val="auto"/>
                      <w:highlight w:val="none"/>
                    </w:rPr>
                  </w:pPr>
                  <w:r>
                    <w:rPr>
                      <w:rFonts w:hint="default"/>
                      <w:color w:val="auto"/>
                      <w:highlight w:val="none"/>
                      <w:lang w:val="en-US" w:eastAsia="zh-CN"/>
                    </w:rPr>
                    <w:t>80</w:t>
                  </w:r>
                </w:p>
              </w:tc>
              <w:tc>
                <w:tcPr>
                  <w:tcW w:w="589" w:type="pct"/>
                  <w:tcBorders>
                    <w:tl2br w:val="nil"/>
                    <w:tr2bl w:val="nil"/>
                  </w:tcBorders>
                  <w:shd w:val="clear" w:color="auto" w:fill="auto"/>
                  <w:vAlign w:val="center"/>
                </w:tcPr>
                <w:p w14:paraId="2F36A268">
                  <w:pPr>
                    <w:pStyle w:val="40"/>
                    <w:bidi w:val="0"/>
                    <w:rPr>
                      <w:rFonts w:hint="default"/>
                      <w:color w:val="auto"/>
                      <w:highlight w:val="none"/>
                    </w:rPr>
                  </w:pPr>
                  <w:r>
                    <w:rPr>
                      <w:rFonts w:hint="default"/>
                      <w:color w:val="auto"/>
                      <w:highlight w:val="none"/>
                      <w:lang w:val="en-US" w:eastAsia="zh-CN"/>
                    </w:rPr>
                    <w:t>1</w:t>
                  </w:r>
                </w:p>
              </w:tc>
              <w:tc>
                <w:tcPr>
                  <w:tcW w:w="1918" w:type="pct"/>
                  <w:tcBorders>
                    <w:tl2br w:val="nil"/>
                    <w:tr2bl w:val="nil"/>
                  </w:tcBorders>
                  <w:shd w:val="clear" w:color="auto" w:fill="auto"/>
                  <w:vAlign w:val="center"/>
                </w:tcPr>
                <w:p w14:paraId="1E28C924">
                  <w:pPr>
                    <w:pStyle w:val="40"/>
                    <w:bidi w:val="0"/>
                    <w:rPr>
                      <w:rFonts w:hint="eastAsia"/>
                      <w:color w:val="auto"/>
                      <w:spacing w:val="-6"/>
                      <w:sz w:val="21"/>
                      <w:highlight w:val="none"/>
                    </w:rPr>
                  </w:pPr>
                  <w:r>
                    <w:rPr>
                      <w:rFonts w:hint="eastAsia"/>
                      <w:color w:val="auto"/>
                      <w:spacing w:val="-6"/>
                      <w:sz w:val="21"/>
                      <w:highlight w:val="none"/>
                      <w:lang w:val="en-US" w:eastAsia="zh-CN"/>
                    </w:rPr>
                    <w:t>选用低噪声设备，在原料棚内作业</w:t>
                  </w:r>
                </w:p>
              </w:tc>
            </w:tr>
            <w:tr w14:paraId="0D0488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59" w:type="pct"/>
                  <w:vMerge w:val="continue"/>
                  <w:tcBorders>
                    <w:tl2br w:val="nil"/>
                    <w:tr2bl w:val="nil"/>
                  </w:tcBorders>
                  <w:shd w:val="clear" w:color="auto" w:fill="auto"/>
                  <w:vAlign w:val="center"/>
                </w:tcPr>
                <w:p w14:paraId="7B7BD0FF">
                  <w:pPr>
                    <w:pStyle w:val="40"/>
                    <w:bidi w:val="0"/>
                    <w:rPr>
                      <w:rFonts w:hint="eastAsia"/>
                      <w:color w:val="auto"/>
                      <w:highlight w:val="none"/>
                    </w:rPr>
                  </w:pPr>
                </w:p>
              </w:tc>
              <w:tc>
                <w:tcPr>
                  <w:tcW w:w="781" w:type="pct"/>
                  <w:vMerge w:val="restart"/>
                  <w:tcBorders>
                    <w:tl2br w:val="nil"/>
                    <w:tr2bl w:val="nil"/>
                  </w:tcBorders>
                  <w:shd w:val="clear" w:color="auto" w:fill="auto"/>
                  <w:vAlign w:val="center"/>
                </w:tcPr>
                <w:p w14:paraId="489FAE04">
                  <w:pPr>
                    <w:pStyle w:val="40"/>
                    <w:bidi w:val="0"/>
                    <w:rPr>
                      <w:rFonts w:hint="eastAsia"/>
                      <w:color w:val="auto"/>
                      <w:highlight w:val="none"/>
                    </w:rPr>
                  </w:pPr>
                  <w:r>
                    <w:rPr>
                      <w:rFonts w:hint="eastAsia"/>
                      <w:color w:val="auto"/>
                      <w:highlight w:val="none"/>
                      <w:lang w:val="en-US" w:eastAsia="zh-CN"/>
                    </w:rPr>
                    <w:t>输送系统</w:t>
                  </w:r>
                </w:p>
              </w:tc>
              <w:tc>
                <w:tcPr>
                  <w:tcW w:w="803" w:type="pct"/>
                  <w:tcBorders>
                    <w:tl2br w:val="nil"/>
                    <w:tr2bl w:val="nil"/>
                  </w:tcBorders>
                  <w:shd w:val="clear" w:color="auto" w:fill="auto"/>
                  <w:vAlign w:val="center"/>
                </w:tcPr>
                <w:p w14:paraId="695EB4FC">
                  <w:pPr>
                    <w:pStyle w:val="40"/>
                    <w:bidi w:val="0"/>
                    <w:rPr>
                      <w:rFonts w:hint="eastAsia"/>
                      <w:color w:val="auto"/>
                      <w:highlight w:val="none"/>
                    </w:rPr>
                  </w:pPr>
                  <w:r>
                    <w:rPr>
                      <w:rFonts w:hint="eastAsia"/>
                      <w:color w:val="auto"/>
                      <w:highlight w:val="none"/>
                      <w:lang w:val="en-US" w:eastAsia="zh-CN"/>
                    </w:rPr>
                    <w:t>皮带输送机</w:t>
                  </w:r>
                </w:p>
              </w:tc>
              <w:tc>
                <w:tcPr>
                  <w:tcW w:w="647" w:type="pct"/>
                  <w:tcBorders>
                    <w:tl2br w:val="nil"/>
                    <w:tr2bl w:val="nil"/>
                  </w:tcBorders>
                  <w:shd w:val="clear" w:color="auto" w:fill="auto"/>
                  <w:vAlign w:val="center"/>
                </w:tcPr>
                <w:p w14:paraId="74C494C2">
                  <w:pPr>
                    <w:pStyle w:val="40"/>
                    <w:bidi w:val="0"/>
                    <w:rPr>
                      <w:rFonts w:hint="default"/>
                      <w:color w:val="auto"/>
                      <w:highlight w:val="none"/>
                    </w:rPr>
                  </w:pPr>
                  <w:r>
                    <w:rPr>
                      <w:rFonts w:hint="default"/>
                      <w:color w:val="auto"/>
                      <w:highlight w:val="none"/>
                      <w:lang w:val="en-US" w:eastAsia="zh-CN"/>
                    </w:rPr>
                    <w:t>87</w:t>
                  </w:r>
                </w:p>
              </w:tc>
              <w:tc>
                <w:tcPr>
                  <w:tcW w:w="589" w:type="pct"/>
                  <w:tcBorders>
                    <w:tl2br w:val="nil"/>
                    <w:tr2bl w:val="nil"/>
                  </w:tcBorders>
                  <w:shd w:val="clear" w:color="auto" w:fill="auto"/>
                  <w:vAlign w:val="center"/>
                </w:tcPr>
                <w:p w14:paraId="225A6BF4">
                  <w:pPr>
                    <w:pStyle w:val="40"/>
                    <w:bidi w:val="0"/>
                    <w:rPr>
                      <w:rFonts w:hint="default"/>
                      <w:color w:val="auto"/>
                      <w:highlight w:val="none"/>
                    </w:rPr>
                  </w:pPr>
                  <w:r>
                    <w:rPr>
                      <w:rFonts w:hint="default"/>
                      <w:color w:val="auto"/>
                      <w:highlight w:val="none"/>
                      <w:lang w:val="en-US" w:eastAsia="zh-CN"/>
                    </w:rPr>
                    <w:t>2</w:t>
                  </w:r>
                </w:p>
              </w:tc>
              <w:tc>
                <w:tcPr>
                  <w:tcW w:w="1918" w:type="pct"/>
                  <w:vMerge w:val="restart"/>
                  <w:tcBorders>
                    <w:tl2br w:val="nil"/>
                    <w:tr2bl w:val="nil"/>
                  </w:tcBorders>
                  <w:shd w:val="clear" w:color="auto" w:fill="auto"/>
                  <w:vAlign w:val="center"/>
                </w:tcPr>
                <w:p w14:paraId="27701EC4">
                  <w:pPr>
                    <w:pStyle w:val="40"/>
                    <w:bidi w:val="0"/>
                    <w:rPr>
                      <w:rFonts w:hint="eastAsia"/>
                      <w:color w:val="auto"/>
                      <w:spacing w:val="-6"/>
                      <w:sz w:val="21"/>
                      <w:highlight w:val="none"/>
                    </w:rPr>
                  </w:pPr>
                  <w:r>
                    <w:rPr>
                      <w:rFonts w:hint="eastAsia"/>
                      <w:color w:val="auto"/>
                      <w:spacing w:val="-6"/>
                      <w:sz w:val="21"/>
                      <w:highlight w:val="none"/>
                      <w:lang w:val="en-US" w:eastAsia="zh-CN"/>
                    </w:rPr>
                    <w:t>定期维护，置于封闭输送廊道内</w:t>
                  </w:r>
                </w:p>
              </w:tc>
            </w:tr>
            <w:tr w14:paraId="214A1C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59" w:type="pct"/>
                  <w:vMerge w:val="continue"/>
                  <w:tcBorders>
                    <w:tl2br w:val="nil"/>
                    <w:tr2bl w:val="nil"/>
                  </w:tcBorders>
                  <w:shd w:val="clear" w:color="auto" w:fill="auto"/>
                  <w:vAlign w:val="center"/>
                </w:tcPr>
                <w:p w14:paraId="2660ABB2">
                  <w:pPr>
                    <w:pStyle w:val="40"/>
                    <w:bidi w:val="0"/>
                    <w:rPr>
                      <w:rFonts w:hint="eastAsia"/>
                      <w:color w:val="auto"/>
                      <w:highlight w:val="none"/>
                    </w:rPr>
                  </w:pPr>
                </w:p>
              </w:tc>
              <w:tc>
                <w:tcPr>
                  <w:tcW w:w="781" w:type="pct"/>
                  <w:vMerge w:val="continue"/>
                  <w:tcBorders>
                    <w:tl2br w:val="nil"/>
                    <w:tr2bl w:val="nil"/>
                  </w:tcBorders>
                  <w:shd w:val="clear" w:color="auto" w:fill="auto"/>
                  <w:vAlign w:val="center"/>
                </w:tcPr>
                <w:p w14:paraId="6FFEF16F">
                  <w:pPr>
                    <w:pStyle w:val="40"/>
                    <w:bidi w:val="0"/>
                    <w:rPr>
                      <w:rFonts w:hint="eastAsia"/>
                      <w:color w:val="auto"/>
                      <w:highlight w:val="none"/>
                    </w:rPr>
                  </w:pPr>
                </w:p>
              </w:tc>
              <w:tc>
                <w:tcPr>
                  <w:tcW w:w="803" w:type="pct"/>
                  <w:tcBorders>
                    <w:tl2br w:val="nil"/>
                    <w:tr2bl w:val="nil"/>
                  </w:tcBorders>
                  <w:shd w:val="clear" w:color="auto" w:fill="auto"/>
                  <w:vAlign w:val="center"/>
                </w:tcPr>
                <w:p w14:paraId="57CD1F19">
                  <w:pPr>
                    <w:pStyle w:val="40"/>
                    <w:bidi w:val="0"/>
                    <w:rPr>
                      <w:rFonts w:hint="eastAsia"/>
                      <w:color w:val="auto"/>
                      <w:highlight w:val="none"/>
                    </w:rPr>
                  </w:pPr>
                  <w:r>
                    <w:rPr>
                      <w:rFonts w:hint="eastAsia"/>
                      <w:color w:val="auto"/>
                      <w:highlight w:val="none"/>
                      <w:lang w:val="en-US" w:eastAsia="zh-CN"/>
                    </w:rPr>
                    <w:t>螺旋输送机</w:t>
                  </w:r>
                </w:p>
              </w:tc>
              <w:tc>
                <w:tcPr>
                  <w:tcW w:w="647" w:type="pct"/>
                  <w:tcBorders>
                    <w:tl2br w:val="nil"/>
                    <w:tr2bl w:val="nil"/>
                  </w:tcBorders>
                  <w:shd w:val="clear" w:color="auto" w:fill="auto"/>
                  <w:vAlign w:val="center"/>
                </w:tcPr>
                <w:p w14:paraId="527BA524">
                  <w:pPr>
                    <w:pStyle w:val="40"/>
                    <w:bidi w:val="0"/>
                    <w:rPr>
                      <w:rFonts w:hint="default"/>
                      <w:color w:val="auto"/>
                      <w:highlight w:val="none"/>
                    </w:rPr>
                  </w:pPr>
                  <w:r>
                    <w:rPr>
                      <w:rFonts w:hint="default"/>
                      <w:color w:val="auto"/>
                      <w:highlight w:val="none"/>
                      <w:lang w:val="en-US" w:eastAsia="zh-CN"/>
                    </w:rPr>
                    <w:t>87</w:t>
                  </w:r>
                </w:p>
              </w:tc>
              <w:tc>
                <w:tcPr>
                  <w:tcW w:w="589" w:type="pct"/>
                  <w:tcBorders>
                    <w:tl2br w:val="nil"/>
                    <w:tr2bl w:val="nil"/>
                  </w:tcBorders>
                  <w:shd w:val="clear" w:color="auto" w:fill="auto"/>
                  <w:vAlign w:val="center"/>
                </w:tcPr>
                <w:p w14:paraId="49A15DAF">
                  <w:pPr>
                    <w:pStyle w:val="40"/>
                    <w:bidi w:val="0"/>
                    <w:rPr>
                      <w:rFonts w:hint="default"/>
                      <w:color w:val="auto"/>
                      <w:highlight w:val="none"/>
                    </w:rPr>
                  </w:pPr>
                  <w:r>
                    <w:rPr>
                      <w:rFonts w:hint="default"/>
                      <w:color w:val="auto"/>
                      <w:highlight w:val="none"/>
                      <w:lang w:val="en-US" w:eastAsia="zh-CN"/>
                    </w:rPr>
                    <w:t>8</w:t>
                  </w:r>
                </w:p>
              </w:tc>
              <w:tc>
                <w:tcPr>
                  <w:tcW w:w="1918" w:type="pct"/>
                  <w:vMerge w:val="continue"/>
                  <w:tcBorders>
                    <w:tl2br w:val="nil"/>
                    <w:tr2bl w:val="nil"/>
                  </w:tcBorders>
                  <w:shd w:val="clear" w:color="auto" w:fill="auto"/>
                  <w:vAlign w:val="center"/>
                </w:tcPr>
                <w:p w14:paraId="0EC4368B">
                  <w:pPr>
                    <w:pStyle w:val="40"/>
                    <w:bidi w:val="0"/>
                    <w:rPr>
                      <w:rFonts w:hint="eastAsia"/>
                      <w:color w:val="auto"/>
                      <w:spacing w:val="-6"/>
                      <w:sz w:val="21"/>
                      <w:highlight w:val="none"/>
                    </w:rPr>
                  </w:pPr>
                </w:p>
              </w:tc>
            </w:tr>
            <w:tr w14:paraId="5BC156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59" w:type="pct"/>
                  <w:vMerge w:val="continue"/>
                  <w:tcBorders>
                    <w:tl2br w:val="nil"/>
                    <w:tr2bl w:val="nil"/>
                  </w:tcBorders>
                  <w:shd w:val="clear" w:color="auto" w:fill="auto"/>
                  <w:vAlign w:val="center"/>
                </w:tcPr>
                <w:p w14:paraId="67743D8E">
                  <w:pPr>
                    <w:pStyle w:val="40"/>
                    <w:bidi w:val="0"/>
                    <w:rPr>
                      <w:rFonts w:hint="eastAsia"/>
                      <w:color w:val="auto"/>
                      <w:highlight w:val="none"/>
                    </w:rPr>
                  </w:pPr>
                </w:p>
              </w:tc>
              <w:tc>
                <w:tcPr>
                  <w:tcW w:w="781" w:type="pct"/>
                  <w:vMerge w:val="restart"/>
                  <w:tcBorders>
                    <w:tl2br w:val="nil"/>
                    <w:tr2bl w:val="nil"/>
                  </w:tcBorders>
                  <w:shd w:val="clear" w:color="auto" w:fill="auto"/>
                  <w:vAlign w:val="center"/>
                </w:tcPr>
                <w:p w14:paraId="5C297956">
                  <w:pPr>
                    <w:pStyle w:val="40"/>
                    <w:bidi w:val="0"/>
                    <w:rPr>
                      <w:rFonts w:hint="eastAsia"/>
                      <w:color w:val="auto"/>
                      <w:highlight w:val="none"/>
                    </w:rPr>
                  </w:pPr>
                  <w:r>
                    <w:rPr>
                      <w:rFonts w:hint="eastAsia"/>
                      <w:color w:val="auto"/>
                      <w:highlight w:val="none"/>
                      <w:lang w:val="en-US" w:eastAsia="zh-CN"/>
                    </w:rPr>
                    <w:t>搅拌系统</w:t>
                  </w:r>
                </w:p>
              </w:tc>
              <w:tc>
                <w:tcPr>
                  <w:tcW w:w="803" w:type="pct"/>
                  <w:tcBorders>
                    <w:tl2br w:val="nil"/>
                    <w:tr2bl w:val="nil"/>
                  </w:tcBorders>
                  <w:shd w:val="clear" w:color="auto" w:fill="auto"/>
                  <w:vAlign w:val="center"/>
                </w:tcPr>
                <w:p w14:paraId="67C6FD87">
                  <w:pPr>
                    <w:pStyle w:val="40"/>
                    <w:bidi w:val="0"/>
                    <w:rPr>
                      <w:rFonts w:hint="eastAsia"/>
                      <w:color w:val="auto"/>
                      <w:highlight w:val="none"/>
                    </w:rPr>
                  </w:pPr>
                  <w:r>
                    <w:rPr>
                      <w:rFonts w:hint="eastAsia"/>
                      <w:color w:val="auto"/>
                      <w:highlight w:val="none"/>
                      <w:lang w:val="en-US" w:eastAsia="zh-CN"/>
                    </w:rPr>
                    <w:t>搅拌机</w:t>
                  </w:r>
                </w:p>
              </w:tc>
              <w:tc>
                <w:tcPr>
                  <w:tcW w:w="647" w:type="pct"/>
                  <w:tcBorders>
                    <w:tl2br w:val="nil"/>
                    <w:tr2bl w:val="nil"/>
                  </w:tcBorders>
                  <w:shd w:val="clear" w:color="auto" w:fill="auto"/>
                  <w:vAlign w:val="center"/>
                </w:tcPr>
                <w:p w14:paraId="05332316">
                  <w:pPr>
                    <w:pStyle w:val="40"/>
                    <w:bidi w:val="0"/>
                    <w:rPr>
                      <w:rFonts w:hint="default"/>
                      <w:color w:val="auto"/>
                      <w:highlight w:val="none"/>
                    </w:rPr>
                  </w:pPr>
                  <w:r>
                    <w:rPr>
                      <w:rFonts w:hint="default"/>
                      <w:color w:val="auto"/>
                      <w:highlight w:val="none"/>
                      <w:lang w:val="en-US" w:eastAsia="zh-CN"/>
                    </w:rPr>
                    <w:t>90</w:t>
                  </w:r>
                </w:p>
              </w:tc>
              <w:tc>
                <w:tcPr>
                  <w:tcW w:w="589" w:type="pct"/>
                  <w:tcBorders>
                    <w:tl2br w:val="nil"/>
                    <w:tr2bl w:val="nil"/>
                  </w:tcBorders>
                  <w:shd w:val="clear" w:color="auto" w:fill="auto"/>
                  <w:vAlign w:val="center"/>
                </w:tcPr>
                <w:p w14:paraId="2AB0502A">
                  <w:pPr>
                    <w:pStyle w:val="40"/>
                    <w:bidi w:val="0"/>
                    <w:rPr>
                      <w:rFonts w:hint="default"/>
                      <w:color w:val="auto"/>
                      <w:highlight w:val="none"/>
                    </w:rPr>
                  </w:pPr>
                  <w:r>
                    <w:rPr>
                      <w:rFonts w:hint="default"/>
                      <w:color w:val="auto"/>
                      <w:highlight w:val="none"/>
                      <w:lang w:val="en-US" w:eastAsia="zh-CN"/>
                    </w:rPr>
                    <w:t>2</w:t>
                  </w:r>
                </w:p>
              </w:tc>
              <w:tc>
                <w:tcPr>
                  <w:tcW w:w="1918" w:type="pct"/>
                  <w:tcBorders>
                    <w:tl2br w:val="nil"/>
                    <w:tr2bl w:val="nil"/>
                  </w:tcBorders>
                  <w:shd w:val="clear" w:color="auto" w:fill="auto"/>
                  <w:vAlign w:val="center"/>
                </w:tcPr>
                <w:p w14:paraId="0EA24E17">
                  <w:pPr>
                    <w:pStyle w:val="40"/>
                    <w:bidi w:val="0"/>
                    <w:rPr>
                      <w:rFonts w:hint="eastAsia"/>
                      <w:color w:val="auto"/>
                      <w:spacing w:val="-6"/>
                      <w:sz w:val="21"/>
                      <w:highlight w:val="none"/>
                    </w:rPr>
                  </w:pPr>
                  <w:r>
                    <w:rPr>
                      <w:rFonts w:hint="eastAsia"/>
                      <w:color w:val="auto"/>
                      <w:spacing w:val="-6"/>
                      <w:sz w:val="21"/>
                      <w:highlight w:val="none"/>
                      <w:lang w:val="en-US" w:eastAsia="zh-CN"/>
                    </w:rPr>
                    <w:t>设在搅拌楼内，选用低噪声设备，基础减振</w:t>
                  </w:r>
                </w:p>
              </w:tc>
            </w:tr>
            <w:tr w14:paraId="339EB9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59" w:type="pct"/>
                  <w:vMerge w:val="continue"/>
                  <w:tcBorders>
                    <w:tl2br w:val="nil"/>
                    <w:tr2bl w:val="nil"/>
                  </w:tcBorders>
                  <w:shd w:val="clear" w:color="auto" w:fill="auto"/>
                  <w:vAlign w:val="center"/>
                </w:tcPr>
                <w:p w14:paraId="4BBBF2A1">
                  <w:pPr>
                    <w:pStyle w:val="40"/>
                    <w:bidi w:val="0"/>
                    <w:rPr>
                      <w:rFonts w:hint="eastAsia"/>
                      <w:color w:val="auto"/>
                      <w:highlight w:val="none"/>
                    </w:rPr>
                  </w:pPr>
                </w:p>
              </w:tc>
              <w:tc>
                <w:tcPr>
                  <w:tcW w:w="781" w:type="pct"/>
                  <w:vMerge w:val="continue"/>
                  <w:tcBorders>
                    <w:tl2br w:val="nil"/>
                    <w:tr2bl w:val="nil"/>
                  </w:tcBorders>
                  <w:shd w:val="clear" w:color="auto" w:fill="auto"/>
                  <w:vAlign w:val="center"/>
                </w:tcPr>
                <w:p w14:paraId="788257FE">
                  <w:pPr>
                    <w:pStyle w:val="40"/>
                    <w:bidi w:val="0"/>
                    <w:rPr>
                      <w:rFonts w:hint="eastAsia"/>
                      <w:color w:val="auto"/>
                      <w:highlight w:val="none"/>
                    </w:rPr>
                  </w:pPr>
                </w:p>
              </w:tc>
              <w:tc>
                <w:tcPr>
                  <w:tcW w:w="803" w:type="pct"/>
                  <w:tcBorders>
                    <w:tl2br w:val="nil"/>
                    <w:tr2bl w:val="nil"/>
                  </w:tcBorders>
                  <w:shd w:val="clear" w:color="auto" w:fill="auto"/>
                  <w:vAlign w:val="center"/>
                </w:tcPr>
                <w:p w14:paraId="717E5E76">
                  <w:pPr>
                    <w:pStyle w:val="40"/>
                    <w:bidi w:val="0"/>
                    <w:rPr>
                      <w:rFonts w:hint="eastAsia"/>
                      <w:color w:val="auto"/>
                      <w:highlight w:val="none"/>
                    </w:rPr>
                  </w:pPr>
                  <w:r>
                    <w:rPr>
                      <w:rFonts w:hint="eastAsia"/>
                      <w:color w:val="auto"/>
                      <w:highlight w:val="none"/>
                      <w:lang w:val="en-US" w:eastAsia="zh-CN"/>
                    </w:rPr>
                    <w:t>搅拌机风机</w:t>
                  </w:r>
                </w:p>
              </w:tc>
              <w:tc>
                <w:tcPr>
                  <w:tcW w:w="647" w:type="pct"/>
                  <w:tcBorders>
                    <w:tl2br w:val="nil"/>
                    <w:tr2bl w:val="nil"/>
                  </w:tcBorders>
                  <w:shd w:val="clear" w:color="auto" w:fill="auto"/>
                  <w:vAlign w:val="center"/>
                </w:tcPr>
                <w:p w14:paraId="2D7880DA">
                  <w:pPr>
                    <w:pStyle w:val="40"/>
                    <w:bidi w:val="0"/>
                    <w:rPr>
                      <w:rFonts w:hint="default"/>
                      <w:color w:val="auto"/>
                      <w:highlight w:val="none"/>
                    </w:rPr>
                  </w:pPr>
                  <w:r>
                    <w:rPr>
                      <w:rFonts w:hint="default"/>
                      <w:color w:val="auto"/>
                      <w:highlight w:val="none"/>
                      <w:lang w:val="en-US" w:eastAsia="zh-CN"/>
                    </w:rPr>
                    <w:t>75</w:t>
                  </w:r>
                </w:p>
              </w:tc>
              <w:tc>
                <w:tcPr>
                  <w:tcW w:w="589" w:type="pct"/>
                  <w:tcBorders>
                    <w:tl2br w:val="nil"/>
                    <w:tr2bl w:val="nil"/>
                  </w:tcBorders>
                  <w:shd w:val="clear" w:color="auto" w:fill="auto"/>
                  <w:vAlign w:val="center"/>
                </w:tcPr>
                <w:p w14:paraId="3C64021F">
                  <w:pPr>
                    <w:pStyle w:val="40"/>
                    <w:bidi w:val="0"/>
                    <w:rPr>
                      <w:rFonts w:hint="default"/>
                      <w:color w:val="auto"/>
                      <w:highlight w:val="none"/>
                    </w:rPr>
                  </w:pPr>
                  <w:r>
                    <w:rPr>
                      <w:rFonts w:hint="eastAsia"/>
                      <w:color w:val="auto"/>
                      <w:highlight w:val="none"/>
                      <w:lang w:val="en-US" w:eastAsia="zh-CN"/>
                    </w:rPr>
                    <w:t>1</w:t>
                  </w:r>
                </w:p>
              </w:tc>
              <w:tc>
                <w:tcPr>
                  <w:tcW w:w="1918" w:type="pct"/>
                  <w:tcBorders>
                    <w:tl2br w:val="nil"/>
                    <w:tr2bl w:val="nil"/>
                  </w:tcBorders>
                  <w:shd w:val="clear" w:color="auto" w:fill="auto"/>
                  <w:vAlign w:val="center"/>
                </w:tcPr>
                <w:p w14:paraId="0812400B">
                  <w:pPr>
                    <w:pStyle w:val="40"/>
                    <w:bidi w:val="0"/>
                    <w:rPr>
                      <w:rFonts w:hint="eastAsia"/>
                      <w:color w:val="auto"/>
                      <w:spacing w:val="-6"/>
                      <w:sz w:val="21"/>
                      <w:highlight w:val="none"/>
                    </w:rPr>
                  </w:pPr>
                  <w:r>
                    <w:rPr>
                      <w:rFonts w:hint="eastAsia"/>
                      <w:color w:val="auto"/>
                      <w:spacing w:val="-6"/>
                      <w:sz w:val="21"/>
                      <w:highlight w:val="none"/>
                      <w:lang w:val="en-US" w:eastAsia="zh-CN"/>
                    </w:rPr>
                    <w:t>安装消声器，位于搅拌楼内</w:t>
                  </w:r>
                </w:p>
              </w:tc>
            </w:tr>
            <w:tr w14:paraId="192B1B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59" w:type="pct"/>
                  <w:vMerge w:val="continue"/>
                  <w:tcBorders>
                    <w:tl2br w:val="nil"/>
                    <w:tr2bl w:val="nil"/>
                  </w:tcBorders>
                  <w:shd w:val="clear" w:color="auto" w:fill="auto"/>
                  <w:vAlign w:val="center"/>
                </w:tcPr>
                <w:p w14:paraId="2B020602">
                  <w:pPr>
                    <w:pStyle w:val="40"/>
                    <w:bidi w:val="0"/>
                    <w:rPr>
                      <w:rFonts w:hint="eastAsia"/>
                      <w:color w:val="auto"/>
                      <w:highlight w:val="none"/>
                    </w:rPr>
                  </w:pPr>
                </w:p>
              </w:tc>
              <w:tc>
                <w:tcPr>
                  <w:tcW w:w="781" w:type="pct"/>
                  <w:vMerge w:val="restart"/>
                  <w:tcBorders>
                    <w:tl2br w:val="nil"/>
                    <w:tr2bl w:val="nil"/>
                  </w:tcBorders>
                  <w:shd w:val="clear" w:color="auto" w:fill="auto"/>
                  <w:vAlign w:val="center"/>
                </w:tcPr>
                <w:p w14:paraId="0D403156">
                  <w:pPr>
                    <w:pStyle w:val="40"/>
                    <w:bidi w:val="0"/>
                    <w:rPr>
                      <w:rFonts w:hint="eastAsia"/>
                      <w:color w:val="auto"/>
                      <w:highlight w:val="none"/>
                    </w:rPr>
                  </w:pPr>
                  <w:r>
                    <w:rPr>
                      <w:rFonts w:hint="eastAsia"/>
                      <w:color w:val="auto"/>
                      <w:highlight w:val="none"/>
                      <w:lang w:val="en-US" w:eastAsia="zh-CN"/>
                    </w:rPr>
                    <w:t>辅助系统</w:t>
                  </w:r>
                </w:p>
              </w:tc>
              <w:tc>
                <w:tcPr>
                  <w:tcW w:w="803" w:type="pct"/>
                  <w:tcBorders>
                    <w:tl2br w:val="nil"/>
                    <w:tr2bl w:val="nil"/>
                  </w:tcBorders>
                  <w:shd w:val="clear" w:color="auto" w:fill="auto"/>
                  <w:vAlign w:val="center"/>
                </w:tcPr>
                <w:p w14:paraId="29FB3FFD">
                  <w:pPr>
                    <w:pStyle w:val="40"/>
                    <w:bidi w:val="0"/>
                    <w:rPr>
                      <w:rFonts w:hint="eastAsia"/>
                      <w:color w:val="auto"/>
                      <w:highlight w:val="none"/>
                    </w:rPr>
                  </w:pPr>
                  <w:r>
                    <w:rPr>
                      <w:rFonts w:hint="eastAsia"/>
                      <w:color w:val="auto"/>
                      <w:highlight w:val="none"/>
                      <w:lang w:val="en-US" w:eastAsia="zh-CN"/>
                    </w:rPr>
                    <w:t>水泵</w:t>
                  </w:r>
                </w:p>
              </w:tc>
              <w:tc>
                <w:tcPr>
                  <w:tcW w:w="647" w:type="pct"/>
                  <w:tcBorders>
                    <w:tl2br w:val="nil"/>
                    <w:tr2bl w:val="nil"/>
                  </w:tcBorders>
                  <w:shd w:val="clear" w:color="auto" w:fill="auto"/>
                  <w:vAlign w:val="center"/>
                </w:tcPr>
                <w:p w14:paraId="4F716029">
                  <w:pPr>
                    <w:pStyle w:val="40"/>
                    <w:bidi w:val="0"/>
                    <w:rPr>
                      <w:rFonts w:hint="default"/>
                      <w:color w:val="auto"/>
                      <w:highlight w:val="none"/>
                    </w:rPr>
                  </w:pPr>
                  <w:r>
                    <w:rPr>
                      <w:rFonts w:hint="default"/>
                      <w:color w:val="auto"/>
                      <w:highlight w:val="none"/>
                      <w:lang w:val="en-US" w:eastAsia="zh-CN"/>
                    </w:rPr>
                    <w:t>85</w:t>
                  </w:r>
                </w:p>
              </w:tc>
              <w:tc>
                <w:tcPr>
                  <w:tcW w:w="589" w:type="pct"/>
                  <w:tcBorders>
                    <w:tl2br w:val="nil"/>
                    <w:tr2bl w:val="nil"/>
                  </w:tcBorders>
                  <w:shd w:val="clear" w:color="auto" w:fill="auto"/>
                  <w:vAlign w:val="center"/>
                </w:tcPr>
                <w:p w14:paraId="30CFA1A1">
                  <w:pPr>
                    <w:pStyle w:val="40"/>
                    <w:bidi w:val="0"/>
                    <w:rPr>
                      <w:rFonts w:hint="default"/>
                      <w:color w:val="auto"/>
                      <w:highlight w:val="none"/>
                    </w:rPr>
                  </w:pPr>
                  <w:r>
                    <w:rPr>
                      <w:rFonts w:hint="default"/>
                      <w:color w:val="auto"/>
                      <w:highlight w:val="none"/>
                      <w:lang w:val="en-US" w:eastAsia="zh-CN"/>
                    </w:rPr>
                    <w:t>2</w:t>
                  </w:r>
                </w:p>
              </w:tc>
              <w:tc>
                <w:tcPr>
                  <w:tcW w:w="1918" w:type="pct"/>
                  <w:tcBorders>
                    <w:tl2br w:val="nil"/>
                    <w:tr2bl w:val="nil"/>
                  </w:tcBorders>
                  <w:shd w:val="clear" w:color="auto" w:fill="auto"/>
                  <w:vAlign w:val="center"/>
                </w:tcPr>
                <w:p w14:paraId="6582EFDF">
                  <w:pPr>
                    <w:pStyle w:val="40"/>
                    <w:bidi w:val="0"/>
                    <w:rPr>
                      <w:rFonts w:hint="eastAsia"/>
                      <w:color w:val="auto"/>
                      <w:spacing w:val="-6"/>
                      <w:sz w:val="21"/>
                      <w:highlight w:val="none"/>
                    </w:rPr>
                  </w:pPr>
                  <w:r>
                    <w:rPr>
                      <w:rFonts w:hint="eastAsia"/>
                      <w:color w:val="auto"/>
                      <w:spacing w:val="-6"/>
                      <w:sz w:val="21"/>
                      <w:highlight w:val="none"/>
                      <w:lang w:val="en-US" w:eastAsia="zh-CN"/>
                    </w:rPr>
                    <w:t>选用低噪声水泵、基础减振</w:t>
                  </w:r>
                </w:p>
              </w:tc>
            </w:tr>
            <w:tr w14:paraId="391E31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59" w:type="pct"/>
                  <w:vMerge w:val="continue"/>
                  <w:tcBorders>
                    <w:tl2br w:val="nil"/>
                    <w:tr2bl w:val="nil"/>
                  </w:tcBorders>
                  <w:shd w:val="clear" w:color="auto" w:fill="auto"/>
                  <w:vAlign w:val="center"/>
                </w:tcPr>
                <w:p w14:paraId="2A26C524">
                  <w:pPr>
                    <w:pStyle w:val="40"/>
                    <w:bidi w:val="0"/>
                    <w:rPr>
                      <w:rFonts w:hint="eastAsia"/>
                      <w:color w:val="auto"/>
                      <w:highlight w:val="none"/>
                    </w:rPr>
                  </w:pPr>
                </w:p>
              </w:tc>
              <w:tc>
                <w:tcPr>
                  <w:tcW w:w="781" w:type="pct"/>
                  <w:vMerge w:val="continue"/>
                  <w:tcBorders>
                    <w:tl2br w:val="nil"/>
                    <w:tr2bl w:val="nil"/>
                  </w:tcBorders>
                  <w:shd w:val="clear" w:color="auto" w:fill="auto"/>
                  <w:vAlign w:val="center"/>
                </w:tcPr>
                <w:p w14:paraId="39438131">
                  <w:pPr>
                    <w:pStyle w:val="40"/>
                    <w:bidi w:val="0"/>
                    <w:rPr>
                      <w:rFonts w:hint="eastAsia"/>
                      <w:color w:val="auto"/>
                      <w:highlight w:val="none"/>
                    </w:rPr>
                  </w:pPr>
                </w:p>
              </w:tc>
              <w:tc>
                <w:tcPr>
                  <w:tcW w:w="803" w:type="pct"/>
                  <w:tcBorders>
                    <w:tl2br w:val="nil"/>
                    <w:tr2bl w:val="nil"/>
                  </w:tcBorders>
                  <w:shd w:val="clear" w:color="auto" w:fill="auto"/>
                  <w:vAlign w:val="center"/>
                </w:tcPr>
                <w:p w14:paraId="6C32CA6A">
                  <w:pPr>
                    <w:pStyle w:val="40"/>
                    <w:bidi w:val="0"/>
                    <w:rPr>
                      <w:rFonts w:hint="eastAsia"/>
                      <w:color w:val="auto"/>
                      <w:highlight w:val="none"/>
                    </w:rPr>
                  </w:pPr>
                  <w:r>
                    <w:rPr>
                      <w:rFonts w:hint="eastAsia"/>
                      <w:color w:val="auto"/>
                      <w:highlight w:val="none"/>
                      <w:lang w:val="en-US" w:eastAsia="zh-CN"/>
                    </w:rPr>
                    <w:t>空压机</w:t>
                  </w:r>
                </w:p>
              </w:tc>
              <w:tc>
                <w:tcPr>
                  <w:tcW w:w="647" w:type="pct"/>
                  <w:tcBorders>
                    <w:tl2br w:val="nil"/>
                    <w:tr2bl w:val="nil"/>
                  </w:tcBorders>
                  <w:shd w:val="clear" w:color="auto" w:fill="auto"/>
                  <w:vAlign w:val="center"/>
                </w:tcPr>
                <w:p w14:paraId="70145CC5">
                  <w:pPr>
                    <w:pStyle w:val="40"/>
                    <w:bidi w:val="0"/>
                    <w:rPr>
                      <w:rFonts w:hint="default"/>
                      <w:color w:val="auto"/>
                      <w:highlight w:val="none"/>
                    </w:rPr>
                  </w:pPr>
                  <w:r>
                    <w:rPr>
                      <w:rFonts w:hint="default"/>
                      <w:color w:val="auto"/>
                      <w:highlight w:val="none"/>
                      <w:lang w:val="en-US" w:eastAsia="zh-CN"/>
                    </w:rPr>
                    <w:t>80</w:t>
                  </w:r>
                </w:p>
              </w:tc>
              <w:tc>
                <w:tcPr>
                  <w:tcW w:w="589" w:type="pct"/>
                  <w:tcBorders>
                    <w:tl2br w:val="nil"/>
                    <w:tr2bl w:val="nil"/>
                  </w:tcBorders>
                  <w:shd w:val="clear" w:color="auto" w:fill="auto"/>
                  <w:vAlign w:val="center"/>
                </w:tcPr>
                <w:p w14:paraId="30A4C559">
                  <w:pPr>
                    <w:pStyle w:val="40"/>
                    <w:bidi w:val="0"/>
                    <w:rPr>
                      <w:rFonts w:hint="default"/>
                      <w:color w:val="auto"/>
                      <w:highlight w:val="none"/>
                    </w:rPr>
                  </w:pPr>
                  <w:r>
                    <w:rPr>
                      <w:rFonts w:hint="default"/>
                      <w:color w:val="auto"/>
                      <w:highlight w:val="none"/>
                      <w:lang w:val="en-US" w:eastAsia="zh-CN"/>
                    </w:rPr>
                    <w:t>1</w:t>
                  </w:r>
                </w:p>
              </w:tc>
              <w:tc>
                <w:tcPr>
                  <w:tcW w:w="1918" w:type="pct"/>
                  <w:tcBorders>
                    <w:tl2br w:val="nil"/>
                    <w:tr2bl w:val="nil"/>
                  </w:tcBorders>
                  <w:shd w:val="clear" w:color="auto" w:fill="auto"/>
                  <w:vAlign w:val="center"/>
                </w:tcPr>
                <w:p w14:paraId="5C5A036E">
                  <w:pPr>
                    <w:pStyle w:val="40"/>
                    <w:bidi w:val="0"/>
                    <w:rPr>
                      <w:rFonts w:hint="eastAsia"/>
                      <w:color w:val="auto"/>
                      <w:spacing w:val="-6"/>
                      <w:sz w:val="21"/>
                      <w:highlight w:val="none"/>
                    </w:rPr>
                  </w:pPr>
                  <w:r>
                    <w:rPr>
                      <w:rFonts w:hint="eastAsia"/>
                      <w:color w:val="auto"/>
                      <w:spacing w:val="-6"/>
                      <w:sz w:val="21"/>
                      <w:highlight w:val="none"/>
                      <w:lang w:val="en-US" w:eastAsia="zh-CN"/>
                    </w:rPr>
                    <w:t>位于搅拌楼内</w:t>
                  </w:r>
                </w:p>
              </w:tc>
            </w:tr>
            <w:tr w14:paraId="2CA0FF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259" w:type="pct"/>
                  <w:vMerge w:val="restart"/>
                  <w:tcBorders>
                    <w:tl2br w:val="nil"/>
                    <w:tr2bl w:val="nil"/>
                  </w:tcBorders>
                  <w:shd w:val="clear" w:color="auto" w:fill="auto"/>
                  <w:vAlign w:val="center"/>
                </w:tcPr>
                <w:p w14:paraId="36BCAD42">
                  <w:pPr>
                    <w:pStyle w:val="40"/>
                    <w:bidi w:val="0"/>
                    <w:rPr>
                      <w:rFonts w:hint="eastAsia"/>
                      <w:color w:val="auto"/>
                      <w:highlight w:val="none"/>
                    </w:rPr>
                  </w:pPr>
                  <w:r>
                    <w:rPr>
                      <w:rFonts w:hint="eastAsia"/>
                      <w:color w:val="auto"/>
                      <w:highlight w:val="none"/>
                      <w:lang w:val="en-US" w:eastAsia="zh-CN"/>
                    </w:rPr>
                    <w:t>锅炉</w:t>
                  </w:r>
                </w:p>
              </w:tc>
              <w:tc>
                <w:tcPr>
                  <w:tcW w:w="1584" w:type="pct"/>
                  <w:gridSpan w:val="2"/>
                  <w:tcBorders>
                    <w:tl2br w:val="nil"/>
                    <w:tr2bl w:val="nil"/>
                  </w:tcBorders>
                  <w:shd w:val="clear" w:color="auto" w:fill="auto"/>
                  <w:vAlign w:val="center"/>
                </w:tcPr>
                <w:p w14:paraId="4EAEED55">
                  <w:pPr>
                    <w:pStyle w:val="40"/>
                    <w:bidi w:val="0"/>
                    <w:rPr>
                      <w:rFonts w:hint="eastAsia"/>
                      <w:color w:val="auto"/>
                      <w:highlight w:val="none"/>
                    </w:rPr>
                  </w:pPr>
                  <w:r>
                    <w:rPr>
                      <w:rFonts w:hint="eastAsia"/>
                      <w:color w:val="auto"/>
                      <w:highlight w:val="none"/>
                      <w:lang w:val="en-US" w:eastAsia="zh-CN"/>
                    </w:rPr>
                    <w:t>锅炉给水泵</w:t>
                  </w:r>
                </w:p>
              </w:tc>
              <w:tc>
                <w:tcPr>
                  <w:tcW w:w="647" w:type="pct"/>
                  <w:tcBorders>
                    <w:tl2br w:val="nil"/>
                    <w:tr2bl w:val="nil"/>
                  </w:tcBorders>
                  <w:shd w:val="clear" w:color="auto" w:fill="auto"/>
                  <w:vAlign w:val="center"/>
                </w:tcPr>
                <w:p w14:paraId="367CB1A2">
                  <w:pPr>
                    <w:pStyle w:val="40"/>
                    <w:bidi w:val="0"/>
                    <w:rPr>
                      <w:rFonts w:hint="default"/>
                      <w:color w:val="auto"/>
                      <w:highlight w:val="none"/>
                    </w:rPr>
                  </w:pPr>
                  <w:r>
                    <w:rPr>
                      <w:rFonts w:hint="default"/>
                      <w:color w:val="auto"/>
                      <w:highlight w:val="none"/>
                      <w:lang w:val="en-US" w:eastAsia="zh-CN"/>
                    </w:rPr>
                    <w:t>80</w:t>
                  </w:r>
                </w:p>
              </w:tc>
              <w:tc>
                <w:tcPr>
                  <w:tcW w:w="589" w:type="pct"/>
                  <w:tcBorders>
                    <w:tl2br w:val="nil"/>
                    <w:tr2bl w:val="nil"/>
                  </w:tcBorders>
                  <w:shd w:val="clear" w:color="auto" w:fill="auto"/>
                  <w:vAlign w:val="center"/>
                </w:tcPr>
                <w:p w14:paraId="6418F677">
                  <w:pPr>
                    <w:pStyle w:val="40"/>
                    <w:bidi w:val="0"/>
                    <w:rPr>
                      <w:rFonts w:hint="default"/>
                      <w:color w:val="auto"/>
                      <w:highlight w:val="none"/>
                    </w:rPr>
                  </w:pPr>
                  <w:r>
                    <w:rPr>
                      <w:rFonts w:hint="default"/>
                      <w:color w:val="auto"/>
                      <w:highlight w:val="none"/>
                      <w:lang w:val="en-US" w:eastAsia="zh-CN"/>
                    </w:rPr>
                    <w:t>1</w:t>
                  </w:r>
                </w:p>
              </w:tc>
              <w:tc>
                <w:tcPr>
                  <w:tcW w:w="1918" w:type="pct"/>
                  <w:tcBorders>
                    <w:tl2br w:val="nil"/>
                    <w:tr2bl w:val="nil"/>
                  </w:tcBorders>
                  <w:shd w:val="clear" w:color="auto" w:fill="auto"/>
                  <w:vAlign w:val="center"/>
                </w:tcPr>
                <w:p w14:paraId="081FE143">
                  <w:pPr>
                    <w:pStyle w:val="40"/>
                    <w:bidi w:val="0"/>
                    <w:rPr>
                      <w:rFonts w:hint="eastAsia"/>
                      <w:color w:val="auto"/>
                      <w:spacing w:val="-6"/>
                      <w:sz w:val="21"/>
                      <w:highlight w:val="none"/>
                    </w:rPr>
                  </w:pPr>
                  <w:r>
                    <w:rPr>
                      <w:rFonts w:hint="eastAsia"/>
                      <w:color w:val="auto"/>
                      <w:spacing w:val="-6"/>
                      <w:sz w:val="21"/>
                      <w:highlight w:val="none"/>
                      <w:lang w:val="en-US" w:eastAsia="zh-CN"/>
                    </w:rPr>
                    <w:t>置于厂房，减震隔声</w:t>
                  </w:r>
                </w:p>
              </w:tc>
            </w:tr>
            <w:tr w14:paraId="21E1F5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59" w:type="pct"/>
                  <w:vMerge w:val="continue"/>
                  <w:tcBorders>
                    <w:tl2br w:val="nil"/>
                    <w:tr2bl w:val="nil"/>
                  </w:tcBorders>
                  <w:shd w:val="clear" w:color="auto" w:fill="auto"/>
                  <w:vAlign w:val="center"/>
                </w:tcPr>
                <w:p w14:paraId="15367E66">
                  <w:pPr>
                    <w:pStyle w:val="40"/>
                    <w:bidi w:val="0"/>
                    <w:rPr>
                      <w:rFonts w:hint="eastAsia"/>
                      <w:color w:val="auto"/>
                      <w:highlight w:val="none"/>
                    </w:rPr>
                  </w:pPr>
                </w:p>
              </w:tc>
              <w:tc>
                <w:tcPr>
                  <w:tcW w:w="1584" w:type="pct"/>
                  <w:gridSpan w:val="2"/>
                  <w:tcBorders>
                    <w:tl2br w:val="nil"/>
                    <w:tr2bl w:val="nil"/>
                  </w:tcBorders>
                  <w:shd w:val="clear" w:color="auto" w:fill="auto"/>
                  <w:vAlign w:val="center"/>
                </w:tcPr>
                <w:p w14:paraId="4651F2A4">
                  <w:pPr>
                    <w:pStyle w:val="40"/>
                    <w:bidi w:val="0"/>
                    <w:rPr>
                      <w:rFonts w:hint="eastAsia"/>
                      <w:color w:val="auto"/>
                      <w:highlight w:val="none"/>
                    </w:rPr>
                  </w:pPr>
                  <w:r>
                    <w:rPr>
                      <w:rFonts w:hint="eastAsia"/>
                      <w:color w:val="auto"/>
                      <w:highlight w:val="none"/>
                      <w:lang w:val="en-US" w:eastAsia="zh-CN"/>
                    </w:rPr>
                    <w:t>锅炉</w:t>
                  </w:r>
                </w:p>
              </w:tc>
              <w:tc>
                <w:tcPr>
                  <w:tcW w:w="647" w:type="pct"/>
                  <w:tcBorders>
                    <w:tl2br w:val="nil"/>
                    <w:tr2bl w:val="nil"/>
                  </w:tcBorders>
                  <w:shd w:val="clear" w:color="auto" w:fill="auto"/>
                  <w:vAlign w:val="center"/>
                </w:tcPr>
                <w:p w14:paraId="0B1F84C5">
                  <w:pPr>
                    <w:pStyle w:val="40"/>
                    <w:bidi w:val="0"/>
                    <w:rPr>
                      <w:rFonts w:hint="default"/>
                      <w:color w:val="auto"/>
                      <w:highlight w:val="none"/>
                    </w:rPr>
                  </w:pPr>
                  <w:r>
                    <w:rPr>
                      <w:rFonts w:hint="default"/>
                      <w:color w:val="auto"/>
                      <w:highlight w:val="none"/>
                      <w:lang w:val="en-US" w:eastAsia="zh-CN"/>
                    </w:rPr>
                    <w:t>80</w:t>
                  </w:r>
                </w:p>
              </w:tc>
              <w:tc>
                <w:tcPr>
                  <w:tcW w:w="589" w:type="pct"/>
                  <w:tcBorders>
                    <w:tl2br w:val="nil"/>
                    <w:tr2bl w:val="nil"/>
                  </w:tcBorders>
                  <w:shd w:val="clear" w:color="auto" w:fill="auto"/>
                  <w:vAlign w:val="center"/>
                </w:tcPr>
                <w:p w14:paraId="5051D140">
                  <w:pPr>
                    <w:pStyle w:val="40"/>
                    <w:bidi w:val="0"/>
                    <w:rPr>
                      <w:rFonts w:hint="default"/>
                      <w:color w:val="auto"/>
                      <w:highlight w:val="none"/>
                    </w:rPr>
                  </w:pPr>
                  <w:r>
                    <w:rPr>
                      <w:rFonts w:hint="default"/>
                      <w:color w:val="auto"/>
                      <w:highlight w:val="none"/>
                      <w:lang w:val="en-US" w:eastAsia="zh-CN"/>
                    </w:rPr>
                    <w:t>1</w:t>
                  </w:r>
                </w:p>
              </w:tc>
              <w:tc>
                <w:tcPr>
                  <w:tcW w:w="1918" w:type="pct"/>
                  <w:tcBorders>
                    <w:tl2br w:val="nil"/>
                    <w:tr2bl w:val="nil"/>
                  </w:tcBorders>
                  <w:shd w:val="clear" w:color="auto" w:fill="auto"/>
                  <w:vAlign w:val="center"/>
                </w:tcPr>
                <w:p w14:paraId="22CD2F9E">
                  <w:pPr>
                    <w:pStyle w:val="40"/>
                    <w:bidi w:val="0"/>
                    <w:rPr>
                      <w:rFonts w:hint="eastAsia"/>
                      <w:color w:val="auto"/>
                      <w:spacing w:val="-6"/>
                      <w:sz w:val="21"/>
                      <w:highlight w:val="none"/>
                    </w:rPr>
                  </w:pPr>
                  <w:r>
                    <w:rPr>
                      <w:rFonts w:hint="eastAsia"/>
                      <w:color w:val="auto"/>
                      <w:spacing w:val="-6"/>
                      <w:sz w:val="21"/>
                      <w:highlight w:val="none"/>
                      <w:lang w:val="en-US" w:eastAsia="zh-CN"/>
                    </w:rPr>
                    <w:t>厂房隔声</w:t>
                  </w:r>
                </w:p>
              </w:tc>
            </w:tr>
            <w:tr w14:paraId="5BC83C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59" w:type="pct"/>
                  <w:vMerge w:val="continue"/>
                  <w:tcBorders>
                    <w:tl2br w:val="nil"/>
                    <w:tr2bl w:val="nil"/>
                  </w:tcBorders>
                  <w:shd w:val="clear" w:color="auto" w:fill="auto"/>
                  <w:vAlign w:val="center"/>
                </w:tcPr>
                <w:p w14:paraId="4BF2269F">
                  <w:pPr>
                    <w:pStyle w:val="40"/>
                    <w:bidi w:val="0"/>
                    <w:rPr>
                      <w:rFonts w:hint="eastAsia"/>
                      <w:color w:val="auto"/>
                      <w:highlight w:val="none"/>
                    </w:rPr>
                  </w:pPr>
                </w:p>
              </w:tc>
              <w:tc>
                <w:tcPr>
                  <w:tcW w:w="1584" w:type="pct"/>
                  <w:gridSpan w:val="2"/>
                  <w:tcBorders>
                    <w:tl2br w:val="nil"/>
                    <w:tr2bl w:val="nil"/>
                  </w:tcBorders>
                  <w:shd w:val="clear" w:color="auto" w:fill="auto"/>
                  <w:vAlign w:val="center"/>
                </w:tcPr>
                <w:p w14:paraId="1B65D441">
                  <w:pPr>
                    <w:pStyle w:val="40"/>
                    <w:bidi w:val="0"/>
                    <w:rPr>
                      <w:rFonts w:hint="eastAsia"/>
                      <w:color w:val="auto"/>
                      <w:highlight w:val="none"/>
                    </w:rPr>
                  </w:pPr>
                  <w:r>
                    <w:rPr>
                      <w:rFonts w:hint="eastAsia"/>
                      <w:color w:val="auto"/>
                      <w:highlight w:val="none"/>
                      <w:lang w:val="en-US" w:eastAsia="zh-CN"/>
                    </w:rPr>
                    <w:t>鼓风机</w:t>
                  </w:r>
                </w:p>
              </w:tc>
              <w:tc>
                <w:tcPr>
                  <w:tcW w:w="647" w:type="pct"/>
                  <w:tcBorders>
                    <w:tl2br w:val="nil"/>
                    <w:tr2bl w:val="nil"/>
                  </w:tcBorders>
                  <w:shd w:val="clear" w:color="auto" w:fill="auto"/>
                  <w:vAlign w:val="center"/>
                </w:tcPr>
                <w:p w14:paraId="6DDB87B0">
                  <w:pPr>
                    <w:pStyle w:val="40"/>
                    <w:bidi w:val="0"/>
                    <w:rPr>
                      <w:rFonts w:hint="default"/>
                      <w:color w:val="auto"/>
                      <w:highlight w:val="none"/>
                    </w:rPr>
                  </w:pPr>
                  <w:r>
                    <w:rPr>
                      <w:rFonts w:hint="default"/>
                      <w:color w:val="auto"/>
                      <w:highlight w:val="none"/>
                      <w:lang w:val="en-US" w:eastAsia="zh-CN"/>
                    </w:rPr>
                    <w:t>85</w:t>
                  </w:r>
                </w:p>
              </w:tc>
              <w:tc>
                <w:tcPr>
                  <w:tcW w:w="589" w:type="pct"/>
                  <w:tcBorders>
                    <w:tl2br w:val="nil"/>
                    <w:tr2bl w:val="nil"/>
                  </w:tcBorders>
                  <w:shd w:val="clear" w:color="auto" w:fill="auto"/>
                  <w:vAlign w:val="center"/>
                </w:tcPr>
                <w:p w14:paraId="283FE3AD">
                  <w:pPr>
                    <w:pStyle w:val="40"/>
                    <w:bidi w:val="0"/>
                    <w:rPr>
                      <w:rFonts w:hint="default"/>
                      <w:color w:val="auto"/>
                      <w:highlight w:val="none"/>
                    </w:rPr>
                  </w:pPr>
                  <w:r>
                    <w:rPr>
                      <w:rFonts w:hint="default"/>
                      <w:color w:val="auto"/>
                      <w:highlight w:val="none"/>
                      <w:lang w:val="en-US" w:eastAsia="zh-CN"/>
                    </w:rPr>
                    <w:t>1</w:t>
                  </w:r>
                </w:p>
              </w:tc>
              <w:tc>
                <w:tcPr>
                  <w:tcW w:w="1918" w:type="pct"/>
                  <w:tcBorders>
                    <w:tl2br w:val="nil"/>
                    <w:tr2bl w:val="nil"/>
                  </w:tcBorders>
                  <w:shd w:val="clear" w:color="auto" w:fill="auto"/>
                  <w:vAlign w:val="center"/>
                </w:tcPr>
                <w:p w14:paraId="7C85AA48">
                  <w:pPr>
                    <w:pStyle w:val="40"/>
                    <w:bidi w:val="0"/>
                    <w:rPr>
                      <w:rFonts w:hint="eastAsia"/>
                      <w:color w:val="auto"/>
                      <w:spacing w:val="-6"/>
                      <w:sz w:val="21"/>
                      <w:highlight w:val="none"/>
                    </w:rPr>
                  </w:pPr>
                  <w:r>
                    <w:rPr>
                      <w:rFonts w:hint="eastAsia"/>
                      <w:color w:val="auto"/>
                      <w:spacing w:val="-6"/>
                      <w:sz w:val="21"/>
                      <w:highlight w:val="none"/>
                      <w:lang w:val="en-US" w:eastAsia="zh-CN"/>
                    </w:rPr>
                    <w:t>安装消声器</w:t>
                  </w:r>
                </w:p>
              </w:tc>
            </w:tr>
            <w:tr w14:paraId="3D32AB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59" w:type="pct"/>
                  <w:vMerge w:val="continue"/>
                  <w:tcBorders>
                    <w:tl2br w:val="nil"/>
                    <w:tr2bl w:val="nil"/>
                  </w:tcBorders>
                  <w:shd w:val="clear" w:color="auto" w:fill="auto"/>
                  <w:vAlign w:val="center"/>
                </w:tcPr>
                <w:p w14:paraId="55195C2D">
                  <w:pPr>
                    <w:pStyle w:val="40"/>
                    <w:bidi w:val="0"/>
                    <w:rPr>
                      <w:rFonts w:hint="eastAsia"/>
                      <w:color w:val="auto"/>
                      <w:highlight w:val="none"/>
                    </w:rPr>
                  </w:pPr>
                </w:p>
              </w:tc>
              <w:tc>
                <w:tcPr>
                  <w:tcW w:w="1584" w:type="pct"/>
                  <w:gridSpan w:val="2"/>
                  <w:tcBorders>
                    <w:tl2br w:val="nil"/>
                    <w:tr2bl w:val="nil"/>
                  </w:tcBorders>
                  <w:shd w:val="clear" w:color="auto" w:fill="auto"/>
                  <w:vAlign w:val="center"/>
                </w:tcPr>
                <w:p w14:paraId="03DBD75A">
                  <w:pPr>
                    <w:pStyle w:val="40"/>
                    <w:bidi w:val="0"/>
                    <w:rPr>
                      <w:rFonts w:hint="eastAsia"/>
                      <w:color w:val="auto"/>
                      <w:highlight w:val="none"/>
                    </w:rPr>
                  </w:pPr>
                  <w:r>
                    <w:rPr>
                      <w:rFonts w:hint="eastAsia"/>
                      <w:color w:val="auto"/>
                      <w:highlight w:val="none"/>
                      <w:lang w:val="en-US" w:eastAsia="zh-CN"/>
                    </w:rPr>
                    <w:t>引风机</w:t>
                  </w:r>
                </w:p>
              </w:tc>
              <w:tc>
                <w:tcPr>
                  <w:tcW w:w="647" w:type="pct"/>
                  <w:tcBorders>
                    <w:tl2br w:val="nil"/>
                    <w:tr2bl w:val="nil"/>
                  </w:tcBorders>
                  <w:shd w:val="clear" w:color="auto" w:fill="auto"/>
                  <w:vAlign w:val="center"/>
                </w:tcPr>
                <w:p w14:paraId="75295B33">
                  <w:pPr>
                    <w:pStyle w:val="40"/>
                    <w:bidi w:val="0"/>
                    <w:rPr>
                      <w:rFonts w:hint="default"/>
                      <w:color w:val="auto"/>
                      <w:highlight w:val="none"/>
                    </w:rPr>
                  </w:pPr>
                  <w:r>
                    <w:rPr>
                      <w:rFonts w:hint="default"/>
                      <w:color w:val="auto"/>
                      <w:highlight w:val="none"/>
                      <w:lang w:val="en-US" w:eastAsia="zh-CN"/>
                    </w:rPr>
                    <w:t>85</w:t>
                  </w:r>
                </w:p>
              </w:tc>
              <w:tc>
                <w:tcPr>
                  <w:tcW w:w="589" w:type="pct"/>
                  <w:tcBorders>
                    <w:tl2br w:val="nil"/>
                    <w:tr2bl w:val="nil"/>
                  </w:tcBorders>
                  <w:shd w:val="clear" w:color="auto" w:fill="auto"/>
                  <w:vAlign w:val="center"/>
                </w:tcPr>
                <w:p w14:paraId="020C14AB">
                  <w:pPr>
                    <w:pStyle w:val="40"/>
                    <w:bidi w:val="0"/>
                    <w:rPr>
                      <w:rFonts w:hint="default"/>
                      <w:color w:val="auto"/>
                      <w:highlight w:val="none"/>
                    </w:rPr>
                  </w:pPr>
                  <w:r>
                    <w:rPr>
                      <w:rFonts w:hint="default"/>
                      <w:color w:val="auto"/>
                      <w:highlight w:val="none"/>
                      <w:lang w:val="en-US" w:eastAsia="zh-CN"/>
                    </w:rPr>
                    <w:t>1</w:t>
                  </w:r>
                </w:p>
              </w:tc>
              <w:tc>
                <w:tcPr>
                  <w:tcW w:w="1918" w:type="pct"/>
                  <w:tcBorders>
                    <w:tl2br w:val="nil"/>
                    <w:tr2bl w:val="nil"/>
                  </w:tcBorders>
                  <w:shd w:val="clear" w:color="auto" w:fill="auto"/>
                  <w:vAlign w:val="center"/>
                </w:tcPr>
                <w:p w14:paraId="0FA3793A">
                  <w:pPr>
                    <w:pStyle w:val="40"/>
                    <w:bidi w:val="0"/>
                    <w:rPr>
                      <w:rFonts w:hint="eastAsia"/>
                      <w:color w:val="auto"/>
                      <w:spacing w:val="-6"/>
                      <w:sz w:val="21"/>
                      <w:highlight w:val="none"/>
                    </w:rPr>
                  </w:pPr>
                  <w:r>
                    <w:rPr>
                      <w:rFonts w:hint="eastAsia"/>
                      <w:color w:val="auto"/>
                      <w:spacing w:val="-6"/>
                      <w:sz w:val="21"/>
                      <w:highlight w:val="none"/>
                      <w:lang w:val="en-US" w:eastAsia="zh-CN"/>
                    </w:rPr>
                    <w:t>隔声罩，置于室内</w:t>
                  </w:r>
                </w:p>
              </w:tc>
            </w:tr>
            <w:tr w14:paraId="116732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844" w:type="pct"/>
                  <w:gridSpan w:val="3"/>
                  <w:tcBorders>
                    <w:tl2br w:val="nil"/>
                    <w:tr2bl w:val="nil"/>
                  </w:tcBorders>
                  <w:shd w:val="clear" w:color="auto" w:fill="auto"/>
                  <w:vAlign w:val="center"/>
                </w:tcPr>
                <w:p w14:paraId="691A70E1">
                  <w:pPr>
                    <w:pStyle w:val="40"/>
                    <w:bidi w:val="0"/>
                    <w:rPr>
                      <w:rFonts w:hint="eastAsia"/>
                      <w:color w:val="auto"/>
                      <w:highlight w:val="none"/>
                    </w:rPr>
                  </w:pPr>
                  <w:r>
                    <w:rPr>
                      <w:rFonts w:hint="eastAsia"/>
                      <w:color w:val="auto"/>
                      <w:highlight w:val="none"/>
                      <w:lang w:val="en-US" w:eastAsia="zh-CN"/>
                    </w:rPr>
                    <w:t>运输车辆</w:t>
                  </w:r>
                </w:p>
              </w:tc>
              <w:tc>
                <w:tcPr>
                  <w:tcW w:w="647" w:type="pct"/>
                  <w:tcBorders>
                    <w:tl2br w:val="nil"/>
                    <w:tr2bl w:val="nil"/>
                  </w:tcBorders>
                  <w:shd w:val="clear" w:color="auto" w:fill="auto"/>
                  <w:vAlign w:val="center"/>
                </w:tcPr>
                <w:p w14:paraId="0F668496">
                  <w:pPr>
                    <w:pStyle w:val="40"/>
                    <w:bidi w:val="0"/>
                    <w:rPr>
                      <w:rFonts w:hint="default"/>
                      <w:color w:val="auto"/>
                      <w:highlight w:val="none"/>
                    </w:rPr>
                  </w:pPr>
                  <w:r>
                    <w:rPr>
                      <w:rFonts w:hint="default"/>
                      <w:color w:val="auto"/>
                      <w:highlight w:val="none"/>
                      <w:lang w:val="en-US" w:eastAsia="zh-CN"/>
                    </w:rPr>
                    <w:t>80</w:t>
                  </w:r>
                </w:p>
              </w:tc>
              <w:tc>
                <w:tcPr>
                  <w:tcW w:w="589" w:type="pct"/>
                  <w:tcBorders>
                    <w:tl2br w:val="nil"/>
                    <w:tr2bl w:val="nil"/>
                  </w:tcBorders>
                  <w:shd w:val="clear" w:color="auto" w:fill="auto"/>
                  <w:vAlign w:val="center"/>
                </w:tcPr>
                <w:p w14:paraId="4B0A4FFB">
                  <w:pPr>
                    <w:pStyle w:val="40"/>
                    <w:bidi w:val="0"/>
                    <w:rPr>
                      <w:rFonts w:hint="default"/>
                      <w:color w:val="auto"/>
                      <w:highlight w:val="none"/>
                    </w:rPr>
                  </w:pPr>
                  <w:r>
                    <w:rPr>
                      <w:rFonts w:hint="default"/>
                      <w:color w:val="auto"/>
                      <w:highlight w:val="none"/>
                      <w:lang w:val="en-US" w:eastAsia="zh-CN"/>
                    </w:rPr>
                    <w:t>/</w:t>
                  </w:r>
                </w:p>
              </w:tc>
              <w:tc>
                <w:tcPr>
                  <w:tcW w:w="1918" w:type="pct"/>
                  <w:tcBorders>
                    <w:tl2br w:val="nil"/>
                    <w:tr2bl w:val="nil"/>
                  </w:tcBorders>
                  <w:shd w:val="clear" w:color="auto" w:fill="auto"/>
                  <w:vAlign w:val="center"/>
                </w:tcPr>
                <w:p w14:paraId="6ACF3CA0">
                  <w:pPr>
                    <w:pStyle w:val="40"/>
                    <w:bidi w:val="0"/>
                    <w:rPr>
                      <w:rFonts w:hint="eastAsia"/>
                      <w:color w:val="auto"/>
                      <w:spacing w:val="-6"/>
                      <w:sz w:val="21"/>
                      <w:highlight w:val="none"/>
                    </w:rPr>
                  </w:pPr>
                  <w:r>
                    <w:rPr>
                      <w:rFonts w:hint="eastAsia"/>
                      <w:color w:val="auto"/>
                      <w:spacing w:val="-6"/>
                      <w:sz w:val="21"/>
                      <w:highlight w:val="none"/>
                      <w:lang w:val="en-US" w:eastAsia="zh-CN"/>
                    </w:rPr>
                    <w:t>降低车速、禁止鸣笛</w:t>
                  </w:r>
                </w:p>
              </w:tc>
            </w:tr>
          </w:tbl>
          <w:p w14:paraId="153AC019">
            <w:pPr>
              <w:pStyle w:val="41"/>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color w:val="auto"/>
                <w:highlight w:val="none"/>
              </w:rPr>
            </w:pPr>
            <w:r>
              <w:rPr>
                <w:rFonts w:hint="eastAsia"/>
                <w:color w:val="auto"/>
                <w:highlight w:val="none"/>
                <w:lang w:val="en-US" w:eastAsia="zh-CN"/>
              </w:rPr>
              <w:t>2、</w:t>
            </w:r>
            <w:r>
              <w:rPr>
                <w:color w:val="auto"/>
                <w:highlight w:val="none"/>
              </w:rPr>
              <w:t>噪声厂界达标分析</w:t>
            </w:r>
          </w:p>
          <w:p w14:paraId="3C68C15E">
            <w:pPr>
              <w:pStyle w:val="41"/>
              <w:bidi w:val="0"/>
              <w:rPr>
                <w:rFonts w:hint="eastAsia"/>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rPr>
              <w:t>噪声预测模式</w:t>
            </w:r>
          </w:p>
          <w:p w14:paraId="37804C36">
            <w:pPr>
              <w:bidi w:val="0"/>
              <w:rPr>
                <w:rFonts w:hint="eastAsia"/>
                <w:color w:val="auto"/>
                <w:highlight w:val="none"/>
              </w:rPr>
            </w:pPr>
            <w:r>
              <w:rPr>
                <w:color w:val="auto"/>
                <w:highlight w:val="none"/>
              </w:rPr>
              <w:t>按照《环境影响评价技术导则 声环境》（HJ</w:t>
            </w:r>
            <w:r>
              <w:rPr>
                <w:rFonts w:hint="eastAsia"/>
                <w:color w:val="auto"/>
                <w:highlight w:val="none"/>
                <w:lang w:val="en-US" w:eastAsia="zh-CN"/>
              </w:rPr>
              <w:t xml:space="preserve"> </w:t>
            </w:r>
            <w:r>
              <w:rPr>
                <w:color w:val="auto"/>
                <w:highlight w:val="none"/>
              </w:rPr>
              <w:t>2.4-20</w:t>
            </w:r>
            <w:r>
              <w:rPr>
                <w:rFonts w:hint="eastAsia"/>
                <w:color w:val="auto"/>
                <w:highlight w:val="none"/>
                <w:lang w:val="en-US" w:eastAsia="zh-CN"/>
              </w:rPr>
              <w:t>21</w:t>
            </w:r>
            <w:r>
              <w:rPr>
                <w:color w:val="auto"/>
                <w:highlight w:val="none"/>
              </w:rPr>
              <w:t>）中推荐的模式进行预测。</w:t>
            </w:r>
            <w:r>
              <w:rPr>
                <w:rFonts w:hint="eastAsia"/>
                <w:color w:val="auto"/>
                <w:highlight w:val="none"/>
              </w:rPr>
              <w:t>预测设备噪声到厂界</w:t>
            </w:r>
            <w:r>
              <w:rPr>
                <w:rFonts w:hint="eastAsia"/>
                <w:color w:val="auto"/>
                <w:highlight w:val="none"/>
                <w:lang w:eastAsia="zh-CN"/>
              </w:rPr>
              <w:t>贡献</w:t>
            </w:r>
            <w:r>
              <w:rPr>
                <w:rFonts w:hint="eastAsia"/>
                <w:color w:val="auto"/>
                <w:highlight w:val="none"/>
              </w:rPr>
              <w:t>值，并判断是否达标。</w:t>
            </w:r>
          </w:p>
          <w:p w14:paraId="333C73E1">
            <w:pPr>
              <w:bidi w:val="0"/>
              <w:rPr>
                <w:rFonts w:hint="default"/>
                <w:color w:val="auto"/>
                <w:highlight w:val="none"/>
                <w:lang w:val="en-US" w:eastAsia="zh-CN"/>
              </w:rPr>
            </w:pPr>
            <w:r>
              <w:rPr>
                <w:rFonts w:hint="eastAsia"/>
                <w:color w:val="auto"/>
                <w:highlight w:val="none"/>
              </w:rPr>
              <w:t>①</w:t>
            </w:r>
            <w:r>
              <w:rPr>
                <w:rFonts w:hint="eastAsia"/>
                <w:color w:val="auto"/>
                <w:highlight w:val="none"/>
                <w:lang w:eastAsia="zh-CN"/>
              </w:rPr>
              <w:t>室内声源靠近围栏处产生的倍频带声压级或</w:t>
            </w:r>
            <w:r>
              <w:rPr>
                <w:rFonts w:hint="eastAsia"/>
                <w:color w:val="auto"/>
                <w:highlight w:val="none"/>
                <w:lang w:val="en-US" w:eastAsia="zh-CN"/>
              </w:rPr>
              <w:t>A声级：</w:t>
            </w:r>
          </w:p>
          <w:p w14:paraId="00FD8CCD">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eastAsia="宋体"/>
                <w:color w:val="auto"/>
                <w:highlight w:val="none"/>
                <w:lang w:val="en-US" w:eastAsia="zh-CN"/>
              </w:rPr>
            </w:pPr>
            <m:oMathPara>
              <m:oMathParaPr>
                <m:jc m:val="center"/>
              </m:oMathParaPr>
              <m:oMath>
                <m:sSub>
                  <m:sSubPr>
                    <m:ctrlPr>
                      <w:rPr>
                        <w:rFonts w:ascii="Cambria Math" w:hAnsi="Cambria Math"/>
                        <w:i/>
                        <w:color w:val="auto"/>
                        <w:highlight w:val="none"/>
                        <w:lang w:val="en-US"/>
                      </w:rPr>
                    </m:ctrlPr>
                  </m:sSubPr>
                  <m:e>
                    <m:r>
                      <m:rPr/>
                      <w:rPr>
                        <w:rFonts w:hint="default" w:ascii="Cambria Math" w:hAnsi="Cambria Math"/>
                        <w:color w:val="auto"/>
                        <w:highlight w:val="none"/>
                        <w:lang w:val="en-US" w:eastAsia="zh-CN"/>
                      </w:rPr>
                      <m:t>L</m:t>
                    </m:r>
                    <m:ctrlPr>
                      <w:rPr>
                        <w:rFonts w:ascii="Cambria Math" w:hAnsi="Cambria Math"/>
                        <w:i/>
                        <w:color w:val="auto"/>
                        <w:highlight w:val="none"/>
                        <w:lang w:val="en-US"/>
                      </w:rPr>
                    </m:ctrlPr>
                  </m:e>
                  <m:sub>
                    <m:r>
                      <m:rPr/>
                      <w:rPr>
                        <w:rFonts w:hint="default" w:ascii="Cambria Math" w:hAnsi="Cambria Math"/>
                        <w:color w:val="auto"/>
                        <w:highlight w:val="none"/>
                        <w:lang w:val="en-US" w:eastAsia="zh-CN"/>
                      </w:rPr>
                      <m:t>p1</m:t>
                    </m:r>
                    <m:ctrlPr>
                      <w:rPr>
                        <w:rFonts w:ascii="Cambria Math" w:hAnsi="Cambria Math"/>
                        <w:i/>
                        <w:color w:val="auto"/>
                        <w:highlight w:val="none"/>
                        <w:lang w:val="en-US"/>
                      </w:rPr>
                    </m:ctrlPr>
                  </m:sub>
                </m:sSub>
                <m:r>
                  <m:rPr/>
                  <w:rPr>
                    <w:rFonts w:hint="default" w:ascii="Cambria Math" w:hAnsi="Cambria Math" w:cs="Cambria Math"/>
                    <w:color w:val="auto"/>
                    <w:highlight w:val="none"/>
                    <w:lang w:val="en-US"/>
                  </w:rPr>
                  <m:t>=</m:t>
                </m:r>
                <m:sSub>
                  <m:sSubPr>
                    <m:ctrlPr>
                      <w:rPr>
                        <w:rFonts w:hint="default" w:ascii="Cambria Math" w:hAnsi="Cambria Math" w:cs="Cambria Math"/>
                        <w:i/>
                        <w:color w:val="auto"/>
                        <w:highlight w:val="none"/>
                        <w:lang w:val="en-US"/>
                      </w:rPr>
                    </m:ctrlPr>
                  </m:sSubPr>
                  <m:e>
                    <m:r>
                      <m:rPr/>
                      <w:rPr>
                        <w:rFonts w:hint="default" w:ascii="Cambria Math" w:hAnsi="Cambria Math" w:cs="Cambria Math"/>
                        <w:color w:val="auto"/>
                        <w:highlight w:val="none"/>
                        <w:lang w:val="en-US" w:eastAsia="zh-CN"/>
                      </w:rPr>
                      <m:t>L</m:t>
                    </m:r>
                    <m:ctrlPr>
                      <w:rPr>
                        <w:rFonts w:hint="default" w:ascii="Cambria Math" w:hAnsi="Cambria Math" w:cs="Cambria Math"/>
                        <w:i/>
                        <w:color w:val="auto"/>
                        <w:highlight w:val="none"/>
                        <w:lang w:val="en-US"/>
                      </w:rPr>
                    </m:ctrlPr>
                  </m:e>
                  <m:sub>
                    <m:r>
                      <m:rPr/>
                      <w:rPr>
                        <w:rFonts w:hint="default" w:ascii="Cambria Math" w:hAnsi="Cambria Math" w:cs="Cambria Math"/>
                        <w:color w:val="auto"/>
                        <w:highlight w:val="none"/>
                        <w:lang w:val="en-US" w:eastAsia="zh-CN"/>
                      </w:rPr>
                      <m:t>w</m:t>
                    </m:r>
                    <m:ctrlPr>
                      <w:rPr>
                        <w:rFonts w:hint="default" w:ascii="Cambria Math" w:hAnsi="Cambria Math" w:cs="Cambria Math"/>
                        <w:i/>
                        <w:color w:val="auto"/>
                        <w:highlight w:val="none"/>
                        <w:lang w:val="en-US"/>
                      </w:rPr>
                    </m:ctrlPr>
                  </m:sub>
                </m:sSub>
                <m:r>
                  <m:rPr/>
                  <w:rPr>
                    <w:rFonts w:hint="default" w:ascii="Cambria Math" w:hAnsi="Cambria Math" w:cs="Cambria Math"/>
                    <w:color w:val="auto"/>
                    <w:highlight w:val="none"/>
                    <w:lang w:val="en-US"/>
                  </w:rPr>
                  <m:t>+</m:t>
                </m:r>
                <m:r>
                  <m:rPr/>
                  <w:rPr>
                    <w:rFonts w:hint="default" w:ascii="Cambria Math" w:hAnsi="Cambria Math" w:cs="Cambria Math"/>
                    <w:color w:val="auto"/>
                    <w:highlight w:val="none"/>
                    <w:lang w:val="en-US" w:eastAsia="zh-CN"/>
                  </w:rPr>
                  <m:t>10</m:t>
                </m:r>
                <m:func>
                  <m:funcPr>
                    <m:ctrlPr>
                      <w:rPr>
                        <w:rFonts w:hint="default" w:ascii="Cambria Math" w:hAnsi="Cambria Math" w:cs="Cambria Math"/>
                        <w:color w:val="auto"/>
                        <w:highlight w:val="none"/>
                        <w:lang w:val="en-US" w:eastAsia="zh-CN"/>
                      </w:rPr>
                    </m:ctrlPr>
                  </m:funcPr>
                  <m:fName>
                    <m:r>
                      <m:rPr>
                        <m:sty m:val="p"/>
                      </m:rPr>
                      <w:rPr>
                        <w:rFonts w:ascii="Cambria Math" w:hAnsi="Cambria Math" w:cs="Cambria Math"/>
                        <w:color w:val="auto"/>
                        <w:highlight w:val="none"/>
                        <w:lang w:val="en-US"/>
                      </w:rPr>
                      <m:t>lg</m:t>
                    </m:r>
                    <m:ctrlPr>
                      <w:rPr>
                        <w:rFonts w:hint="default" w:ascii="Cambria Math" w:hAnsi="Cambria Math" w:cs="Cambria Math"/>
                        <w:i/>
                        <w:color w:val="auto"/>
                        <w:highlight w:val="none"/>
                        <w:lang w:val="en-US" w:eastAsia="zh-CN"/>
                      </w:rPr>
                    </m:ctrlPr>
                  </m:fName>
                  <m:e>
                    <m:d>
                      <m:dPr>
                        <m:ctrlPr>
                          <w:rPr>
                            <w:rFonts w:hint="default" w:ascii="Cambria Math" w:hAnsi="Cambria Math" w:cs="Cambria Math"/>
                            <w:i/>
                            <w:color w:val="auto"/>
                            <w:highlight w:val="none"/>
                            <w:lang w:val="en-US" w:eastAsia="zh-CN"/>
                          </w:rPr>
                        </m:ctrlPr>
                      </m:dPr>
                      <m:e>
                        <m:f>
                          <m:fPr>
                            <m:ctrlPr>
                              <w:rPr>
                                <w:rFonts w:hint="default" w:ascii="Cambria Math" w:hAnsi="Cambria Math" w:cs="Cambria Math"/>
                                <w:i/>
                                <w:color w:val="auto"/>
                                <w:highlight w:val="none"/>
                                <w:lang w:val="en-US" w:eastAsia="zh-CN"/>
                              </w:rPr>
                            </m:ctrlPr>
                          </m:fPr>
                          <m:num>
                            <m:r>
                              <m:rPr/>
                              <w:rPr>
                                <w:rFonts w:hint="default" w:ascii="Cambria Math" w:hAnsi="Cambria Math" w:cs="Cambria Math"/>
                                <w:color w:val="auto"/>
                                <w:highlight w:val="none"/>
                                <w:lang w:val="en-US" w:eastAsia="zh-CN"/>
                              </w:rPr>
                              <m:t>Q</m:t>
                            </m:r>
                            <m:ctrlPr>
                              <w:rPr>
                                <w:rFonts w:hint="default" w:ascii="Cambria Math" w:hAnsi="Cambria Math" w:cs="Cambria Math"/>
                                <w:i/>
                                <w:color w:val="auto"/>
                                <w:highlight w:val="none"/>
                                <w:lang w:val="en-US" w:eastAsia="zh-CN"/>
                              </w:rPr>
                            </m:ctrlPr>
                          </m:num>
                          <m:den>
                            <m:sSup>
                              <m:sSupPr>
                                <m:ctrlPr>
                                  <w:rPr>
                                    <w:rFonts w:hint="default" w:ascii="Cambria Math" w:hAnsi="Cambria Math" w:cs="Cambria Math"/>
                                    <w:i/>
                                    <w:color w:val="auto"/>
                                    <w:highlight w:val="none"/>
                                    <w:lang w:val="en-US" w:eastAsia="zh-CN"/>
                                  </w:rPr>
                                </m:ctrlPr>
                              </m:sSupPr>
                              <m:e>
                                <m:r>
                                  <m:rPr/>
                                  <w:rPr>
                                    <w:rFonts w:hint="default" w:ascii="Cambria Math" w:hAnsi="Cambria Math" w:cs="Cambria Math"/>
                                    <w:color w:val="auto"/>
                                    <w:highlight w:val="none"/>
                                    <w:lang w:val="en-US" w:eastAsia="zh-CN"/>
                                  </w:rPr>
                                  <m:t>4</m:t>
                                </m:r>
                                <m:r>
                                  <m:rPr/>
                                  <w:rPr>
                                    <w:rFonts w:ascii="Cambria Math" w:hAnsi="Cambria Math" w:cs="Cambria Math"/>
                                    <w:color w:val="auto"/>
                                    <w:highlight w:val="none"/>
                                    <w:lang w:val="en-US"/>
                                  </w:rPr>
                                  <m:t>π</m:t>
                                </m:r>
                                <m:r>
                                  <m:rPr/>
                                  <w:rPr>
                                    <w:rFonts w:hint="default" w:ascii="Cambria Math" w:hAnsi="Cambria Math" w:cs="Cambria Math"/>
                                    <w:color w:val="auto"/>
                                    <w:highlight w:val="none"/>
                                    <w:lang w:val="en-US" w:eastAsia="zh-CN"/>
                                  </w:rPr>
                                  <m:t>r</m:t>
                                </m:r>
                                <m:ctrlPr>
                                  <w:rPr>
                                    <w:rFonts w:hint="default" w:ascii="Cambria Math" w:hAnsi="Cambria Math" w:cs="Cambria Math"/>
                                    <w:i/>
                                    <w:color w:val="auto"/>
                                    <w:highlight w:val="none"/>
                                    <w:lang w:val="en-US" w:eastAsia="zh-CN"/>
                                  </w:rPr>
                                </m:ctrlPr>
                              </m:e>
                              <m:sup>
                                <m:r>
                                  <m:rPr/>
                                  <w:rPr>
                                    <w:rFonts w:hint="default" w:ascii="Cambria Math" w:hAnsi="Cambria Math" w:cs="Cambria Math"/>
                                    <w:color w:val="auto"/>
                                    <w:highlight w:val="none"/>
                                    <w:lang w:val="en-US" w:eastAsia="zh-CN"/>
                                  </w:rPr>
                                  <m:t>2</m:t>
                                </m:r>
                                <m:ctrlPr>
                                  <w:rPr>
                                    <w:rFonts w:hint="default" w:ascii="Cambria Math" w:hAnsi="Cambria Math" w:cs="Cambria Math"/>
                                    <w:i/>
                                    <w:color w:val="auto"/>
                                    <w:highlight w:val="none"/>
                                    <w:lang w:val="en-US" w:eastAsia="zh-CN"/>
                                  </w:rPr>
                                </m:ctrlPr>
                              </m:sup>
                            </m:sSup>
                            <m:ctrlPr>
                              <w:rPr>
                                <w:rFonts w:hint="default" w:ascii="Cambria Math" w:hAnsi="Cambria Math" w:cs="Cambria Math"/>
                                <w:i/>
                                <w:color w:val="auto"/>
                                <w:highlight w:val="none"/>
                                <w:lang w:val="en-US" w:eastAsia="zh-CN"/>
                              </w:rPr>
                            </m:ctrlPr>
                          </m:den>
                        </m:f>
                        <m:r>
                          <m:rPr/>
                          <w:rPr>
                            <w:rFonts w:ascii="Cambria Math" w:hAnsi="Cambria Math" w:cs="Cambria Math"/>
                            <w:color w:val="auto"/>
                            <w:highlight w:val="none"/>
                            <w:lang w:val="en-US"/>
                          </w:rPr>
                          <m:t>+</m:t>
                        </m:r>
                        <m:f>
                          <m:fPr>
                            <m:ctrlPr>
                              <w:rPr>
                                <w:rFonts w:ascii="Cambria Math" w:hAnsi="Cambria Math" w:cs="Cambria Math"/>
                                <w:i/>
                                <w:color w:val="auto"/>
                                <w:highlight w:val="none"/>
                                <w:lang w:val="en-US"/>
                              </w:rPr>
                            </m:ctrlPr>
                          </m:fPr>
                          <m:num>
                            <m:r>
                              <m:rPr/>
                              <w:rPr>
                                <w:rFonts w:hint="default" w:ascii="Cambria Math" w:hAnsi="Cambria Math" w:cs="Cambria Math"/>
                                <w:color w:val="auto"/>
                                <w:highlight w:val="none"/>
                                <w:lang w:val="en-US" w:eastAsia="zh-CN"/>
                              </w:rPr>
                              <m:t>4</m:t>
                            </m:r>
                            <m:ctrlPr>
                              <w:rPr>
                                <w:rFonts w:ascii="Cambria Math" w:hAnsi="Cambria Math" w:cs="Cambria Math"/>
                                <w:i/>
                                <w:color w:val="auto"/>
                                <w:highlight w:val="none"/>
                                <w:lang w:val="en-US"/>
                              </w:rPr>
                            </m:ctrlPr>
                          </m:num>
                          <m:den>
                            <m:r>
                              <m:rPr/>
                              <w:rPr>
                                <w:rFonts w:hint="default" w:ascii="Cambria Math" w:hAnsi="Cambria Math" w:cs="Cambria Math"/>
                                <w:color w:val="auto"/>
                                <w:highlight w:val="none"/>
                                <w:lang w:val="en-US" w:eastAsia="zh-CN"/>
                              </w:rPr>
                              <m:t>R</m:t>
                            </m:r>
                            <m:ctrlPr>
                              <w:rPr>
                                <w:rFonts w:ascii="Cambria Math" w:hAnsi="Cambria Math" w:cs="Cambria Math"/>
                                <w:i/>
                                <w:color w:val="auto"/>
                                <w:highlight w:val="none"/>
                                <w:lang w:val="en-US"/>
                              </w:rPr>
                            </m:ctrlPr>
                          </m:den>
                        </m:f>
                        <m:ctrlPr>
                          <w:rPr>
                            <w:rFonts w:hint="default" w:ascii="Cambria Math" w:hAnsi="Cambria Math" w:cs="Cambria Math"/>
                            <w:i/>
                            <w:color w:val="auto"/>
                            <w:highlight w:val="none"/>
                            <w:lang w:val="en-US" w:eastAsia="zh-CN"/>
                          </w:rPr>
                        </m:ctrlPr>
                      </m:e>
                    </m:d>
                    <m:ctrlPr>
                      <w:rPr>
                        <w:rFonts w:hint="default" w:ascii="Cambria Math" w:hAnsi="Cambria Math" w:cs="Cambria Math"/>
                        <w:i/>
                        <w:color w:val="auto"/>
                        <w:highlight w:val="none"/>
                        <w:lang w:val="en-US" w:eastAsia="zh-CN"/>
                      </w:rPr>
                    </m:ctrlPr>
                  </m:e>
                </m:func>
              </m:oMath>
            </m:oMathPara>
          </w:p>
          <w:p w14:paraId="426E91D6">
            <w:pPr>
              <w:bidi w:val="0"/>
              <w:rPr>
                <w:rFonts w:hint="eastAsia"/>
                <w:color w:val="auto"/>
                <w:highlight w:val="none"/>
                <w:lang w:val="en-US" w:eastAsia="zh-CN"/>
              </w:rPr>
            </w:pPr>
            <w:r>
              <w:rPr>
                <w:rFonts w:hint="eastAsia"/>
                <w:color w:val="auto"/>
                <w:highlight w:val="none"/>
                <w:lang w:val="en-US" w:eastAsia="zh-CN"/>
              </w:rPr>
              <w:t>式中：</w:t>
            </w:r>
            <w:r>
              <w:rPr>
                <w:rFonts w:hint="eastAsia"/>
                <w:i/>
                <w:iCs/>
                <w:color w:val="auto"/>
                <w:highlight w:val="none"/>
                <w:lang w:val="en-US" w:eastAsia="zh-CN"/>
              </w:rPr>
              <w:t>L</w:t>
            </w:r>
            <w:r>
              <w:rPr>
                <w:rFonts w:hint="eastAsia"/>
                <w:i/>
                <w:iCs/>
                <w:color w:val="auto"/>
                <w:highlight w:val="none"/>
                <w:vertAlign w:val="subscript"/>
                <w:lang w:val="en-US" w:eastAsia="zh-CN"/>
              </w:rPr>
              <w:t>p</w:t>
            </w:r>
            <w:r>
              <w:rPr>
                <w:rFonts w:hint="eastAsia"/>
                <w:color w:val="auto"/>
                <w:highlight w:val="none"/>
                <w:vertAlign w:val="subscript"/>
                <w:lang w:val="en-US" w:eastAsia="zh-CN"/>
              </w:rPr>
              <w:t>1</w:t>
            </w:r>
            <w:r>
              <w:rPr>
                <w:rFonts w:hint="eastAsia"/>
                <w:color w:val="auto"/>
                <w:highlight w:val="none"/>
                <w:lang w:val="en-US" w:eastAsia="zh-CN"/>
              </w:rPr>
              <w:t>——靠近开口处（或窗户）室内某倍频带的声压级或A声级，dB；</w:t>
            </w:r>
          </w:p>
          <w:p w14:paraId="63880D85">
            <w:pPr>
              <w:bidi w:val="0"/>
              <w:ind w:firstLine="1200" w:firstLineChars="500"/>
              <w:rPr>
                <w:rFonts w:hint="eastAsia"/>
                <w:color w:val="auto"/>
                <w:highlight w:val="none"/>
                <w:lang w:val="en-US" w:eastAsia="zh-CN"/>
              </w:rPr>
            </w:pPr>
            <w:r>
              <w:rPr>
                <w:rFonts w:hint="eastAsia"/>
                <w:i/>
                <w:iCs/>
                <w:color w:val="auto"/>
                <w:highlight w:val="none"/>
                <w:lang w:val="en-US" w:eastAsia="zh-CN"/>
              </w:rPr>
              <w:t>L</w:t>
            </w:r>
            <w:r>
              <w:rPr>
                <w:rFonts w:hint="eastAsia"/>
                <w:i/>
                <w:iCs/>
                <w:color w:val="auto"/>
                <w:highlight w:val="none"/>
                <w:vertAlign w:val="subscript"/>
                <w:lang w:val="en-US" w:eastAsia="zh-CN"/>
              </w:rPr>
              <w:t>w</w:t>
            </w:r>
            <w:r>
              <w:rPr>
                <w:rFonts w:hint="eastAsia"/>
                <w:color w:val="auto"/>
                <w:highlight w:val="none"/>
                <w:vertAlign w:val="baseline"/>
                <w:lang w:val="en-US" w:eastAsia="zh-CN"/>
              </w:rPr>
              <w:t>——</w:t>
            </w:r>
            <w:r>
              <w:rPr>
                <w:rFonts w:hint="eastAsia"/>
                <w:color w:val="auto"/>
                <w:highlight w:val="none"/>
                <w:lang w:val="en-US" w:eastAsia="zh-CN"/>
              </w:rPr>
              <w:t>点声源声功率级（A计权或倍频带），dB；</w:t>
            </w:r>
          </w:p>
          <w:p w14:paraId="1B989D78">
            <w:pPr>
              <w:bidi w:val="0"/>
              <w:ind w:left="1920" w:leftChars="500" w:hanging="720" w:hangingChars="300"/>
              <w:rPr>
                <w:rFonts w:hint="eastAsia"/>
                <w:color w:val="auto"/>
                <w:highlight w:val="none"/>
                <w:lang w:val="en-US" w:eastAsia="zh-CN"/>
              </w:rPr>
            </w:pPr>
            <w:r>
              <w:rPr>
                <w:rFonts w:hint="eastAsia"/>
                <w:i/>
                <w:iCs/>
                <w:color w:val="auto"/>
                <w:highlight w:val="none"/>
                <w:lang w:val="en-US" w:eastAsia="zh-CN"/>
              </w:rPr>
              <w:t>Q</w:t>
            </w:r>
            <w:r>
              <w:rPr>
                <w:rFonts w:hint="eastAsia"/>
                <w:color w:val="auto"/>
                <w:highlight w:val="none"/>
                <w:lang w:val="en-US" w:eastAsia="zh-CN"/>
              </w:rPr>
              <w:t>——指向性因数；通常对无指向性声源，当声源放在房间中心时，</w:t>
            </w:r>
            <w:r>
              <w:rPr>
                <w:rFonts w:hint="eastAsia"/>
                <w:i/>
                <w:iCs/>
                <w:color w:val="auto"/>
                <w:highlight w:val="none"/>
                <w:lang w:val="en-US" w:eastAsia="zh-CN"/>
              </w:rPr>
              <w:t>Q</w:t>
            </w:r>
            <w:r>
              <w:rPr>
                <w:rFonts w:hint="eastAsia"/>
                <w:color w:val="auto"/>
                <w:highlight w:val="none"/>
                <w:lang w:val="en-US" w:eastAsia="zh-CN"/>
              </w:rPr>
              <w:t>=1；当放在一面墙的中心时，</w:t>
            </w:r>
            <w:r>
              <w:rPr>
                <w:rFonts w:hint="eastAsia"/>
                <w:i/>
                <w:iCs/>
                <w:color w:val="auto"/>
                <w:highlight w:val="none"/>
                <w:lang w:val="en-US" w:eastAsia="zh-CN"/>
              </w:rPr>
              <w:t>Q</w:t>
            </w:r>
            <w:r>
              <w:rPr>
                <w:rFonts w:hint="eastAsia"/>
                <w:color w:val="auto"/>
                <w:highlight w:val="none"/>
                <w:lang w:val="en-US" w:eastAsia="zh-CN"/>
              </w:rPr>
              <w:t>=2；当放在两面墙夹角处时，</w:t>
            </w:r>
            <w:r>
              <w:rPr>
                <w:rFonts w:hint="eastAsia"/>
                <w:i/>
                <w:iCs/>
                <w:color w:val="auto"/>
                <w:highlight w:val="none"/>
                <w:lang w:val="en-US" w:eastAsia="zh-CN"/>
              </w:rPr>
              <w:t>Q</w:t>
            </w:r>
            <w:r>
              <w:rPr>
                <w:rFonts w:hint="eastAsia"/>
                <w:color w:val="auto"/>
                <w:highlight w:val="none"/>
                <w:lang w:val="en-US" w:eastAsia="zh-CN"/>
              </w:rPr>
              <w:t>=4；当放在三面墙夹角处时，</w:t>
            </w:r>
            <w:r>
              <w:rPr>
                <w:rFonts w:hint="eastAsia"/>
                <w:i/>
                <w:iCs/>
                <w:color w:val="auto"/>
                <w:highlight w:val="none"/>
                <w:lang w:val="en-US" w:eastAsia="zh-CN"/>
              </w:rPr>
              <w:t>Q</w:t>
            </w:r>
            <w:r>
              <w:rPr>
                <w:rFonts w:hint="eastAsia"/>
                <w:color w:val="auto"/>
                <w:highlight w:val="none"/>
                <w:lang w:val="en-US" w:eastAsia="zh-CN"/>
              </w:rPr>
              <w:t>=8；</w:t>
            </w:r>
            <w:r>
              <w:rPr>
                <w:rFonts w:hint="eastAsia" w:ascii="Times New Roman" w:hAnsi="Times New Roman" w:eastAsia="宋体" w:cs="Times New Roman"/>
                <w:color w:val="auto"/>
                <w:sz w:val="24"/>
                <w:highlight w:val="none"/>
                <w:lang w:eastAsia="zh-CN"/>
              </w:rPr>
              <w:t>本次评价取值</w:t>
            </w:r>
            <w:r>
              <w:rPr>
                <w:rFonts w:hint="eastAsia" w:ascii="Times New Roman" w:hAnsi="Times New Roman" w:eastAsia="宋体" w:cs="Times New Roman"/>
                <w:color w:val="auto"/>
                <w:sz w:val="24"/>
                <w:highlight w:val="none"/>
                <w:lang w:val="en-US" w:eastAsia="zh-CN"/>
              </w:rPr>
              <w:t>Q=1；</w:t>
            </w:r>
          </w:p>
          <w:p w14:paraId="08D26E12">
            <w:pPr>
              <w:bidi w:val="0"/>
              <w:ind w:left="1920" w:leftChars="500" w:hanging="720" w:hangingChars="300"/>
              <w:rPr>
                <w:rFonts w:hint="eastAsia"/>
                <w:color w:val="auto"/>
                <w:highlight w:val="none"/>
                <w:lang w:val="en-US" w:eastAsia="zh-CN"/>
              </w:rPr>
            </w:pPr>
            <w:r>
              <w:rPr>
                <w:rFonts w:hint="eastAsia"/>
                <w:i/>
                <w:iCs/>
                <w:color w:val="auto"/>
                <w:highlight w:val="none"/>
                <w:lang w:val="en-US" w:eastAsia="zh-CN"/>
              </w:rPr>
              <w:t>R</w:t>
            </w:r>
            <w:r>
              <w:rPr>
                <w:rFonts w:hint="eastAsia"/>
                <w:color w:val="auto"/>
                <w:highlight w:val="none"/>
                <w:lang w:val="en-US" w:eastAsia="zh-CN"/>
              </w:rPr>
              <w:t>——房间常数；</w:t>
            </w:r>
            <m:oMath>
              <m:r>
                <m:rPr/>
                <w:rPr>
                  <w:rFonts w:hint="default" w:ascii="Cambria Math" w:hAnsi="Cambria Math" w:cs="Times New Roman"/>
                  <w:color w:val="auto"/>
                  <w:kern w:val="2"/>
                  <w:sz w:val="24"/>
                  <w:szCs w:val="24"/>
                  <w:highlight w:val="none"/>
                  <w:lang w:val="en-US" w:eastAsia="zh-CN" w:bidi="ar-SA"/>
                </w:rPr>
                <m:t>R=S</m:t>
              </m:r>
              <m:r>
                <m:rPr/>
                <w:rPr>
                  <w:rFonts w:hint="default" w:ascii="Cambria Math" w:hAnsi="Cambria Math" w:cs="Cambria Math"/>
                  <w:color w:val="auto"/>
                  <w:kern w:val="2"/>
                  <w:sz w:val="24"/>
                  <w:szCs w:val="24"/>
                  <w:highlight w:val="none"/>
                  <w:lang w:val="en-US" w:eastAsia="zh-CN" w:bidi="ar-SA"/>
                </w:rPr>
                <m:t>α/</m:t>
              </m:r>
              <m:d>
                <m:dPr>
                  <m:ctrlPr>
                    <w:rPr>
                      <w:rFonts w:hint="default" w:ascii="Cambria Math" w:hAnsi="Cambria Math" w:cs="Cambria Math"/>
                      <w:i/>
                      <w:iCs/>
                      <w:color w:val="auto"/>
                      <w:kern w:val="2"/>
                      <w:sz w:val="24"/>
                      <w:szCs w:val="24"/>
                      <w:highlight w:val="none"/>
                      <w:lang w:val="en-US" w:eastAsia="zh-CN" w:bidi="ar-SA"/>
                    </w:rPr>
                  </m:ctrlPr>
                </m:dPr>
                <m:e>
                  <m:r>
                    <m:rPr/>
                    <w:rPr>
                      <w:rFonts w:hint="default" w:ascii="Cambria Math" w:hAnsi="Cambria Math" w:cs="Cambria Math"/>
                      <w:color w:val="auto"/>
                      <w:kern w:val="2"/>
                      <w:sz w:val="24"/>
                      <w:szCs w:val="24"/>
                      <w:highlight w:val="none"/>
                      <w:lang w:val="en-US" w:eastAsia="zh-CN" w:bidi="ar-SA"/>
                    </w:rPr>
                    <m:t>1−</m:t>
                  </m:r>
                  <m:r>
                    <m:rPr/>
                    <w:rPr>
                      <w:rFonts w:hint="default" w:ascii="Cambria Math" w:hAnsi="Cambria Math" w:cs="Cambria Math"/>
                      <w:color w:val="auto"/>
                      <w:kern w:val="2"/>
                      <w:sz w:val="24"/>
                      <w:szCs w:val="24"/>
                      <w:highlight w:val="none"/>
                      <w:lang w:val="en-US" w:bidi="ar-SA"/>
                    </w:rPr>
                    <m:t>α</m:t>
                  </m:r>
                  <m:ctrlPr>
                    <w:rPr>
                      <w:rFonts w:hint="default" w:ascii="Cambria Math" w:hAnsi="Cambria Math" w:cs="Cambria Math"/>
                      <w:i/>
                      <w:iCs/>
                      <w:color w:val="auto"/>
                      <w:kern w:val="2"/>
                      <w:sz w:val="24"/>
                      <w:szCs w:val="24"/>
                      <w:highlight w:val="none"/>
                      <w:lang w:val="en-US" w:eastAsia="zh-CN" w:bidi="ar-SA"/>
                    </w:rPr>
                  </m:ctrlPr>
                </m:e>
              </m:d>
            </m:oMath>
            <w:r>
              <w:rPr>
                <w:rFonts w:hint="eastAsia"/>
                <w:color w:val="auto"/>
                <w:highlight w:val="none"/>
                <w:lang w:val="en-US" w:eastAsia="zh-CN"/>
              </w:rPr>
              <w:t>，</w:t>
            </w:r>
            <w:r>
              <w:rPr>
                <w:rFonts w:hint="eastAsia"/>
                <w:i/>
                <w:iCs/>
                <w:color w:val="auto"/>
                <w:highlight w:val="none"/>
                <w:lang w:val="en-US" w:eastAsia="zh-CN"/>
              </w:rPr>
              <w:t>S</w:t>
            </w:r>
            <w:r>
              <w:rPr>
                <w:rFonts w:hint="eastAsia"/>
                <w:color w:val="auto"/>
                <w:highlight w:val="none"/>
                <w:lang w:val="en-US" w:eastAsia="zh-CN"/>
              </w:rPr>
              <w:t>为房间内表面面积，m</w:t>
            </w:r>
            <w:r>
              <w:rPr>
                <w:rFonts w:hint="eastAsia"/>
                <w:color w:val="auto"/>
                <w:highlight w:val="none"/>
                <w:vertAlign w:val="superscript"/>
                <w:lang w:val="en-US" w:eastAsia="zh-CN"/>
              </w:rPr>
              <w:t>2</w:t>
            </w:r>
            <w:r>
              <w:rPr>
                <w:rFonts w:hint="eastAsia"/>
                <w:color w:val="auto"/>
                <w:highlight w:val="none"/>
                <w:lang w:val="en-US" w:eastAsia="zh-CN"/>
              </w:rPr>
              <w:t>；</w:t>
            </w:r>
            <w:r>
              <w:rPr>
                <w:rFonts w:hint="default" w:ascii="Times New Roman" w:hAnsi="Times New Roman" w:cs="Times New Roman"/>
                <w:i/>
                <w:iCs/>
                <w:color w:val="auto"/>
                <w:highlight w:val="none"/>
                <w:lang w:val="en-US" w:eastAsia="zh-CN"/>
              </w:rPr>
              <w:t>α</w:t>
            </w:r>
            <w:r>
              <w:rPr>
                <w:rFonts w:hint="eastAsia"/>
                <w:color w:val="auto"/>
                <w:highlight w:val="none"/>
                <w:lang w:val="en-US" w:eastAsia="zh-CN"/>
              </w:rPr>
              <w:t>为平均吸声系数；</w:t>
            </w:r>
          </w:p>
          <w:p w14:paraId="71B1150B">
            <w:pPr>
              <w:bidi w:val="0"/>
              <w:ind w:firstLine="1200" w:firstLineChars="500"/>
              <w:rPr>
                <w:rFonts w:hint="eastAsia"/>
                <w:color w:val="auto"/>
                <w:highlight w:val="none"/>
                <w:lang w:val="en-US" w:eastAsia="zh-CN"/>
              </w:rPr>
            </w:pPr>
            <w:r>
              <w:rPr>
                <w:rFonts w:hint="eastAsia"/>
                <w:i/>
                <w:iCs/>
                <w:color w:val="auto"/>
                <w:highlight w:val="none"/>
                <w:lang w:val="en-US" w:eastAsia="zh-CN"/>
              </w:rPr>
              <w:t>r</w:t>
            </w:r>
            <w:r>
              <w:rPr>
                <w:rFonts w:hint="eastAsia"/>
                <w:color w:val="auto"/>
                <w:highlight w:val="none"/>
                <w:lang w:val="en-US" w:eastAsia="zh-CN"/>
              </w:rPr>
              <w:t>——声源到靠近围护结构某点处的距离，m。</w:t>
            </w:r>
          </w:p>
          <w:p w14:paraId="6007E908">
            <w:pPr>
              <w:bidi w:val="0"/>
              <w:rPr>
                <w:rFonts w:hint="eastAsia"/>
                <w:color w:val="auto"/>
                <w:highlight w:val="none"/>
                <w:lang w:val="en-US" w:eastAsia="zh-CN"/>
              </w:rPr>
            </w:pPr>
            <w:r>
              <w:rPr>
                <w:rFonts w:hint="eastAsia"/>
                <w:color w:val="auto"/>
                <w:highlight w:val="none"/>
                <w:lang w:val="en-US" w:eastAsia="zh-CN"/>
              </w:rPr>
              <w:t>②计算出所有室内声源在围护结构处产生的</w:t>
            </w:r>
            <w:r>
              <w:rPr>
                <w:rFonts w:hint="eastAsia"/>
                <w:i/>
                <w:iCs/>
                <w:color w:val="auto"/>
                <w:highlight w:val="none"/>
                <w:lang w:val="en-US" w:eastAsia="zh-CN"/>
              </w:rPr>
              <w:t>i</w:t>
            </w:r>
            <w:r>
              <w:rPr>
                <w:rFonts w:hint="eastAsia"/>
                <w:color w:val="auto"/>
                <w:highlight w:val="none"/>
                <w:lang w:val="en-US" w:eastAsia="zh-CN"/>
              </w:rPr>
              <w:t>倍频带叠加声压级：</w:t>
            </w:r>
          </w:p>
          <w:p w14:paraId="02F6B33B">
            <w:pPr>
              <w:bidi w:val="0"/>
              <w:rPr>
                <w:rFonts w:hint="default" w:eastAsia="宋体"/>
                <w:color w:val="auto"/>
                <w:highlight w:val="none"/>
                <w:lang w:val="en-US" w:eastAsia="zh-CN"/>
              </w:rPr>
            </w:pPr>
            <m:oMathPara>
              <m:oMath>
                <m:sSub>
                  <m:sSubPr>
                    <m:ctrlPr>
                      <w:rPr>
                        <w:rFonts w:ascii="Cambria Math" w:hAnsi="Cambria Math"/>
                        <w:i/>
                        <w:color w:val="auto"/>
                        <w:highlight w:val="none"/>
                        <w:lang w:val="en-US"/>
                      </w:rPr>
                    </m:ctrlPr>
                  </m:sSubPr>
                  <m:e>
                    <m:r>
                      <m:rPr/>
                      <w:rPr>
                        <w:rFonts w:hint="default" w:ascii="Cambria Math" w:hAnsi="Cambria Math"/>
                        <w:color w:val="auto"/>
                        <w:highlight w:val="none"/>
                        <w:lang w:val="en-US" w:eastAsia="zh-CN"/>
                      </w:rPr>
                      <m:t>L</m:t>
                    </m:r>
                    <m:ctrlPr>
                      <w:rPr>
                        <w:rFonts w:ascii="Cambria Math" w:hAnsi="Cambria Math"/>
                        <w:i/>
                        <w:color w:val="auto"/>
                        <w:highlight w:val="none"/>
                        <w:lang w:val="en-US"/>
                      </w:rPr>
                    </m:ctrlPr>
                  </m:e>
                  <m:sub>
                    <m:r>
                      <m:rPr/>
                      <w:rPr>
                        <w:rFonts w:hint="default" w:ascii="Cambria Math" w:hAnsi="Cambria Math"/>
                        <w:color w:val="auto"/>
                        <w:highlight w:val="none"/>
                        <w:lang w:val="en-US" w:eastAsia="zh-CN"/>
                      </w:rPr>
                      <m:t>p1i</m:t>
                    </m:r>
                    <m:ctrlPr>
                      <w:rPr>
                        <w:rFonts w:ascii="Cambria Math" w:hAnsi="Cambria Math"/>
                        <w:i/>
                        <w:color w:val="auto"/>
                        <w:highlight w:val="none"/>
                        <w:lang w:val="en-US"/>
                      </w:rPr>
                    </m:ctrlPr>
                  </m:sub>
                </m:sSub>
                <m:d>
                  <m:dPr>
                    <m:ctrlPr>
                      <w:rPr>
                        <w:rFonts w:ascii="Cambria Math" w:hAnsi="Cambria Math"/>
                        <w:i/>
                        <w:color w:val="auto"/>
                        <w:highlight w:val="none"/>
                        <w:lang w:val="en-US"/>
                      </w:rPr>
                    </m:ctrlPr>
                  </m:dPr>
                  <m:e>
                    <m:r>
                      <m:rPr/>
                      <w:rPr>
                        <w:rFonts w:hint="default" w:ascii="Cambria Math" w:hAnsi="Cambria Math"/>
                        <w:color w:val="auto"/>
                        <w:highlight w:val="none"/>
                        <w:lang w:val="en-US" w:eastAsia="zh-CN"/>
                      </w:rPr>
                      <m:t>T</m:t>
                    </m:r>
                    <m:ctrlPr>
                      <w:rPr>
                        <w:rFonts w:ascii="Cambria Math" w:hAnsi="Cambria Math"/>
                        <w:i/>
                        <w:color w:val="auto"/>
                        <w:highlight w:val="none"/>
                        <w:lang w:val="en-US"/>
                      </w:rPr>
                    </m:ctrlPr>
                  </m:e>
                </m:d>
                <m:r>
                  <m:rPr/>
                  <w:rPr>
                    <w:rFonts w:hint="default" w:ascii="Cambria Math" w:hAnsi="Cambria Math" w:cs="Cambria Math"/>
                    <w:color w:val="auto"/>
                    <w:highlight w:val="none"/>
                    <w:lang w:val="en-US"/>
                  </w:rPr>
                  <m:t>=</m:t>
                </m:r>
                <m:r>
                  <m:rPr/>
                  <w:rPr>
                    <w:rFonts w:hint="default" w:ascii="Cambria Math" w:hAnsi="Cambria Math" w:cs="Cambria Math"/>
                    <w:color w:val="auto"/>
                    <w:highlight w:val="none"/>
                    <w:lang w:val="en-US" w:eastAsia="zh-CN"/>
                  </w:rPr>
                  <m:t>10</m:t>
                </m:r>
                <m:func>
                  <m:funcPr>
                    <m:ctrlPr>
                      <w:rPr>
                        <w:rFonts w:hint="default" w:ascii="Cambria Math" w:hAnsi="Cambria Math" w:cs="Cambria Math"/>
                        <w:color w:val="auto"/>
                        <w:highlight w:val="none"/>
                        <w:lang w:val="en-US" w:eastAsia="zh-CN"/>
                      </w:rPr>
                    </m:ctrlPr>
                  </m:funcPr>
                  <m:fName>
                    <m:r>
                      <m:rPr>
                        <m:sty m:val="p"/>
                      </m:rPr>
                      <w:rPr>
                        <w:rFonts w:ascii="Cambria Math" w:hAnsi="Cambria Math" w:cs="Cambria Math"/>
                        <w:color w:val="auto"/>
                        <w:highlight w:val="none"/>
                        <w:lang w:val="en-US"/>
                      </w:rPr>
                      <m:t>lg</m:t>
                    </m:r>
                    <m:ctrlPr>
                      <w:rPr>
                        <w:rFonts w:hint="default" w:ascii="Cambria Math" w:hAnsi="Cambria Math" w:cs="Cambria Math"/>
                        <w:i/>
                        <w:color w:val="auto"/>
                        <w:highlight w:val="none"/>
                        <w:lang w:val="en-US" w:eastAsia="zh-CN"/>
                      </w:rPr>
                    </m:ctrlPr>
                  </m:fName>
                  <m:e>
                    <m:d>
                      <m:dPr>
                        <m:ctrlPr>
                          <w:rPr>
                            <w:rFonts w:hint="default" w:ascii="Cambria Math" w:hAnsi="Cambria Math" w:cs="Cambria Math"/>
                            <w:i/>
                            <w:color w:val="auto"/>
                            <w:highlight w:val="none"/>
                            <w:lang w:val="en-US" w:eastAsia="zh-CN"/>
                          </w:rPr>
                        </m:ctrlPr>
                      </m:dPr>
                      <m:e>
                        <m:nary>
                          <m:naryPr>
                            <m:chr m:val="∑"/>
                            <m:limLoc m:val="undOvr"/>
                            <m:ctrlPr>
                              <w:rPr>
                                <w:rFonts w:hint="default" w:ascii="Cambria Math" w:hAnsi="Cambria Math" w:cs="Cambria Math"/>
                                <w:i/>
                                <w:color w:val="auto"/>
                                <w:highlight w:val="none"/>
                                <w:lang w:val="en-US" w:eastAsia="zh-CN"/>
                              </w:rPr>
                            </m:ctrlPr>
                          </m:naryPr>
                          <m:sub>
                            <m:r>
                              <m:rPr/>
                              <w:rPr>
                                <w:rFonts w:hint="default" w:ascii="Cambria Math" w:hAnsi="Cambria Math" w:cs="Cambria Math"/>
                                <w:color w:val="auto"/>
                                <w:highlight w:val="none"/>
                                <w:lang w:val="en-US" w:eastAsia="zh-CN"/>
                              </w:rPr>
                              <m:t>j</m:t>
                            </m:r>
                            <m:r>
                              <m:rPr/>
                              <w:rPr>
                                <w:rFonts w:ascii="Cambria Math" w:hAnsi="Cambria Math" w:cs="Cambria Math"/>
                                <w:color w:val="auto"/>
                                <w:highlight w:val="none"/>
                                <w:lang w:val="en-US"/>
                              </w:rPr>
                              <m:t>=</m:t>
                            </m:r>
                            <m:r>
                              <m:rPr/>
                              <w:rPr>
                                <w:rFonts w:hint="default" w:ascii="Cambria Math" w:hAnsi="Cambria Math" w:cs="Cambria Math"/>
                                <w:color w:val="auto"/>
                                <w:highlight w:val="none"/>
                                <w:lang w:val="en-US" w:eastAsia="zh-CN"/>
                              </w:rPr>
                              <m:t>1</m:t>
                            </m:r>
                            <m:ctrlPr>
                              <w:rPr>
                                <w:rFonts w:hint="default" w:ascii="Cambria Math" w:hAnsi="Cambria Math" w:cs="Cambria Math"/>
                                <w:i/>
                                <w:color w:val="auto"/>
                                <w:highlight w:val="none"/>
                                <w:lang w:val="en-US" w:eastAsia="zh-CN"/>
                              </w:rPr>
                            </m:ctrlPr>
                          </m:sub>
                          <m:sup>
                            <m:r>
                              <m:rPr/>
                              <w:rPr>
                                <w:rFonts w:hint="default" w:ascii="Cambria Math" w:hAnsi="Cambria Math" w:cs="Cambria Math"/>
                                <w:color w:val="auto"/>
                                <w:highlight w:val="none"/>
                                <w:lang w:val="en-US" w:eastAsia="zh-CN"/>
                              </w:rPr>
                              <m:t>N</m:t>
                            </m:r>
                            <m:ctrlPr>
                              <w:rPr>
                                <w:rFonts w:hint="default" w:ascii="Cambria Math" w:hAnsi="Cambria Math" w:cs="Cambria Math"/>
                                <w:i/>
                                <w:color w:val="auto"/>
                                <w:highlight w:val="none"/>
                                <w:lang w:val="en-US" w:eastAsia="zh-CN"/>
                              </w:rPr>
                            </m:ctrlPr>
                          </m:sup>
                          <m:e>
                            <m:sSup>
                              <m:sSupPr>
                                <m:ctrlPr>
                                  <w:rPr>
                                    <w:rFonts w:hint="default" w:ascii="Cambria Math" w:hAnsi="Cambria Math" w:cs="Cambria Math"/>
                                    <w:i/>
                                    <w:color w:val="auto"/>
                                    <w:highlight w:val="none"/>
                                    <w:lang w:val="en-US" w:eastAsia="zh-CN"/>
                                  </w:rPr>
                                </m:ctrlPr>
                              </m:sSupPr>
                              <m:e>
                                <m:r>
                                  <m:rPr/>
                                  <w:rPr>
                                    <w:rFonts w:hint="default" w:ascii="Cambria Math" w:hAnsi="Cambria Math" w:cs="Cambria Math"/>
                                    <w:color w:val="auto"/>
                                    <w:highlight w:val="none"/>
                                    <w:lang w:val="en-US" w:eastAsia="zh-CN"/>
                                  </w:rPr>
                                  <m:t>10</m:t>
                                </m:r>
                                <m:ctrlPr>
                                  <w:rPr>
                                    <w:rFonts w:hint="default" w:ascii="Cambria Math" w:hAnsi="Cambria Math" w:cs="Cambria Math"/>
                                    <w:i/>
                                    <w:color w:val="auto"/>
                                    <w:highlight w:val="none"/>
                                    <w:lang w:val="en-US" w:eastAsia="zh-CN"/>
                                  </w:rPr>
                                </m:ctrlPr>
                              </m:e>
                              <m:sup>
                                <m:sSub>
                                  <m:sSubPr>
                                    <m:ctrlPr>
                                      <w:rPr>
                                        <w:rFonts w:hint="default" w:ascii="Cambria Math" w:hAnsi="Cambria Math" w:cs="Cambria Math"/>
                                        <w:i/>
                                        <w:color w:val="auto"/>
                                        <w:highlight w:val="none"/>
                                        <w:lang w:val="en-US" w:eastAsia="zh-CN"/>
                                      </w:rPr>
                                    </m:ctrlPr>
                                  </m:sSubPr>
                                  <m:e>
                                    <m:r>
                                      <m:rPr/>
                                      <w:rPr>
                                        <w:rFonts w:hint="default" w:ascii="Cambria Math" w:hAnsi="Cambria Math" w:cs="Cambria Math"/>
                                        <w:color w:val="auto"/>
                                        <w:highlight w:val="none"/>
                                        <w:lang w:val="en-US" w:eastAsia="zh-CN"/>
                                      </w:rPr>
                                      <m:t>0.1L</m:t>
                                    </m:r>
                                    <m:ctrlPr>
                                      <w:rPr>
                                        <w:rFonts w:hint="default" w:ascii="Cambria Math" w:hAnsi="Cambria Math" w:cs="Cambria Math"/>
                                        <w:i/>
                                        <w:color w:val="auto"/>
                                        <w:highlight w:val="none"/>
                                        <w:lang w:val="en-US" w:eastAsia="zh-CN"/>
                                      </w:rPr>
                                    </m:ctrlPr>
                                  </m:e>
                                  <m:sub>
                                    <m:r>
                                      <m:rPr/>
                                      <w:rPr>
                                        <w:rFonts w:hint="default" w:ascii="Cambria Math" w:hAnsi="Cambria Math" w:cs="Cambria Math"/>
                                        <w:color w:val="auto"/>
                                        <w:highlight w:val="none"/>
                                        <w:lang w:val="en-US" w:eastAsia="zh-CN"/>
                                      </w:rPr>
                                      <m:t>p1ij</m:t>
                                    </m:r>
                                    <m:ctrlPr>
                                      <w:rPr>
                                        <w:rFonts w:hint="default" w:ascii="Cambria Math" w:hAnsi="Cambria Math" w:cs="Cambria Math"/>
                                        <w:i/>
                                        <w:color w:val="auto"/>
                                        <w:highlight w:val="none"/>
                                        <w:lang w:val="en-US" w:eastAsia="zh-CN"/>
                                      </w:rPr>
                                    </m:ctrlPr>
                                  </m:sub>
                                </m:sSub>
                                <m:ctrlPr>
                                  <w:rPr>
                                    <w:rFonts w:hint="default" w:ascii="Cambria Math" w:hAnsi="Cambria Math" w:cs="Cambria Math"/>
                                    <w:i/>
                                    <w:color w:val="auto"/>
                                    <w:highlight w:val="none"/>
                                    <w:lang w:val="en-US" w:eastAsia="zh-CN"/>
                                  </w:rPr>
                                </m:ctrlPr>
                              </m:sup>
                            </m:sSup>
                            <m:ctrlPr>
                              <w:rPr>
                                <w:rFonts w:hint="default" w:ascii="Cambria Math" w:hAnsi="Cambria Math" w:cs="Cambria Math"/>
                                <w:i/>
                                <w:color w:val="auto"/>
                                <w:highlight w:val="none"/>
                                <w:lang w:val="en-US" w:eastAsia="zh-CN"/>
                              </w:rPr>
                            </m:ctrlPr>
                          </m:e>
                        </m:nary>
                        <m:ctrlPr>
                          <w:rPr>
                            <w:rFonts w:hint="default" w:ascii="Cambria Math" w:hAnsi="Cambria Math" w:cs="Cambria Math"/>
                            <w:i/>
                            <w:color w:val="auto"/>
                            <w:highlight w:val="none"/>
                            <w:lang w:val="en-US" w:eastAsia="zh-CN"/>
                          </w:rPr>
                        </m:ctrlPr>
                      </m:e>
                    </m:d>
                    <m:ctrlPr>
                      <w:rPr>
                        <w:rFonts w:hint="default" w:ascii="Cambria Math" w:hAnsi="Cambria Math" w:cs="Cambria Math"/>
                        <w:i/>
                        <w:color w:val="auto"/>
                        <w:highlight w:val="none"/>
                        <w:lang w:val="en-US" w:eastAsia="zh-CN"/>
                      </w:rPr>
                    </m:ctrlPr>
                  </m:e>
                </m:func>
              </m:oMath>
            </m:oMathPara>
          </w:p>
          <w:p w14:paraId="7F0F5482">
            <w:pPr>
              <w:bidi w:val="0"/>
              <w:rPr>
                <w:rFonts w:hint="eastAsia"/>
                <w:color w:val="auto"/>
                <w:spacing w:val="-6"/>
                <w:sz w:val="24"/>
                <w:highlight w:val="none"/>
                <w:lang w:val="en-US" w:eastAsia="zh-CN"/>
              </w:rPr>
            </w:pPr>
            <w:r>
              <w:rPr>
                <w:rFonts w:hint="eastAsia"/>
                <w:color w:val="auto"/>
                <w:spacing w:val="-6"/>
                <w:sz w:val="24"/>
                <w:highlight w:val="none"/>
                <w:lang w:val="en-US" w:eastAsia="zh-CN"/>
              </w:rPr>
              <w:t>式中：</w:t>
            </w:r>
            <w:r>
              <w:rPr>
                <w:rFonts w:hint="eastAsia"/>
                <w:i/>
                <w:iCs/>
                <w:color w:val="auto"/>
                <w:spacing w:val="-6"/>
                <w:sz w:val="24"/>
                <w:highlight w:val="none"/>
                <w:lang w:val="en-US" w:eastAsia="zh-CN"/>
              </w:rPr>
              <w:t>L</w:t>
            </w:r>
            <w:r>
              <w:rPr>
                <w:rFonts w:hint="eastAsia"/>
                <w:i/>
                <w:iCs/>
                <w:color w:val="auto"/>
                <w:spacing w:val="-6"/>
                <w:sz w:val="24"/>
                <w:highlight w:val="none"/>
                <w:vertAlign w:val="subscript"/>
                <w:lang w:val="en-US" w:eastAsia="zh-CN"/>
              </w:rPr>
              <w:t>p</w:t>
            </w:r>
            <w:r>
              <w:rPr>
                <w:rFonts w:hint="eastAsia"/>
                <w:color w:val="auto"/>
                <w:spacing w:val="-6"/>
                <w:sz w:val="24"/>
                <w:highlight w:val="none"/>
                <w:vertAlign w:val="subscript"/>
                <w:lang w:val="en-US" w:eastAsia="zh-CN"/>
              </w:rPr>
              <w:t>1</w:t>
            </w:r>
            <w:r>
              <w:rPr>
                <w:rFonts w:hint="eastAsia"/>
                <w:i/>
                <w:iCs/>
                <w:color w:val="auto"/>
                <w:spacing w:val="-6"/>
                <w:sz w:val="24"/>
                <w:highlight w:val="none"/>
                <w:vertAlign w:val="subscript"/>
                <w:lang w:val="en-US" w:eastAsia="zh-CN"/>
              </w:rPr>
              <w:t>i</w:t>
            </w:r>
            <w:r>
              <w:rPr>
                <w:rFonts w:hint="eastAsia"/>
                <w:color w:val="auto"/>
                <w:spacing w:val="-6"/>
                <w:sz w:val="24"/>
                <w:highlight w:val="none"/>
                <w:lang w:val="en-US" w:eastAsia="zh-CN"/>
              </w:rPr>
              <w:t>(</w:t>
            </w:r>
            <w:r>
              <w:rPr>
                <w:rFonts w:hint="eastAsia"/>
                <w:i/>
                <w:iCs/>
                <w:color w:val="auto"/>
                <w:spacing w:val="-6"/>
                <w:sz w:val="24"/>
                <w:highlight w:val="none"/>
                <w:lang w:val="en-US" w:eastAsia="zh-CN"/>
              </w:rPr>
              <w:t>T</w:t>
            </w:r>
            <w:r>
              <w:rPr>
                <w:rFonts w:hint="eastAsia"/>
                <w:color w:val="auto"/>
                <w:spacing w:val="-6"/>
                <w:sz w:val="24"/>
                <w:highlight w:val="none"/>
                <w:lang w:val="en-US" w:eastAsia="zh-CN"/>
              </w:rPr>
              <w:t>)——靠近围护结构处室内</w:t>
            </w:r>
            <w:r>
              <w:rPr>
                <w:rFonts w:hint="eastAsia"/>
                <w:i/>
                <w:iCs/>
                <w:color w:val="auto"/>
                <w:spacing w:val="-6"/>
                <w:sz w:val="24"/>
                <w:highlight w:val="none"/>
                <w:lang w:val="en-US" w:eastAsia="zh-CN"/>
              </w:rPr>
              <w:t>N</w:t>
            </w:r>
            <w:r>
              <w:rPr>
                <w:rFonts w:hint="eastAsia"/>
                <w:color w:val="auto"/>
                <w:spacing w:val="-6"/>
                <w:sz w:val="24"/>
                <w:highlight w:val="none"/>
                <w:lang w:val="en-US" w:eastAsia="zh-CN"/>
              </w:rPr>
              <w:t>个声源</w:t>
            </w:r>
            <w:r>
              <w:rPr>
                <w:rFonts w:hint="eastAsia"/>
                <w:i/>
                <w:iCs/>
                <w:color w:val="auto"/>
                <w:spacing w:val="-6"/>
                <w:sz w:val="24"/>
                <w:highlight w:val="none"/>
                <w:lang w:val="en-US" w:eastAsia="zh-CN"/>
              </w:rPr>
              <w:t>i</w:t>
            </w:r>
            <w:r>
              <w:rPr>
                <w:rFonts w:hint="eastAsia"/>
                <w:color w:val="auto"/>
                <w:spacing w:val="-6"/>
                <w:sz w:val="24"/>
                <w:highlight w:val="none"/>
                <w:lang w:val="en-US" w:eastAsia="zh-CN"/>
              </w:rPr>
              <w:t>倍频带的叠加声压级，dB；</w:t>
            </w:r>
          </w:p>
          <w:p w14:paraId="3CD18FAD">
            <w:pPr>
              <w:bidi w:val="0"/>
              <w:ind w:firstLine="1200" w:firstLineChars="500"/>
              <w:rPr>
                <w:rFonts w:hint="eastAsia"/>
                <w:color w:val="auto"/>
                <w:highlight w:val="none"/>
                <w:lang w:val="en-US" w:eastAsia="zh-CN"/>
              </w:rPr>
            </w:pPr>
            <w:r>
              <w:rPr>
                <w:rFonts w:hint="eastAsia"/>
                <w:i/>
                <w:iCs/>
                <w:color w:val="auto"/>
                <w:highlight w:val="none"/>
                <w:lang w:val="en-US" w:eastAsia="zh-CN"/>
              </w:rPr>
              <w:t>L</w:t>
            </w:r>
            <w:r>
              <w:rPr>
                <w:rFonts w:hint="eastAsia"/>
                <w:i/>
                <w:iCs/>
                <w:color w:val="auto"/>
                <w:highlight w:val="none"/>
                <w:vertAlign w:val="subscript"/>
                <w:lang w:val="en-US" w:eastAsia="zh-CN"/>
              </w:rPr>
              <w:t>p</w:t>
            </w:r>
            <w:r>
              <w:rPr>
                <w:rFonts w:hint="eastAsia"/>
                <w:color w:val="auto"/>
                <w:highlight w:val="none"/>
                <w:vertAlign w:val="subscript"/>
                <w:lang w:val="en-US" w:eastAsia="zh-CN"/>
              </w:rPr>
              <w:t>1</w:t>
            </w:r>
            <w:r>
              <w:rPr>
                <w:rFonts w:hint="eastAsia"/>
                <w:i/>
                <w:iCs/>
                <w:color w:val="auto"/>
                <w:highlight w:val="none"/>
                <w:vertAlign w:val="subscript"/>
                <w:lang w:val="en-US" w:eastAsia="zh-CN"/>
              </w:rPr>
              <w:t>ij</w:t>
            </w:r>
            <w:r>
              <w:rPr>
                <w:rFonts w:hint="eastAsia"/>
                <w:color w:val="auto"/>
                <w:highlight w:val="none"/>
                <w:lang w:val="en-US" w:eastAsia="zh-CN"/>
              </w:rPr>
              <w:t>——室内</w:t>
            </w:r>
            <w:r>
              <w:rPr>
                <w:rFonts w:hint="eastAsia"/>
                <w:i/>
                <w:iCs/>
                <w:color w:val="auto"/>
                <w:highlight w:val="none"/>
                <w:lang w:val="en-US" w:eastAsia="zh-CN"/>
              </w:rPr>
              <w:t>j</w:t>
            </w:r>
            <w:r>
              <w:rPr>
                <w:rFonts w:hint="eastAsia"/>
                <w:color w:val="auto"/>
                <w:highlight w:val="none"/>
                <w:lang w:val="en-US" w:eastAsia="zh-CN"/>
              </w:rPr>
              <w:t>声源</w:t>
            </w:r>
            <w:r>
              <w:rPr>
                <w:rFonts w:hint="eastAsia"/>
                <w:i/>
                <w:iCs/>
                <w:color w:val="auto"/>
                <w:highlight w:val="none"/>
                <w:lang w:val="en-US" w:eastAsia="zh-CN"/>
              </w:rPr>
              <w:t>i</w:t>
            </w:r>
            <w:r>
              <w:rPr>
                <w:rFonts w:hint="eastAsia"/>
                <w:color w:val="auto"/>
                <w:highlight w:val="none"/>
                <w:lang w:val="en-US" w:eastAsia="zh-CN"/>
              </w:rPr>
              <w:t>倍频带的声压级，dB；</w:t>
            </w:r>
          </w:p>
          <w:p w14:paraId="36A2E38C">
            <w:pPr>
              <w:bidi w:val="0"/>
              <w:ind w:firstLine="1200" w:firstLineChars="500"/>
              <w:rPr>
                <w:rFonts w:hint="eastAsia"/>
                <w:color w:val="auto"/>
                <w:highlight w:val="none"/>
                <w:lang w:val="en-US" w:eastAsia="zh-CN"/>
              </w:rPr>
            </w:pPr>
            <w:r>
              <w:rPr>
                <w:rFonts w:hint="eastAsia"/>
                <w:i/>
                <w:iCs/>
                <w:color w:val="auto"/>
                <w:highlight w:val="none"/>
                <w:lang w:val="en-US" w:eastAsia="zh-CN"/>
              </w:rPr>
              <w:t>N</w:t>
            </w:r>
            <w:r>
              <w:rPr>
                <w:rFonts w:hint="eastAsia"/>
                <w:color w:val="auto"/>
                <w:highlight w:val="none"/>
                <w:lang w:val="en-US" w:eastAsia="zh-CN"/>
              </w:rPr>
              <w:t>——室内声源总数。</w:t>
            </w:r>
          </w:p>
          <w:p w14:paraId="3F9EF408">
            <w:pPr>
              <w:bidi w:val="0"/>
              <w:rPr>
                <w:rFonts w:hint="eastAsia"/>
                <w:color w:val="auto"/>
                <w:highlight w:val="none"/>
                <w:lang w:val="en-US" w:eastAsia="zh-CN"/>
              </w:rPr>
            </w:pPr>
            <w:r>
              <w:rPr>
                <w:rFonts w:hint="eastAsia"/>
                <w:color w:val="auto"/>
                <w:highlight w:val="none"/>
                <w:lang w:val="en-US" w:eastAsia="zh-CN"/>
              </w:rPr>
              <w:t>③计算出靠近室外围护结构处的声压级</w:t>
            </w:r>
          </w:p>
          <w:p w14:paraId="258D517E">
            <w:pPr>
              <w:bidi w:val="0"/>
              <w:rPr>
                <w:rFonts w:hint="eastAsia" w:eastAsia="宋体"/>
                <w:color w:val="auto"/>
                <w:highlight w:val="none"/>
                <w:lang w:val="en-US" w:eastAsia="zh-CN"/>
              </w:rPr>
            </w:pPr>
            <m:oMathPara>
              <m:oMath>
                <m:sSub>
                  <m:sSubPr>
                    <m:ctrlPr>
                      <w:rPr>
                        <w:rFonts w:ascii="Cambria Math" w:hAnsi="Cambria Math"/>
                        <w:i/>
                        <w:color w:val="auto"/>
                        <w:highlight w:val="none"/>
                        <w:lang w:val="en-US"/>
                      </w:rPr>
                    </m:ctrlPr>
                  </m:sSubPr>
                  <m:e>
                    <m:r>
                      <m:rPr/>
                      <w:rPr>
                        <w:rFonts w:hint="default" w:ascii="Cambria Math" w:hAnsi="Cambria Math"/>
                        <w:color w:val="auto"/>
                        <w:highlight w:val="none"/>
                        <w:lang w:val="en-US" w:eastAsia="zh-CN"/>
                      </w:rPr>
                      <m:t>L</m:t>
                    </m:r>
                    <m:ctrlPr>
                      <w:rPr>
                        <w:rFonts w:ascii="Cambria Math" w:hAnsi="Cambria Math"/>
                        <w:i/>
                        <w:color w:val="auto"/>
                        <w:highlight w:val="none"/>
                        <w:lang w:val="en-US"/>
                      </w:rPr>
                    </m:ctrlPr>
                  </m:e>
                  <m:sub>
                    <m:r>
                      <m:rPr/>
                      <w:rPr>
                        <w:rFonts w:hint="default" w:ascii="Cambria Math" w:hAnsi="Cambria Math"/>
                        <w:color w:val="auto"/>
                        <w:highlight w:val="none"/>
                        <w:lang w:val="en-US" w:eastAsia="zh-CN"/>
                      </w:rPr>
                      <m:t>p2i</m:t>
                    </m:r>
                    <m:ctrlPr>
                      <w:rPr>
                        <w:rFonts w:ascii="Cambria Math" w:hAnsi="Cambria Math"/>
                        <w:i/>
                        <w:color w:val="auto"/>
                        <w:highlight w:val="none"/>
                        <w:lang w:val="en-US"/>
                      </w:rPr>
                    </m:ctrlPr>
                  </m:sub>
                </m:sSub>
                <m:d>
                  <m:dPr>
                    <m:ctrlPr>
                      <w:rPr>
                        <w:rFonts w:ascii="Cambria Math" w:hAnsi="Cambria Math"/>
                        <w:i/>
                        <w:color w:val="auto"/>
                        <w:highlight w:val="none"/>
                        <w:lang w:val="en-US"/>
                      </w:rPr>
                    </m:ctrlPr>
                  </m:dPr>
                  <m:e>
                    <m:r>
                      <m:rPr/>
                      <w:rPr>
                        <w:rFonts w:hint="default" w:ascii="Cambria Math" w:hAnsi="Cambria Math"/>
                        <w:color w:val="auto"/>
                        <w:highlight w:val="none"/>
                        <w:lang w:val="en-US" w:eastAsia="zh-CN"/>
                      </w:rPr>
                      <m:t>T</m:t>
                    </m:r>
                    <m:ctrlPr>
                      <w:rPr>
                        <w:rFonts w:ascii="Cambria Math" w:hAnsi="Cambria Math"/>
                        <w:i/>
                        <w:color w:val="auto"/>
                        <w:highlight w:val="none"/>
                        <w:lang w:val="en-US"/>
                      </w:rPr>
                    </m:ctrlPr>
                  </m:e>
                </m:d>
                <m:r>
                  <m:rPr/>
                  <w:rPr>
                    <w:rFonts w:hint="default" w:ascii="Cambria Math" w:hAnsi="Cambria Math" w:cs="Cambria Math"/>
                    <w:color w:val="auto"/>
                    <w:highlight w:val="none"/>
                    <w:lang w:val="en-US"/>
                  </w:rPr>
                  <m:t>=</m:t>
                </m:r>
                <m:sSub>
                  <m:sSubPr>
                    <m:ctrlPr>
                      <w:rPr>
                        <w:rFonts w:ascii="Cambria Math" w:hAnsi="Cambria Math"/>
                        <w:i/>
                        <w:color w:val="auto"/>
                        <w:highlight w:val="none"/>
                        <w:lang w:val="en-US"/>
                      </w:rPr>
                    </m:ctrlPr>
                  </m:sSubPr>
                  <m:e>
                    <m:r>
                      <m:rPr/>
                      <w:rPr>
                        <w:rFonts w:hint="default" w:ascii="Cambria Math" w:hAnsi="Cambria Math"/>
                        <w:color w:val="auto"/>
                        <w:highlight w:val="none"/>
                        <w:lang w:val="en-US" w:eastAsia="zh-CN"/>
                      </w:rPr>
                      <m:t>L</m:t>
                    </m:r>
                    <m:ctrlPr>
                      <w:rPr>
                        <w:rFonts w:ascii="Cambria Math" w:hAnsi="Cambria Math"/>
                        <w:i/>
                        <w:color w:val="auto"/>
                        <w:highlight w:val="none"/>
                        <w:lang w:val="en-US"/>
                      </w:rPr>
                    </m:ctrlPr>
                  </m:e>
                  <m:sub>
                    <m:r>
                      <m:rPr/>
                      <w:rPr>
                        <w:rFonts w:hint="default" w:ascii="Cambria Math" w:hAnsi="Cambria Math"/>
                        <w:color w:val="auto"/>
                        <w:highlight w:val="none"/>
                        <w:lang w:val="en-US" w:eastAsia="zh-CN"/>
                      </w:rPr>
                      <m:t>p1i</m:t>
                    </m:r>
                    <m:ctrlPr>
                      <w:rPr>
                        <w:rFonts w:ascii="Cambria Math" w:hAnsi="Cambria Math"/>
                        <w:i/>
                        <w:color w:val="auto"/>
                        <w:highlight w:val="none"/>
                        <w:lang w:val="en-US"/>
                      </w:rPr>
                    </m:ctrlPr>
                  </m:sub>
                </m:sSub>
                <m:d>
                  <m:dPr>
                    <m:ctrlPr>
                      <w:rPr>
                        <w:rFonts w:ascii="Cambria Math" w:hAnsi="Cambria Math"/>
                        <w:i/>
                        <w:color w:val="auto"/>
                        <w:highlight w:val="none"/>
                        <w:lang w:val="en-US"/>
                      </w:rPr>
                    </m:ctrlPr>
                  </m:dPr>
                  <m:e>
                    <m:r>
                      <m:rPr/>
                      <w:rPr>
                        <w:rFonts w:hint="default" w:ascii="Cambria Math" w:hAnsi="Cambria Math"/>
                        <w:color w:val="auto"/>
                        <w:highlight w:val="none"/>
                        <w:lang w:val="en-US" w:eastAsia="zh-CN"/>
                      </w:rPr>
                      <m:t>T</m:t>
                    </m:r>
                    <m:ctrlPr>
                      <w:rPr>
                        <w:rFonts w:ascii="Cambria Math" w:hAnsi="Cambria Math"/>
                        <w:i/>
                        <w:color w:val="auto"/>
                        <w:highlight w:val="none"/>
                        <w:lang w:val="en-US"/>
                      </w:rPr>
                    </m:ctrlPr>
                  </m:e>
                </m:d>
                <m:r>
                  <m:rPr/>
                  <w:rPr>
                    <w:rFonts w:hint="default" w:ascii="Cambria Math" w:hAnsi="Cambria Math"/>
                    <w:color w:val="auto"/>
                    <w:highlight w:val="none"/>
                    <w:lang w:val="en-US" w:eastAsia="zh-CN"/>
                  </w:rPr>
                  <m:t>−</m:t>
                </m:r>
                <m:d>
                  <m:dPr>
                    <m:ctrlPr>
                      <w:rPr>
                        <w:rFonts w:hint="default" w:ascii="Cambria Math" w:hAnsi="Cambria Math"/>
                        <w:i/>
                        <w:color w:val="auto"/>
                        <w:highlight w:val="none"/>
                        <w:lang w:val="en-US" w:eastAsia="zh-CN"/>
                      </w:rPr>
                    </m:ctrlPr>
                  </m:dPr>
                  <m:e>
                    <m:sSub>
                      <m:sSubPr>
                        <m:ctrlPr>
                          <w:rPr>
                            <w:rFonts w:hint="default" w:ascii="Cambria Math" w:hAnsi="Cambria Math"/>
                            <w:i/>
                            <w:color w:val="auto"/>
                            <w:highlight w:val="none"/>
                            <w:lang w:val="en-US" w:eastAsia="zh-CN"/>
                          </w:rPr>
                        </m:ctrlPr>
                      </m:sSubPr>
                      <m:e>
                        <m:r>
                          <m:rPr/>
                          <w:rPr>
                            <w:rFonts w:hint="default" w:ascii="Cambria Math" w:hAnsi="Cambria Math"/>
                            <w:color w:val="auto"/>
                            <w:highlight w:val="none"/>
                            <w:lang w:val="en-US" w:eastAsia="zh-CN"/>
                          </w:rPr>
                          <m:t>TL</m:t>
                        </m:r>
                        <m:ctrlPr>
                          <w:rPr>
                            <w:rFonts w:hint="default" w:ascii="Cambria Math" w:hAnsi="Cambria Math"/>
                            <w:i/>
                            <w:color w:val="auto"/>
                            <w:highlight w:val="none"/>
                            <w:lang w:val="en-US" w:eastAsia="zh-CN"/>
                          </w:rPr>
                        </m:ctrlPr>
                      </m:e>
                      <m:sub>
                        <m:r>
                          <m:rPr/>
                          <w:rPr>
                            <w:rFonts w:hint="default" w:ascii="Cambria Math" w:hAnsi="Cambria Math"/>
                            <w:color w:val="auto"/>
                            <w:highlight w:val="none"/>
                            <w:lang w:val="en-US" w:eastAsia="zh-CN"/>
                          </w:rPr>
                          <m:t>i</m:t>
                        </m:r>
                        <m:ctrlPr>
                          <w:rPr>
                            <w:rFonts w:hint="default" w:ascii="Cambria Math" w:hAnsi="Cambria Math"/>
                            <w:i/>
                            <w:color w:val="auto"/>
                            <w:highlight w:val="none"/>
                            <w:lang w:val="en-US" w:eastAsia="zh-CN"/>
                          </w:rPr>
                        </m:ctrlPr>
                      </m:sub>
                    </m:sSub>
                    <m:r>
                      <m:rPr/>
                      <w:rPr>
                        <w:rFonts w:ascii="Cambria Math" w:hAnsi="Cambria Math"/>
                        <w:color w:val="auto"/>
                        <w:highlight w:val="none"/>
                        <w:lang w:val="en-US"/>
                      </w:rPr>
                      <m:t>+</m:t>
                    </m:r>
                    <m:r>
                      <m:rPr/>
                      <w:rPr>
                        <w:rFonts w:hint="default" w:ascii="Cambria Math" w:hAnsi="Cambria Math"/>
                        <w:color w:val="auto"/>
                        <w:highlight w:val="none"/>
                        <w:lang w:val="en-US" w:eastAsia="zh-CN"/>
                      </w:rPr>
                      <m:t>6</m:t>
                    </m:r>
                    <m:ctrlPr>
                      <w:rPr>
                        <w:rFonts w:hint="default" w:ascii="Cambria Math" w:hAnsi="Cambria Math"/>
                        <w:i/>
                        <w:color w:val="auto"/>
                        <w:highlight w:val="none"/>
                        <w:lang w:val="en-US" w:eastAsia="zh-CN"/>
                      </w:rPr>
                    </m:ctrlPr>
                  </m:e>
                </m:d>
              </m:oMath>
            </m:oMathPara>
          </w:p>
          <w:p w14:paraId="47E4AEDA">
            <w:pPr>
              <w:bidi w:val="0"/>
              <w:rPr>
                <w:rFonts w:hint="default"/>
                <w:color w:val="auto"/>
                <w:highlight w:val="none"/>
              </w:rPr>
            </w:pPr>
            <w:r>
              <w:rPr>
                <w:rFonts w:hint="default"/>
                <w:color w:val="auto"/>
                <w:highlight w:val="none"/>
              </w:rPr>
              <w:t>式中：</w:t>
            </w:r>
            <w:r>
              <w:rPr>
                <w:rFonts w:hint="default"/>
                <w:i/>
                <w:iCs/>
                <w:color w:val="auto"/>
                <w:highlight w:val="none"/>
                <w:lang w:val="en-US" w:eastAsia="zh-CN"/>
              </w:rPr>
              <w:t>L</w:t>
            </w:r>
            <w:r>
              <w:rPr>
                <w:rFonts w:hint="default"/>
                <w:i/>
                <w:iCs/>
                <w:color w:val="auto"/>
                <w:highlight w:val="none"/>
                <w:vertAlign w:val="subscript"/>
              </w:rPr>
              <w:t>p</w:t>
            </w:r>
            <w:r>
              <w:rPr>
                <w:rFonts w:hint="eastAsia"/>
                <w:color w:val="auto"/>
                <w:highlight w:val="none"/>
                <w:vertAlign w:val="subscript"/>
                <w:lang w:val="en-US" w:eastAsia="zh-CN"/>
              </w:rPr>
              <w:t>2</w:t>
            </w:r>
            <w:r>
              <w:rPr>
                <w:rFonts w:hint="default"/>
                <w:i/>
                <w:iCs/>
                <w:color w:val="auto"/>
                <w:highlight w:val="none"/>
                <w:vertAlign w:val="subscript"/>
              </w:rPr>
              <w:t>i</w:t>
            </w:r>
            <w:r>
              <w:rPr>
                <w:rFonts w:hint="default"/>
                <w:color w:val="auto"/>
                <w:highlight w:val="none"/>
              </w:rPr>
              <w:t>——靠近围护结构处室外</w:t>
            </w:r>
            <w:r>
              <w:rPr>
                <w:rFonts w:hint="default"/>
                <w:i/>
                <w:iCs/>
                <w:color w:val="auto"/>
                <w:highlight w:val="none"/>
              </w:rPr>
              <w:t>N</w:t>
            </w:r>
            <w:r>
              <w:rPr>
                <w:rFonts w:hint="default"/>
                <w:color w:val="auto"/>
                <w:highlight w:val="none"/>
              </w:rPr>
              <w:t>个声源</w:t>
            </w:r>
            <w:r>
              <w:rPr>
                <w:rFonts w:hint="default"/>
                <w:i/>
                <w:iCs/>
                <w:color w:val="auto"/>
                <w:highlight w:val="none"/>
              </w:rPr>
              <w:t>i</w:t>
            </w:r>
            <w:r>
              <w:rPr>
                <w:rFonts w:hint="default"/>
                <w:color w:val="auto"/>
                <w:highlight w:val="none"/>
              </w:rPr>
              <w:t>倍频带的叠加声压级，dB；</w:t>
            </w:r>
          </w:p>
          <w:p w14:paraId="3A25B2E1">
            <w:pPr>
              <w:bidi w:val="0"/>
              <w:ind w:firstLine="1200" w:firstLineChars="500"/>
              <w:rPr>
                <w:rFonts w:hint="default"/>
                <w:color w:val="auto"/>
                <w:highlight w:val="none"/>
              </w:rPr>
            </w:pPr>
            <w:r>
              <w:rPr>
                <w:rFonts w:hint="default"/>
                <w:i/>
                <w:iCs/>
                <w:color w:val="auto"/>
                <w:highlight w:val="none"/>
                <w:lang w:val="en-US" w:eastAsia="zh-CN"/>
              </w:rPr>
              <w:t>L</w:t>
            </w:r>
            <w:r>
              <w:rPr>
                <w:rFonts w:hint="default"/>
                <w:i/>
                <w:iCs/>
                <w:color w:val="auto"/>
                <w:highlight w:val="none"/>
                <w:vertAlign w:val="subscript"/>
              </w:rPr>
              <w:t>p</w:t>
            </w:r>
            <w:r>
              <w:rPr>
                <w:rFonts w:hint="default"/>
                <w:color w:val="auto"/>
                <w:highlight w:val="none"/>
                <w:vertAlign w:val="subscript"/>
                <w:lang w:val="en-US" w:eastAsia="zh-CN"/>
              </w:rPr>
              <w:t>1</w:t>
            </w:r>
            <w:r>
              <w:rPr>
                <w:rFonts w:hint="default"/>
                <w:i/>
                <w:iCs/>
                <w:color w:val="auto"/>
                <w:highlight w:val="none"/>
                <w:vertAlign w:val="subscript"/>
              </w:rPr>
              <w:t>i</w:t>
            </w:r>
            <w:r>
              <w:rPr>
                <w:rFonts w:hint="default"/>
                <w:color w:val="auto"/>
                <w:highlight w:val="none"/>
              </w:rPr>
              <w:t>——靠近围护结构处室内</w:t>
            </w:r>
            <w:r>
              <w:rPr>
                <w:rFonts w:hint="default"/>
                <w:i/>
                <w:iCs/>
                <w:color w:val="auto"/>
                <w:highlight w:val="none"/>
              </w:rPr>
              <w:t>N</w:t>
            </w:r>
            <w:r>
              <w:rPr>
                <w:rFonts w:hint="default"/>
                <w:color w:val="auto"/>
                <w:highlight w:val="none"/>
              </w:rPr>
              <w:t>个声源</w:t>
            </w:r>
            <w:r>
              <w:rPr>
                <w:rFonts w:hint="default"/>
                <w:i/>
                <w:iCs/>
                <w:color w:val="auto"/>
                <w:highlight w:val="none"/>
              </w:rPr>
              <w:t>i</w:t>
            </w:r>
            <w:r>
              <w:rPr>
                <w:rFonts w:hint="default"/>
                <w:color w:val="auto"/>
                <w:highlight w:val="none"/>
              </w:rPr>
              <w:t>倍频带的叠加声压级，dB；</w:t>
            </w:r>
          </w:p>
          <w:p w14:paraId="55CF9701">
            <w:pPr>
              <w:bidi w:val="0"/>
              <w:ind w:firstLine="1200" w:firstLineChars="500"/>
              <w:rPr>
                <w:rFonts w:hint="default"/>
                <w:color w:val="auto"/>
                <w:highlight w:val="none"/>
                <w:lang w:val="en-US" w:eastAsia="zh-CN"/>
              </w:rPr>
            </w:pPr>
            <w:r>
              <w:rPr>
                <w:rFonts w:hint="default"/>
                <w:i/>
                <w:iCs/>
                <w:color w:val="auto"/>
                <w:highlight w:val="none"/>
              </w:rPr>
              <w:t>TL</w:t>
            </w:r>
            <w:r>
              <w:rPr>
                <w:rFonts w:hint="default"/>
                <w:i/>
                <w:iCs/>
                <w:color w:val="auto"/>
                <w:highlight w:val="none"/>
                <w:vertAlign w:val="subscript"/>
                <w:lang w:val="en-US" w:eastAsia="zh-CN"/>
              </w:rPr>
              <w:t>i</w:t>
            </w:r>
            <w:r>
              <w:rPr>
                <w:rFonts w:hint="default"/>
                <w:color w:val="auto"/>
                <w:highlight w:val="none"/>
              </w:rPr>
              <w:t>——围护结构</w:t>
            </w:r>
            <w:r>
              <w:rPr>
                <w:rFonts w:hint="default"/>
                <w:i/>
                <w:iCs/>
                <w:color w:val="auto"/>
                <w:highlight w:val="none"/>
              </w:rPr>
              <w:t>i</w:t>
            </w:r>
            <w:r>
              <w:rPr>
                <w:rFonts w:hint="default"/>
                <w:color w:val="auto"/>
                <w:highlight w:val="none"/>
              </w:rPr>
              <w:t>倍频带的隔声量，dB。</w:t>
            </w:r>
            <w:r>
              <w:rPr>
                <w:rFonts w:hint="eastAsia"/>
                <w:color w:val="auto"/>
                <w:highlight w:val="none"/>
                <w:lang w:eastAsia="zh-CN"/>
              </w:rPr>
              <w:t>本次评价取</w:t>
            </w:r>
            <w:r>
              <w:rPr>
                <w:rFonts w:hint="eastAsia"/>
                <w:color w:val="auto"/>
                <w:highlight w:val="none"/>
                <w:lang w:val="en-US" w:eastAsia="zh-CN"/>
              </w:rPr>
              <w:t>10dB。</w:t>
            </w:r>
          </w:p>
          <w:p w14:paraId="1D6F174C">
            <w:pPr>
              <w:bidi w:val="0"/>
              <w:rPr>
                <w:rFonts w:hint="eastAsia"/>
                <w:color w:val="auto"/>
                <w:highlight w:val="none"/>
              </w:rPr>
            </w:pPr>
            <w:r>
              <w:rPr>
                <w:rFonts w:hint="eastAsia"/>
                <w:color w:val="auto"/>
                <w:highlight w:val="none"/>
              </w:rPr>
              <w:t>④将室</w:t>
            </w:r>
            <w:r>
              <w:rPr>
                <w:rFonts w:hint="eastAsia"/>
                <w:color w:val="auto"/>
                <w:highlight w:val="none"/>
                <w:lang w:val="en-US" w:eastAsia="zh-CN"/>
              </w:rPr>
              <w:t>内</w:t>
            </w:r>
            <w:r>
              <w:rPr>
                <w:rFonts w:hint="eastAsia"/>
                <w:color w:val="auto"/>
                <w:highlight w:val="none"/>
              </w:rPr>
              <w:t>声源的声压级和透过面积换算成等效的室外声源，计算出中心位置位于透声面积（</w:t>
            </w:r>
            <w:r>
              <w:rPr>
                <w:rFonts w:hint="eastAsia"/>
                <w:i/>
                <w:iCs/>
                <w:color w:val="auto"/>
                <w:highlight w:val="none"/>
              </w:rPr>
              <w:t>S</w:t>
            </w:r>
            <w:r>
              <w:rPr>
                <w:rFonts w:hint="eastAsia"/>
                <w:color w:val="auto"/>
                <w:highlight w:val="none"/>
              </w:rPr>
              <w:t>）处的等效声源的倍频带声功率级。</w:t>
            </w:r>
          </w:p>
          <w:p w14:paraId="6DB3FAD0">
            <w:pPr>
              <w:bidi w:val="0"/>
              <w:rPr>
                <w:rFonts w:hint="default"/>
                <w:i/>
                <w:iCs/>
                <w:color w:val="auto"/>
                <w:highlight w:val="none"/>
                <w:lang w:val="en-US" w:eastAsia="zh-CN"/>
              </w:rPr>
            </w:pPr>
            <m:oMathPara>
              <m:oMath>
                <m:sSub>
                  <m:sSubPr>
                    <m:ctrlPr>
                      <w:rPr>
                        <w:rFonts w:ascii="Cambria Math" w:hAnsi="Cambria Math"/>
                        <w:i/>
                        <w:iCs/>
                        <w:color w:val="auto"/>
                        <w:highlight w:val="none"/>
                        <w:lang w:val="en-US"/>
                      </w:rPr>
                    </m:ctrlPr>
                  </m:sSubPr>
                  <m:e>
                    <m:r>
                      <m:rPr/>
                      <w:rPr>
                        <w:rFonts w:hint="default" w:ascii="Cambria Math" w:hAnsi="Cambria Math"/>
                        <w:color w:val="auto"/>
                        <w:highlight w:val="none"/>
                        <w:lang w:val="en-US" w:eastAsia="zh-CN"/>
                      </w:rPr>
                      <m:t>L</m:t>
                    </m:r>
                    <m:ctrlPr>
                      <w:rPr>
                        <w:rFonts w:ascii="Cambria Math" w:hAnsi="Cambria Math"/>
                        <w:i/>
                        <w:iCs/>
                        <w:color w:val="auto"/>
                        <w:highlight w:val="none"/>
                        <w:lang w:val="en-US"/>
                      </w:rPr>
                    </m:ctrlPr>
                  </m:e>
                  <m:sub>
                    <m:r>
                      <m:rPr/>
                      <w:rPr>
                        <w:rFonts w:hint="default" w:ascii="Cambria Math" w:hAnsi="Cambria Math"/>
                        <w:color w:val="auto"/>
                        <w:highlight w:val="none"/>
                        <w:lang w:val="en-US" w:eastAsia="zh-CN"/>
                      </w:rPr>
                      <m:t>w</m:t>
                    </m:r>
                    <m:ctrlPr>
                      <w:rPr>
                        <w:rFonts w:ascii="Cambria Math" w:hAnsi="Cambria Math"/>
                        <w:i/>
                        <w:iCs/>
                        <w:color w:val="auto"/>
                        <w:highlight w:val="none"/>
                        <w:lang w:val="en-US"/>
                      </w:rPr>
                    </m:ctrlPr>
                  </m:sub>
                </m:sSub>
                <m:r>
                  <m:rPr/>
                  <w:rPr>
                    <w:rFonts w:hint="default" w:ascii="Cambria Math" w:hAnsi="Cambria Math"/>
                    <w:color w:val="auto"/>
                    <w:highlight w:val="none"/>
                    <w:lang w:val="en-US"/>
                  </w:rPr>
                  <m:t>=</m:t>
                </m:r>
                <m:sSub>
                  <m:sSubPr>
                    <m:ctrlPr>
                      <w:rPr>
                        <w:rFonts w:hint="default" w:ascii="Cambria Math" w:hAnsi="Cambria Math"/>
                        <w:i/>
                        <w:iCs/>
                        <w:color w:val="auto"/>
                        <w:highlight w:val="none"/>
                        <w:lang w:val="en-US"/>
                      </w:rPr>
                    </m:ctrlPr>
                  </m:sSubPr>
                  <m:e>
                    <m:r>
                      <m:rPr/>
                      <w:rPr>
                        <w:rFonts w:hint="default" w:ascii="Cambria Math" w:hAnsi="Cambria Math"/>
                        <w:color w:val="auto"/>
                        <w:highlight w:val="none"/>
                        <w:lang w:val="en-US" w:eastAsia="zh-CN"/>
                      </w:rPr>
                      <m:t>L</m:t>
                    </m:r>
                    <m:ctrlPr>
                      <w:rPr>
                        <w:rFonts w:hint="default" w:ascii="Cambria Math" w:hAnsi="Cambria Math"/>
                        <w:i/>
                        <w:iCs/>
                        <w:color w:val="auto"/>
                        <w:highlight w:val="none"/>
                        <w:lang w:val="en-US"/>
                      </w:rPr>
                    </m:ctrlPr>
                  </m:e>
                  <m:sub>
                    <m:r>
                      <m:rPr/>
                      <w:rPr>
                        <w:rFonts w:hint="default" w:ascii="Cambria Math" w:hAnsi="Cambria Math"/>
                        <w:color w:val="auto"/>
                        <w:highlight w:val="none"/>
                        <w:lang w:val="en-US" w:eastAsia="zh-CN"/>
                      </w:rPr>
                      <m:t>p2</m:t>
                    </m:r>
                    <m:ctrlPr>
                      <w:rPr>
                        <w:rFonts w:hint="default" w:ascii="Cambria Math" w:hAnsi="Cambria Math"/>
                        <w:i/>
                        <w:iCs/>
                        <w:color w:val="auto"/>
                        <w:highlight w:val="none"/>
                        <w:lang w:val="en-US"/>
                      </w:rPr>
                    </m:ctrlPr>
                  </m:sub>
                </m:sSub>
                <m:d>
                  <m:dPr>
                    <m:ctrlPr>
                      <w:rPr>
                        <w:rFonts w:hint="default" w:ascii="Cambria Math" w:hAnsi="Cambria Math"/>
                        <w:i/>
                        <w:iCs/>
                        <w:color w:val="auto"/>
                        <w:highlight w:val="none"/>
                        <w:lang w:val="en-US"/>
                      </w:rPr>
                    </m:ctrlPr>
                  </m:dPr>
                  <m:e>
                    <m:r>
                      <m:rPr/>
                      <w:rPr>
                        <w:rFonts w:hint="default" w:ascii="Cambria Math" w:hAnsi="Cambria Math"/>
                        <w:color w:val="auto"/>
                        <w:highlight w:val="none"/>
                        <w:lang w:val="en-US" w:eastAsia="zh-CN"/>
                      </w:rPr>
                      <m:t>T</m:t>
                    </m:r>
                    <m:ctrlPr>
                      <w:rPr>
                        <w:rFonts w:hint="default" w:ascii="Cambria Math" w:hAnsi="Cambria Math"/>
                        <w:i/>
                        <w:iCs/>
                        <w:color w:val="auto"/>
                        <w:highlight w:val="none"/>
                        <w:lang w:val="en-US"/>
                      </w:rPr>
                    </m:ctrlPr>
                  </m:e>
                </m:d>
                <m:r>
                  <m:rPr/>
                  <w:rPr>
                    <w:rFonts w:hint="default" w:ascii="Cambria Math" w:hAnsi="Cambria Math"/>
                    <w:color w:val="auto"/>
                    <w:highlight w:val="none"/>
                    <w:lang w:val="en-US"/>
                  </w:rPr>
                  <m:t>+</m:t>
                </m:r>
                <m:r>
                  <m:rPr/>
                  <w:rPr>
                    <w:rFonts w:hint="default" w:ascii="Cambria Math" w:hAnsi="Cambria Math"/>
                    <w:color w:val="auto"/>
                    <w:highlight w:val="none"/>
                    <w:lang w:val="en-US" w:eastAsia="zh-CN"/>
                  </w:rPr>
                  <m:t>10</m:t>
                </m:r>
                <m:func>
                  <m:funcPr>
                    <m:ctrlPr>
                      <w:rPr>
                        <w:rFonts w:hint="default" w:ascii="Cambria Math" w:hAnsi="Cambria Math"/>
                        <w:i/>
                        <w:iCs/>
                        <w:color w:val="auto"/>
                        <w:highlight w:val="none"/>
                        <w:lang w:val="en-US" w:eastAsia="zh-CN"/>
                      </w:rPr>
                    </m:ctrlPr>
                  </m:funcPr>
                  <m:fName>
                    <m:r>
                      <m:rPr/>
                      <w:rPr>
                        <w:rFonts w:hint="default" w:ascii="Cambria Math" w:hAnsi="Cambria Math"/>
                        <w:color w:val="auto"/>
                        <w:highlight w:val="none"/>
                        <w:lang w:val="en-US"/>
                      </w:rPr>
                      <m:t>lg</m:t>
                    </m:r>
                    <m:ctrlPr>
                      <w:rPr>
                        <w:rFonts w:hint="default" w:ascii="Cambria Math" w:hAnsi="Cambria Math"/>
                        <w:i/>
                        <w:iCs/>
                        <w:color w:val="auto"/>
                        <w:highlight w:val="none"/>
                        <w:lang w:val="en-US" w:eastAsia="zh-CN"/>
                      </w:rPr>
                    </m:ctrlPr>
                  </m:fName>
                  <m:e>
                    <m:r>
                      <m:rPr/>
                      <w:rPr>
                        <w:rFonts w:hint="default" w:ascii="Cambria Math" w:hAnsi="Cambria Math"/>
                        <w:color w:val="auto"/>
                        <w:highlight w:val="none"/>
                        <w:lang w:val="en-US" w:eastAsia="zh-CN"/>
                      </w:rPr>
                      <m:t>S</m:t>
                    </m:r>
                    <m:ctrlPr>
                      <w:rPr>
                        <w:rFonts w:hint="default" w:ascii="Cambria Math" w:hAnsi="Cambria Math"/>
                        <w:i/>
                        <w:iCs/>
                        <w:color w:val="auto"/>
                        <w:highlight w:val="none"/>
                        <w:lang w:val="en-US" w:eastAsia="zh-CN"/>
                      </w:rPr>
                    </m:ctrlPr>
                  </m:e>
                </m:func>
              </m:oMath>
            </m:oMathPara>
          </w:p>
          <w:p w14:paraId="47C0A47F">
            <w:pPr>
              <w:bidi w:val="0"/>
              <w:rPr>
                <w:color w:val="auto"/>
                <w:highlight w:val="none"/>
              </w:rPr>
            </w:pPr>
            <w:r>
              <w:rPr>
                <w:rFonts w:hint="eastAsia"/>
                <w:color w:val="auto"/>
                <w:highlight w:val="none"/>
                <w:lang w:val="en-US" w:eastAsia="zh-CN"/>
              </w:rPr>
              <w:t>式中：</w:t>
            </w:r>
            <w:r>
              <w:rPr>
                <w:rFonts w:hint="default"/>
                <w:i/>
                <w:iCs/>
                <w:color w:val="auto"/>
                <w:highlight w:val="none"/>
                <w:lang w:val="en-US" w:eastAsia="zh-CN"/>
              </w:rPr>
              <w:t>L</w:t>
            </w:r>
            <w:r>
              <w:rPr>
                <w:rFonts w:hint="default"/>
                <w:i/>
                <w:iCs/>
                <w:color w:val="auto"/>
                <w:highlight w:val="none"/>
                <w:vertAlign w:val="subscript"/>
                <w:lang w:val="en-US" w:eastAsia="zh-CN"/>
              </w:rPr>
              <w:t>w</w:t>
            </w:r>
            <w:r>
              <w:rPr>
                <w:rFonts w:hint="default"/>
                <w:color w:val="auto"/>
                <w:highlight w:val="none"/>
                <w:lang w:val="en-US" w:eastAsia="zh-CN"/>
              </w:rPr>
              <w:t>——</w:t>
            </w:r>
            <w:r>
              <w:rPr>
                <w:rFonts w:hint="eastAsia"/>
                <w:color w:val="auto"/>
                <w:highlight w:val="none"/>
                <w:lang w:val="en-US" w:eastAsia="zh-CN"/>
              </w:rPr>
              <w:t>中心位置位于透声面积（</w:t>
            </w:r>
            <w:r>
              <w:rPr>
                <w:rFonts w:hint="default"/>
                <w:i/>
                <w:iCs/>
                <w:color w:val="auto"/>
                <w:highlight w:val="none"/>
                <w:lang w:val="en-US" w:eastAsia="zh-CN"/>
              </w:rPr>
              <w:t>S</w:t>
            </w:r>
            <w:r>
              <w:rPr>
                <w:rFonts w:hint="eastAsia"/>
                <w:color w:val="auto"/>
                <w:highlight w:val="none"/>
                <w:lang w:val="en-US" w:eastAsia="zh-CN"/>
              </w:rPr>
              <w:t>）处的等效声源的倍频带声功率级，</w:t>
            </w:r>
            <w:r>
              <w:rPr>
                <w:rFonts w:hint="default"/>
                <w:color w:val="auto"/>
                <w:highlight w:val="none"/>
                <w:lang w:val="en-US" w:eastAsia="zh-CN"/>
              </w:rPr>
              <w:t>dB</w:t>
            </w:r>
            <w:r>
              <w:rPr>
                <w:rFonts w:hint="eastAsia"/>
                <w:color w:val="auto"/>
                <w:highlight w:val="none"/>
                <w:lang w:val="en-US" w:eastAsia="zh-CN"/>
              </w:rPr>
              <w:t>；</w:t>
            </w:r>
          </w:p>
          <w:p w14:paraId="3BC3F29F">
            <w:pPr>
              <w:bidi w:val="0"/>
              <w:ind w:firstLine="1200" w:firstLineChars="500"/>
              <w:rPr>
                <w:color w:val="auto"/>
                <w:highlight w:val="none"/>
              </w:rPr>
            </w:pPr>
            <w:r>
              <w:rPr>
                <w:rFonts w:hint="default"/>
                <w:i/>
                <w:iCs/>
                <w:color w:val="auto"/>
                <w:highlight w:val="none"/>
                <w:lang w:val="en-US" w:eastAsia="zh-CN"/>
              </w:rPr>
              <w:t>L</w:t>
            </w:r>
            <w:r>
              <w:rPr>
                <w:rFonts w:hint="default"/>
                <w:i/>
                <w:iCs/>
                <w:color w:val="auto"/>
                <w:highlight w:val="none"/>
                <w:vertAlign w:val="subscript"/>
                <w:lang w:val="en-US" w:eastAsia="zh-CN"/>
              </w:rPr>
              <w:t>p</w:t>
            </w:r>
            <w:r>
              <w:rPr>
                <w:rFonts w:hint="default"/>
                <w:color w:val="auto"/>
                <w:highlight w:val="none"/>
                <w:vertAlign w:val="subscript"/>
                <w:lang w:val="en-US" w:eastAsia="zh-CN"/>
              </w:rPr>
              <w:t>2</w:t>
            </w:r>
            <w:r>
              <w:rPr>
                <w:rFonts w:hint="default"/>
                <w:color w:val="auto"/>
                <w:highlight w:val="none"/>
                <w:lang w:val="en-US" w:eastAsia="zh-CN"/>
              </w:rPr>
              <w:t>(</w:t>
            </w:r>
            <w:r>
              <w:rPr>
                <w:rFonts w:hint="default"/>
                <w:i/>
                <w:iCs/>
                <w:color w:val="auto"/>
                <w:highlight w:val="none"/>
                <w:lang w:val="en-US" w:eastAsia="zh-CN"/>
              </w:rPr>
              <w:t>T</w:t>
            </w:r>
            <w:r>
              <w:rPr>
                <w:rFonts w:hint="default"/>
                <w:color w:val="auto"/>
                <w:highlight w:val="none"/>
                <w:lang w:val="en-US" w:eastAsia="zh-CN"/>
              </w:rPr>
              <w:t>)——</w:t>
            </w:r>
            <w:r>
              <w:rPr>
                <w:rFonts w:hint="eastAsia"/>
                <w:color w:val="auto"/>
                <w:highlight w:val="none"/>
                <w:lang w:val="en-US" w:eastAsia="zh-CN"/>
              </w:rPr>
              <w:t>靠近围护结构处室外声源的声压级，</w:t>
            </w:r>
            <w:r>
              <w:rPr>
                <w:rFonts w:hint="default"/>
                <w:color w:val="auto"/>
                <w:highlight w:val="none"/>
                <w:lang w:val="en-US" w:eastAsia="zh-CN"/>
              </w:rPr>
              <w:t>dB</w:t>
            </w:r>
            <w:r>
              <w:rPr>
                <w:rFonts w:hint="eastAsia"/>
                <w:color w:val="auto"/>
                <w:highlight w:val="none"/>
                <w:lang w:val="en-US" w:eastAsia="zh-CN"/>
              </w:rPr>
              <w:t>；</w:t>
            </w:r>
          </w:p>
          <w:p w14:paraId="7D961BA0">
            <w:pPr>
              <w:bidi w:val="0"/>
              <w:ind w:firstLine="1200" w:firstLineChars="500"/>
              <w:rPr>
                <w:color w:val="auto"/>
                <w:highlight w:val="none"/>
              </w:rPr>
            </w:pPr>
            <w:r>
              <w:rPr>
                <w:rFonts w:hint="default"/>
                <w:i/>
                <w:iCs/>
                <w:color w:val="auto"/>
                <w:highlight w:val="none"/>
                <w:lang w:val="en-US" w:eastAsia="zh-CN"/>
              </w:rPr>
              <w:t>S</w:t>
            </w:r>
            <w:r>
              <w:rPr>
                <w:rFonts w:hint="default"/>
                <w:color w:val="auto"/>
                <w:highlight w:val="none"/>
                <w:lang w:val="en-US" w:eastAsia="zh-CN"/>
              </w:rPr>
              <w:t>——</w:t>
            </w:r>
            <w:r>
              <w:rPr>
                <w:rFonts w:hint="eastAsia"/>
                <w:color w:val="auto"/>
                <w:highlight w:val="none"/>
                <w:lang w:val="en-US" w:eastAsia="zh-CN"/>
              </w:rPr>
              <w:t>透声面积，</w:t>
            </w:r>
            <w:r>
              <w:rPr>
                <w:rFonts w:hint="default"/>
                <w:color w:val="auto"/>
                <w:highlight w:val="none"/>
                <w:lang w:val="en-US" w:eastAsia="zh-CN"/>
              </w:rPr>
              <w:t>m</w:t>
            </w:r>
            <w:r>
              <w:rPr>
                <w:rFonts w:hint="default"/>
                <w:color w:val="auto"/>
                <w:highlight w:val="none"/>
                <w:vertAlign w:val="superscript"/>
                <w:lang w:val="en-US" w:eastAsia="zh-CN"/>
              </w:rPr>
              <w:t>2</w:t>
            </w:r>
            <w:r>
              <w:rPr>
                <w:rFonts w:hint="eastAsia"/>
                <w:color w:val="auto"/>
                <w:highlight w:val="none"/>
                <w:lang w:val="en-US" w:eastAsia="zh-CN"/>
              </w:rPr>
              <w:t>。</w:t>
            </w:r>
          </w:p>
          <w:p w14:paraId="0A6464BA">
            <w:pPr>
              <w:bidi w:val="0"/>
              <w:rPr>
                <w:color w:val="auto"/>
                <w:highlight w:val="none"/>
              </w:rPr>
            </w:pPr>
            <w:r>
              <w:rPr>
                <w:rFonts w:hint="eastAsia"/>
                <w:color w:val="auto"/>
                <w:highlight w:val="none"/>
                <w:lang w:val="en-US" w:eastAsia="zh-CN"/>
              </w:rPr>
              <w:t>⑤按室外声源预测方法计算预测点处的</w:t>
            </w:r>
            <w:r>
              <w:rPr>
                <w:rFonts w:hint="default"/>
                <w:color w:val="auto"/>
                <w:highlight w:val="none"/>
                <w:lang w:val="en-US" w:eastAsia="zh-CN"/>
              </w:rPr>
              <w:t>A</w:t>
            </w:r>
            <w:r>
              <w:rPr>
                <w:rFonts w:hint="eastAsia"/>
                <w:color w:val="auto"/>
                <w:highlight w:val="none"/>
                <w:lang w:val="en-US" w:eastAsia="zh-CN"/>
              </w:rPr>
              <w:t>声级。</w:t>
            </w:r>
          </w:p>
          <w:p w14:paraId="36CFE680">
            <w:pPr>
              <w:bidi w:val="0"/>
              <w:rPr>
                <w:rFonts w:hint="default" w:eastAsia="宋体"/>
                <w:color w:val="auto"/>
                <w:highlight w:val="none"/>
                <w:lang w:val="en-US" w:eastAsia="zh-CN"/>
              </w:rPr>
            </w:pPr>
            <m:oMathPara>
              <m:oMath>
                <m:sSub>
                  <m:sSubPr>
                    <m:ctrlPr>
                      <w:rPr>
                        <w:rFonts w:ascii="Cambria Math" w:hAnsi="Cambria Math"/>
                        <w:i/>
                        <w:color w:val="auto"/>
                        <w:highlight w:val="none"/>
                        <w:lang w:val="en-US"/>
                      </w:rPr>
                    </m:ctrlPr>
                  </m:sSubPr>
                  <m:e>
                    <m:r>
                      <m:rPr/>
                      <w:rPr>
                        <w:rFonts w:hint="default" w:ascii="Cambria Math" w:hAnsi="Cambria Math"/>
                        <w:color w:val="auto"/>
                        <w:highlight w:val="none"/>
                        <w:lang w:val="en-US" w:eastAsia="zh-CN"/>
                      </w:rPr>
                      <m:t>L</m:t>
                    </m:r>
                    <m:ctrlPr>
                      <w:rPr>
                        <w:rFonts w:ascii="Cambria Math" w:hAnsi="Cambria Math"/>
                        <w:i/>
                        <w:color w:val="auto"/>
                        <w:highlight w:val="none"/>
                        <w:lang w:val="en-US"/>
                      </w:rPr>
                    </m:ctrlPr>
                  </m:e>
                  <m:sub>
                    <m:r>
                      <m:rPr/>
                      <w:rPr>
                        <w:rFonts w:hint="default" w:ascii="Cambria Math" w:hAnsi="Cambria Math"/>
                        <w:color w:val="auto"/>
                        <w:highlight w:val="none"/>
                        <w:lang w:val="en-US" w:eastAsia="zh-CN"/>
                      </w:rPr>
                      <m:t>A</m:t>
                    </m:r>
                    <m:ctrlPr>
                      <w:rPr>
                        <w:rFonts w:ascii="Cambria Math" w:hAnsi="Cambria Math"/>
                        <w:i/>
                        <w:color w:val="auto"/>
                        <w:highlight w:val="none"/>
                        <w:lang w:val="en-US"/>
                      </w:rPr>
                    </m:ctrlPr>
                  </m:sub>
                </m:sSub>
                <m:d>
                  <m:dPr>
                    <m:ctrlPr>
                      <w:rPr>
                        <w:rFonts w:ascii="Cambria Math" w:hAnsi="Cambria Math"/>
                        <w:i/>
                        <w:color w:val="auto"/>
                        <w:highlight w:val="none"/>
                        <w:lang w:val="en-US"/>
                      </w:rPr>
                    </m:ctrlPr>
                  </m:dPr>
                  <m:e>
                    <m:r>
                      <m:rPr/>
                      <w:rPr>
                        <w:rFonts w:hint="default" w:ascii="Cambria Math" w:hAnsi="Cambria Math"/>
                        <w:color w:val="auto"/>
                        <w:highlight w:val="none"/>
                        <w:lang w:val="en-US" w:eastAsia="zh-CN"/>
                      </w:rPr>
                      <m:t>r</m:t>
                    </m:r>
                    <m:ctrlPr>
                      <w:rPr>
                        <w:rFonts w:ascii="Cambria Math" w:hAnsi="Cambria Math"/>
                        <w:i/>
                        <w:color w:val="auto"/>
                        <w:highlight w:val="none"/>
                        <w:lang w:val="en-US"/>
                      </w:rPr>
                    </m:ctrlPr>
                  </m:e>
                </m:d>
                <m:r>
                  <m:rPr/>
                  <w:rPr>
                    <w:rFonts w:hint="default" w:ascii="Cambria Math" w:hAnsi="Cambria Math" w:cs="Cambria Math"/>
                    <w:color w:val="auto"/>
                    <w:highlight w:val="none"/>
                    <w:lang w:val="en-US"/>
                  </w:rPr>
                  <m:t>=</m:t>
                </m:r>
                <m:sSub>
                  <m:sSubPr>
                    <m:ctrlPr>
                      <w:rPr>
                        <w:rFonts w:hint="default" w:ascii="Cambria Math" w:hAnsi="Cambria Math" w:cs="Cambria Math"/>
                        <w:i/>
                        <w:color w:val="auto"/>
                        <w:highlight w:val="none"/>
                        <w:lang w:val="en-US"/>
                      </w:rPr>
                    </m:ctrlPr>
                  </m:sSubPr>
                  <m:e>
                    <m:r>
                      <m:rPr/>
                      <w:rPr>
                        <w:rFonts w:hint="default" w:ascii="Cambria Math" w:hAnsi="Cambria Math" w:cs="Cambria Math"/>
                        <w:color w:val="auto"/>
                        <w:highlight w:val="none"/>
                        <w:lang w:val="en-US" w:eastAsia="zh-CN"/>
                      </w:rPr>
                      <m:t>L</m:t>
                    </m:r>
                    <m:ctrlPr>
                      <w:rPr>
                        <w:rFonts w:hint="default" w:ascii="Cambria Math" w:hAnsi="Cambria Math" w:cs="Cambria Math"/>
                        <w:i/>
                        <w:color w:val="auto"/>
                        <w:highlight w:val="none"/>
                        <w:lang w:val="en-US"/>
                      </w:rPr>
                    </m:ctrlPr>
                  </m:e>
                  <m:sub>
                    <m:r>
                      <m:rPr/>
                      <w:rPr>
                        <w:rFonts w:hint="default" w:ascii="Cambria Math" w:hAnsi="Cambria Math" w:cs="Cambria Math"/>
                        <w:color w:val="auto"/>
                        <w:highlight w:val="none"/>
                        <w:lang w:val="en-US" w:eastAsia="zh-CN"/>
                      </w:rPr>
                      <m:t>Aw</m:t>
                    </m:r>
                    <m:ctrlPr>
                      <w:rPr>
                        <w:rFonts w:hint="default" w:ascii="Cambria Math" w:hAnsi="Cambria Math" w:cs="Cambria Math"/>
                        <w:i/>
                        <w:color w:val="auto"/>
                        <w:highlight w:val="none"/>
                        <w:lang w:val="en-US"/>
                      </w:rPr>
                    </m:ctrlPr>
                  </m:sub>
                </m:sSub>
                <m:r>
                  <m:rPr/>
                  <w:rPr>
                    <w:rFonts w:hint="default" w:ascii="Cambria Math" w:hAnsi="Cambria Math" w:cs="Cambria Math"/>
                    <w:color w:val="auto"/>
                    <w:highlight w:val="none"/>
                    <w:lang w:val="en-US" w:eastAsia="zh-CN"/>
                  </w:rPr>
                  <m:t>−</m:t>
                </m:r>
                <m:r>
                  <m:rPr/>
                  <w:rPr>
                    <w:rFonts w:hint="default" w:ascii="Cambria Math" w:hAnsi="Cambria Math"/>
                    <w:color w:val="auto"/>
                    <w:highlight w:val="none"/>
                    <w:lang w:val="en-US" w:eastAsia="zh-CN"/>
                  </w:rPr>
                  <m:t>20</m:t>
                </m:r>
                <m:func>
                  <m:funcPr>
                    <m:ctrlPr>
                      <w:rPr>
                        <w:rFonts w:hint="default" w:ascii="Cambria Math" w:hAnsi="Cambria Math"/>
                        <w:color w:val="auto"/>
                        <w:highlight w:val="none"/>
                        <w:lang w:val="en-US" w:eastAsia="zh-CN"/>
                      </w:rPr>
                    </m:ctrlPr>
                  </m:funcPr>
                  <m:fName>
                    <m:r>
                      <m:rPr>
                        <m:sty m:val="p"/>
                      </m:rPr>
                      <w:rPr>
                        <w:rFonts w:ascii="Cambria Math" w:hAnsi="Cambria Math"/>
                        <w:color w:val="auto"/>
                        <w:highlight w:val="none"/>
                        <w:lang w:val="en-US"/>
                      </w:rPr>
                      <m:t>lg</m:t>
                    </m:r>
                    <m:ctrlPr>
                      <w:rPr>
                        <w:rFonts w:hint="default" w:ascii="Cambria Math" w:hAnsi="Cambria Math"/>
                        <w:i/>
                        <w:color w:val="auto"/>
                        <w:highlight w:val="none"/>
                        <w:lang w:val="en-US" w:eastAsia="zh-CN"/>
                      </w:rPr>
                    </m:ctrlPr>
                  </m:fName>
                  <m:e>
                    <m:r>
                      <m:rPr/>
                      <w:rPr>
                        <w:rFonts w:hint="default" w:ascii="Cambria Math" w:hAnsi="Cambria Math"/>
                        <w:color w:val="auto"/>
                        <w:highlight w:val="none"/>
                        <w:lang w:val="en-US" w:eastAsia="zh-CN"/>
                      </w:rPr>
                      <m:t>r</m:t>
                    </m:r>
                    <m:ctrlPr>
                      <w:rPr>
                        <w:rFonts w:hint="default" w:ascii="Cambria Math" w:hAnsi="Cambria Math"/>
                        <w:i/>
                        <w:color w:val="auto"/>
                        <w:highlight w:val="none"/>
                        <w:lang w:val="en-US" w:eastAsia="zh-CN"/>
                      </w:rPr>
                    </m:ctrlPr>
                  </m:e>
                </m:func>
                <m:r>
                  <m:rPr/>
                  <w:rPr>
                    <w:rFonts w:hint="default" w:ascii="Cambria Math" w:hAnsi="Cambria Math"/>
                    <w:color w:val="auto"/>
                    <w:highlight w:val="none"/>
                    <w:lang w:val="en-US" w:eastAsia="zh-CN"/>
                  </w:rPr>
                  <m:t>−8</m:t>
                </m:r>
              </m:oMath>
            </m:oMathPara>
          </w:p>
          <w:p w14:paraId="0C510CAA">
            <w:pPr>
              <w:bidi w:val="0"/>
              <w:rPr>
                <w:rFonts w:hint="eastAsia"/>
                <w:color w:val="auto"/>
                <w:highlight w:val="none"/>
                <w:lang w:val="en-US" w:eastAsia="zh-CN"/>
              </w:rPr>
            </w:pPr>
            <w:r>
              <w:rPr>
                <w:rFonts w:hint="eastAsia"/>
                <w:color w:val="auto"/>
                <w:highlight w:val="none"/>
                <w:lang w:val="en-US" w:eastAsia="zh-CN"/>
              </w:rPr>
              <w:t>式中：</w:t>
            </w:r>
            <w:r>
              <w:rPr>
                <w:rFonts w:hint="eastAsia"/>
                <w:i/>
                <w:iCs/>
                <w:color w:val="auto"/>
                <w:highlight w:val="none"/>
                <w:lang w:val="en-US" w:eastAsia="zh-CN"/>
              </w:rPr>
              <w:t>L</w:t>
            </w:r>
            <w:r>
              <w:rPr>
                <w:rFonts w:hint="eastAsia"/>
                <w:i/>
                <w:iCs/>
                <w:color w:val="auto"/>
                <w:highlight w:val="none"/>
                <w:vertAlign w:val="subscript"/>
                <w:lang w:val="en-US" w:eastAsia="zh-CN"/>
              </w:rPr>
              <w:t>A</w:t>
            </w:r>
            <w:r>
              <w:rPr>
                <w:rFonts w:hint="eastAsia"/>
                <w:color w:val="auto"/>
                <w:highlight w:val="none"/>
                <w:lang w:val="en-US" w:eastAsia="zh-CN"/>
              </w:rPr>
              <w:t>(</w:t>
            </w:r>
            <w:r>
              <w:rPr>
                <w:rFonts w:hint="eastAsia"/>
                <w:i/>
                <w:iCs/>
                <w:color w:val="auto"/>
                <w:highlight w:val="none"/>
                <w:lang w:val="en-US" w:eastAsia="zh-CN"/>
              </w:rPr>
              <w:t>r</w:t>
            </w:r>
            <w:r>
              <w:rPr>
                <w:rFonts w:hint="eastAsia"/>
                <w:color w:val="auto"/>
                <w:highlight w:val="none"/>
                <w:lang w:val="en-US" w:eastAsia="zh-CN"/>
              </w:rPr>
              <w:t>)——距声源</w:t>
            </w:r>
            <w:r>
              <w:rPr>
                <w:rFonts w:hint="eastAsia"/>
                <w:i/>
                <w:iCs/>
                <w:color w:val="auto"/>
                <w:highlight w:val="none"/>
                <w:lang w:val="en-US" w:eastAsia="zh-CN"/>
              </w:rPr>
              <w:t>r</w:t>
            </w:r>
            <w:r>
              <w:rPr>
                <w:rFonts w:hint="eastAsia"/>
                <w:color w:val="auto"/>
                <w:highlight w:val="none"/>
                <w:lang w:val="en-US" w:eastAsia="zh-CN"/>
              </w:rPr>
              <w:t>处的A声级，</w:t>
            </w:r>
            <w:r>
              <w:rPr>
                <w:color w:val="auto"/>
                <w:highlight w:val="none"/>
                <w:lang w:val="en-US" w:eastAsia="zh-CN"/>
              </w:rPr>
              <w:t>dB</w:t>
            </w:r>
            <w:r>
              <w:rPr>
                <w:rFonts w:hint="eastAsia"/>
                <w:color w:val="auto"/>
                <w:highlight w:val="none"/>
                <w:lang w:val="en-US" w:eastAsia="zh-CN"/>
              </w:rPr>
              <w:t>（A）；</w:t>
            </w:r>
          </w:p>
          <w:p w14:paraId="727B0567">
            <w:pPr>
              <w:bidi w:val="0"/>
              <w:ind w:firstLine="1200" w:firstLineChars="500"/>
              <w:rPr>
                <w:rFonts w:hint="eastAsia"/>
                <w:color w:val="auto"/>
                <w:highlight w:val="none"/>
                <w:lang w:val="en-US" w:eastAsia="zh-CN"/>
              </w:rPr>
            </w:pPr>
            <w:r>
              <w:rPr>
                <w:rFonts w:hint="eastAsia"/>
                <w:i/>
                <w:iCs/>
                <w:color w:val="auto"/>
                <w:highlight w:val="none"/>
                <w:lang w:val="en-US" w:eastAsia="zh-CN"/>
              </w:rPr>
              <w:t>L</w:t>
            </w:r>
            <w:r>
              <w:rPr>
                <w:rFonts w:hint="eastAsia"/>
                <w:i/>
                <w:iCs/>
                <w:color w:val="auto"/>
                <w:highlight w:val="none"/>
                <w:vertAlign w:val="subscript"/>
                <w:lang w:val="en-US" w:eastAsia="zh-CN"/>
              </w:rPr>
              <w:t>Aw</w:t>
            </w:r>
            <w:r>
              <w:rPr>
                <w:rFonts w:hint="eastAsia"/>
                <w:color w:val="auto"/>
                <w:highlight w:val="none"/>
                <w:lang w:val="en-US" w:eastAsia="zh-CN"/>
              </w:rPr>
              <w:t>——点声源A计权声功率级，dB；</w:t>
            </w:r>
          </w:p>
          <w:p w14:paraId="6EA9A638">
            <w:pPr>
              <w:bidi w:val="0"/>
              <w:ind w:firstLine="1200" w:firstLineChars="500"/>
              <w:rPr>
                <w:rFonts w:hint="eastAsia"/>
                <w:color w:val="auto"/>
                <w:highlight w:val="none"/>
                <w:lang w:val="en-US" w:eastAsia="zh-CN"/>
              </w:rPr>
            </w:pPr>
            <w:r>
              <w:rPr>
                <w:rFonts w:hint="eastAsia"/>
                <w:i/>
                <w:iCs/>
                <w:color w:val="auto"/>
                <w:highlight w:val="none"/>
                <w:lang w:val="en-US" w:eastAsia="zh-CN"/>
              </w:rPr>
              <w:t>r</w:t>
            </w:r>
            <w:r>
              <w:rPr>
                <w:rFonts w:hint="eastAsia"/>
                <w:color w:val="auto"/>
                <w:highlight w:val="none"/>
                <w:lang w:val="en-US" w:eastAsia="zh-CN"/>
              </w:rPr>
              <w:t>——预测点距声源的距离。</w:t>
            </w:r>
          </w:p>
          <w:p w14:paraId="360BC76D">
            <w:pPr>
              <w:pStyle w:val="41"/>
              <w:bidi w:val="0"/>
              <w:rPr>
                <w:rFonts w:hint="eastAsia"/>
                <w:color w:val="auto"/>
                <w:highlight w:val="none"/>
                <w:lang w:val="en-US" w:eastAsia="zh-CN"/>
              </w:rPr>
            </w:pPr>
            <w:r>
              <w:rPr>
                <w:rFonts w:hint="eastAsia"/>
                <w:color w:val="auto"/>
                <w:highlight w:val="none"/>
                <w:lang w:val="en-US" w:eastAsia="zh-CN"/>
              </w:rPr>
              <w:t>（2）主要噪声源强调查清单统计表</w:t>
            </w:r>
          </w:p>
          <w:p w14:paraId="69E3E955">
            <w:pPr>
              <w:bidi w:val="0"/>
              <w:rPr>
                <w:color w:val="auto"/>
                <w:highlight w:val="none"/>
              </w:rPr>
            </w:pPr>
            <w:r>
              <w:rPr>
                <w:rFonts w:hint="eastAsia"/>
                <w:color w:val="auto"/>
                <w:highlight w:val="none"/>
                <w:lang w:eastAsia="zh-CN"/>
              </w:rPr>
              <w:t>项目主要噪声源强调查清单统计</w:t>
            </w:r>
            <w:r>
              <w:rPr>
                <w:rFonts w:hint="eastAsia"/>
                <w:color w:val="auto"/>
                <w:highlight w:val="none"/>
                <w:lang w:val="en-US" w:eastAsia="zh-CN"/>
              </w:rPr>
              <w:t>见</w:t>
            </w:r>
            <w:r>
              <w:rPr>
                <w:rFonts w:hint="eastAsia"/>
                <w:color w:val="auto"/>
                <w:highlight w:val="none"/>
                <w:lang w:val="en-US" w:eastAsia="zh-CN"/>
              </w:rPr>
              <w:fldChar w:fldCharType="begin"/>
            </w:r>
            <w:r>
              <w:rPr>
                <w:rFonts w:hint="eastAsia"/>
                <w:color w:val="auto"/>
                <w:highlight w:val="none"/>
                <w:lang w:val="en-US" w:eastAsia="zh-CN"/>
              </w:rPr>
              <w:instrText xml:space="preserve"> REF _Ref21364 \h </w:instrText>
            </w:r>
            <w:r>
              <w:rPr>
                <w:rFonts w:hint="eastAsia"/>
                <w:color w:val="auto"/>
                <w:highlight w:val="none"/>
                <w:lang w:val="en-US" w:eastAsia="zh-CN"/>
              </w:rPr>
              <w:fldChar w:fldCharType="separate"/>
            </w:r>
            <w:r>
              <w:rPr>
                <w:color w:val="auto"/>
                <w:highlight w:val="none"/>
              </w:rPr>
              <w:t>表4-8</w:t>
            </w:r>
            <w:r>
              <w:rPr>
                <w:rFonts w:hint="eastAsia"/>
                <w:color w:val="auto"/>
                <w:highlight w:val="none"/>
                <w:lang w:val="en-US" w:eastAsia="zh-CN"/>
              </w:rPr>
              <w:fldChar w:fldCharType="end"/>
            </w:r>
            <w:r>
              <w:rPr>
                <w:rFonts w:hint="eastAsia"/>
                <w:color w:val="auto"/>
                <w:highlight w:val="none"/>
                <w:lang w:val="en-US" w:eastAsia="zh-CN"/>
              </w:rPr>
              <w:t>和</w:t>
            </w:r>
            <w:r>
              <w:rPr>
                <w:rFonts w:hint="eastAsia"/>
                <w:color w:val="auto"/>
                <w:highlight w:val="none"/>
                <w:lang w:val="en-US" w:eastAsia="zh-CN"/>
              </w:rPr>
              <w:fldChar w:fldCharType="begin"/>
            </w:r>
            <w:r>
              <w:rPr>
                <w:rFonts w:hint="eastAsia"/>
                <w:color w:val="auto"/>
                <w:highlight w:val="none"/>
                <w:lang w:val="en-US" w:eastAsia="zh-CN"/>
              </w:rPr>
              <w:instrText xml:space="preserve"> REF _Ref21399 \h </w:instrText>
            </w:r>
            <w:r>
              <w:rPr>
                <w:rFonts w:hint="eastAsia"/>
                <w:color w:val="auto"/>
                <w:highlight w:val="none"/>
                <w:lang w:val="en-US" w:eastAsia="zh-CN"/>
              </w:rPr>
              <w:fldChar w:fldCharType="separate"/>
            </w:r>
            <w:r>
              <w:rPr>
                <w:color w:val="auto"/>
                <w:highlight w:val="none"/>
              </w:rPr>
              <w:t>表4-9</w:t>
            </w:r>
            <w:r>
              <w:rPr>
                <w:rFonts w:hint="eastAsia"/>
                <w:color w:val="auto"/>
                <w:highlight w:val="none"/>
                <w:lang w:val="en-US" w:eastAsia="zh-CN"/>
              </w:rPr>
              <w:fldChar w:fldCharType="end"/>
            </w:r>
            <w:r>
              <w:rPr>
                <w:rFonts w:hint="eastAsia"/>
                <w:color w:val="auto"/>
                <w:highlight w:val="none"/>
                <w:lang w:val="en-US" w:eastAsia="zh-CN"/>
              </w:rPr>
              <w:t>，项目噪声预测参数见</w:t>
            </w:r>
            <w:bookmarkStart w:id="59" w:name="_Ref27174"/>
            <w:r>
              <w:rPr>
                <w:rFonts w:hint="eastAsia"/>
                <w:color w:val="auto"/>
                <w:highlight w:val="none"/>
                <w:lang w:val="en-US" w:eastAsia="zh-CN"/>
              </w:rPr>
              <w:fldChar w:fldCharType="begin"/>
            </w:r>
            <w:r>
              <w:rPr>
                <w:rFonts w:hint="eastAsia"/>
                <w:color w:val="auto"/>
                <w:highlight w:val="none"/>
                <w:lang w:val="en-US" w:eastAsia="zh-CN"/>
              </w:rPr>
              <w:instrText xml:space="preserve"> REF _Ref21439 \h </w:instrText>
            </w:r>
            <w:r>
              <w:rPr>
                <w:rFonts w:hint="eastAsia"/>
                <w:color w:val="auto"/>
                <w:highlight w:val="none"/>
                <w:lang w:val="en-US" w:eastAsia="zh-CN"/>
              </w:rPr>
              <w:fldChar w:fldCharType="separate"/>
            </w:r>
            <w:r>
              <w:rPr>
                <w:color w:val="auto"/>
                <w:highlight w:val="none"/>
              </w:rPr>
              <w:t>表4-10</w:t>
            </w:r>
            <w:r>
              <w:rPr>
                <w:rFonts w:hint="eastAsia"/>
                <w:color w:val="auto"/>
                <w:highlight w:val="none"/>
                <w:lang w:val="en-US" w:eastAsia="zh-CN"/>
              </w:rPr>
              <w:fldChar w:fldCharType="end"/>
            </w:r>
            <w:r>
              <w:rPr>
                <w:rFonts w:hint="eastAsia"/>
                <w:color w:val="auto"/>
                <w:highlight w:val="none"/>
                <w:lang w:val="en-US" w:eastAsia="zh-CN"/>
              </w:rPr>
              <w:t>。</w:t>
            </w:r>
          </w:p>
          <w:p w14:paraId="4EAD0378">
            <w:pPr>
              <w:pStyle w:val="7"/>
              <w:rPr>
                <w:rFonts w:hint="default"/>
                <w:color w:val="auto"/>
                <w:highlight w:val="none"/>
                <w:lang w:val="en-US" w:eastAsia="zh-CN"/>
              </w:rPr>
            </w:pPr>
            <w:bookmarkStart w:id="60" w:name="_Ref21364"/>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8</w:t>
            </w:r>
            <w:r>
              <w:rPr>
                <w:color w:val="auto"/>
                <w:highlight w:val="none"/>
              </w:rPr>
              <w:fldChar w:fldCharType="end"/>
            </w:r>
            <w:bookmarkEnd w:id="59"/>
            <w:bookmarkEnd w:id="60"/>
            <w:r>
              <w:rPr>
                <w:rFonts w:hint="eastAsia"/>
                <w:color w:val="auto"/>
                <w:highlight w:val="none"/>
                <w:lang w:val="en-US" w:eastAsia="zh-CN"/>
              </w:rPr>
              <w:t xml:space="preserve">  主要噪声源强调查清单统计表-1（室内声源）</w:t>
            </w:r>
          </w:p>
          <w:tbl>
            <w:tblPr>
              <w:tblStyle w:val="24"/>
              <w:tblW w:w="8046" w:type="dxa"/>
              <w:tblInd w:w="-3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374"/>
              <w:gridCol w:w="1218"/>
              <w:gridCol w:w="1562"/>
              <w:gridCol w:w="1062"/>
              <w:gridCol w:w="600"/>
              <w:gridCol w:w="588"/>
              <w:gridCol w:w="565"/>
              <w:gridCol w:w="866"/>
              <w:gridCol w:w="600"/>
              <w:gridCol w:w="611"/>
            </w:tblGrid>
            <w:tr w14:paraId="32D2D0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1592" w:type="dxa"/>
                  <w:gridSpan w:val="2"/>
                  <w:vMerge w:val="restart"/>
                  <w:tcBorders>
                    <w:tl2br w:val="nil"/>
                    <w:tr2bl w:val="nil"/>
                  </w:tcBorders>
                  <w:shd w:val="clear" w:color="auto" w:fill="auto"/>
                  <w:noWrap/>
                  <w:vAlign w:val="center"/>
                </w:tcPr>
                <w:p w14:paraId="3CC92361">
                  <w:pPr>
                    <w:pStyle w:val="40"/>
                    <w:bidi w:val="0"/>
                    <w:rPr>
                      <w:rFonts w:hint="default"/>
                      <w:color w:val="auto"/>
                      <w:spacing w:val="-6"/>
                      <w:highlight w:val="none"/>
                    </w:rPr>
                  </w:pPr>
                  <w:bookmarkStart w:id="61" w:name="_Ref27308"/>
                  <w:bookmarkStart w:id="62" w:name="_Ref21399"/>
                  <w:r>
                    <w:rPr>
                      <w:rFonts w:hint="eastAsia"/>
                      <w:color w:val="auto"/>
                      <w:spacing w:val="-6"/>
                      <w:highlight w:val="none"/>
                      <w:lang w:val="en-US" w:eastAsia="zh-CN"/>
                    </w:rPr>
                    <w:t>车间名称</w:t>
                  </w:r>
                </w:p>
              </w:tc>
              <w:tc>
                <w:tcPr>
                  <w:tcW w:w="1562" w:type="dxa"/>
                  <w:vMerge w:val="restart"/>
                  <w:tcBorders>
                    <w:tl2br w:val="nil"/>
                    <w:tr2bl w:val="nil"/>
                  </w:tcBorders>
                  <w:shd w:val="clear" w:color="auto" w:fill="auto"/>
                  <w:vAlign w:val="center"/>
                </w:tcPr>
                <w:p w14:paraId="04820E63">
                  <w:pPr>
                    <w:pStyle w:val="40"/>
                    <w:bidi w:val="0"/>
                    <w:rPr>
                      <w:rFonts w:hint="default"/>
                      <w:color w:val="auto"/>
                      <w:spacing w:val="-6"/>
                      <w:highlight w:val="none"/>
                    </w:rPr>
                  </w:pPr>
                  <w:r>
                    <w:rPr>
                      <w:rFonts w:hint="eastAsia"/>
                      <w:color w:val="auto"/>
                      <w:spacing w:val="-6"/>
                      <w:highlight w:val="none"/>
                      <w:lang w:val="en-US" w:eastAsia="zh-CN"/>
                    </w:rPr>
                    <w:t>声源名称</w:t>
                  </w:r>
                </w:p>
              </w:tc>
              <w:tc>
                <w:tcPr>
                  <w:tcW w:w="1062" w:type="dxa"/>
                  <w:tcBorders>
                    <w:tl2br w:val="nil"/>
                    <w:tr2bl w:val="nil"/>
                  </w:tcBorders>
                  <w:shd w:val="clear" w:color="auto" w:fill="auto"/>
                  <w:vAlign w:val="center"/>
                </w:tcPr>
                <w:p w14:paraId="749A225D">
                  <w:pPr>
                    <w:pStyle w:val="40"/>
                    <w:bidi w:val="0"/>
                    <w:rPr>
                      <w:rFonts w:hint="default"/>
                      <w:color w:val="auto"/>
                      <w:spacing w:val="-6"/>
                      <w:highlight w:val="none"/>
                    </w:rPr>
                  </w:pPr>
                  <w:r>
                    <w:rPr>
                      <w:rFonts w:hint="eastAsia"/>
                      <w:color w:val="auto"/>
                      <w:spacing w:val="-6"/>
                      <w:highlight w:val="none"/>
                      <w:lang w:val="en-US" w:eastAsia="zh-CN"/>
                    </w:rPr>
                    <w:t>声源源强</w:t>
                  </w:r>
                </w:p>
              </w:tc>
              <w:tc>
                <w:tcPr>
                  <w:tcW w:w="1753" w:type="dxa"/>
                  <w:gridSpan w:val="3"/>
                  <w:tcBorders>
                    <w:tl2br w:val="nil"/>
                    <w:tr2bl w:val="nil"/>
                  </w:tcBorders>
                  <w:shd w:val="clear" w:color="auto" w:fill="auto"/>
                  <w:noWrap/>
                  <w:vAlign w:val="center"/>
                </w:tcPr>
                <w:p w14:paraId="74658D87">
                  <w:pPr>
                    <w:pStyle w:val="40"/>
                    <w:bidi w:val="0"/>
                    <w:rPr>
                      <w:rFonts w:hint="default"/>
                      <w:color w:val="auto"/>
                      <w:spacing w:val="-6"/>
                      <w:highlight w:val="none"/>
                    </w:rPr>
                  </w:pPr>
                  <w:r>
                    <w:rPr>
                      <w:rFonts w:hint="eastAsia"/>
                      <w:color w:val="auto"/>
                      <w:spacing w:val="-6"/>
                      <w:highlight w:val="none"/>
                      <w:lang w:val="en-US" w:eastAsia="zh-CN"/>
                    </w:rPr>
                    <w:t>空间相对位置</w:t>
                  </w:r>
                  <w:r>
                    <w:rPr>
                      <w:rFonts w:hint="default"/>
                      <w:color w:val="auto"/>
                      <w:spacing w:val="-6"/>
                      <w:highlight w:val="none"/>
                      <w:lang w:val="en-US" w:eastAsia="zh-CN"/>
                    </w:rPr>
                    <w:t>/m</w:t>
                  </w:r>
                </w:p>
              </w:tc>
              <w:tc>
                <w:tcPr>
                  <w:tcW w:w="866" w:type="dxa"/>
                  <w:vMerge w:val="restart"/>
                  <w:tcBorders>
                    <w:tl2br w:val="nil"/>
                    <w:tr2bl w:val="nil"/>
                  </w:tcBorders>
                  <w:shd w:val="clear" w:color="auto" w:fill="auto"/>
                  <w:vAlign w:val="center"/>
                </w:tcPr>
                <w:p w14:paraId="53AEC93F">
                  <w:pPr>
                    <w:pStyle w:val="40"/>
                    <w:bidi w:val="0"/>
                    <w:rPr>
                      <w:rFonts w:hint="default"/>
                      <w:color w:val="auto"/>
                      <w:spacing w:val="-6"/>
                      <w:highlight w:val="none"/>
                    </w:rPr>
                  </w:pPr>
                  <w:r>
                    <w:rPr>
                      <w:rFonts w:hint="eastAsia"/>
                      <w:color w:val="auto"/>
                      <w:spacing w:val="-6"/>
                      <w:highlight w:val="none"/>
                      <w:lang w:val="en-US" w:eastAsia="zh-CN"/>
                    </w:rPr>
                    <w:t>距室内边界距离</w:t>
                  </w:r>
                  <w:r>
                    <w:rPr>
                      <w:rFonts w:hint="default"/>
                      <w:color w:val="auto"/>
                      <w:spacing w:val="-6"/>
                      <w:highlight w:val="none"/>
                      <w:lang w:val="en-US" w:eastAsia="zh-CN"/>
                    </w:rPr>
                    <w:t>/m</w:t>
                  </w:r>
                </w:p>
              </w:tc>
              <w:tc>
                <w:tcPr>
                  <w:tcW w:w="1211" w:type="dxa"/>
                  <w:gridSpan w:val="2"/>
                  <w:vMerge w:val="restart"/>
                  <w:tcBorders>
                    <w:tl2br w:val="nil"/>
                    <w:tr2bl w:val="nil"/>
                  </w:tcBorders>
                  <w:shd w:val="clear" w:color="auto" w:fill="auto"/>
                  <w:vAlign w:val="center"/>
                </w:tcPr>
                <w:p w14:paraId="7171D639">
                  <w:pPr>
                    <w:pStyle w:val="40"/>
                    <w:bidi w:val="0"/>
                    <w:rPr>
                      <w:rFonts w:hint="default"/>
                      <w:color w:val="auto"/>
                      <w:spacing w:val="-6"/>
                      <w:highlight w:val="none"/>
                    </w:rPr>
                  </w:pPr>
                  <w:r>
                    <w:rPr>
                      <w:rFonts w:hint="eastAsia"/>
                      <w:color w:val="auto"/>
                      <w:spacing w:val="-6"/>
                      <w:highlight w:val="none"/>
                      <w:lang w:val="en-US" w:eastAsia="zh-CN"/>
                    </w:rPr>
                    <w:t>室内边界声级</w:t>
                  </w:r>
                  <w:r>
                    <w:rPr>
                      <w:rFonts w:hint="default"/>
                      <w:color w:val="auto"/>
                      <w:spacing w:val="-6"/>
                      <w:highlight w:val="none"/>
                      <w:lang w:val="en-US" w:eastAsia="zh-CN"/>
                    </w:rPr>
                    <w:t>/dB</w:t>
                  </w:r>
                  <w:r>
                    <w:rPr>
                      <w:rFonts w:hint="eastAsia"/>
                      <w:color w:val="auto"/>
                      <w:spacing w:val="-6"/>
                      <w:highlight w:val="none"/>
                      <w:lang w:val="en-US" w:eastAsia="zh-CN"/>
                    </w:rPr>
                    <w:t>（</w:t>
                  </w:r>
                  <w:r>
                    <w:rPr>
                      <w:rFonts w:hint="default"/>
                      <w:color w:val="auto"/>
                      <w:spacing w:val="-6"/>
                      <w:highlight w:val="none"/>
                      <w:lang w:val="en-US" w:eastAsia="zh-CN"/>
                    </w:rPr>
                    <w:t>A</w:t>
                  </w:r>
                  <w:r>
                    <w:rPr>
                      <w:rFonts w:hint="eastAsia"/>
                      <w:color w:val="auto"/>
                      <w:spacing w:val="-6"/>
                      <w:highlight w:val="none"/>
                      <w:lang w:val="en-US" w:eastAsia="zh-CN"/>
                    </w:rPr>
                    <w:t>）</w:t>
                  </w:r>
                </w:p>
              </w:tc>
            </w:tr>
            <w:tr w14:paraId="26F84E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1592" w:type="dxa"/>
                  <w:gridSpan w:val="2"/>
                  <w:vMerge w:val="continue"/>
                  <w:tcBorders>
                    <w:tl2br w:val="nil"/>
                    <w:tr2bl w:val="nil"/>
                  </w:tcBorders>
                  <w:shd w:val="clear" w:color="auto" w:fill="auto"/>
                  <w:noWrap/>
                  <w:vAlign w:val="center"/>
                </w:tcPr>
                <w:p w14:paraId="078B1D58">
                  <w:pPr>
                    <w:pStyle w:val="40"/>
                    <w:bidi w:val="0"/>
                    <w:rPr>
                      <w:rFonts w:hint="default"/>
                      <w:color w:val="auto"/>
                      <w:spacing w:val="-6"/>
                      <w:highlight w:val="none"/>
                    </w:rPr>
                  </w:pPr>
                </w:p>
              </w:tc>
              <w:tc>
                <w:tcPr>
                  <w:tcW w:w="1562" w:type="dxa"/>
                  <w:vMerge w:val="continue"/>
                  <w:tcBorders>
                    <w:tl2br w:val="nil"/>
                    <w:tr2bl w:val="nil"/>
                  </w:tcBorders>
                  <w:shd w:val="clear" w:color="auto" w:fill="auto"/>
                  <w:vAlign w:val="center"/>
                </w:tcPr>
                <w:p w14:paraId="62CFA831">
                  <w:pPr>
                    <w:pStyle w:val="40"/>
                    <w:bidi w:val="0"/>
                    <w:rPr>
                      <w:rFonts w:hint="default"/>
                      <w:color w:val="auto"/>
                      <w:spacing w:val="-6"/>
                      <w:highlight w:val="none"/>
                    </w:rPr>
                  </w:pPr>
                </w:p>
              </w:tc>
              <w:tc>
                <w:tcPr>
                  <w:tcW w:w="1062" w:type="dxa"/>
                  <w:tcBorders>
                    <w:tl2br w:val="nil"/>
                    <w:tr2bl w:val="nil"/>
                  </w:tcBorders>
                  <w:shd w:val="clear" w:color="auto" w:fill="auto"/>
                  <w:vAlign w:val="center"/>
                </w:tcPr>
                <w:p w14:paraId="2AC65CCC">
                  <w:pPr>
                    <w:pStyle w:val="40"/>
                    <w:bidi w:val="0"/>
                    <w:rPr>
                      <w:rFonts w:hint="default"/>
                      <w:color w:val="auto"/>
                      <w:spacing w:val="-6"/>
                      <w:highlight w:val="none"/>
                    </w:rPr>
                  </w:pPr>
                  <w:r>
                    <w:rPr>
                      <w:rFonts w:hint="eastAsia"/>
                      <w:color w:val="auto"/>
                      <w:spacing w:val="-6"/>
                      <w:highlight w:val="none"/>
                      <w:lang w:val="en-US" w:eastAsia="zh-CN"/>
                    </w:rPr>
                    <w:t>声功率级</w:t>
                  </w:r>
                  <w:r>
                    <w:rPr>
                      <w:rFonts w:hint="default"/>
                      <w:color w:val="auto"/>
                      <w:spacing w:val="-6"/>
                      <w:highlight w:val="none"/>
                      <w:lang w:val="en-US" w:eastAsia="zh-CN"/>
                    </w:rPr>
                    <w:t>dB</w:t>
                  </w:r>
                  <w:r>
                    <w:rPr>
                      <w:rFonts w:hint="eastAsia"/>
                      <w:color w:val="auto"/>
                      <w:spacing w:val="-6"/>
                      <w:highlight w:val="none"/>
                      <w:lang w:val="en-US" w:eastAsia="zh-CN"/>
                    </w:rPr>
                    <w:t>（</w:t>
                  </w:r>
                  <w:r>
                    <w:rPr>
                      <w:rFonts w:hint="default"/>
                      <w:color w:val="auto"/>
                      <w:spacing w:val="-6"/>
                      <w:highlight w:val="none"/>
                      <w:lang w:val="en-US" w:eastAsia="zh-CN"/>
                    </w:rPr>
                    <w:t>A</w:t>
                  </w:r>
                  <w:r>
                    <w:rPr>
                      <w:rFonts w:hint="eastAsia"/>
                      <w:color w:val="auto"/>
                      <w:spacing w:val="-6"/>
                      <w:highlight w:val="none"/>
                      <w:lang w:val="en-US" w:eastAsia="zh-CN"/>
                    </w:rPr>
                    <w:t>）</w:t>
                  </w:r>
                </w:p>
              </w:tc>
              <w:tc>
                <w:tcPr>
                  <w:tcW w:w="600" w:type="dxa"/>
                  <w:tcBorders>
                    <w:tl2br w:val="nil"/>
                    <w:tr2bl w:val="nil"/>
                  </w:tcBorders>
                  <w:shd w:val="clear" w:color="auto" w:fill="auto"/>
                  <w:noWrap/>
                  <w:vAlign w:val="center"/>
                </w:tcPr>
                <w:p w14:paraId="146262F3">
                  <w:pPr>
                    <w:pStyle w:val="40"/>
                    <w:bidi w:val="0"/>
                    <w:rPr>
                      <w:rFonts w:hint="default"/>
                      <w:color w:val="auto"/>
                      <w:spacing w:val="-6"/>
                      <w:highlight w:val="none"/>
                    </w:rPr>
                  </w:pPr>
                  <w:r>
                    <w:rPr>
                      <w:rFonts w:hint="default"/>
                      <w:color w:val="auto"/>
                      <w:spacing w:val="-6"/>
                      <w:highlight w:val="none"/>
                      <w:lang w:val="en-US" w:eastAsia="zh-CN"/>
                    </w:rPr>
                    <w:t>X</w:t>
                  </w:r>
                </w:p>
              </w:tc>
              <w:tc>
                <w:tcPr>
                  <w:tcW w:w="588" w:type="dxa"/>
                  <w:tcBorders>
                    <w:tl2br w:val="nil"/>
                    <w:tr2bl w:val="nil"/>
                  </w:tcBorders>
                  <w:shd w:val="clear" w:color="auto" w:fill="auto"/>
                  <w:noWrap/>
                  <w:vAlign w:val="center"/>
                </w:tcPr>
                <w:p w14:paraId="3DDB5314">
                  <w:pPr>
                    <w:pStyle w:val="40"/>
                    <w:bidi w:val="0"/>
                    <w:rPr>
                      <w:rFonts w:hint="default"/>
                      <w:color w:val="auto"/>
                      <w:spacing w:val="-6"/>
                      <w:highlight w:val="none"/>
                    </w:rPr>
                  </w:pPr>
                  <w:r>
                    <w:rPr>
                      <w:rFonts w:hint="default"/>
                      <w:color w:val="auto"/>
                      <w:spacing w:val="-6"/>
                      <w:highlight w:val="none"/>
                      <w:lang w:val="en-US" w:eastAsia="zh-CN"/>
                    </w:rPr>
                    <w:t>Y</w:t>
                  </w:r>
                </w:p>
              </w:tc>
              <w:tc>
                <w:tcPr>
                  <w:tcW w:w="565" w:type="dxa"/>
                  <w:tcBorders>
                    <w:tl2br w:val="nil"/>
                    <w:tr2bl w:val="nil"/>
                  </w:tcBorders>
                  <w:shd w:val="clear" w:color="auto" w:fill="auto"/>
                  <w:noWrap/>
                  <w:vAlign w:val="center"/>
                </w:tcPr>
                <w:p w14:paraId="1B07D8F9">
                  <w:pPr>
                    <w:pStyle w:val="40"/>
                    <w:bidi w:val="0"/>
                    <w:rPr>
                      <w:rFonts w:hint="default"/>
                      <w:color w:val="auto"/>
                      <w:spacing w:val="-6"/>
                      <w:highlight w:val="none"/>
                    </w:rPr>
                  </w:pPr>
                  <w:r>
                    <w:rPr>
                      <w:rFonts w:hint="default"/>
                      <w:color w:val="auto"/>
                      <w:spacing w:val="-6"/>
                      <w:highlight w:val="none"/>
                      <w:lang w:val="en-US" w:eastAsia="zh-CN"/>
                    </w:rPr>
                    <w:t>Z</w:t>
                  </w:r>
                </w:p>
              </w:tc>
              <w:tc>
                <w:tcPr>
                  <w:tcW w:w="866" w:type="dxa"/>
                  <w:vMerge w:val="continue"/>
                  <w:tcBorders>
                    <w:tl2br w:val="nil"/>
                    <w:tr2bl w:val="nil"/>
                  </w:tcBorders>
                  <w:shd w:val="clear" w:color="auto" w:fill="auto"/>
                  <w:vAlign w:val="center"/>
                </w:tcPr>
                <w:p w14:paraId="4E8E41BA">
                  <w:pPr>
                    <w:pStyle w:val="40"/>
                    <w:bidi w:val="0"/>
                    <w:rPr>
                      <w:rFonts w:hint="default"/>
                      <w:color w:val="auto"/>
                      <w:spacing w:val="-6"/>
                      <w:highlight w:val="none"/>
                    </w:rPr>
                  </w:pPr>
                </w:p>
              </w:tc>
              <w:tc>
                <w:tcPr>
                  <w:tcW w:w="1211" w:type="dxa"/>
                  <w:gridSpan w:val="2"/>
                  <w:vMerge w:val="continue"/>
                  <w:tcBorders>
                    <w:tl2br w:val="nil"/>
                    <w:tr2bl w:val="nil"/>
                  </w:tcBorders>
                  <w:shd w:val="clear" w:color="auto" w:fill="auto"/>
                  <w:vAlign w:val="center"/>
                </w:tcPr>
                <w:p w14:paraId="367C5131">
                  <w:pPr>
                    <w:pStyle w:val="40"/>
                    <w:bidi w:val="0"/>
                    <w:rPr>
                      <w:rFonts w:hint="default"/>
                      <w:color w:val="auto"/>
                      <w:spacing w:val="-6"/>
                      <w:highlight w:val="none"/>
                    </w:rPr>
                  </w:pPr>
                </w:p>
              </w:tc>
            </w:tr>
            <w:tr w14:paraId="1CC5FB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74" w:type="dxa"/>
                  <w:vMerge w:val="restart"/>
                  <w:tcBorders>
                    <w:tl2br w:val="nil"/>
                    <w:tr2bl w:val="nil"/>
                  </w:tcBorders>
                  <w:shd w:val="clear" w:color="auto" w:fill="auto"/>
                  <w:vAlign w:val="center"/>
                </w:tcPr>
                <w:p w14:paraId="3ADA23F4">
                  <w:pPr>
                    <w:pStyle w:val="40"/>
                    <w:bidi w:val="0"/>
                    <w:rPr>
                      <w:rFonts w:hint="default" w:eastAsia="宋体"/>
                      <w:color w:val="auto"/>
                      <w:spacing w:val="-6"/>
                      <w:highlight w:val="none"/>
                      <w:lang w:val="en-US" w:eastAsia="zh-CN"/>
                    </w:rPr>
                  </w:pPr>
                  <w:r>
                    <w:rPr>
                      <w:rFonts w:hint="eastAsia"/>
                      <w:color w:val="auto"/>
                      <w:spacing w:val="-6"/>
                      <w:highlight w:val="none"/>
                      <w:lang w:val="en-US" w:eastAsia="zh-CN"/>
                    </w:rPr>
                    <w:t>蒸压硅酸盐功能骨料生产车间</w:t>
                  </w:r>
                </w:p>
              </w:tc>
              <w:tc>
                <w:tcPr>
                  <w:tcW w:w="1218" w:type="dxa"/>
                  <w:vMerge w:val="restart"/>
                  <w:tcBorders>
                    <w:tl2br w:val="nil"/>
                    <w:tr2bl w:val="nil"/>
                  </w:tcBorders>
                  <w:shd w:val="clear" w:color="auto" w:fill="auto"/>
                  <w:vAlign w:val="center"/>
                </w:tcPr>
                <w:p w14:paraId="4DB870CC">
                  <w:pPr>
                    <w:pStyle w:val="40"/>
                    <w:bidi w:val="0"/>
                    <w:rPr>
                      <w:rFonts w:hint="default"/>
                      <w:color w:val="auto"/>
                      <w:spacing w:val="-6"/>
                      <w:highlight w:val="none"/>
                    </w:rPr>
                  </w:pPr>
                  <w:r>
                    <w:rPr>
                      <w:rFonts w:hint="eastAsia"/>
                      <w:color w:val="auto"/>
                      <w:spacing w:val="-6"/>
                      <w:highlight w:val="none"/>
                      <w:lang w:val="en-US" w:eastAsia="zh-CN"/>
                    </w:rPr>
                    <w:t>预处理区</w:t>
                  </w:r>
                </w:p>
              </w:tc>
              <w:tc>
                <w:tcPr>
                  <w:tcW w:w="1562" w:type="dxa"/>
                  <w:tcBorders>
                    <w:tl2br w:val="nil"/>
                    <w:tr2bl w:val="nil"/>
                  </w:tcBorders>
                  <w:shd w:val="clear" w:color="auto" w:fill="auto"/>
                  <w:noWrap/>
                  <w:vAlign w:val="center"/>
                </w:tcPr>
                <w:p w14:paraId="4C7B5AEA">
                  <w:pPr>
                    <w:pStyle w:val="40"/>
                    <w:bidi w:val="0"/>
                    <w:rPr>
                      <w:rFonts w:hint="default"/>
                      <w:color w:val="auto"/>
                      <w:spacing w:val="-6"/>
                      <w:highlight w:val="none"/>
                    </w:rPr>
                  </w:pPr>
                  <w:r>
                    <w:rPr>
                      <w:rFonts w:hint="default"/>
                      <w:color w:val="auto"/>
                      <w:spacing w:val="-6"/>
                      <w:highlight w:val="none"/>
                      <w:lang w:val="en-US" w:eastAsia="zh-CN"/>
                    </w:rPr>
                    <w:t>1#</w:t>
                  </w:r>
                  <w:r>
                    <w:rPr>
                      <w:rFonts w:hint="eastAsia"/>
                      <w:color w:val="auto"/>
                      <w:spacing w:val="-6"/>
                      <w:highlight w:val="none"/>
                      <w:lang w:val="en-US" w:eastAsia="zh-CN"/>
                    </w:rPr>
                    <w:t>球磨机</w:t>
                  </w:r>
                </w:p>
              </w:tc>
              <w:tc>
                <w:tcPr>
                  <w:tcW w:w="1062" w:type="dxa"/>
                  <w:tcBorders>
                    <w:tl2br w:val="nil"/>
                    <w:tr2bl w:val="nil"/>
                  </w:tcBorders>
                  <w:shd w:val="clear" w:color="auto" w:fill="auto"/>
                  <w:noWrap/>
                  <w:vAlign w:val="center"/>
                </w:tcPr>
                <w:p w14:paraId="3C607203">
                  <w:pPr>
                    <w:pStyle w:val="40"/>
                    <w:bidi w:val="0"/>
                    <w:rPr>
                      <w:rFonts w:hint="default"/>
                      <w:color w:val="auto"/>
                      <w:spacing w:val="-6"/>
                      <w:highlight w:val="none"/>
                    </w:rPr>
                  </w:pPr>
                  <w:r>
                    <w:rPr>
                      <w:rFonts w:hint="default"/>
                      <w:color w:val="auto"/>
                      <w:spacing w:val="-6"/>
                      <w:highlight w:val="none"/>
                      <w:lang w:val="en-US" w:eastAsia="zh-CN"/>
                    </w:rPr>
                    <w:t>97</w:t>
                  </w:r>
                </w:p>
              </w:tc>
              <w:tc>
                <w:tcPr>
                  <w:tcW w:w="600" w:type="dxa"/>
                  <w:tcBorders>
                    <w:tl2br w:val="nil"/>
                    <w:tr2bl w:val="nil"/>
                  </w:tcBorders>
                  <w:shd w:val="clear" w:color="auto" w:fill="auto"/>
                  <w:noWrap/>
                  <w:vAlign w:val="center"/>
                </w:tcPr>
                <w:p w14:paraId="5D674FE2">
                  <w:pPr>
                    <w:pStyle w:val="40"/>
                    <w:bidi w:val="0"/>
                    <w:rPr>
                      <w:rFonts w:hint="default"/>
                      <w:color w:val="auto"/>
                      <w:spacing w:val="-6"/>
                      <w:highlight w:val="none"/>
                    </w:rPr>
                  </w:pPr>
                  <w:r>
                    <w:rPr>
                      <w:rFonts w:hint="default"/>
                      <w:color w:val="auto"/>
                      <w:spacing w:val="-6"/>
                      <w:highlight w:val="none"/>
                      <w:lang w:val="en-US" w:eastAsia="zh-CN"/>
                    </w:rPr>
                    <w:t>101</w:t>
                  </w:r>
                </w:p>
              </w:tc>
              <w:tc>
                <w:tcPr>
                  <w:tcW w:w="588" w:type="dxa"/>
                  <w:tcBorders>
                    <w:tl2br w:val="nil"/>
                    <w:tr2bl w:val="nil"/>
                  </w:tcBorders>
                  <w:shd w:val="clear" w:color="auto" w:fill="auto"/>
                  <w:noWrap/>
                  <w:vAlign w:val="center"/>
                </w:tcPr>
                <w:p w14:paraId="22F4F3BA">
                  <w:pPr>
                    <w:pStyle w:val="40"/>
                    <w:bidi w:val="0"/>
                    <w:rPr>
                      <w:rFonts w:hint="default"/>
                      <w:color w:val="auto"/>
                      <w:spacing w:val="-6"/>
                      <w:highlight w:val="none"/>
                    </w:rPr>
                  </w:pPr>
                  <w:r>
                    <w:rPr>
                      <w:rFonts w:hint="default"/>
                      <w:color w:val="auto"/>
                      <w:spacing w:val="-6"/>
                      <w:highlight w:val="none"/>
                      <w:lang w:val="en-US" w:eastAsia="zh-CN"/>
                    </w:rPr>
                    <w:t>180</w:t>
                  </w:r>
                </w:p>
              </w:tc>
              <w:tc>
                <w:tcPr>
                  <w:tcW w:w="565" w:type="dxa"/>
                  <w:tcBorders>
                    <w:tl2br w:val="nil"/>
                    <w:tr2bl w:val="nil"/>
                  </w:tcBorders>
                  <w:shd w:val="clear" w:color="auto" w:fill="auto"/>
                  <w:noWrap/>
                  <w:vAlign w:val="center"/>
                </w:tcPr>
                <w:p w14:paraId="0B0386E5">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099C09FE">
                  <w:pPr>
                    <w:pStyle w:val="40"/>
                    <w:bidi w:val="0"/>
                    <w:rPr>
                      <w:rFonts w:hint="default"/>
                      <w:color w:val="auto"/>
                      <w:spacing w:val="-6"/>
                      <w:highlight w:val="none"/>
                    </w:rPr>
                  </w:pPr>
                  <w:r>
                    <w:rPr>
                      <w:rFonts w:hint="default"/>
                      <w:color w:val="auto"/>
                      <w:spacing w:val="-6"/>
                      <w:highlight w:val="none"/>
                      <w:lang w:val="en-US" w:eastAsia="zh-CN"/>
                    </w:rPr>
                    <w:t>48</w:t>
                  </w:r>
                </w:p>
              </w:tc>
              <w:tc>
                <w:tcPr>
                  <w:tcW w:w="600" w:type="dxa"/>
                  <w:tcBorders>
                    <w:tl2br w:val="nil"/>
                    <w:tr2bl w:val="nil"/>
                  </w:tcBorders>
                  <w:shd w:val="clear" w:color="auto" w:fill="auto"/>
                  <w:noWrap/>
                  <w:vAlign w:val="center"/>
                </w:tcPr>
                <w:p w14:paraId="3916AD93">
                  <w:pPr>
                    <w:pStyle w:val="40"/>
                    <w:bidi w:val="0"/>
                    <w:rPr>
                      <w:rFonts w:hint="default"/>
                      <w:color w:val="auto"/>
                      <w:spacing w:val="-6"/>
                      <w:highlight w:val="none"/>
                    </w:rPr>
                  </w:pPr>
                  <w:r>
                    <w:rPr>
                      <w:rFonts w:hint="default"/>
                      <w:color w:val="auto"/>
                      <w:spacing w:val="-6"/>
                      <w:highlight w:val="none"/>
                      <w:lang w:val="en-US" w:eastAsia="zh-CN"/>
                    </w:rPr>
                    <w:t>79.7</w:t>
                  </w:r>
                </w:p>
              </w:tc>
              <w:tc>
                <w:tcPr>
                  <w:tcW w:w="611" w:type="dxa"/>
                  <w:vMerge w:val="restart"/>
                  <w:tcBorders>
                    <w:tl2br w:val="nil"/>
                    <w:tr2bl w:val="nil"/>
                  </w:tcBorders>
                  <w:shd w:val="clear" w:color="auto" w:fill="auto"/>
                  <w:noWrap/>
                  <w:vAlign w:val="center"/>
                </w:tcPr>
                <w:p w14:paraId="0EC091B1">
                  <w:pPr>
                    <w:pStyle w:val="40"/>
                    <w:bidi w:val="0"/>
                    <w:rPr>
                      <w:rFonts w:hint="default"/>
                      <w:color w:val="auto"/>
                      <w:spacing w:val="-6"/>
                      <w:highlight w:val="none"/>
                    </w:rPr>
                  </w:pPr>
                  <w:r>
                    <w:rPr>
                      <w:rFonts w:hint="default"/>
                      <w:color w:val="auto"/>
                      <w:spacing w:val="-6"/>
                      <w:highlight w:val="none"/>
                      <w:lang w:val="en-US" w:eastAsia="zh-CN"/>
                    </w:rPr>
                    <w:t>88.2</w:t>
                  </w:r>
                </w:p>
              </w:tc>
            </w:tr>
            <w:tr w14:paraId="2914E3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689809FF">
                  <w:pPr>
                    <w:pStyle w:val="40"/>
                    <w:bidi w:val="0"/>
                    <w:rPr>
                      <w:rFonts w:hint="default"/>
                      <w:color w:val="auto"/>
                      <w:spacing w:val="-6"/>
                      <w:highlight w:val="none"/>
                    </w:rPr>
                  </w:pPr>
                </w:p>
              </w:tc>
              <w:tc>
                <w:tcPr>
                  <w:tcW w:w="1218" w:type="dxa"/>
                  <w:vMerge w:val="continue"/>
                  <w:tcBorders>
                    <w:tl2br w:val="nil"/>
                    <w:tr2bl w:val="nil"/>
                  </w:tcBorders>
                  <w:shd w:val="clear" w:color="auto" w:fill="auto"/>
                  <w:vAlign w:val="center"/>
                </w:tcPr>
                <w:p w14:paraId="5E3679A0">
                  <w:pPr>
                    <w:pStyle w:val="40"/>
                    <w:bidi w:val="0"/>
                    <w:rPr>
                      <w:rFonts w:hint="default"/>
                      <w:color w:val="auto"/>
                      <w:spacing w:val="-6"/>
                      <w:highlight w:val="none"/>
                    </w:rPr>
                  </w:pPr>
                </w:p>
              </w:tc>
              <w:tc>
                <w:tcPr>
                  <w:tcW w:w="1562" w:type="dxa"/>
                  <w:tcBorders>
                    <w:tl2br w:val="nil"/>
                    <w:tr2bl w:val="nil"/>
                  </w:tcBorders>
                  <w:shd w:val="clear" w:color="auto" w:fill="auto"/>
                  <w:noWrap/>
                  <w:vAlign w:val="center"/>
                </w:tcPr>
                <w:p w14:paraId="049427C7">
                  <w:pPr>
                    <w:pStyle w:val="40"/>
                    <w:bidi w:val="0"/>
                    <w:rPr>
                      <w:rFonts w:hint="default"/>
                      <w:color w:val="auto"/>
                      <w:spacing w:val="-6"/>
                      <w:highlight w:val="none"/>
                    </w:rPr>
                  </w:pPr>
                  <w:r>
                    <w:rPr>
                      <w:rFonts w:hint="default"/>
                      <w:color w:val="auto"/>
                      <w:spacing w:val="-6"/>
                      <w:highlight w:val="none"/>
                      <w:lang w:val="en-US" w:eastAsia="zh-CN"/>
                    </w:rPr>
                    <w:t>2#</w:t>
                  </w:r>
                  <w:r>
                    <w:rPr>
                      <w:rFonts w:hint="eastAsia"/>
                      <w:color w:val="auto"/>
                      <w:spacing w:val="-6"/>
                      <w:highlight w:val="none"/>
                      <w:lang w:val="en-US" w:eastAsia="zh-CN"/>
                    </w:rPr>
                    <w:t>球磨机</w:t>
                  </w:r>
                </w:p>
              </w:tc>
              <w:tc>
                <w:tcPr>
                  <w:tcW w:w="1062" w:type="dxa"/>
                  <w:tcBorders>
                    <w:tl2br w:val="nil"/>
                    <w:tr2bl w:val="nil"/>
                  </w:tcBorders>
                  <w:shd w:val="clear" w:color="auto" w:fill="auto"/>
                  <w:noWrap/>
                  <w:vAlign w:val="center"/>
                </w:tcPr>
                <w:p w14:paraId="6BAABB15">
                  <w:pPr>
                    <w:pStyle w:val="40"/>
                    <w:bidi w:val="0"/>
                    <w:rPr>
                      <w:rFonts w:hint="default"/>
                      <w:color w:val="auto"/>
                      <w:spacing w:val="-6"/>
                      <w:highlight w:val="none"/>
                    </w:rPr>
                  </w:pPr>
                  <w:r>
                    <w:rPr>
                      <w:rFonts w:hint="default"/>
                      <w:color w:val="auto"/>
                      <w:spacing w:val="-6"/>
                      <w:highlight w:val="none"/>
                      <w:lang w:val="en-US" w:eastAsia="zh-CN"/>
                    </w:rPr>
                    <w:t>97</w:t>
                  </w:r>
                </w:p>
              </w:tc>
              <w:tc>
                <w:tcPr>
                  <w:tcW w:w="600" w:type="dxa"/>
                  <w:tcBorders>
                    <w:tl2br w:val="nil"/>
                    <w:tr2bl w:val="nil"/>
                  </w:tcBorders>
                  <w:shd w:val="clear" w:color="auto" w:fill="auto"/>
                  <w:noWrap/>
                  <w:vAlign w:val="center"/>
                </w:tcPr>
                <w:p w14:paraId="3B1E135B">
                  <w:pPr>
                    <w:pStyle w:val="40"/>
                    <w:bidi w:val="0"/>
                    <w:rPr>
                      <w:rFonts w:hint="default"/>
                      <w:color w:val="auto"/>
                      <w:spacing w:val="-6"/>
                      <w:highlight w:val="none"/>
                    </w:rPr>
                  </w:pPr>
                  <w:r>
                    <w:rPr>
                      <w:rFonts w:hint="default"/>
                      <w:color w:val="auto"/>
                      <w:spacing w:val="-6"/>
                      <w:highlight w:val="none"/>
                      <w:lang w:val="en-US" w:eastAsia="zh-CN"/>
                    </w:rPr>
                    <w:t>114</w:t>
                  </w:r>
                </w:p>
              </w:tc>
              <w:tc>
                <w:tcPr>
                  <w:tcW w:w="588" w:type="dxa"/>
                  <w:tcBorders>
                    <w:tl2br w:val="nil"/>
                    <w:tr2bl w:val="nil"/>
                  </w:tcBorders>
                  <w:shd w:val="clear" w:color="auto" w:fill="auto"/>
                  <w:noWrap/>
                  <w:vAlign w:val="center"/>
                </w:tcPr>
                <w:p w14:paraId="127DE68B">
                  <w:pPr>
                    <w:pStyle w:val="40"/>
                    <w:bidi w:val="0"/>
                    <w:rPr>
                      <w:rFonts w:hint="default"/>
                      <w:color w:val="auto"/>
                      <w:spacing w:val="-6"/>
                      <w:highlight w:val="none"/>
                    </w:rPr>
                  </w:pPr>
                  <w:r>
                    <w:rPr>
                      <w:rFonts w:hint="default"/>
                      <w:color w:val="auto"/>
                      <w:spacing w:val="-6"/>
                      <w:highlight w:val="none"/>
                      <w:lang w:val="en-US" w:eastAsia="zh-CN"/>
                    </w:rPr>
                    <w:t>181</w:t>
                  </w:r>
                </w:p>
              </w:tc>
              <w:tc>
                <w:tcPr>
                  <w:tcW w:w="565" w:type="dxa"/>
                  <w:tcBorders>
                    <w:tl2br w:val="nil"/>
                    <w:tr2bl w:val="nil"/>
                  </w:tcBorders>
                  <w:shd w:val="clear" w:color="auto" w:fill="auto"/>
                  <w:noWrap/>
                  <w:vAlign w:val="center"/>
                </w:tcPr>
                <w:p w14:paraId="4CB07E0E">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61000DD1">
                  <w:pPr>
                    <w:pStyle w:val="40"/>
                    <w:bidi w:val="0"/>
                    <w:rPr>
                      <w:rFonts w:hint="default"/>
                      <w:color w:val="auto"/>
                      <w:spacing w:val="-6"/>
                      <w:highlight w:val="none"/>
                    </w:rPr>
                  </w:pPr>
                  <w:r>
                    <w:rPr>
                      <w:rFonts w:hint="default"/>
                      <w:color w:val="auto"/>
                      <w:spacing w:val="-6"/>
                      <w:highlight w:val="none"/>
                      <w:lang w:val="en-US" w:eastAsia="zh-CN"/>
                    </w:rPr>
                    <w:t>43</w:t>
                  </w:r>
                </w:p>
              </w:tc>
              <w:tc>
                <w:tcPr>
                  <w:tcW w:w="600" w:type="dxa"/>
                  <w:tcBorders>
                    <w:tl2br w:val="nil"/>
                    <w:tr2bl w:val="nil"/>
                  </w:tcBorders>
                  <w:shd w:val="clear" w:color="auto" w:fill="auto"/>
                  <w:noWrap/>
                  <w:vAlign w:val="center"/>
                </w:tcPr>
                <w:p w14:paraId="096FD85E">
                  <w:pPr>
                    <w:pStyle w:val="40"/>
                    <w:bidi w:val="0"/>
                    <w:rPr>
                      <w:rFonts w:hint="default"/>
                      <w:color w:val="auto"/>
                      <w:spacing w:val="-6"/>
                      <w:highlight w:val="none"/>
                    </w:rPr>
                  </w:pPr>
                  <w:r>
                    <w:rPr>
                      <w:rFonts w:hint="default"/>
                      <w:color w:val="auto"/>
                      <w:spacing w:val="-6"/>
                      <w:highlight w:val="none"/>
                      <w:lang w:val="en-US" w:eastAsia="zh-CN"/>
                    </w:rPr>
                    <w:t>79.7</w:t>
                  </w:r>
                </w:p>
              </w:tc>
              <w:tc>
                <w:tcPr>
                  <w:tcW w:w="611" w:type="dxa"/>
                  <w:vMerge w:val="continue"/>
                  <w:tcBorders>
                    <w:tl2br w:val="nil"/>
                    <w:tr2bl w:val="nil"/>
                  </w:tcBorders>
                  <w:shd w:val="clear" w:color="auto" w:fill="auto"/>
                  <w:noWrap/>
                  <w:vAlign w:val="center"/>
                </w:tcPr>
                <w:p w14:paraId="66752180">
                  <w:pPr>
                    <w:pStyle w:val="40"/>
                    <w:bidi w:val="0"/>
                    <w:rPr>
                      <w:rFonts w:hint="default"/>
                      <w:color w:val="auto"/>
                      <w:spacing w:val="-6"/>
                      <w:highlight w:val="none"/>
                    </w:rPr>
                  </w:pPr>
                </w:p>
              </w:tc>
            </w:tr>
            <w:tr w14:paraId="7F916E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35D3A215">
                  <w:pPr>
                    <w:pStyle w:val="40"/>
                    <w:bidi w:val="0"/>
                    <w:rPr>
                      <w:rFonts w:hint="default"/>
                      <w:color w:val="auto"/>
                      <w:spacing w:val="-6"/>
                      <w:highlight w:val="none"/>
                    </w:rPr>
                  </w:pPr>
                </w:p>
              </w:tc>
              <w:tc>
                <w:tcPr>
                  <w:tcW w:w="1218" w:type="dxa"/>
                  <w:vMerge w:val="continue"/>
                  <w:tcBorders>
                    <w:tl2br w:val="nil"/>
                    <w:tr2bl w:val="nil"/>
                  </w:tcBorders>
                  <w:shd w:val="clear" w:color="auto" w:fill="auto"/>
                  <w:vAlign w:val="center"/>
                </w:tcPr>
                <w:p w14:paraId="27DC3E20">
                  <w:pPr>
                    <w:pStyle w:val="40"/>
                    <w:bidi w:val="0"/>
                    <w:rPr>
                      <w:rFonts w:hint="default"/>
                      <w:color w:val="auto"/>
                      <w:spacing w:val="-6"/>
                      <w:highlight w:val="none"/>
                    </w:rPr>
                  </w:pPr>
                </w:p>
              </w:tc>
              <w:tc>
                <w:tcPr>
                  <w:tcW w:w="1562" w:type="dxa"/>
                  <w:tcBorders>
                    <w:tl2br w:val="nil"/>
                    <w:tr2bl w:val="nil"/>
                  </w:tcBorders>
                  <w:shd w:val="clear" w:color="auto" w:fill="auto"/>
                  <w:noWrap/>
                  <w:vAlign w:val="center"/>
                </w:tcPr>
                <w:p w14:paraId="652F6957">
                  <w:pPr>
                    <w:pStyle w:val="40"/>
                    <w:bidi w:val="0"/>
                    <w:rPr>
                      <w:rFonts w:hint="default"/>
                      <w:color w:val="auto"/>
                      <w:spacing w:val="-6"/>
                      <w:highlight w:val="none"/>
                    </w:rPr>
                  </w:pPr>
                  <w:r>
                    <w:rPr>
                      <w:rFonts w:hint="default"/>
                      <w:color w:val="auto"/>
                      <w:spacing w:val="-6"/>
                      <w:highlight w:val="none"/>
                      <w:lang w:val="en-US" w:eastAsia="zh-CN"/>
                    </w:rPr>
                    <w:t>3#</w:t>
                  </w:r>
                  <w:r>
                    <w:rPr>
                      <w:rFonts w:hint="eastAsia"/>
                      <w:color w:val="auto"/>
                      <w:spacing w:val="-6"/>
                      <w:highlight w:val="none"/>
                      <w:lang w:val="en-US" w:eastAsia="zh-CN"/>
                    </w:rPr>
                    <w:t>球磨机</w:t>
                  </w:r>
                </w:p>
              </w:tc>
              <w:tc>
                <w:tcPr>
                  <w:tcW w:w="1062" w:type="dxa"/>
                  <w:tcBorders>
                    <w:tl2br w:val="nil"/>
                    <w:tr2bl w:val="nil"/>
                  </w:tcBorders>
                  <w:shd w:val="clear" w:color="auto" w:fill="auto"/>
                  <w:noWrap/>
                  <w:vAlign w:val="center"/>
                </w:tcPr>
                <w:p w14:paraId="1F99D853">
                  <w:pPr>
                    <w:pStyle w:val="40"/>
                    <w:bidi w:val="0"/>
                    <w:rPr>
                      <w:rFonts w:hint="default"/>
                      <w:color w:val="auto"/>
                      <w:spacing w:val="-6"/>
                      <w:highlight w:val="none"/>
                    </w:rPr>
                  </w:pPr>
                  <w:r>
                    <w:rPr>
                      <w:rFonts w:hint="default"/>
                      <w:color w:val="auto"/>
                      <w:spacing w:val="-6"/>
                      <w:highlight w:val="none"/>
                      <w:lang w:val="en-US" w:eastAsia="zh-CN"/>
                    </w:rPr>
                    <w:t>97</w:t>
                  </w:r>
                </w:p>
              </w:tc>
              <w:tc>
                <w:tcPr>
                  <w:tcW w:w="600" w:type="dxa"/>
                  <w:tcBorders>
                    <w:tl2br w:val="nil"/>
                    <w:tr2bl w:val="nil"/>
                  </w:tcBorders>
                  <w:shd w:val="clear" w:color="auto" w:fill="auto"/>
                  <w:noWrap/>
                  <w:vAlign w:val="center"/>
                </w:tcPr>
                <w:p w14:paraId="781DE2C5">
                  <w:pPr>
                    <w:pStyle w:val="40"/>
                    <w:bidi w:val="0"/>
                    <w:rPr>
                      <w:rFonts w:hint="default"/>
                      <w:color w:val="auto"/>
                      <w:spacing w:val="-6"/>
                      <w:highlight w:val="none"/>
                    </w:rPr>
                  </w:pPr>
                  <w:r>
                    <w:rPr>
                      <w:rFonts w:hint="default"/>
                      <w:color w:val="auto"/>
                      <w:spacing w:val="-6"/>
                      <w:highlight w:val="none"/>
                      <w:lang w:val="en-US" w:eastAsia="zh-CN"/>
                    </w:rPr>
                    <w:t>127</w:t>
                  </w:r>
                </w:p>
              </w:tc>
              <w:tc>
                <w:tcPr>
                  <w:tcW w:w="588" w:type="dxa"/>
                  <w:tcBorders>
                    <w:tl2br w:val="nil"/>
                    <w:tr2bl w:val="nil"/>
                  </w:tcBorders>
                  <w:shd w:val="clear" w:color="auto" w:fill="auto"/>
                  <w:noWrap/>
                  <w:vAlign w:val="center"/>
                </w:tcPr>
                <w:p w14:paraId="25FDD35C">
                  <w:pPr>
                    <w:pStyle w:val="40"/>
                    <w:bidi w:val="0"/>
                    <w:rPr>
                      <w:rFonts w:hint="default"/>
                      <w:color w:val="auto"/>
                      <w:spacing w:val="-6"/>
                      <w:highlight w:val="none"/>
                    </w:rPr>
                  </w:pPr>
                  <w:r>
                    <w:rPr>
                      <w:rFonts w:hint="default"/>
                      <w:color w:val="auto"/>
                      <w:spacing w:val="-6"/>
                      <w:highlight w:val="none"/>
                      <w:lang w:val="en-US" w:eastAsia="zh-CN"/>
                    </w:rPr>
                    <w:t>182</w:t>
                  </w:r>
                </w:p>
              </w:tc>
              <w:tc>
                <w:tcPr>
                  <w:tcW w:w="565" w:type="dxa"/>
                  <w:tcBorders>
                    <w:tl2br w:val="nil"/>
                    <w:tr2bl w:val="nil"/>
                  </w:tcBorders>
                  <w:shd w:val="clear" w:color="auto" w:fill="auto"/>
                  <w:noWrap/>
                  <w:vAlign w:val="center"/>
                </w:tcPr>
                <w:p w14:paraId="1B5495B5">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528948C4">
                  <w:pPr>
                    <w:pStyle w:val="40"/>
                    <w:bidi w:val="0"/>
                    <w:rPr>
                      <w:rFonts w:hint="default"/>
                      <w:color w:val="auto"/>
                      <w:spacing w:val="-6"/>
                      <w:highlight w:val="none"/>
                    </w:rPr>
                  </w:pPr>
                  <w:r>
                    <w:rPr>
                      <w:rFonts w:hint="default"/>
                      <w:color w:val="auto"/>
                      <w:spacing w:val="-6"/>
                      <w:highlight w:val="none"/>
                      <w:lang w:val="en-US" w:eastAsia="zh-CN"/>
                    </w:rPr>
                    <w:t>56</w:t>
                  </w:r>
                </w:p>
              </w:tc>
              <w:tc>
                <w:tcPr>
                  <w:tcW w:w="600" w:type="dxa"/>
                  <w:tcBorders>
                    <w:tl2br w:val="nil"/>
                    <w:tr2bl w:val="nil"/>
                  </w:tcBorders>
                  <w:shd w:val="clear" w:color="auto" w:fill="auto"/>
                  <w:noWrap/>
                  <w:vAlign w:val="center"/>
                </w:tcPr>
                <w:p w14:paraId="73233863">
                  <w:pPr>
                    <w:pStyle w:val="40"/>
                    <w:bidi w:val="0"/>
                    <w:rPr>
                      <w:rFonts w:hint="default"/>
                      <w:color w:val="auto"/>
                      <w:spacing w:val="-6"/>
                      <w:highlight w:val="none"/>
                    </w:rPr>
                  </w:pPr>
                  <w:r>
                    <w:rPr>
                      <w:rFonts w:hint="default"/>
                      <w:color w:val="auto"/>
                      <w:spacing w:val="-6"/>
                      <w:highlight w:val="none"/>
                      <w:lang w:val="en-US" w:eastAsia="zh-CN"/>
                    </w:rPr>
                    <w:t>79.7</w:t>
                  </w:r>
                </w:p>
              </w:tc>
              <w:tc>
                <w:tcPr>
                  <w:tcW w:w="611" w:type="dxa"/>
                  <w:vMerge w:val="continue"/>
                  <w:tcBorders>
                    <w:tl2br w:val="nil"/>
                    <w:tr2bl w:val="nil"/>
                  </w:tcBorders>
                  <w:shd w:val="clear" w:color="auto" w:fill="auto"/>
                  <w:noWrap/>
                  <w:vAlign w:val="center"/>
                </w:tcPr>
                <w:p w14:paraId="007B9DCF">
                  <w:pPr>
                    <w:pStyle w:val="40"/>
                    <w:bidi w:val="0"/>
                    <w:rPr>
                      <w:rFonts w:hint="default"/>
                      <w:color w:val="auto"/>
                      <w:spacing w:val="-6"/>
                      <w:highlight w:val="none"/>
                    </w:rPr>
                  </w:pPr>
                </w:p>
              </w:tc>
            </w:tr>
            <w:tr w14:paraId="691087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3F89EC4F">
                  <w:pPr>
                    <w:pStyle w:val="40"/>
                    <w:bidi w:val="0"/>
                    <w:rPr>
                      <w:rFonts w:hint="default"/>
                      <w:color w:val="auto"/>
                      <w:spacing w:val="-6"/>
                      <w:highlight w:val="none"/>
                    </w:rPr>
                  </w:pPr>
                </w:p>
              </w:tc>
              <w:tc>
                <w:tcPr>
                  <w:tcW w:w="1218" w:type="dxa"/>
                  <w:vMerge w:val="continue"/>
                  <w:tcBorders>
                    <w:tl2br w:val="nil"/>
                    <w:tr2bl w:val="nil"/>
                  </w:tcBorders>
                  <w:shd w:val="clear" w:color="auto" w:fill="auto"/>
                  <w:vAlign w:val="center"/>
                </w:tcPr>
                <w:p w14:paraId="0660BCBD">
                  <w:pPr>
                    <w:pStyle w:val="40"/>
                    <w:bidi w:val="0"/>
                    <w:rPr>
                      <w:rFonts w:hint="default"/>
                      <w:color w:val="auto"/>
                      <w:spacing w:val="-6"/>
                      <w:highlight w:val="none"/>
                    </w:rPr>
                  </w:pPr>
                </w:p>
              </w:tc>
              <w:tc>
                <w:tcPr>
                  <w:tcW w:w="1562" w:type="dxa"/>
                  <w:tcBorders>
                    <w:tl2br w:val="nil"/>
                    <w:tr2bl w:val="nil"/>
                  </w:tcBorders>
                  <w:shd w:val="clear" w:color="auto" w:fill="auto"/>
                  <w:noWrap/>
                  <w:vAlign w:val="center"/>
                </w:tcPr>
                <w:p w14:paraId="42EFAFC8">
                  <w:pPr>
                    <w:pStyle w:val="40"/>
                    <w:bidi w:val="0"/>
                    <w:rPr>
                      <w:rFonts w:hint="eastAsia"/>
                      <w:color w:val="auto"/>
                      <w:spacing w:val="-6"/>
                      <w:highlight w:val="none"/>
                    </w:rPr>
                  </w:pPr>
                  <w:r>
                    <w:rPr>
                      <w:rFonts w:hint="eastAsia"/>
                      <w:color w:val="auto"/>
                      <w:spacing w:val="-6"/>
                      <w:highlight w:val="none"/>
                      <w:lang w:val="en-US" w:eastAsia="zh-CN"/>
                    </w:rPr>
                    <w:t>风机</w:t>
                  </w:r>
                </w:p>
              </w:tc>
              <w:tc>
                <w:tcPr>
                  <w:tcW w:w="1062" w:type="dxa"/>
                  <w:tcBorders>
                    <w:tl2br w:val="nil"/>
                    <w:tr2bl w:val="nil"/>
                  </w:tcBorders>
                  <w:shd w:val="clear" w:color="auto" w:fill="auto"/>
                  <w:noWrap/>
                  <w:vAlign w:val="center"/>
                </w:tcPr>
                <w:p w14:paraId="4043B9A1">
                  <w:pPr>
                    <w:pStyle w:val="40"/>
                    <w:bidi w:val="0"/>
                    <w:rPr>
                      <w:rFonts w:hint="default"/>
                      <w:color w:val="auto"/>
                      <w:spacing w:val="-6"/>
                      <w:highlight w:val="none"/>
                    </w:rPr>
                  </w:pPr>
                  <w:r>
                    <w:rPr>
                      <w:rFonts w:hint="default"/>
                      <w:color w:val="auto"/>
                      <w:spacing w:val="-6"/>
                      <w:highlight w:val="none"/>
                      <w:lang w:val="en-US" w:eastAsia="zh-CN"/>
                    </w:rPr>
                    <w:t>90</w:t>
                  </w:r>
                </w:p>
              </w:tc>
              <w:tc>
                <w:tcPr>
                  <w:tcW w:w="600" w:type="dxa"/>
                  <w:tcBorders>
                    <w:tl2br w:val="nil"/>
                    <w:tr2bl w:val="nil"/>
                  </w:tcBorders>
                  <w:shd w:val="clear" w:color="auto" w:fill="auto"/>
                  <w:noWrap/>
                  <w:vAlign w:val="center"/>
                </w:tcPr>
                <w:p w14:paraId="53A0D9A6">
                  <w:pPr>
                    <w:pStyle w:val="40"/>
                    <w:bidi w:val="0"/>
                    <w:rPr>
                      <w:rFonts w:hint="default"/>
                      <w:color w:val="auto"/>
                      <w:spacing w:val="-6"/>
                      <w:highlight w:val="none"/>
                    </w:rPr>
                  </w:pPr>
                  <w:r>
                    <w:rPr>
                      <w:rFonts w:hint="default"/>
                      <w:color w:val="auto"/>
                      <w:spacing w:val="-6"/>
                      <w:highlight w:val="none"/>
                      <w:lang w:val="en-US" w:eastAsia="zh-CN"/>
                    </w:rPr>
                    <w:t>101</w:t>
                  </w:r>
                </w:p>
              </w:tc>
              <w:tc>
                <w:tcPr>
                  <w:tcW w:w="588" w:type="dxa"/>
                  <w:tcBorders>
                    <w:tl2br w:val="nil"/>
                    <w:tr2bl w:val="nil"/>
                  </w:tcBorders>
                  <w:shd w:val="clear" w:color="auto" w:fill="auto"/>
                  <w:noWrap/>
                  <w:vAlign w:val="center"/>
                </w:tcPr>
                <w:p w14:paraId="154C7D25">
                  <w:pPr>
                    <w:pStyle w:val="40"/>
                    <w:bidi w:val="0"/>
                    <w:rPr>
                      <w:rFonts w:hint="default"/>
                      <w:color w:val="auto"/>
                      <w:spacing w:val="-6"/>
                      <w:highlight w:val="none"/>
                    </w:rPr>
                  </w:pPr>
                  <w:r>
                    <w:rPr>
                      <w:rFonts w:hint="default"/>
                      <w:color w:val="auto"/>
                      <w:spacing w:val="-6"/>
                      <w:highlight w:val="none"/>
                      <w:lang w:val="en-US" w:eastAsia="zh-CN"/>
                    </w:rPr>
                    <w:t>177</w:t>
                  </w:r>
                </w:p>
              </w:tc>
              <w:tc>
                <w:tcPr>
                  <w:tcW w:w="565" w:type="dxa"/>
                  <w:tcBorders>
                    <w:tl2br w:val="nil"/>
                    <w:tr2bl w:val="nil"/>
                  </w:tcBorders>
                  <w:shd w:val="clear" w:color="auto" w:fill="auto"/>
                  <w:noWrap/>
                  <w:vAlign w:val="center"/>
                </w:tcPr>
                <w:p w14:paraId="3A87B11E">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2F3954C2">
                  <w:pPr>
                    <w:pStyle w:val="40"/>
                    <w:bidi w:val="0"/>
                    <w:rPr>
                      <w:rFonts w:hint="default"/>
                      <w:color w:val="auto"/>
                      <w:spacing w:val="-6"/>
                      <w:highlight w:val="none"/>
                    </w:rPr>
                  </w:pPr>
                  <w:r>
                    <w:rPr>
                      <w:rFonts w:hint="default"/>
                      <w:color w:val="auto"/>
                      <w:spacing w:val="-6"/>
                      <w:highlight w:val="none"/>
                      <w:lang w:val="en-US" w:eastAsia="zh-CN"/>
                    </w:rPr>
                    <w:t>51</w:t>
                  </w:r>
                </w:p>
              </w:tc>
              <w:tc>
                <w:tcPr>
                  <w:tcW w:w="600" w:type="dxa"/>
                  <w:tcBorders>
                    <w:tl2br w:val="nil"/>
                    <w:tr2bl w:val="nil"/>
                  </w:tcBorders>
                  <w:shd w:val="clear" w:color="auto" w:fill="auto"/>
                  <w:noWrap/>
                  <w:vAlign w:val="center"/>
                </w:tcPr>
                <w:p w14:paraId="330F7F2A">
                  <w:pPr>
                    <w:pStyle w:val="40"/>
                    <w:bidi w:val="0"/>
                    <w:rPr>
                      <w:rFonts w:hint="default"/>
                      <w:color w:val="auto"/>
                      <w:spacing w:val="-6"/>
                      <w:highlight w:val="none"/>
                    </w:rPr>
                  </w:pPr>
                  <w:r>
                    <w:rPr>
                      <w:rFonts w:hint="default"/>
                      <w:color w:val="auto"/>
                      <w:spacing w:val="-6"/>
                      <w:highlight w:val="none"/>
                      <w:lang w:val="en-US" w:eastAsia="zh-CN"/>
                    </w:rPr>
                    <w:t>72.7</w:t>
                  </w:r>
                </w:p>
              </w:tc>
              <w:tc>
                <w:tcPr>
                  <w:tcW w:w="611" w:type="dxa"/>
                  <w:vMerge w:val="continue"/>
                  <w:tcBorders>
                    <w:tl2br w:val="nil"/>
                    <w:tr2bl w:val="nil"/>
                  </w:tcBorders>
                  <w:shd w:val="clear" w:color="auto" w:fill="auto"/>
                  <w:noWrap/>
                  <w:vAlign w:val="center"/>
                </w:tcPr>
                <w:p w14:paraId="6A73C1A8">
                  <w:pPr>
                    <w:pStyle w:val="40"/>
                    <w:bidi w:val="0"/>
                    <w:rPr>
                      <w:rFonts w:hint="default"/>
                      <w:color w:val="auto"/>
                      <w:spacing w:val="-6"/>
                      <w:highlight w:val="none"/>
                    </w:rPr>
                  </w:pPr>
                </w:p>
              </w:tc>
            </w:tr>
            <w:tr w14:paraId="510DFC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3B0D97F7">
                  <w:pPr>
                    <w:pStyle w:val="40"/>
                    <w:bidi w:val="0"/>
                    <w:rPr>
                      <w:rFonts w:hint="default"/>
                      <w:color w:val="auto"/>
                      <w:spacing w:val="-6"/>
                      <w:highlight w:val="none"/>
                    </w:rPr>
                  </w:pPr>
                </w:p>
              </w:tc>
              <w:tc>
                <w:tcPr>
                  <w:tcW w:w="1218" w:type="dxa"/>
                  <w:vMerge w:val="restart"/>
                  <w:tcBorders>
                    <w:tl2br w:val="nil"/>
                    <w:tr2bl w:val="nil"/>
                  </w:tcBorders>
                  <w:shd w:val="clear" w:color="auto" w:fill="auto"/>
                  <w:vAlign w:val="center"/>
                </w:tcPr>
                <w:p w14:paraId="1D3987C9">
                  <w:pPr>
                    <w:pStyle w:val="40"/>
                    <w:bidi w:val="0"/>
                    <w:rPr>
                      <w:rFonts w:hint="default"/>
                      <w:color w:val="auto"/>
                      <w:spacing w:val="-6"/>
                      <w:highlight w:val="none"/>
                    </w:rPr>
                  </w:pPr>
                  <w:r>
                    <w:rPr>
                      <w:rFonts w:hint="eastAsia"/>
                      <w:color w:val="auto"/>
                      <w:spacing w:val="0"/>
                      <w:sz w:val="21"/>
                      <w:highlight w:val="none"/>
                      <w:lang w:val="en-US" w:eastAsia="zh-CN"/>
                    </w:rPr>
                    <w:t>搅拌及成核区</w:t>
                  </w:r>
                </w:p>
              </w:tc>
              <w:tc>
                <w:tcPr>
                  <w:tcW w:w="1562" w:type="dxa"/>
                  <w:tcBorders>
                    <w:tl2br w:val="nil"/>
                    <w:tr2bl w:val="nil"/>
                  </w:tcBorders>
                  <w:shd w:val="clear" w:color="auto" w:fill="auto"/>
                  <w:noWrap/>
                  <w:vAlign w:val="center"/>
                </w:tcPr>
                <w:p w14:paraId="0AFB02D0">
                  <w:pPr>
                    <w:pStyle w:val="40"/>
                    <w:bidi w:val="0"/>
                    <w:rPr>
                      <w:rFonts w:hint="default"/>
                      <w:color w:val="auto"/>
                      <w:spacing w:val="-6"/>
                      <w:highlight w:val="none"/>
                    </w:rPr>
                  </w:pPr>
                  <w:r>
                    <w:rPr>
                      <w:rFonts w:hint="default"/>
                      <w:color w:val="auto"/>
                      <w:spacing w:val="-6"/>
                      <w:highlight w:val="none"/>
                      <w:lang w:val="en-US" w:eastAsia="zh-CN"/>
                    </w:rPr>
                    <w:t>1#</w:t>
                  </w:r>
                  <w:r>
                    <w:rPr>
                      <w:rFonts w:hint="eastAsia"/>
                      <w:color w:val="auto"/>
                      <w:spacing w:val="-6"/>
                      <w:highlight w:val="none"/>
                      <w:lang w:val="en-US" w:eastAsia="zh-CN"/>
                    </w:rPr>
                    <w:t>搅拌机</w:t>
                  </w:r>
                </w:p>
              </w:tc>
              <w:tc>
                <w:tcPr>
                  <w:tcW w:w="1062" w:type="dxa"/>
                  <w:tcBorders>
                    <w:tl2br w:val="nil"/>
                    <w:tr2bl w:val="nil"/>
                  </w:tcBorders>
                  <w:shd w:val="clear" w:color="auto" w:fill="auto"/>
                  <w:noWrap/>
                  <w:vAlign w:val="center"/>
                </w:tcPr>
                <w:p w14:paraId="07356AC5">
                  <w:pPr>
                    <w:pStyle w:val="40"/>
                    <w:bidi w:val="0"/>
                    <w:rPr>
                      <w:rFonts w:hint="default"/>
                      <w:color w:val="auto"/>
                      <w:spacing w:val="-6"/>
                      <w:highlight w:val="none"/>
                    </w:rPr>
                  </w:pPr>
                  <w:r>
                    <w:rPr>
                      <w:rFonts w:hint="default"/>
                      <w:color w:val="auto"/>
                      <w:spacing w:val="-6"/>
                      <w:highlight w:val="none"/>
                      <w:lang w:val="en-US" w:eastAsia="zh-CN"/>
                    </w:rPr>
                    <w:t>80</w:t>
                  </w:r>
                </w:p>
              </w:tc>
              <w:tc>
                <w:tcPr>
                  <w:tcW w:w="600" w:type="dxa"/>
                  <w:tcBorders>
                    <w:tl2br w:val="nil"/>
                    <w:tr2bl w:val="nil"/>
                  </w:tcBorders>
                  <w:shd w:val="clear" w:color="auto" w:fill="auto"/>
                  <w:noWrap/>
                  <w:vAlign w:val="center"/>
                </w:tcPr>
                <w:p w14:paraId="7D05AAB3">
                  <w:pPr>
                    <w:pStyle w:val="40"/>
                    <w:bidi w:val="0"/>
                    <w:rPr>
                      <w:rFonts w:hint="default"/>
                      <w:color w:val="auto"/>
                      <w:spacing w:val="-6"/>
                      <w:highlight w:val="none"/>
                    </w:rPr>
                  </w:pPr>
                  <w:r>
                    <w:rPr>
                      <w:rFonts w:hint="default"/>
                      <w:color w:val="auto"/>
                      <w:spacing w:val="-6"/>
                      <w:highlight w:val="none"/>
                      <w:lang w:val="en-US" w:eastAsia="zh-CN"/>
                    </w:rPr>
                    <w:t>89</w:t>
                  </w:r>
                </w:p>
              </w:tc>
              <w:tc>
                <w:tcPr>
                  <w:tcW w:w="588" w:type="dxa"/>
                  <w:tcBorders>
                    <w:tl2br w:val="nil"/>
                    <w:tr2bl w:val="nil"/>
                  </w:tcBorders>
                  <w:shd w:val="clear" w:color="auto" w:fill="auto"/>
                  <w:noWrap/>
                  <w:vAlign w:val="center"/>
                </w:tcPr>
                <w:p w14:paraId="7067CD8F">
                  <w:pPr>
                    <w:pStyle w:val="40"/>
                    <w:bidi w:val="0"/>
                    <w:rPr>
                      <w:rFonts w:hint="default"/>
                      <w:color w:val="auto"/>
                      <w:spacing w:val="-6"/>
                      <w:highlight w:val="none"/>
                    </w:rPr>
                  </w:pPr>
                  <w:r>
                    <w:rPr>
                      <w:rFonts w:hint="default"/>
                      <w:color w:val="auto"/>
                      <w:spacing w:val="-6"/>
                      <w:highlight w:val="none"/>
                      <w:lang w:val="en-US" w:eastAsia="zh-CN"/>
                    </w:rPr>
                    <w:t>166</w:t>
                  </w:r>
                </w:p>
              </w:tc>
              <w:tc>
                <w:tcPr>
                  <w:tcW w:w="565" w:type="dxa"/>
                  <w:tcBorders>
                    <w:tl2br w:val="nil"/>
                    <w:tr2bl w:val="nil"/>
                  </w:tcBorders>
                  <w:shd w:val="clear" w:color="auto" w:fill="auto"/>
                  <w:noWrap/>
                  <w:vAlign w:val="center"/>
                </w:tcPr>
                <w:p w14:paraId="45C249AC">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29AF9159">
                  <w:pPr>
                    <w:pStyle w:val="40"/>
                    <w:bidi w:val="0"/>
                    <w:rPr>
                      <w:rFonts w:hint="default"/>
                      <w:color w:val="auto"/>
                      <w:spacing w:val="-6"/>
                      <w:highlight w:val="none"/>
                    </w:rPr>
                  </w:pPr>
                  <w:r>
                    <w:rPr>
                      <w:rFonts w:hint="default"/>
                      <w:color w:val="auto"/>
                      <w:spacing w:val="-6"/>
                      <w:highlight w:val="none"/>
                      <w:lang w:val="en-US" w:eastAsia="zh-CN"/>
                    </w:rPr>
                    <w:t>61</w:t>
                  </w:r>
                </w:p>
              </w:tc>
              <w:tc>
                <w:tcPr>
                  <w:tcW w:w="600" w:type="dxa"/>
                  <w:tcBorders>
                    <w:tl2br w:val="nil"/>
                    <w:tr2bl w:val="nil"/>
                  </w:tcBorders>
                  <w:shd w:val="clear" w:color="auto" w:fill="auto"/>
                  <w:noWrap/>
                  <w:vAlign w:val="center"/>
                </w:tcPr>
                <w:p w14:paraId="7A9EA5A7">
                  <w:pPr>
                    <w:pStyle w:val="40"/>
                    <w:bidi w:val="0"/>
                    <w:rPr>
                      <w:rFonts w:hint="default"/>
                      <w:color w:val="auto"/>
                      <w:spacing w:val="-6"/>
                      <w:highlight w:val="none"/>
                    </w:rPr>
                  </w:pPr>
                  <w:r>
                    <w:rPr>
                      <w:rFonts w:hint="default"/>
                      <w:color w:val="auto"/>
                      <w:spacing w:val="-6"/>
                      <w:highlight w:val="none"/>
                      <w:lang w:val="en-US" w:eastAsia="zh-CN"/>
                    </w:rPr>
                    <w:t>62.7</w:t>
                  </w:r>
                </w:p>
              </w:tc>
              <w:tc>
                <w:tcPr>
                  <w:tcW w:w="611" w:type="dxa"/>
                  <w:vMerge w:val="continue"/>
                  <w:tcBorders>
                    <w:tl2br w:val="nil"/>
                    <w:tr2bl w:val="nil"/>
                  </w:tcBorders>
                  <w:shd w:val="clear" w:color="auto" w:fill="auto"/>
                  <w:noWrap/>
                  <w:vAlign w:val="center"/>
                </w:tcPr>
                <w:p w14:paraId="080E864A">
                  <w:pPr>
                    <w:pStyle w:val="40"/>
                    <w:bidi w:val="0"/>
                    <w:rPr>
                      <w:rFonts w:hint="default"/>
                      <w:color w:val="auto"/>
                      <w:spacing w:val="-6"/>
                      <w:highlight w:val="none"/>
                    </w:rPr>
                  </w:pPr>
                </w:p>
              </w:tc>
            </w:tr>
            <w:tr w14:paraId="0C7ED2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67F467E3">
                  <w:pPr>
                    <w:pStyle w:val="40"/>
                    <w:bidi w:val="0"/>
                    <w:rPr>
                      <w:rFonts w:hint="default"/>
                      <w:color w:val="auto"/>
                      <w:spacing w:val="-6"/>
                      <w:highlight w:val="none"/>
                    </w:rPr>
                  </w:pPr>
                </w:p>
              </w:tc>
              <w:tc>
                <w:tcPr>
                  <w:tcW w:w="1218" w:type="dxa"/>
                  <w:vMerge w:val="continue"/>
                  <w:tcBorders>
                    <w:tl2br w:val="nil"/>
                    <w:tr2bl w:val="nil"/>
                  </w:tcBorders>
                  <w:shd w:val="clear" w:color="auto" w:fill="auto"/>
                  <w:vAlign w:val="center"/>
                </w:tcPr>
                <w:p w14:paraId="4D354FE7">
                  <w:pPr>
                    <w:pStyle w:val="40"/>
                    <w:bidi w:val="0"/>
                    <w:rPr>
                      <w:rFonts w:hint="default"/>
                      <w:color w:val="auto"/>
                      <w:spacing w:val="-6"/>
                      <w:highlight w:val="none"/>
                    </w:rPr>
                  </w:pPr>
                </w:p>
              </w:tc>
              <w:tc>
                <w:tcPr>
                  <w:tcW w:w="1562" w:type="dxa"/>
                  <w:tcBorders>
                    <w:tl2br w:val="nil"/>
                    <w:tr2bl w:val="nil"/>
                  </w:tcBorders>
                  <w:shd w:val="clear" w:color="auto" w:fill="auto"/>
                  <w:noWrap/>
                  <w:vAlign w:val="center"/>
                </w:tcPr>
                <w:p w14:paraId="77F6EBB1">
                  <w:pPr>
                    <w:pStyle w:val="40"/>
                    <w:bidi w:val="0"/>
                    <w:rPr>
                      <w:rFonts w:hint="default"/>
                      <w:color w:val="auto"/>
                      <w:spacing w:val="-6"/>
                      <w:highlight w:val="none"/>
                    </w:rPr>
                  </w:pPr>
                  <w:r>
                    <w:rPr>
                      <w:rFonts w:hint="default"/>
                      <w:color w:val="auto"/>
                      <w:spacing w:val="-6"/>
                      <w:highlight w:val="none"/>
                      <w:lang w:val="en-US" w:eastAsia="zh-CN"/>
                    </w:rPr>
                    <w:t>2#</w:t>
                  </w:r>
                  <w:r>
                    <w:rPr>
                      <w:rFonts w:hint="eastAsia"/>
                      <w:color w:val="auto"/>
                      <w:spacing w:val="-6"/>
                      <w:highlight w:val="none"/>
                      <w:lang w:val="en-US" w:eastAsia="zh-CN"/>
                    </w:rPr>
                    <w:t>搅拌机</w:t>
                  </w:r>
                </w:p>
              </w:tc>
              <w:tc>
                <w:tcPr>
                  <w:tcW w:w="1062" w:type="dxa"/>
                  <w:tcBorders>
                    <w:tl2br w:val="nil"/>
                    <w:tr2bl w:val="nil"/>
                  </w:tcBorders>
                  <w:shd w:val="clear" w:color="auto" w:fill="auto"/>
                  <w:noWrap/>
                  <w:vAlign w:val="center"/>
                </w:tcPr>
                <w:p w14:paraId="60DF695B">
                  <w:pPr>
                    <w:pStyle w:val="40"/>
                    <w:bidi w:val="0"/>
                    <w:rPr>
                      <w:rFonts w:hint="default"/>
                      <w:color w:val="auto"/>
                      <w:spacing w:val="-6"/>
                      <w:highlight w:val="none"/>
                    </w:rPr>
                  </w:pPr>
                  <w:r>
                    <w:rPr>
                      <w:rFonts w:hint="default"/>
                      <w:color w:val="auto"/>
                      <w:spacing w:val="-6"/>
                      <w:highlight w:val="none"/>
                      <w:lang w:val="en-US" w:eastAsia="zh-CN"/>
                    </w:rPr>
                    <w:t>80</w:t>
                  </w:r>
                </w:p>
              </w:tc>
              <w:tc>
                <w:tcPr>
                  <w:tcW w:w="600" w:type="dxa"/>
                  <w:tcBorders>
                    <w:tl2br w:val="nil"/>
                    <w:tr2bl w:val="nil"/>
                  </w:tcBorders>
                  <w:shd w:val="clear" w:color="auto" w:fill="auto"/>
                  <w:noWrap/>
                  <w:vAlign w:val="center"/>
                </w:tcPr>
                <w:p w14:paraId="5B2A9295">
                  <w:pPr>
                    <w:pStyle w:val="40"/>
                    <w:bidi w:val="0"/>
                    <w:rPr>
                      <w:rFonts w:hint="default"/>
                      <w:color w:val="auto"/>
                      <w:spacing w:val="-6"/>
                      <w:highlight w:val="none"/>
                    </w:rPr>
                  </w:pPr>
                  <w:r>
                    <w:rPr>
                      <w:rFonts w:hint="default"/>
                      <w:color w:val="auto"/>
                      <w:spacing w:val="-6"/>
                      <w:highlight w:val="none"/>
                      <w:lang w:val="en-US" w:eastAsia="zh-CN"/>
                    </w:rPr>
                    <w:t>102</w:t>
                  </w:r>
                </w:p>
              </w:tc>
              <w:tc>
                <w:tcPr>
                  <w:tcW w:w="588" w:type="dxa"/>
                  <w:tcBorders>
                    <w:tl2br w:val="nil"/>
                    <w:tr2bl w:val="nil"/>
                  </w:tcBorders>
                  <w:shd w:val="clear" w:color="auto" w:fill="auto"/>
                  <w:noWrap/>
                  <w:vAlign w:val="center"/>
                </w:tcPr>
                <w:p w14:paraId="01037E3F">
                  <w:pPr>
                    <w:pStyle w:val="40"/>
                    <w:bidi w:val="0"/>
                    <w:rPr>
                      <w:rFonts w:hint="default"/>
                      <w:color w:val="auto"/>
                      <w:spacing w:val="-6"/>
                      <w:highlight w:val="none"/>
                    </w:rPr>
                  </w:pPr>
                  <w:r>
                    <w:rPr>
                      <w:rFonts w:hint="default"/>
                      <w:color w:val="auto"/>
                      <w:spacing w:val="-6"/>
                      <w:highlight w:val="none"/>
                      <w:lang w:val="en-US" w:eastAsia="zh-CN"/>
                    </w:rPr>
                    <w:t>167</w:t>
                  </w:r>
                </w:p>
              </w:tc>
              <w:tc>
                <w:tcPr>
                  <w:tcW w:w="565" w:type="dxa"/>
                  <w:tcBorders>
                    <w:tl2br w:val="nil"/>
                    <w:tr2bl w:val="nil"/>
                  </w:tcBorders>
                  <w:shd w:val="clear" w:color="auto" w:fill="auto"/>
                  <w:noWrap/>
                  <w:vAlign w:val="center"/>
                </w:tcPr>
                <w:p w14:paraId="4F0715E7">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15564B59">
                  <w:pPr>
                    <w:pStyle w:val="40"/>
                    <w:bidi w:val="0"/>
                    <w:rPr>
                      <w:rFonts w:hint="default"/>
                      <w:color w:val="auto"/>
                      <w:spacing w:val="-6"/>
                      <w:highlight w:val="none"/>
                    </w:rPr>
                  </w:pPr>
                  <w:r>
                    <w:rPr>
                      <w:rFonts w:hint="default"/>
                      <w:color w:val="auto"/>
                      <w:spacing w:val="-6"/>
                      <w:highlight w:val="none"/>
                      <w:lang w:val="en-US" w:eastAsia="zh-CN"/>
                    </w:rPr>
                    <w:t>59</w:t>
                  </w:r>
                </w:p>
              </w:tc>
              <w:tc>
                <w:tcPr>
                  <w:tcW w:w="600" w:type="dxa"/>
                  <w:tcBorders>
                    <w:tl2br w:val="nil"/>
                    <w:tr2bl w:val="nil"/>
                  </w:tcBorders>
                  <w:shd w:val="clear" w:color="auto" w:fill="auto"/>
                  <w:noWrap/>
                  <w:vAlign w:val="center"/>
                </w:tcPr>
                <w:p w14:paraId="4B1E2529">
                  <w:pPr>
                    <w:pStyle w:val="40"/>
                    <w:bidi w:val="0"/>
                    <w:rPr>
                      <w:rFonts w:hint="default"/>
                      <w:color w:val="auto"/>
                      <w:spacing w:val="-6"/>
                      <w:highlight w:val="none"/>
                    </w:rPr>
                  </w:pPr>
                  <w:r>
                    <w:rPr>
                      <w:rFonts w:hint="default"/>
                      <w:color w:val="auto"/>
                      <w:spacing w:val="-6"/>
                      <w:highlight w:val="none"/>
                      <w:lang w:val="en-US" w:eastAsia="zh-CN"/>
                    </w:rPr>
                    <w:t>62.7</w:t>
                  </w:r>
                </w:p>
              </w:tc>
              <w:tc>
                <w:tcPr>
                  <w:tcW w:w="611" w:type="dxa"/>
                  <w:vMerge w:val="continue"/>
                  <w:tcBorders>
                    <w:tl2br w:val="nil"/>
                    <w:tr2bl w:val="nil"/>
                  </w:tcBorders>
                  <w:shd w:val="clear" w:color="auto" w:fill="auto"/>
                  <w:noWrap/>
                  <w:vAlign w:val="center"/>
                </w:tcPr>
                <w:p w14:paraId="2AEAABEB">
                  <w:pPr>
                    <w:pStyle w:val="40"/>
                    <w:bidi w:val="0"/>
                    <w:rPr>
                      <w:rFonts w:hint="default"/>
                      <w:color w:val="auto"/>
                      <w:spacing w:val="-6"/>
                      <w:highlight w:val="none"/>
                    </w:rPr>
                  </w:pPr>
                </w:p>
              </w:tc>
            </w:tr>
            <w:tr w14:paraId="7A3B38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792647D2">
                  <w:pPr>
                    <w:pStyle w:val="40"/>
                    <w:bidi w:val="0"/>
                    <w:rPr>
                      <w:rFonts w:hint="default"/>
                      <w:color w:val="auto"/>
                      <w:spacing w:val="-6"/>
                      <w:highlight w:val="none"/>
                    </w:rPr>
                  </w:pPr>
                </w:p>
              </w:tc>
              <w:tc>
                <w:tcPr>
                  <w:tcW w:w="1218" w:type="dxa"/>
                  <w:vMerge w:val="continue"/>
                  <w:tcBorders>
                    <w:tl2br w:val="nil"/>
                    <w:tr2bl w:val="nil"/>
                  </w:tcBorders>
                  <w:shd w:val="clear" w:color="auto" w:fill="auto"/>
                  <w:vAlign w:val="center"/>
                </w:tcPr>
                <w:p w14:paraId="0B9179F3">
                  <w:pPr>
                    <w:pStyle w:val="40"/>
                    <w:bidi w:val="0"/>
                    <w:rPr>
                      <w:rFonts w:hint="default"/>
                      <w:color w:val="auto"/>
                      <w:spacing w:val="-6"/>
                      <w:highlight w:val="none"/>
                    </w:rPr>
                  </w:pPr>
                </w:p>
              </w:tc>
              <w:tc>
                <w:tcPr>
                  <w:tcW w:w="1562" w:type="dxa"/>
                  <w:tcBorders>
                    <w:tl2br w:val="nil"/>
                    <w:tr2bl w:val="nil"/>
                  </w:tcBorders>
                  <w:shd w:val="clear" w:color="auto" w:fill="auto"/>
                  <w:noWrap/>
                  <w:vAlign w:val="center"/>
                </w:tcPr>
                <w:p w14:paraId="38C2D0C4">
                  <w:pPr>
                    <w:pStyle w:val="40"/>
                    <w:bidi w:val="0"/>
                    <w:rPr>
                      <w:rFonts w:hint="default"/>
                      <w:color w:val="auto"/>
                      <w:spacing w:val="-6"/>
                      <w:highlight w:val="none"/>
                    </w:rPr>
                  </w:pPr>
                  <w:r>
                    <w:rPr>
                      <w:rFonts w:hint="default"/>
                      <w:color w:val="auto"/>
                      <w:spacing w:val="-6"/>
                      <w:highlight w:val="none"/>
                      <w:lang w:val="en-US" w:eastAsia="zh-CN"/>
                    </w:rPr>
                    <w:t>3#</w:t>
                  </w:r>
                  <w:r>
                    <w:rPr>
                      <w:rFonts w:hint="eastAsia"/>
                      <w:color w:val="auto"/>
                      <w:spacing w:val="-6"/>
                      <w:highlight w:val="none"/>
                      <w:lang w:val="en-US" w:eastAsia="zh-CN"/>
                    </w:rPr>
                    <w:t>搅拌机</w:t>
                  </w:r>
                </w:p>
              </w:tc>
              <w:tc>
                <w:tcPr>
                  <w:tcW w:w="1062" w:type="dxa"/>
                  <w:tcBorders>
                    <w:tl2br w:val="nil"/>
                    <w:tr2bl w:val="nil"/>
                  </w:tcBorders>
                  <w:shd w:val="clear" w:color="auto" w:fill="auto"/>
                  <w:noWrap/>
                  <w:vAlign w:val="center"/>
                </w:tcPr>
                <w:p w14:paraId="46DAB28B">
                  <w:pPr>
                    <w:pStyle w:val="40"/>
                    <w:bidi w:val="0"/>
                    <w:rPr>
                      <w:rFonts w:hint="default"/>
                      <w:color w:val="auto"/>
                      <w:spacing w:val="-6"/>
                      <w:highlight w:val="none"/>
                    </w:rPr>
                  </w:pPr>
                  <w:r>
                    <w:rPr>
                      <w:rFonts w:hint="default"/>
                      <w:color w:val="auto"/>
                      <w:spacing w:val="-6"/>
                      <w:highlight w:val="none"/>
                      <w:lang w:val="en-US" w:eastAsia="zh-CN"/>
                    </w:rPr>
                    <w:t>80</w:t>
                  </w:r>
                </w:p>
              </w:tc>
              <w:tc>
                <w:tcPr>
                  <w:tcW w:w="600" w:type="dxa"/>
                  <w:tcBorders>
                    <w:tl2br w:val="nil"/>
                    <w:tr2bl w:val="nil"/>
                  </w:tcBorders>
                  <w:shd w:val="clear" w:color="auto" w:fill="auto"/>
                  <w:noWrap/>
                  <w:vAlign w:val="center"/>
                </w:tcPr>
                <w:p w14:paraId="51AAC86B">
                  <w:pPr>
                    <w:pStyle w:val="40"/>
                    <w:bidi w:val="0"/>
                    <w:rPr>
                      <w:rFonts w:hint="default"/>
                      <w:color w:val="auto"/>
                      <w:spacing w:val="-6"/>
                      <w:highlight w:val="none"/>
                    </w:rPr>
                  </w:pPr>
                  <w:r>
                    <w:rPr>
                      <w:rFonts w:hint="default"/>
                      <w:color w:val="auto"/>
                      <w:spacing w:val="-6"/>
                      <w:highlight w:val="none"/>
                      <w:lang w:val="en-US" w:eastAsia="zh-CN"/>
                    </w:rPr>
                    <w:t>115</w:t>
                  </w:r>
                </w:p>
              </w:tc>
              <w:tc>
                <w:tcPr>
                  <w:tcW w:w="588" w:type="dxa"/>
                  <w:tcBorders>
                    <w:tl2br w:val="nil"/>
                    <w:tr2bl w:val="nil"/>
                  </w:tcBorders>
                  <w:shd w:val="clear" w:color="auto" w:fill="auto"/>
                  <w:noWrap/>
                  <w:vAlign w:val="center"/>
                </w:tcPr>
                <w:p w14:paraId="34313D76">
                  <w:pPr>
                    <w:pStyle w:val="40"/>
                    <w:bidi w:val="0"/>
                    <w:rPr>
                      <w:rFonts w:hint="default"/>
                      <w:color w:val="auto"/>
                      <w:spacing w:val="-6"/>
                      <w:highlight w:val="none"/>
                    </w:rPr>
                  </w:pPr>
                  <w:r>
                    <w:rPr>
                      <w:rFonts w:hint="default"/>
                      <w:color w:val="auto"/>
                      <w:spacing w:val="-6"/>
                      <w:highlight w:val="none"/>
                      <w:lang w:val="en-US" w:eastAsia="zh-CN"/>
                    </w:rPr>
                    <w:t>168</w:t>
                  </w:r>
                </w:p>
              </w:tc>
              <w:tc>
                <w:tcPr>
                  <w:tcW w:w="565" w:type="dxa"/>
                  <w:tcBorders>
                    <w:tl2br w:val="nil"/>
                    <w:tr2bl w:val="nil"/>
                  </w:tcBorders>
                  <w:shd w:val="clear" w:color="auto" w:fill="auto"/>
                  <w:noWrap/>
                  <w:vAlign w:val="center"/>
                </w:tcPr>
                <w:p w14:paraId="07A60F67">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18A6F065">
                  <w:pPr>
                    <w:pStyle w:val="40"/>
                    <w:bidi w:val="0"/>
                    <w:rPr>
                      <w:rFonts w:hint="default"/>
                      <w:color w:val="auto"/>
                      <w:spacing w:val="-6"/>
                      <w:highlight w:val="none"/>
                    </w:rPr>
                  </w:pPr>
                  <w:r>
                    <w:rPr>
                      <w:rFonts w:hint="default"/>
                      <w:color w:val="auto"/>
                      <w:spacing w:val="-6"/>
                      <w:highlight w:val="none"/>
                      <w:lang w:val="en-US" w:eastAsia="zh-CN"/>
                    </w:rPr>
                    <w:t>57</w:t>
                  </w:r>
                </w:p>
              </w:tc>
              <w:tc>
                <w:tcPr>
                  <w:tcW w:w="600" w:type="dxa"/>
                  <w:tcBorders>
                    <w:tl2br w:val="nil"/>
                    <w:tr2bl w:val="nil"/>
                  </w:tcBorders>
                  <w:shd w:val="clear" w:color="auto" w:fill="auto"/>
                  <w:noWrap/>
                  <w:vAlign w:val="center"/>
                </w:tcPr>
                <w:p w14:paraId="173FDCB3">
                  <w:pPr>
                    <w:pStyle w:val="40"/>
                    <w:bidi w:val="0"/>
                    <w:rPr>
                      <w:rFonts w:hint="default"/>
                      <w:color w:val="auto"/>
                      <w:spacing w:val="-6"/>
                      <w:highlight w:val="none"/>
                    </w:rPr>
                  </w:pPr>
                  <w:r>
                    <w:rPr>
                      <w:rFonts w:hint="default"/>
                      <w:color w:val="auto"/>
                      <w:spacing w:val="-6"/>
                      <w:highlight w:val="none"/>
                      <w:lang w:val="en-US" w:eastAsia="zh-CN"/>
                    </w:rPr>
                    <w:t>62.7</w:t>
                  </w:r>
                </w:p>
              </w:tc>
              <w:tc>
                <w:tcPr>
                  <w:tcW w:w="611" w:type="dxa"/>
                  <w:vMerge w:val="continue"/>
                  <w:tcBorders>
                    <w:tl2br w:val="nil"/>
                    <w:tr2bl w:val="nil"/>
                  </w:tcBorders>
                  <w:shd w:val="clear" w:color="auto" w:fill="auto"/>
                  <w:noWrap/>
                  <w:vAlign w:val="center"/>
                </w:tcPr>
                <w:p w14:paraId="664D119F">
                  <w:pPr>
                    <w:pStyle w:val="40"/>
                    <w:bidi w:val="0"/>
                    <w:rPr>
                      <w:rFonts w:hint="default"/>
                      <w:color w:val="auto"/>
                      <w:spacing w:val="-6"/>
                      <w:highlight w:val="none"/>
                    </w:rPr>
                  </w:pPr>
                </w:p>
              </w:tc>
            </w:tr>
            <w:tr w14:paraId="1C67F5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292F3395">
                  <w:pPr>
                    <w:pStyle w:val="40"/>
                    <w:bidi w:val="0"/>
                    <w:rPr>
                      <w:rFonts w:hint="default"/>
                      <w:color w:val="auto"/>
                      <w:spacing w:val="-6"/>
                      <w:highlight w:val="none"/>
                    </w:rPr>
                  </w:pPr>
                </w:p>
              </w:tc>
              <w:tc>
                <w:tcPr>
                  <w:tcW w:w="1218" w:type="dxa"/>
                  <w:vMerge w:val="continue"/>
                  <w:tcBorders>
                    <w:tl2br w:val="nil"/>
                    <w:tr2bl w:val="nil"/>
                  </w:tcBorders>
                  <w:shd w:val="clear" w:color="auto" w:fill="auto"/>
                  <w:vAlign w:val="center"/>
                </w:tcPr>
                <w:p w14:paraId="457A525E">
                  <w:pPr>
                    <w:pStyle w:val="40"/>
                    <w:bidi w:val="0"/>
                    <w:rPr>
                      <w:rFonts w:hint="default"/>
                      <w:color w:val="auto"/>
                      <w:spacing w:val="-6"/>
                      <w:highlight w:val="none"/>
                    </w:rPr>
                  </w:pPr>
                </w:p>
              </w:tc>
              <w:tc>
                <w:tcPr>
                  <w:tcW w:w="1562" w:type="dxa"/>
                  <w:tcBorders>
                    <w:tl2br w:val="nil"/>
                    <w:tr2bl w:val="nil"/>
                  </w:tcBorders>
                  <w:shd w:val="clear" w:color="auto" w:fill="auto"/>
                  <w:noWrap/>
                  <w:vAlign w:val="center"/>
                </w:tcPr>
                <w:p w14:paraId="0555FD24">
                  <w:pPr>
                    <w:pStyle w:val="40"/>
                    <w:bidi w:val="0"/>
                    <w:rPr>
                      <w:rFonts w:hint="default"/>
                      <w:color w:val="auto"/>
                      <w:spacing w:val="-6"/>
                      <w:highlight w:val="none"/>
                    </w:rPr>
                  </w:pPr>
                  <w:r>
                    <w:rPr>
                      <w:rFonts w:hint="default"/>
                      <w:color w:val="auto"/>
                      <w:spacing w:val="-6"/>
                      <w:highlight w:val="none"/>
                      <w:lang w:val="en-US" w:eastAsia="zh-CN"/>
                    </w:rPr>
                    <w:t>4#</w:t>
                  </w:r>
                  <w:r>
                    <w:rPr>
                      <w:rFonts w:hint="eastAsia"/>
                      <w:color w:val="auto"/>
                      <w:spacing w:val="-6"/>
                      <w:highlight w:val="none"/>
                      <w:lang w:val="en-US" w:eastAsia="zh-CN"/>
                    </w:rPr>
                    <w:t>搅拌机</w:t>
                  </w:r>
                </w:p>
              </w:tc>
              <w:tc>
                <w:tcPr>
                  <w:tcW w:w="1062" w:type="dxa"/>
                  <w:tcBorders>
                    <w:tl2br w:val="nil"/>
                    <w:tr2bl w:val="nil"/>
                  </w:tcBorders>
                  <w:shd w:val="clear" w:color="auto" w:fill="auto"/>
                  <w:noWrap/>
                  <w:vAlign w:val="center"/>
                </w:tcPr>
                <w:p w14:paraId="0F369B6F">
                  <w:pPr>
                    <w:pStyle w:val="40"/>
                    <w:bidi w:val="0"/>
                    <w:rPr>
                      <w:rFonts w:hint="default"/>
                      <w:color w:val="auto"/>
                      <w:spacing w:val="-6"/>
                      <w:highlight w:val="none"/>
                    </w:rPr>
                  </w:pPr>
                  <w:r>
                    <w:rPr>
                      <w:rFonts w:hint="default"/>
                      <w:color w:val="auto"/>
                      <w:spacing w:val="-6"/>
                      <w:highlight w:val="none"/>
                      <w:lang w:val="en-US" w:eastAsia="zh-CN"/>
                    </w:rPr>
                    <w:t>80</w:t>
                  </w:r>
                </w:p>
              </w:tc>
              <w:tc>
                <w:tcPr>
                  <w:tcW w:w="600" w:type="dxa"/>
                  <w:tcBorders>
                    <w:tl2br w:val="nil"/>
                    <w:tr2bl w:val="nil"/>
                  </w:tcBorders>
                  <w:shd w:val="clear" w:color="auto" w:fill="auto"/>
                  <w:noWrap/>
                  <w:vAlign w:val="center"/>
                </w:tcPr>
                <w:p w14:paraId="4C511BFF">
                  <w:pPr>
                    <w:pStyle w:val="40"/>
                    <w:bidi w:val="0"/>
                    <w:rPr>
                      <w:rFonts w:hint="default"/>
                      <w:color w:val="auto"/>
                      <w:spacing w:val="-6"/>
                      <w:highlight w:val="none"/>
                    </w:rPr>
                  </w:pPr>
                  <w:r>
                    <w:rPr>
                      <w:rFonts w:hint="default"/>
                      <w:color w:val="auto"/>
                      <w:spacing w:val="-6"/>
                      <w:highlight w:val="none"/>
                      <w:lang w:val="en-US" w:eastAsia="zh-CN"/>
                    </w:rPr>
                    <w:t>128</w:t>
                  </w:r>
                </w:p>
              </w:tc>
              <w:tc>
                <w:tcPr>
                  <w:tcW w:w="588" w:type="dxa"/>
                  <w:tcBorders>
                    <w:tl2br w:val="nil"/>
                    <w:tr2bl w:val="nil"/>
                  </w:tcBorders>
                  <w:shd w:val="clear" w:color="auto" w:fill="auto"/>
                  <w:noWrap/>
                  <w:vAlign w:val="center"/>
                </w:tcPr>
                <w:p w14:paraId="6700AA25">
                  <w:pPr>
                    <w:pStyle w:val="40"/>
                    <w:bidi w:val="0"/>
                    <w:rPr>
                      <w:rFonts w:hint="default"/>
                      <w:color w:val="auto"/>
                      <w:spacing w:val="-6"/>
                      <w:highlight w:val="none"/>
                    </w:rPr>
                  </w:pPr>
                  <w:r>
                    <w:rPr>
                      <w:rFonts w:hint="default"/>
                      <w:color w:val="auto"/>
                      <w:spacing w:val="-6"/>
                      <w:highlight w:val="none"/>
                      <w:lang w:val="en-US" w:eastAsia="zh-CN"/>
                    </w:rPr>
                    <w:t>169</w:t>
                  </w:r>
                </w:p>
              </w:tc>
              <w:tc>
                <w:tcPr>
                  <w:tcW w:w="565" w:type="dxa"/>
                  <w:tcBorders>
                    <w:tl2br w:val="nil"/>
                    <w:tr2bl w:val="nil"/>
                  </w:tcBorders>
                  <w:shd w:val="clear" w:color="auto" w:fill="auto"/>
                  <w:noWrap/>
                  <w:vAlign w:val="center"/>
                </w:tcPr>
                <w:p w14:paraId="706EE81C">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4FD1D9C7">
                  <w:pPr>
                    <w:pStyle w:val="40"/>
                    <w:bidi w:val="0"/>
                    <w:rPr>
                      <w:rFonts w:hint="default"/>
                      <w:color w:val="auto"/>
                      <w:spacing w:val="-6"/>
                      <w:highlight w:val="none"/>
                    </w:rPr>
                  </w:pPr>
                  <w:r>
                    <w:rPr>
                      <w:rFonts w:hint="default"/>
                      <w:color w:val="auto"/>
                      <w:spacing w:val="-6"/>
                      <w:highlight w:val="none"/>
                      <w:lang w:val="en-US" w:eastAsia="zh-CN"/>
                    </w:rPr>
                    <w:t>62</w:t>
                  </w:r>
                </w:p>
              </w:tc>
              <w:tc>
                <w:tcPr>
                  <w:tcW w:w="600" w:type="dxa"/>
                  <w:tcBorders>
                    <w:tl2br w:val="nil"/>
                    <w:tr2bl w:val="nil"/>
                  </w:tcBorders>
                  <w:shd w:val="clear" w:color="auto" w:fill="auto"/>
                  <w:noWrap/>
                  <w:vAlign w:val="center"/>
                </w:tcPr>
                <w:p w14:paraId="045A31AA">
                  <w:pPr>
                    <w:pStyle w:val="40"/>
                    <w:bidi w:val="0"/>
                    <w:rPr>
                      <w:rFonts w:hint="default"/>
                      <w:color w:val="auto"/>
                      <w:spacing w:val="-6"/>
                      <w:highlight w:val="none"/>
                    </w:rPr>
                  </w:pPr>
                  <w:r>
                    <w:rPr>
                      <w:rFonts w:hint="default"/>
                      <w:color w:val="auto"/>
                      <w:spacing w:val="-6"/>
                      <w:highlight w:val="none"/>
                      <w:lang w:val="en-US" w:eastAsia="zh-CN"/>
                    </w:rPr>
                    <w:t>62.7</w:t>
                  </w:r>
                </w:p>
              </w:tc>
              <w:tc>
                <w:tcPr>
                  <w:tcW w:w="611" w:type="dxa"/>
                  <w:vMerge w:val="continue"/>
                  <w:tcBorders>
                    <w:tl2br w:val="nil"/>
                    <w:tr2bl w:val="nil"/>
                  </w:tcBorders>
                  <w:shd w:val="clear" w:color="auto" w:fill="auto"/>
                  <w:noWrap/>
                  <w:vAlign w:val="center"/>
                </w:tcPr>
                <w:p w14:paraId="58AC1138">
                  <w:pPr>
                    <w:pStyle w:val="40"/>
                    <w:bidi w:val="0"/>
                    <w:rPr>
                      <w:rFonts w:hint="default"/>
                      <w:color w:val="auto"/>
                      <w:spacing w:val="-6"/>
                      <w:highlight w:val="none"/>
                    </w:rPr>
                  </w:pPr>
                </w:p>
              </w:tc>
            </w:tr>
            <w:tr w14:paraId="4F5EA0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385648EA">
                  <w:pPr>
                    <w:pStyle w:val="40"/>
                    <w:bidi w:val="0"/>
                    <w:rPr>
                      <w:rFonts w:hint="default"/>
                      <w:color w:val="auto"/>
                      <w:spacing w:val="-6"/>
                      <w:highlight w:val="none"/>
                    </w:rPr>
                  </w:pPr>
                </w:p>
              </w:tc>
              <w:tc>
                <w:tcPr>
                  <w:tcW w:w="1218" w:type="dxa"/>
                  <w:vMerge w:val="continue"/>
                  <w:tcBorders>
                    <w:tl2br w:val="nil"/>
                    <w:tr2bl w:val="nil"/>
                  </w:tcBorders>
                  <w:shd w:val="clear" w:color="auto" w:fill="auto"/>
                  <w:vAlign w:val="center"/>
                </w:tcPr>
                <w:p w14:paraId="12EE079F">
                  <w:pPr>
                    <w:pStyle w:val="40"/>
                    <w:bidi w:val="0"/>
                    <w:rPr>
                      <w:rFonts w:hint="default"/>
                      <w:color w:val="auto"/>
                      <w:spacing w:val="-6"/>
                      <w:highlight w:val="none"/>
                    </w:rPr>
                  </w:pPr>
                </w:p>
              </w:tc>
              <w:tc>
                <w:tcPr>
                  <w:tcW w:w="1562" w:type="dxa"/>
                  <w:tcBorders>
                    <w:tl2br w:val="nil"/>
                    <w:tr2bl w:val="nil"/>
                  </w:tcBorders>
                  <w:shd w:val="clear" w:color="auto" w:fill="auto"/>
                  <w:noWrap/>
                  <w:vAlign w:val="center"/>
                </w:tcPr>
                <w:p w14:paraId="361EF9BA">
                  <w:pPr>
                    <w:pStyle w:val="40"/>
                    <w:bidi w:val="0"/>
                    <w:rPr>
                      <w:rFonts w:hint="default"/>
                      <w:color w:val="auto"/>
                      <w:spacing w:val="-6"/>
                      <w:highlight w:val="none"/>
                    </w:rPr>
                  </w:pPr>
                  <w:r>
                    <w:rPr>
                      <w:rFonts w:hint="default"/>
                      <w:color w:val="auto"/>
                      <w:spacing w:val="-6"/>
                      <w:highlight w:val="none"/>
                      <w:lang w:val="en-US" w:eastAsia="zh-CN"/>
                    </w:rPr>
                    <w:t>5#</w:t>
                  </w:r>
                  <w:r>
                    <w:rPr>
                      <w:rFonts w:hint="eastAsia"/>
                      <w:color w:val="auto"/>
                      <w:spacing w:val="-6"/>
                      <w:highlight w:val="none"/>
                      <w:lang w:val="en-US" w:eastAsia="zh-CN"/>
                    </w:rPr>
                    <w:t>搅拌机</w:t>
                  </w:r>
                </w:p>
              </w:tc>
              <w:tc>
                <w:tcPr>
                  <w:tcW w:w="1062" w:type="dxa"/>
                  <w:tcBorders>
                    <w:tl2br w:val="nil"/>
                    <w:tr2bl w:val="nil"/>
                  </w:tcBorders>
                  <w:shd w:val="clear" w:color="auto" w:fill="auto"/>
                  <w:noWrap/>
                  <w:vAlign w:val="center"/>
                </w:tcPr>
                <w:p w14:paraId="7B212213">
                  <w:pPr>
                    <w:pStyle w:val="40"/>
                    <w:bidi w:val="0"/>
                    <w:rPr>
                      <w:rFonts w:hint="default"/>
                      <w:color w:val="auto"/>
                      <w:spacing w:val="-6"/>
                      <w:highlight w:val="none"/>
                    </w:rPr>
                  </w:pPr>
                  <w:r>
                    <w:rPr>
                      <w:rFonts w:hint="default"/>
                      <w:color w:val="auto"/>
                      <w:spacing w:val="-6"/>
                      <w:highlight w:val="none"/>
                      <w:lang w:val="en-US" w:eastAsia="zh-CN"/>
                    </w:rPr>
                    <w:t>80</w:t>
                  </w:r>
                </w:p>
              </w:tc>
              <w:tc>
                <w:tcPr>
                  <w:tcW w:w="600" w:type="dxa"/>
                  <w:tcBorders>
                    <w:tl2br w:val="nil"/>
                    <w:tr2bl w:val="nil"/>
                  </w:tcBorders>
                  <w:shd w:val="clear" w:color="auto" w:fill="auto"/>
                  <w:noWrap/>
                  <w:vAlign w:val="center"/>
                </w:tcPr>
                <w:p w14:paraId="7E6C9672">
                  <w:pPr>
                    <w:pStyle w:val="40"/>
                    <w:bidi w:val="0"/>
                    <w:rPr>
                      <w:rFonts w:hint="default"/>
                      <w:color w:val="auto"/>
                      <w:spacing w:val="-6"/>
                      <w:highlight w:val="none"/>
                    </w:rPr>
                  </w:pPr>
                  <w:r>
                    <w:rPr>
                      <w:rFonts w:hint="default"/>
                      <w:color w:val="auto"/>
                      <w:spacing w:val="-6"/>
                      <w:highlight w:val="none"/>
                      <w:lang w:val="en-US" w:eastAsia="zh-CN"/>
                    </w:rPr>
                    <w:t>141</w:t>
                  </w:r>
                </w:p>
              </w:tc>
              <w:tc>
                <w:tcPr>
                  <w:tcW w:w="588" w:type="dxa"/>
                  <w:tcBorders>
                    <w:tl2br w:val="nil"/>
                    <w:tr2bl w:val="nil"/>
                  </w:tcBorders>
                  <w:shd w:val="clear" w:color="auto" w:fill="auto"/>
                  <w:noWrap/>
                  <w:vAlign w:val="center"/>
                </w:tcPr>
                <w:p w14:paraId="0A54E8FE">
                  <w:pPr>
                    <w:pStyle w:val="40"/>
                    <w:bidi w:val="0"/>
                    <w:rPr>
                      <w:rFonts w:hint="default"/>
                      <w:color w:val="auto"/>
                      <w:spacing w:val="-6"/>
                      <w:highlight w:val="none"/>
                    </w:rPr>
                  </w:pPr>
                  <w:r>
                    <w:rPr>
                      <w:rFonts w:hint="default"/>
                      <w:color w:val="auto"/>
                      <w:spacing w:val="-6"/>
                      <w:highlight w:val="none"/>
                      <w:lang w:val="en-US" w:eastAsia="zh-CN"/>
                    </w:rPr>
                    <w:t>170</w:t>
                  </w:r>
                </w:p>
              </w:tc>
              <w:tc>
                <w:tcPr>
                  <w:tcW w:w="565" w:type="dxa"/>
                  <w:tcBorders>
                    <w:tl2br w:val="nil"/>
                    <w:tr2bl w:val="nil"/>
                  </w:tcBorders>
                  <w:shd w:val="clear" w:color="auto" w:fill="auto"/>
                  <w:noWrap/>
                  <w:vAlign w:val="center"/>
                </w:tcPr>
                <w:p w14:paraId="0C5E9192">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6FB99AA2">
                  <w:pPr>
                    <w:pStyle w:val="40"/>
                    <w:bidi w:val="0"/>
                    <w:rPr>
                      <w:rFonts w:hint="default"/>
                      <w:color w:val="auto"/>
                      <w:spacing w:val="-6"/>
                      <w:highlight w:val="none"/>
                    </w:rPr>
                  </w:pPr>
                  <w:r>
                    <w:rPr>
                      <w:rFonts w:hint="default"/>
                      <w:color w:val="auto"/>
                      <w:spacing w:val="-6"/>
                      <w:highlight w:val="none"/>
                      <w:lang w:val="en-US" w:eastAsia="zh-CN"/>
                    </w:rPr>
                    <w:t>68</w:t>
                  </w:r>
                </w:p>
              </w:tc>
              <w:tc>
                <w:tcPr>
                  <w:tcW w:w="600" w:type="dxa"/>
                  <w:tcBorders>
                    <w:tl2br w:val="nil"/>
                    <w:tr2bl w:val="nil"/>
                  </w:tcBorders>
                  <w:shd w:val="clear" w:color="auto" w:fill="auto"/>
                  <w:noWrap/>
                  <w:vAlign w:val="center"/>
                </w:tcPr>
                <w:p w14:paraId="783ACC1E">
                  <w:pPr>
                    <w:pStyle w:val="40"/>
                    <w:bidi w:val="0"/>
                    <w:rPr>
                      <w:rFonts w:hint="default"/>
                      <w:color w:val="auto"/>
                      <w:spacing w:val="-6"/>
                      <w:highlight w:val="none"/>
                    </w:rPr>
                  </w:pPr>
                  <w:r>
                    <w:rPr>
                      <w:rFonts w:hint="default"/>
                      <w:color w:val="auto"/>
                      <w:spacing w:val="-6"/>
                      <w:highlight w:val="none"/>
                      <w:lang w:val="en-US" w:eastAsia="zh-CN"/>
                    </w:rPr>
                    <w:t>62.7</w:t>
                  </w:r>
                </w:p>
              </w:tc>
              <w:tc>
                <w:tcPr>
                  <w:tcW w:w="611" w:type="dxa"/>
                  <w:vMerge w:val="continue"/>
                  <w:tcBorders>
                    <w:tl2br w:val="nil"/>
                    <w:tr2bl w:val="nil"/>
                  </w:tcBorders>
                  <w:shd w:val="clear" w:color="auto" w:fill="auto"/>
                  <w:noWrap/>
                  <w:vAlign w:val="center"/>
                </w:tcPr>
                <w:p w14:paraId="6F0D6773">
                  <w:pPr>
                    <w:pStyle w:val="40"/>
                    <w:bidi w:val="0"/>
                    <w:rPr>
                      <w:rFonts w:hint="default"/>
                      <w:color w:val="auto"/>
                      <w:spacing w:val="-6"/>
                      <w:highlight w:val="none"/>
                    </w:rPr>
                  </w:pPr>
                </w:p>
              </w:tc>
            </w:tr>
            <w:tr w14:paraId="6C84FE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78D5A698">
                  <w:pPr>
                    <w:pStyle w:val="40"/>
                    <w:bidi w:val="0"/>
                    <w:rPr>
                      <w:rFonts w:hint="default"/>
                      <w:color w:val="auto"/>
                      <w:spacing w:val="-6"/>
                      <w:highlight w:val="none"/>
                    </w:rPr>
                  </w:pPr>
                </w:p>
              </w:tc>
              <w:tc>
                <w:tcPr>
                  <w:tcW w:w="1218" w:type="dxa"/>
                  <w:vMerge w:val="continue"/>
                  <w:tcBorders>
                    <w:tl2br w:val="nil"/>
                    <w:tr2bl w:val="nil"/>
                  </w:tcBorders>
                  <w:shd w:val="clear" w:color="auto" w:fill="auto"/>
                  <w:vAlign w:val="center"/>
                </w:tcPr>
                <w:p w14:paraId="359D6DFB">
                  <w:pPr>
                    <w:pStyle w:val="40"/>
                    <w:bidi w:val="0"/>
                    <w:rPr>
                      <w:rFonts w:hint="default"/>
                      <w:color w:val="auto"/>
                      <w:spacing w:val="-6"/>
                      <w:highlight w:val="none"/>
                    </w:rPr>
                  </w:pPr>
                </w:p>
              </w:tc>
              <w:tc>
                <w:tcPr>
                  <w:tcW w:w="1562" w:type="dxa"/>
                  <w:tcBorders>
                    <w:tl2br w:val="nil"/>
                    <w:tr2bl w:val="nil"/>
                  </w:tcBorders>
                  <w:shd w:val="clear" w:color="auto" w:fill="auto"/>
                  <w:noWrap/>
                  <w:vAlign w:val="center"/>
                </w:tcPr>
                <w:p w14:paraId="7F807FF4">
                  <w:pPr>
                    <w:pStyle w:val="40"/>
                    <w:bidi w:val="0"/>
                    <w:rPr>
                      <w:rFonts w:hint="eastAsia"/>
                      <w:color w:val="auto"/>
                      <w:spacing w:val="-6"/>
                      <w:highlight w:val="none"/>
                    </w:rPr>
                  </w:pPr>
                  <w:r>
                    <w:rPr>
                      <w:rFonts w:hint="eastAsia"/>
                      <w:color w:val="auto"/>
                      <w:spacing w:val="-6"/>
                      <w:highlight w:val="none"/>
                      <w:lang w:val="en-US" w:eastAsia="zh-CN"/>
                    </w:rPr>
                    <w:t>风机</w:t>
                  </w:r>
                </w:p>
              </w:tc>
              <w:tc>
                <w:tcPr>
                  <w:tcW w:w="1062" w:type="dxa"/>
                  <w:tcBorders>
                    <w:tl2br w:val="nil"/>
                    <w:tr2bl w:val="nil"/>
                  </w:tcBorders>
                  <w:shd w:val="clear" w:color="auto" w:fill="auto"/>
                  <w:noWrap/>
                  <w:vAlign w:val="center"/>
                </w:tcPr>
                <w:p w14:paraId="6A2C4CE8">
                  <w:pPr>
                    <w:pStyle w:val="40"/>
                    <w:bidi w:val="0"/>
                    <w:rPr>
                      <w:rFonts w:hint="default"/>
                      <w:color w:val="auto"/>
                      <w:spacing w:val="-6"/>
                      <w:highlight w:val="none"/>
                    </w:rPr>
                  </w:pPr>
                  <w:r>
                    <w:rPr>
                      <w:rFonts w:hint="default"/>
                      <w:color w:val="auto"/>
                      <w:spacing w:val="-6"/>
                      <w:highlight w:val="none"/>
                      <w:lang w:val="en-US" w:eastAsia="zh-CN"/>
                    </w:rPr>
                    <w:t>90</w:t>
                  </w:r>
                </w:p>
              </w:tc>
              <w:tc>
                <w:tcPr>
                  <w:tcW w:w="600" w:type="dxa"/>
                  <w:tcBorders>
                    <w:tl2br w:val="nil"/>
                    <w:tr2bl w:val="nil"/>
                  </w:tcBorders>
                  <w:shd w:val="clear" w:color="auto" w:fill="auto"/>
                  <w:noWrap/>
                  <w:vAlign w:val="center"/>
                </w:tcPr>
                <w:p w14:paraId="36C26E1C">
                  <w:pPr>
                    <w:pStyle w:val="40"/>
                    <w:bidi w:val="0"/>
                    <w:rPr>
                      <w:rFonts w:hint="default"/>
                      <w:color w:val="auto"/>
                      <w:spacing w:val="-6"/>
                      <w:highlight w:val="none"/>
                    </w:rPr>
                  </w:pPr>
                  <w:r>
                    <w:rPr>
                      <w:rFonts w:hint="default"/>
                      <w:color w:val="auto"/>
                      <w:spacing w:val="-6"/>
                      <w:highlight w:val="none"/>
                      <w:lang w:val="en-US" w:eastAsia="zh-CN"/>
                    </w:rPr>
                    <w:t>89</w:t>
                  </w:r>
                </w:p>
              </w:tc>
              <w:tc>
                <w:tcPr>
                  <w:tcW w:w="588" w:type="dxa"/>
                  <w:tcBorders>
                    <w:tl2br w:val="nil"/>
                    <w:tr2bl w:val="nil"/>
                  </w:tcBorders>
                  <w:shd w:val="clear" w:color="auto" w:fill="auto"/>
                  <w:noWrap/>
                  <w:vAlign w:val="center"/>
                </w:tcPr>
                <w:p w14:paraId="0EA984A4">
                  <w:pPr>
                    <w:pStyle w:val="40"/>
                    <w:bidi w:val="0"/>
                    <w:rPr>
                      <w:rFonts w:hint="default"/>
                      <w:color w:val="auto"/>
                      <w:spacing w:val="-6"/>
                      <w:highlight w:val="none"/>
                    </w:rPr>
                  </w:pPr>
                  <w:r>
                    <w:rPr>
                      <w:rFonts w:hint="default"/>
                      <w:color w:val="auto"/>
                      <w:spacing w:val="-6"/>
                      <w:highlight w:val="none"/>
                      <w:lang w:val="en-US" w:eastAsia="zh-CN"/>
                    </w:rPr>
                    <w:t>164</w:t>
                  </w:r>
                </w:p>
              </w:tc>
              <w:tc>
                <w:tcPr>
                  <w:tcW w:w="565" w:type="dxa"/>
                  <w:tcBorders>
                    <w:tl2br w:val="nil"/>
                    <w:tr2bl w:val="nil"/>
                  </w:tcBorders>
                  <w:shd w:val="clear" w:color="auto" w:fill="auto"/>
                  <w:noWrap/>
                  <w:vAlign w:val="center"/>
                </w:tcPr>
                <w:p w14:paraId="0FC20084">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3777187D">
                  <w:pPr>
                    <w:pStyle w:val="40"/>
                    <w:bidi w:val="0"/>
                    <w:rPr>
                      <w:rFonts w:hint="default"/>
                      <w:color w:val="auto"/>
                      <w:spacing w:val="-6"/>
                      <w:highlight w:val="none"/>
                    </w:rPr>
                  </w:pPr>
                  <w:r>
                    <w:rPr>
                      <w:rFonts w:hint="default"/>
                      <w:color w:val="auto"/>
                      <w:spacing w:val="-6"/>
                      <w:highlight w:val="none"/>
                      <w:lang w:val="en-US" w:eastAsia="zh-CN"/>
                    </w:rPr>
                    <w:t>64</w:t>
                  </w:r>
                </w:p>
              </w:tc>
              <w:tc>
                <w:tcPr>
                  <w:tcW w:w="600" w:type="dxa"/>
                  <w:tcBorders>
                    <w:tl2br w:val="nil"/>
                    <w:tr2bl w:val="nil"/>
                  </w:tcBorders>
                  <w:shd w:val="clear" w:color="auto" w:fill="auto"/>
                  <w:noWrap/>
                  <w:vAlign w:val="center"/>
                </w:tcPr>
                <w:p w14:paraId="2EFA94EF">
                  <w:pPr>
                    <w:pStyle w:val="40"/>
                    <w:bidi w:val="0"/>
                    <w:rPr>
                      <w:rFonts w:hint="default"/>
                      <w:color w:val="auto"/>
                      <w:spacing w:val="-6"/>
                      <w:highlight w:val="none"/>
                    </w:rPr>
                  </w:pPr>
                  <w:r>
                    <w:rPr>
                      <w:rFonts w:hint="default"/>
                      <w:color w:val="auto"/>
                      <w:spacing w:val="-6"/>
                      <w:highlight w:val="none"/>
                      <w:lang w:val="en-US" w:eastAsia="zh-CN"/>
                    </w:rPr>
                    <w:t>72.7</w:t>
                  </w:r>
                </w:p>
              </w:tc>
              <w:tc>
                <w:tcPr>
                  <w:tcW w:w="611" w:type="dxa"/>
                  <w:vMerge w:val="continue"/>
                  <w:tcBorders>
                    <w:tl2br w:val="nil"/>
                    <w:tr2bl w:val="nil"/>
                  </w:tcBorders>
                  <w:shd w:val="clear" w:color="auto" w:fill="auto"/>
                  <w:noWrap/>
                  <w:vAlign w:val="center"/>
                </w:tcPr>
                <w:p w14:paraId="153B716A">
                  <w:pPr>
                    <w:pStyle w:val="40"/>
                    <w:bidi w:val="0"/>
                    <w:rPr>
                      <w:rFonts w:hint="default"/>
                      <w:color w:val="auto"/>
                      <w:spacing w:val="-6"/>
                      <w:highlight w:val="none"/>
                    </w:rPr>
                  </w:pPr>
                </w:p>
              </w:tc>
            </w:tr>
            <w:tr w14:paraId="625800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2EF6E6A8">
                  <w:pPr>
                    <w:pStyle w:val="40"/>
                    <w:bidi w:val="0"/>
                    <w:rPr>
                      <w:rFonts w:hint="default"/>
                      <w:color w:val="auto"/>
                      <w:spacing w:val="-6"/>
                      <w:highlight w:val="none"/>
                    </w:rPr>
                  </w:pPr>
                </w:p>
              </w:tc>
              <w:tc>
                <w:tcPr>
                  <w:tcW w:w="1218" w:type="dxa"/>
                  <w:vMerge w:val="continue"/>
                  <w:tcBorders>
                    <w:tl2br w:val="nil"/>
                    <w:tr2bl w:val="nil"/>
                  </w:tcBorders>
                  <w:shd w:val="clear" w:color="auto" w:fill="auto"/>
                  <w:vAlign w:val="center"/>
                </w:tcPr>
                <w:p w14:paraId="47C6B6A2">
                  <w:pPr>
                    <w:pStyle w:val="40"/>
                    <w:bidi w:val="0"/>
                    <w:rPr>
                      <w:rFonts w:hint="default"/>
                      <w:color w:val="auto"/>
                      <w:spacing w:val="-6"/>
                      <w:highlight w:val="none"/>
                    </w:rPr>
                  </w:pPr>
                </w:p>
              </w:tc>
              <w:tc>
                <w:tcPr>
                  <w:tcW w:w="1562" w:type="dxa"/>
                  <w:tcBorders>
                    <w:tl2br w:val="nil"/>
                    <w:tr2bl w:val="nil"/>
                  </w:tcBorders>
                  <w:shd w:val="clear" w:color="auto" w:fill="auto"/>
                  <w:noWrap/>
                  <w:vAlign w:val="center"/>
                </w:tcPr>
                <w:p w14:paraId="38DF0EE6">
                  <w:pPr>
                    <w:pStyle w:val="40"/>
                    <w:bidi w:val="0"/>
                    <w:rPr>
                      <w:rFonts w:hint="default"/>
                      <w:color w:val="auto"/>
                      <w:spacing w:val="-6"/>
                      <w:highlight w:val="none"/>
                    </w:rPr>
                  </w:pPr>
                  <w:r>
                    <w:rPr>
                      <w:rFonts w:hint="default"/>
                      <w:color w:val="auto"/>
                      <w:spacing w:val="-6"/>
                      <w:highlight w:val="none"/>
                      <w:lang w:val="en-US" w:eastAsia="zh-CN"/>
                    </w:rPr>
                    <w:t>1#</w:t>
                  </w:r>
                  <w:r>
                    <w:rPr>
                      <w:rFonts w:hint="eastAsia"/>
                      <w:color w:val="auto"/>
                      <w:spacing w:val="-6"/>
                      <w:highlight w:val="none"/>
                      <w:lang w:val="en-US" w:eastAsia="zh-CN"/>
                    </w:rPr>
                    <w:t>均化机</w:t>
                  </w:r>
                </w:p>
              </w:tc>
              <w:tc>
                <w:tcPr>
                  <w:tcW w:w="1062" w:type="dxa"/>
                  <w:tcBorders>
                    <w:tl2br w:val="nil"/>
                    <w:tr2bl w:val="nil"/>
                  </w:tcBorders>
                  <w:shd w:val="clear" w:color="auto" w:fill="auto"/>
                  <w:noWrap/>
                  <w:vAlign w:val="center"/>
                </w:tcPr>
                <w:p w14:paraId="5FFAF736">
                  <w:pPr>
                    <w:pStyle w:val="40"/>
                    <w:bidi w:val="0"/>
                    <w:rPr>
                      <w:rFonts w:hint="default"/>
                      <w:color w:val="auto"/>
                      <w:spacing w:val="-6"/>
                      <w:highlight w:val="none"/>
                    </w:rPr>
                  </w:pPr>
                  <w:r>
                    <w:rPr>
                      <w:rFonts w:hint="default"/>
                      <w:color w:val="auto"/>
                      <w:spacing w:val="-6"/>
                      <w:highlight w:val="none"/>
                      <w:lang w:val="en-US" w:eastAsia="zh-CN"/>
                    </w:rPr>
                    <w:t>60</w:t>
                  </w:r>
                </w:p>
              </w:tc>
              <w:tc>
                <w:tcPr>
                  <w:tcW w:w="600" w:type="dxa"/>
                  <w:tcBorders>
                    <w:tl2br w:val="nil"/>
                    <w:tr2bl w:val="nil"/>
                  </w:tcBorders>
                  <w:shd w:val="clear" w:color="auto" w:fill="auto"/>
                  <w:noWrap/>
                  <w:vAlign w:val="center"/>
                </w:tcPr>
                <w:p w14:paraId="71506391">
                  <w:pPr>
                    <w:pStyle w:val="40"/>
                    <w:bidi w:val="0"/>
                    <w:rPr>
                      <w:rFonts w:hint="default"/>
                      <w:color w:val="auto"/>
                      <w:spacing w:val="-6"/>
                      <w:highlight w:val="none"/>
                    </w:rPr>
                  </w:pPr>
                  <w:r>
                    <w:rPr>
                      <w:rFonts w:hint="default"/>
                      <w:color w:val="auto"/>
                      <w:spacing w:val="-6"/>
                      <w:highlight w:val="none"/>
                      <w:lang w:val="en-US" w:eastAsia="zh-CN"/>
                    </w:rPr>
                    <w:t>89</w:t>
                  </w:r>
                </w:p>
              </w:tc>
              <w:tc>
                <w:tcPr>
                  <w:tcW w:w="588" w:type="dxa"/>
                  <w:tcBorders>
                    <w:tl2br w:val="nil"/>
                    <w:tr2bl w:val="nil"/>
                  </w:tcBorders>
                  <w:shd w:val="clear" w:color="auto" w:fill="auto"/>
                  <w:noWrap/>
                  <w:vAlign w:val="center"/>
                </w:tcPr>
                <w:p w14:paraId="79BA7E33">
                  <w:pPr>
                    <w:pStyle w:val="40"/>
                    <w:bidi w:val="0"/>
                    <w:rPr>
                      <w:rFonts w:hint="default"/>
                      <w:color w:val="auto"/>
                      <w:spacing w:val="-6"/>
                      <w:highlight w:val="none"/>
                    </w:rPr>
                  </w:pPr>
                  <w:r>
                    <w:rPr>
                      <w:rFonts w:hint="default"/>
                      <w:color w:val="auto"/>
                      <w:spacing w:val="-6"/>
                      <w:highlight w:val="none"/>
                      <w:lang w:val="en-US" w:eastAsia="zh-CN"/>
                    </w:rPr>
                    <w:t>162</w:t>
                  </w:r>
                </w:p>
              </w:tc>
              <w:tc>
                <w:tcPr>
                  <w:tcW w:w="565" w:type="dxa"/>
                  <w:tcBorders>
                    <w:tl2br w:val="nil"/>
                    <w:tr2bl w:val="nil"/>
                  </w:tcBorders>
                  <w:shd w:val="clear" w:color="auto" w:fill="auto"/>
                  <w:noWrap/>
                  <w:vAlign w:val="center"/>
                </w:tcPr>
                <w:p w14:paraId="78930CEA">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636C2A42">
                  <w:pPr>
                    <w:pStyle w:val="40"/>
                    <w:bidi w:val="0"/>
                    <w:rPr>
                      <w:rFonts w:hint="default"/>
                      <w:color w:val="auto"/>
                      <w:spacing w:val="-6"/>
                      <w:highlight w:val="none"/>
                    </w:rPr>
                  </w:pPr>
                  <w:r>
                    <w:rPr>
                      <w:rFonts w:hint="default"/>
                      <w:color w:val="auto"/>
                      <w:spacing w:val="-6"/>
                      <w:highlight w:val="none"/>
                      <w:lang w:val="en-US" w:eastAsia="zh-CN"/>
                    </w:rPr>
                    <w:t>66</w:t>
                  </w:r>
                </w:p>
              </w:tc>
              <w:tc>
                <w:tcPr>
                  <w:tcW w:w="600" w:type="dxa"/>
                  <w:tcBorders>
                    <w:tl2br w:val="nil"/>
                    <w:tr2bl w:val="nil"/>
                  </w:tcBorders>
                  <w:shd w:val="clear" w:color="auto" w:fill="auto"/>
                  <w:noWrap/>
                  <w:vAlign w:val="center"/>
                </w:tcPr>
                <w:p w14:paraId="5030B636">
                  <w:pPr>
                    <w:pStyle w:val="40"/>
                    <w:bidi w:val="0"/>
                    <w:rPr>
                      <w:rFonts w:hint="default"/>
                      <w:color w:val="auto"/>
                      <w:spacing w:val="-6"/>
                      <w:highlight w:val="none"/>
                    </w:rPr>
                  </w:pPr>
                  <w:r>
                    <w:rPr>
                      <w:rFonts w:hint="default"/>
                      <w:color w:val="auto"/>
                      <w:spacing w:val="-6"/>
                      <w:highlight w:val="none"/>
                      <w:lang w:val="en-US" w:eastAsia="zh-CN"/>
                    </w:rPr>
                    <w:t>42.7</w:t>
                  </w:r>
                </w:p>
              </w:tc>
              <w:tc>
                <w:tcPr>
                  <w:tcW w:w="611" w:type="dxa"/>
                  <w:vMerge w:val="continue"/>
                  <w:tcBorders>
                    <w:tl2br w:val="nil"/>
                    <w:tr2bl w:val="nil"/>
                  </w:tcBorders>
                  <w:shd w:val="clear" w:color="auto" w:fill="auto"/>
                  <w:noWrap/>
                  <w:vAlign w:val="center"/>
                </w:tcPr>
                <w:p w14:paraId="7417A9B7">
                  <w:pPr>
                    <w:pStyle w:val="40"/>
                    <w:bidi w:val="0"/>
                    <w:rPr>
                      <w:rFonts w:hint="default"/>
                      <w:color w:val="auto"/>
                      <w:spacing w:val="-6"/>
                      <w:highlight w:val="none"/>
                    </w:rPr>
                  </w:pPr>
                </w:p>
              </w:tc>
            </w:tr>
            <w:tr w14:paraId="6F951B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357B3309">
                  <w:pPr>
                    <w:pStyle w:val="40"/>
                    <w:bidi w:val="0"/>
                    <w:rPr>
                      <w:rFonts w:hint="default"/>
                      <w:color w:val="auto"/>
                      <w:spacing w:val="-6"/>
                      <w:highlight w:val="none"/>
                    </w:rPr>
                  </w:pPr>
                </w:p>
              </w:tc>
              <w:tc>
                <w:tcPr>
                  <w:tcW w:w="1218" w:type="dxa"/>
                  <w:vMerge w:val="continue"/>
                  <w:tcBorders>
                    <w:tl2br w:val="nil"/>
                    <w:tr2bl w:val="nil"/>
                  </w:tcBorders>
                  <w:shd w:val="clear" w:color="auto" w:fill="auto"/>
                  <w:vAlign w:val="center"/>
                </w:tcPr>
                <w:p w14:paraId="2B1CFEB2">
                  <w:pPr>
                    <w:pStyle w:val="40"/>
                    <w:bidi w:val="0"/>
                    <w:rPr>
                      <w:rFonts w:hint="default"/>
                      <w:color w:val="auto"/>
                      <w:spacing w:val="-6"/>
                      <w:highlight w:val="none"/>
                    </w:rPr>
                  </w:pPr>
                </w:p>
              </w:tc>
              <w:tc>
                <w:tcPr>
                  <w:tcW w:w="1562" w:type="dxa"/>
                  <w:tcBorders>
                    <w:tl2br w:val="nil"/>
                    <w:tr2bl w:val="nil"/>
                  </w:tcBorders>
                  <w:shd w:val="clear" w:color="auto" w:fill="auto"/>
                  <w:noWrap/>
                  <w:vAlign w:val="center"/>
                </w:tcPr>
                <w:p w14:paraId="31FD880A">
                  <w:pPr>
                    <w:pStyle w:val="40"/>
                    <w:bidi w:val="0"/>
                    <w:rPr>
                      <w:rFonts w:hint="default"/>
                      <w:color w:val="auto"/>
                      <w:spacing w:val="-6"/>
                      <w:highlight w:val="none"/>
                    </w:rPr>
                  </w:pPr>
                  <w:r>
                    <w:rPr>
                      <w:rFonts w:hint="default"/>
                      <w:color w:val="auto"/>
                      <w:spacing w:val="-6"/>
                      <w:highlight w:val="none"/>
                      <w:lang w:val="en-US" w:eastAsia="zh-CN"/>
                    </w:rPr>
                    <w:t>2#</w:t>
                  </w:r>
                  <w:r>
                    <w:rPr>
                      <w:rFonts w:hint="eastAsia"/>
                      <w:color w:val="auto"/>
                      <w:spacing w:val="-6"/>
                      <w:highlight w:val="none"/>
                      <w:lang w:val="en-US" w:eastAsia="zh-CN"/>
                    </w:rPr>
                    <w:t>均化机</w:t>
                  </w:r>
                </w:p>
              </w:tc>
              <w:tc>
                <w:tcPr>
                  <w:tcW w:w="1062" w:type="dxa"/>
                  <w:tcBorders>
                    <w:tl2br w:val="nil"/>
                    <w:tr2bl w:val="nil"/>
                  </w:tcBorders>
                  <w:shd w:val="clear" w:color="auto" w:fill="auto"/>
                  <w:noWrap/>
                  <w:vAlign w:val="center"/>
                </w:tcPr>
                <w:p w14:paraId="6D7AB2EF">
                  <w:pPr>
                    <w:pStyle w:val="40"/>
                    <w:bidi w:val="0"/>
                    <w:rPr>
                      <w:rFonts w:hint="default"/>
                      <w:color w:val="auto"/>
                      <w:spacing w:val="-6"/>
                      <w:highlight w:val="none"/>
                    </w:rPr>
                  </w:pPr>
                  <w:r>
                    <w:rPr>
                      <w:rFonts w:hint="default"/>
                      <w:color w:val="auto"/>
                      <w:spacing w:val="-6"/>
                      <w:highlight w:val="none"/>
                      <w:lang w:val="en-US" w:eastAsia="zh-CN"/>
                    </w:rPr>
                    <w:t>60</w:t>
                  </w:r>
                </w:p>
              </w:tc>
              <w:tc>
                <w:tcPr>
                  <w:tcW w:w="600" w:type="dxa"/>
                  <w:tcBorders>
                    <w:tl2br w:val="nil"/>
                    <w:tr2bl w:val="nil"/>
                  </w:tcBorders>
                  <w:shd w:val="clear" w:color="auto" w:fill="auto"/>
                  <w:noWrap/>
                  <w:vAlign w:val="center"/>
                </w:tcPr>
                <w:p w14:paraId="69FD31D7">
                  <w:pPr>
                    <w:pStyle w:val="40"/>
                    <w:bidi w:val="0"/>
                    <w:rPr>
                      <w:rFonts w:hint="default"/>
                      <w:color w:val="auto"/>
                      <w:spacing w:val="-6"/>
                      <w:highlight w:val="none"/>
                    </w:rPr>
                  </w:pPr>
                  <w:r>
                    <w:rPr>
                      <w:rFonts w:hint="default"/>
                      <w:color w:val="auto"/>
                      <w:spacing w:val="-6"/>
                      <w:highlight w:val="none"/>
                      <w:lang w:val="en-US" w:eastAsia="zh-CN"/>
                    </w:rPr>
                    <w:t>102</w:t>
                  </w:r>
                </w:p>
              </w:tc>
              <w:tc>
                <w:tcPr>
                  <w:tcW w:w="588" w:type="dxa"/>
                  <w:tcBorders>
                    <w:tl2br w:val="nil"/>
                    <w:tr2bl w:val="nil"/>
                  </w:tcBorders>
                  <w:shd w:val="clear" w:color="auto" w:fill="auto"/>
                  <w:noWrap/>
                  <w:vAlign w:val="center"/>
                </w:tcPr>
                <w:p w14:paraId="4A812968">
                  <w:pPr>
                    <w:pStyle w:val="40"/>
                    <w:bidi w:val="0"/>
                    <w:rPr>
                      <w:rFonts w:hint="default"/>
                      <w:color w:val="auto"/>
                      <w:spacing w:val="-6"/>
                      <w:highlight w:val="none"/>
                    </w:rPr>
                  </w:pPr>
                  <w:r>
                    <w:rPr>
                      <w:rFonts w:hint="default"/>
                      <w:color w:val="auto"/>
                      <w:spacing w:val="-6"/>
                      <w:highlight w:val="none"/>
                      <w:lang w:val="en-US" w:eastAsia="zh-CN"/>
                    </w:rPr>
                    <w:t>163</w:t>
                  </w:r>
                </w:p>
              </w:tc>
              <w:tc>
                <w:tcPr>
                  <w:tcW w:w="565" w:type="dxa"/>
                  <w:tcBorders>
                    <w:tl2br w:val="nil"/>
                    <w:tr2bl w:val="nil"/>
                  </w:tcBorders>
                  <w:shd w:val="clear" w:color="auto" w:fill="auto"/>
                  <w:noWrap/>
                  <w:vAlign w:val="center"/>
                </w:tcPr>
                <w:p w14:paraId="7EEB386D">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1401BF42">
                  <w:pPr>
                    <w:pStyle w:val="40"/>
                    <w:bidi w:val="0"/>
                    <w:rPr>
                      <w:rFonts w:hint="default"/>
                      <w:color w:val="auto"/>
                      <w:spacing w:val="-6"/>
                      <w:highlight w:val="none"/>
                    </w:rPr>
                  </w:pPr>
                  <w:r>
                    <w:rPr>
                      <w:rFonts w:hint="default"/>
                      <w:color w:val="auto"/>
                      <w:spacing w:val="-6"/>
                      <w:highlight w:val="none"/>
                      <w:lang w:val="en-US" w:eastAsia="zh-CN"/>
                    </w:rPr>
                    <w:t>65</w:t>
                  </w:r>
                </w:p>
              </w:tc>
              <w:tc>
                <w:tcPr>
                  <w:tcW w:w="600" w:type="dxa"/>
                  <w:tcBorders>
                    <w:tl2br w:val="nil"/>
                    <w:tr2bl w:val="nil"/>
                  </w:tcBorders>
                  <w:shd w:val="clear" w:color="auto" w:fill="auto"/>
                  <w:noWrap/>
                  <w:vAlign w:val="center"/>
                </w:tcPr>
                <w:p w14:paraId="3074E0BE">
                  <w:pPr>
                    <w:pStyle w:val="40"/>
                    <w:bidi w:val="0"/>
                    <w:rPr>
                      <w:rFonts w:hint="default"/>
                      <w:color w:val="auto"/>
                      <w:spacing w:val="-6"/>
                      <w:highlight w:val="none"/>
                    </w:rPr>
                  </w:pPr>
                  <w:r>
                    <w:rPr>
                      <w:rFonts w:hint="default"/>
                      <w:color w:val="auto"/>
                      <w:spacing w:val="-6"/>
                      <w:highlight w:val="none"/>
                      <w:lang w:val="en-US" w:eastAsia="zh-CN"/>
                    </w:rPr>
                    <w:t>42.7</w:t>
                  </w:r>
                </w:p>
              </w:tc>
              <w:tc>
                <w:tcPr>
                  <w:tcW w:w="611" w:type="dxa"/>
                  <w:vMerge w:val="continue"/>
                  <w:tcBorders>
                    <w:tl2br w:val="nil"/>
                    <w:tr2bl w:val="nil"/>
                  </w:tcBorders>
                  <w:shd w:val="clear" w:color="auto" w:fill="auto"/>
                  <w:noWrap/>
                  <w:vAlign w:val="center"/>
                </w:tcPr>
                <w:p w14:paraId="5101DD83">
                  <w:pPr>
                    <w:pStyle w:val="40"/>
                    <w:bidi w:val="0"/>
                    <w:rPr>
                      <w:rFonts w:hint="default"/>
                      <w:color w:val="auto"/>
                      <w:spacing w:val="-6"/>
                      <w:highlight w:val="none"/>
                    </w:rPr>
                  </w:pPr>
                </w:p>
              </w:tc>
            </w:tr>
            <w:tr w14:paraId="56B2A7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1FC990EB">
                  <w:pPr>
                    <w:pStyle w:val="40"/>
                    <w:bidi w:val="0"/>
                    <w:rPr>
                      <w:rFonts w:hint="default"/>
                      <w:color w:val="auto"/>
                      <w:spacing w:val="-6"/>
                      <w:highlight w:val="none"/>
                    </w:rPr>
                  </w:pPr>
                </w:p>
              </w:tc>
              <w:tc>
                <w:tcPr>
                  <w:tcW w:w="1218" w:type="dxa"/>
                  <w:vMerge w:val="continue"/>
                  <w:tcBorders>
                    <w:tl2br w:val="nil"/>
                    <w:tr2bl w:val="nil"/>
                  </w:tcBorders>
                  <w:shd w:val="clear" w:color="auto" w:fill="auto"/>
                  <w:vAlign w:val="center"/>
                </w:tcPr>
                <w:p w14:paraId="186181E7">
                  <w:pPr>
                    <w:pStyle w:val="40"/>
                    <w:bidi w:val="0"/>
                    <w:rPr>
                      <w:rFonts w:hint="default"/>
                      <w:color w:val="auto"/>
                      <w:spacing w:val="-6"/>
                      <w:highlight w:val="none"/>
                    </w:rPr>
                  </w:pPr>
                </w:p>
              </w:tc>
              <w:tc>
                <w:tcPr>
                  <w:tcW w:w="1562" w:type="dxa"/>
                  <w:tcBorders>
                    <w:tl2br w:val="nil"/>
                    <w:tr2bl w:val="nil"/>
                  </w:tcBorders>
                  <w:shd w:val="clear" w:color="auto" w:fill="auto"/>
                  <w:noWrap/>
                  <w:vAlign w:val="center"/>
                </w:tcPr>
                <w:p w14:paraId="31DF9329">
                  <w:pPr>
                    <w:pStyle w:val="40"/>
                    <w:bidi w:val="0"/>
                    <w:rPr>
                      <w:rFonts w:hint="default"/>
                      <w:color w:val="auto"/>
                      <w:spacing w:val="-6"/>
                      <w:highlight w:val="none"/>
                    </w:rPr>
                  </w:pPr>
                  <w:r>
                    <w:rPr>
                      <w:rFonts w:hint="default"/>
                      <w:color w:val="auto"/>
                      <w:spacing w:val="-6"/>
                      <w:highlight w:val="none"/>
                      <w:lang w:val="en-US" w:eastAsia="zh-CN"/>
                    </w:rPr>
                    <w:t>3#</w:t>
                  </w:r>
                  <w:r>
                    <w:rPr>
                      <w:rFonts w:hint="eastAsia"/>
                      <w:color w:val="auto"/>
                      <w:spacing w:val="-6"/>
                      <w:highlight w:val="none"/>
                      <w:lang w:val="en-US" w:eastAsia="zh-CN"/>
                    </w:rPr>
                    <w:t>均化机</w:t>
                  </w:r>
                </w:p>
              </w:tc>
              <w:tc>
                <w:tcPr>
                  <w:tcW w:w="1062" w:type="dxa"/>
                  <w:tcBorders>
                    <w:tl2br w:val="nil"/>
                    <w:tr2bl w:val="nil"/>
                  </w:tcBorders>
                  <w:shd w:val="clear" w:color="auto" w:fill="auto"/>
                  <w:noWrap/>
                  <w:vAlign w:val="center"/>
                </w:tcPr>
                <w:p w14:paraId="5516BB0E">
                  <w:pPr>
                    <w:pStyle w:val="40"/>
                    <w:bidi w:val="0"/>
                    <w:rPr>
                      <w:rFonts w:hint="default"/>
                      <w:color w:val="auto"/>
                      <w:spacing w:val="-6"/>
                      <w:highlight w:val="none"/>
                    </w:rPr>
                  </w:pPr>
                  <w:r>
                    <w:rPr>
                      <w:rFonts w:hint="default"/>
                      <w:color w:val="auto"/>
                      <w:spacing w:val="-6"/>
                      <w:highlight w:val="none"/>
                      <w:lang w:val="en-US" w:eastAsia="zh-CN"/>
                    </w:rPr>
                    <w:t>60</w:t>
                  </w:r>
                </w:p>
              </w:tc>
              <w:tc>
                <w:tcPr>
                  <w:tcW w:w="600" w:type="dxa"/>
                  <w:tcBorders>
                    <w:tl2br w:val="nil"/>
                    <w:tr2bl w:val="nil"/>
                  </w:tcBorders>
                  <w:shd w:val="clear" w:color="auto" w:fill="auto"/>
                  <w:noWrap/>
                  <w:vAlign w:val="center"/>
                </w:tcPr>
                <w:p w14:paraId="45A56AAB">
                  <w:pPr>
                    <w:pStyle w:val="40"/>
                    <w:bidi w:val="0"/>
                    <w:rPr>
                      <w:rFonts w:hint="default"/>
                      <w:color w:val="auto"/>
                      <w:spacing w:val="-6"/>
                      <w:highlight w:val="none"/>
                    </w:rPr>
                  </w:pPr>
                  <w:r>
                    <w:rPr>
                      <w:rFonts w:hint="default"/>
                      <w:color w:val="auto"/>
                      <w:spacing w:val="-6"/>
                      <w:highlight w:val="none"/>
                      <w:lang w:val="en-US" w:eastAsia="zh-CN"/>
                    </w:rPr>
                    <w:t>115</w:t>
                  </w:r>
                </w:p>
              </w:tc>
              <w:tc>
                <w:tcPr>
                  <w:tcW w:w="588" w:type="dxa"/>
                  <w:tcBorders>
                    <w:tl2br w:val="nil"/>
                    <w:tr2bl w:val="nil"/>
                  </w:tcBorders>
                  <w:shd w:val="clear" w:color="auto" w:fill="auto"/>
                  <w:noWrap/>
                  <w:vAlign w:val="center"/>
                </w:tcPr>
                <w:p w14:paraId="01D6D85B">
                  <w:pPr>
                    <w:pStyle w:val="40"/>
                    <w:bidi w:val="0"/>
                    <w:rPr>
                      <w:rFonts w:hint="default"/>
                      <w:color w:val="auto"/>
                      <w:spacing w:val="-6"/>
                      <w:highlight w:val="none"/>
                    </w:rPr>
                  </w:pPr>
                  <w:r>
                    <w:rPr>
                      <w:rFonts w:hint="default"/>
                      <w:color w:val="auto"/>
                      <w:spacing w:val="-6"/>
                      <w:highlight w:val="none"/>
                      <w:lang w:val="en-US" w:eastAsia="zh-CN"/>
                    </w:rPr>
                    <w:t>164</w:t>
                  </w:r>
                </w:p>
              </w:tc>
              <w:tc>
                <w:tcPr>
                  <w:tcW w:w="565" w:type="dxa"/>
                  <w:tcBorders>
                    <w:tl2br w:val="nil"/>
                    <w:tr2bl w:val="nil"/>
                  </w:tcBorders>
                  <w:shd w:val="clear" w:color="auto" w:fill="auto"/>
                  <w:noWrap/>
                  <w:vAlign w:val="center"/>
                </w:tcPr>
                <w:p w14:paraId="6D973376">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65229E94">
                  <w:pPr>
                    <w:pStyle w:val="40"/>
                    <w:bidi w:val="0"/>
                    <w:rPr>
                      <w:rFonts w:hint="default"/>
                      <w:color w:val="auto"/>
                      <w:spacing w:val="-6"/>
                      <w:highlight w:val="none"/>
                    </w:rPr>
                  </w:pPr>
                  <w:r>
                    <w:rPr>
                      <w:rFonts w:hint="default"/>
                      <w:color w:val="auto"/>
                      <w:spacing w:val="-6"/>
                      <w:highlight w:val="none"/>
                      <w:lang w:val="en-US" w:eastAsia="zh-CN"/>
                    </w:rPr>
                    <w:t>63</w:t>
                  </w:r>
                </w:p>
              </w:tc>
              <w:tc>
                <w:tcPr>
                  <w:tcW w:w="600" w:type="dxa"/>
                  <w:tcBorders>
                    <w:tl2br w:val="nil"/>
                    <w:tr2bl w:val="nil"/>
                  </w:tcBorders>
                  <w:shd w:val="clear" w:color="auto" w:fill="auto"/>
                  <w:noWrap/>
                  <w:vAlign w:val="center"/>
                </w:tcPr>
                <w:p w14:paraId="1DA6ACED">
                  <w:pPr>
                    <w:pStyle w:val="40"/>
                    <w:bidi w:val="0"/>
                    <w:rPr>
                      <w:rFonts w:hint="default"/>
                      <w:color w:val="auto"/>
                      <w:spacing w:val="-6"/>
                      <w:highlight w:val="none"/>
                    </w:rPr>
                  </w:pPr>
                  <w:r>
                    <w:rPr>
                      <w:rFonts w:hint="default"/>
                      <w:color w:val="auto"/>
                      <w:spacing w:val="-6"/>
                      <w:highlight w:val="none"/>
                      <w:lang w:val="en-US" w:eastAsia="zh-CN"/>
                    </w:rPr>
                    <w:t>42.7</w:t>
                  </w:r>
                </w:p>
              </w:tc>
              <w:tc>
                <w:tcPr>
                  <w:tcW w:w="611" w:type="dxa"/>
                  <w:vMerge w:val="continue"/>
                  <w:tcBorders>
                    <w:tl2br w:val="nil"/>
                    <w:tr2bl w:val="nil"/>
                  </w:tcBorders>
                  <w:shd w:val="clear" w:color="auto" w:fill="auto"/>
                  <w:noWrap/>
                  <w:vAlign w:val="center"/>
                </w:tcPr>
                <w:p w14:paraId="0D22D325">
                  <w:pPr>
                    <w:pStyle w:val="40"/>
                    <w:bidi w:val="0"/>
                    <w:rPr>
                      <w:rFonts w:hint="default"/>
                      <w:color w:val="auto"/>
                      <w:spacing w:val="-6"/>
                      <w:highlight w:val="none"/>
                    </w:rPr>
                  </w:pPr>
                </w:p>
              </w:tc>
            </w:tr>
            <w:tr w14:paraId="408EBD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2BAF5EB2">
                  <w:pPr>
                    <w:pStyle w:val="40"/>
                    <w:bidi w:val="0"/>
                    <w:rPr>
                      <w:rFonts w:hint="default"/>
                      <w:color w:val="auto"/>
                      <w:spacing w:val="-6"/>
                      <w:highlight w:val="none"/>
                    </w:rPr>
                  </w:pPr>
                </w:p>
              </w:tc>
              <w:tc>
                <w:tcPr>
                  <w:tcW w:w="1218" w:type="dxa"/>
                  <w:vMerge w:val="continue"/>
                  <w:tcBorders>
                    <w:tl2br w:val="nil"/>
                    <w:tr2bl w:val="nil"/>
                  </w:tcBorders>
                  <w:shd w:val="clear" w:color="auto" w:fill="auto"/>
                  <w:vAlign w:val="center"/>
                </w:tcPr>
                <w:p w14:paraId="2FF8B249">
                  <w:pPr>
                    <w:pStyle w:val="40"/>
                    <w:bidi w:val="0"/>
                    <w:rPr>
                      <w:rFonts w:hint="default"/>
                      <w:color w:val="auto"/>
                      <w:spacing w:val="-6"/>
                      <w:highlight w:val="none"/>
                    </w:rPr>
                  </w:pPr>
                </w:p>
              </w:tc>
              <w:tc>
                <w:tcPr>
                  <w:tcW w:w="1562" w:type="dxa"/>
                  <w:tcBorders>
                    <w:tl2br w:val="nil"/>
                    <w:tr2bl w:val="nil"/>
                  </w:tcBorders>
                  <w:shd w:val="clear" w:color="auto" w:fill="auto"/>
                  <w:noWrap/>
                  <w:vAlign w:val="center"/>
                </w:tcPr>
                <w:p w14:paraId="52BDC225">
                  <w:pPr>
                    <w:pStyle w:val="40"/>
                    <w:bidi w:val="0"/>
                    <w:rPr>
                      <w:rFonts w:hint="default"/>
                      <w:color w:val="auto"/>
                      <w:spacing w:val="-6"/>
                      <w:highlight w:val="none"/>
                    </w:rPr>
                  </w:pPr>
                  <w:r>
                    <w:rPr>
                      <w:rFonts w:hint="default"/>
                      <w:color w:val="auto"/>
                      <w:spacing w:val="-6"/>
                      <w:highlight w:val="none"/>
                      <w:lang w:val="en-US" w:eastAsia="zh-CN"/>
                    </w:rPr>
                    <w:t>4#</w:t>
                  </w:r>
                  <w:r>
                    <w:rPr>
                      <w:rFonts w:hint="eastAsia"/>
                      <w:color w:val="auto"/>
                      <w:spacing w:val="-6"/>
                      <w:highlight w:val="none"/>
                      <w:lang w:val="en-US" w:eastAsia="zh-CN"/>
                    </w:rPr>
                    <w:t>均化机</w:t>
                  </w:r>
                </w:p>
              </w:tc>
              <w:tc>
                <w:tcPr>
                  <w:tcW w:w="1062" w:type="dxa"/>
                  <w:tcBorders>
                    <w:tl2br w:val="nil"/>
                    <w:tr2bl w:val="nil"/>
                  </w:tcBorders>
                  <w:shd w:val="clear" w:color="auto" w:fill="auto"/>
                  <w:noWrap/>
                  <w:vAlign w:val="center"/>
                </w:tcPr>
                <w:p w14:paraId="31920A7A">
                  <w:pPr>
                    <w:pStyle w:val="40"/>
                    <w:bidi w:val="0"/>
                    <w:rPr>
                      <w:rFonts w:hint="default"/>
                      <w:color w:val="auto"/>
                      <w:spacing w:val="-6"/>
                      <w:highlight w:val="none"/>
                    </w:rPr>
                  </w:pPr>
                  <w:r>
                    <w:rPr>
                      <w:rFonts w:hint="default"/>
                      <w:color w:val="auto"/>
                      <w:spacing w:val="-6"/>
                      <w:highlight w:val="none"/>
                      <w:lang w:val="en-US" w:eastAsia="zh-CN"/>
                    </w:rPr>
                    <w:t>60</w:t>
                  </w:r>
                </w:p>
              </w:tc>
              <w:tc>
                <w:tcPr>
                  <w:tcW w:w="600" w:type="dxa"/>
                  <w:tcBorders>
                    <w:tl2br w:val="nil"/>
                    <w:tr2bl w:val="nil"/>
                  </w:tcBorders>
                  <w:shd w:val="clear" w:color="auto" w:fill="auto"/>
                  <w:noWrap/>
                  <w:vAlign w:val="center"/>
                </w:tcPr>
                <w:p w14:paraId="6DE0D52C">
                  <w:pPr>
                    <w:pStyle w:val="40"/>
                    <w:bidi w:val="0"/>
                    <w:rPr>
                      <w:rFonts w:hint="default"/>
                      <w:color w:val="auto"/>
                      <w:spacing w:val="-6"/>
                      <w:highlight w:val="none"/>
                    </w:rPr>
                  </w:pPr>
                  <w:r>
                    <w:rPr>
                      <w:rFonts w:hint="default"/>
                      <w:color w:val="auto"/>
                      <w:spacing w:val="-6"/>
                      <w:highlight w:val="none"/>
                      <w:lang w:val="en-US" w:eastAsia="zh-CN"/>
                    </w:rPr>
                    <w:t>128</w:t>
                  </w:r>
                </w:p>
              </w:tc>
              <w:tc>
                <w:tcPr>
                  <w:tcW w:w="588" w:type="dxa"/>
                  <w:tcBorders>
                    <w:tl2br w:val="nil"/>
                    <w:tr2bl w:val="nil"/>
                  </w:tcBorders>
                  <w:shd w:val="clear" w:color="auto" w:fill="auto"/>
                  <w:noWrap/>
                  <w:vAlign w:val="center"/>
                </w:tcPr>
                <w:p w14:paraId="4409CFCA">
                  <w:pPr>
                    <w:pStyle w:val="40"/>
                    <w:bidi w:val="0"/>
                    <w:rPr>
                      <w:rFonts w:hint="default"/>
                      <w:color w:val="auto"/>
                      <w:spacing w:val="-6"/>
                      <w:highlight w:val="none"/>
                    </w:rPr>
                  </w:pPr>
                  <w:r>
                    <w:rPr>
                      <w:rFonts w:hint="default"/>
                      <w:color w:val="auto"/>
                      <w:spacing w:val="-6"/>
                      <w:highlight w:val="none"/>
                      <w:lang w:val="en-US" w:eastAsia="zh-CN"/>
                    </w:rPr>
                    <w:t>165</w:t>
                  </w:r>
                </w:p>
              </w:tc>
              <w:tc>
                <w:tcPr>
                  <w:tcW w:w="565" w:type="dxa"/>
                  <w:tcBorders>
                    <w:tl2br w:val="nil"/>
                    <w:tr2bl w:val="nil"/>
                  </w:tcBorders>
                  <w:shd w:val="clear" w:color="auto" w:fill="auto"/>
                  <w:noWrap/>
                  <w:vAlign w:val="center"/>
                </w:tcPr>
                <w:p w14:paraId="446321B9">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22CBE63F">
                  <w:pPr>
                    <w:pStyle w:val="40"/>
                    <w:bidi w:val="0"/>
                    <w:rPr>
                      <w:rFonts w:hint="default"/>
                      <w:color w:val="auto"/>
                      <w:spacing w:val="-6"/>
                      <w:highlight w:val="none"/>
                    </w:rPr>
                  </w:pPr>
                  <w:r>
                    <w:rPr>
                      <w:rFonts w:hint="default"/>
                      <w:color w:val="auto"/>
                      <w:spacing w:val="-6"/>
                      <w:highlight w:val="none"/>
                      <w:lang w:val="en-US" w:eastAsia="zh-CN"/>
                    </w:rPr>
                    <w:t>67</w:t>
                  </w:r>
                </w:p>
              </w:tc>
              <w:tc>
                <w:tcPr>
                  <w:tcW w:w="600" w:type="dxa"/>
                  <w:tcBorders>
                    <w:tl2br w:val="nil"/>
                    <w:tr2bl w:val="nil"/>
                  </w:tcBorders>
                  <w:shd w:val="clear" w:color="auto" w:fill="auto"/>
                  <w:noWrap/>
                  <w:vAlign w:val="center"/>
                </w:tcPr>
                <w:p w14:paraId="3FD42282">
                  <w:pPr>
                    <w:pStyle w:val="40"/>
                    <w:bidi w:val="0"/>
                    <w:rPr>
                      <w:rFonts w:hint="default"/>
                      <w:color w:val="auto"/>
                      <w:spacing w:val="-6"/>
                      <w:highlight w:val="none"/>
                    </w:rPr>
                  </w:pPr>
                  <w:r>
                    <w:rPr>
                      <w:rFonts w:hint="default"/>
                      <w:color w:val="auto"/>
                      <w:spacing w:val="-6"/>
                      <w:highlight w:val="none"/>
                      <w:lang w:val="en-US" w:eastAsia="zh-CN"/>
                    </w:rPr>
                    <w:t>42.7</w:t>
                  </w:r>
                </w:p>
              </w:tc>
              <w:tc>
                <w:tcPr>
                  <w:tcW w:w="611" w:type="dxa"/>
                  <w:vMerge w:val="continue"/>
                  <w:tcBorders>
                    <w:tl2br w:val="nil"/>
                    <w:tr2bl w:val="nil"/>
                  </w:tcBorders>
                  <w:shd w:val="clear" w:color="auto" w:fill="auto"/>
                  <w:noWrap/>
                  <w:vAlign w:val="center"/>
                </w:tcPr>
                <w:p w14:paraId="6E4EFA42">
                  <w:pPr>
                    <w:pStyle w:val="40"/>
                    <w:bidi w:val="0"/>
                    <w:rPr>
                      <w:rFonts w:hint="default"/>
                      <w:color w:val="auto"/>
                      <w:spacing w:val="-6"/>
                      <w:highlight w:val="none"/>
                    </w:rPr>
                  </w:pPr>
                </w:p>
              </w:tc>
            </w:tr>
            <w:tr w14:paraId="57BA76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32A3425B">
                  <w:pPr>
                    <w:pStyle w:val="40"/>
                    <w:bidi w:val="0"/>
                    <w:rPr>
                      <w:rFonts w:hint="default"/>
                      <w:color w:val="auto"/>
                      <w:spacing w:val="-6"/>
                      <w:highlight w:val="none"/>
                    </w:rPr>
                  </w:pPr>
                </w:p>
              </w:tc>
              <w:tc>
                <w:tcPr>
                  <w:tcW w:w="1218" w:type="dxa"/>
                  <w:vMerge w:val="continue"/>
                  <w:tcBorders>
                    <w:tl2br w:val="nil"/>
                    <w:tr2bl w:val="nil"/>
                  </w:tcBorders>
                  <w:shd w:val="clear" w:color="auto" w:fill="auto"/>
                  <w:vAlign w:val="center"/>
                </w:tcPr>
                <w:p w14:paraId="19647BFF">
                  <w:pPr>
                    <w:pStyle w:val="40"/>
                    <w:bidi w:val="0"/>
                    <w:rPr>
                      <w:rFonts w:hint="default"/>
                      <w:color w:val="auto"/>
                      <w:spacing w:val="-6"/>
                      <w:highlight w:val="none"/>
                    </w:rPr>
                  </w:pPr>
                </w:p>
              </w:tc>
              <w:tc>
                <w:tcPr>
                  <w:tcW w:w="1562" w:type="dxa"/>
                  <w:tcBorders>
                    <w:tl2br w:val="nil"/>
                    <w:tr2bl w:val="nil"/>
                  </w:tcBorders>
                  <w:shd w:val="clear" w:color="auto" w:fill="auto"/>
                  <w:noWrap/>
                  <w:vAlign w:val="center"/>
                </w:tcPr>
                <w:p w14:paraId="4AC2462B">
                  <w:pPr>
                    <w:pStyle w:val="40"/>
                    <w:bidi w:val="0"/>
                    <w:rPr>
                      <w:rFonts w:hint="default"/>
                      <w:color w:val="auto"/>
                      <w:spacing w:val="-6"/>
                      <w:highlight w:val="none"/>
                    </w:rPr>
                  </w:pPr>
                  <w:r>
                    <w:rPr>
                      <w:rFonts w:hint="default"/>
                      <w:color w:val="auto"/>
                      <w:spacing w:val="-6"/>
                      <w:highlight w:val="none"/>
                      <w:lang w:val="en-US" w:eastAsia="zh-CN"/>
                    </w:rPr>
                    <w:t>5#</w:t>
                  </w:r>
                  <w:r>
                    <w:rPr>
                      <w:rFonts w:hint="eastAsia"/>
                      <w:color w:val="auto"/>
                      <w:spacing w:val="-6"/>
                      <w:highlight w:val="none"/>
                      <w:lang w:val="en-US" w:eastAsia="zh-CN"/>
                    </w:rPr>
                    <w:t>均化机</w:t>
                  </w:r>
                </w:p>
              </w:tc>
              <w:tc>
                <w:tcPr>
                  <w:tcW w:w="1062" w:type="dxa"/>
                  <w:tcBorders>
                    <w:tl2br w:val="nil"/>
                    <w:tr2bl w:val="nil"/>
                  </w:tcBorders>
                  <w:shd w:val="clear" w:color="auto" w:fill="auto"/>
                  <w:noWrap/>
                  <w:vAlign w:val="center"/>
                </w:tcPr>
                <w:p w14:paraId="1B586AF7">
                  <w:pPr>
                    <w:pStyle w:val="40"/>
                    <w:bidi w:val="0"/>
                    <w:rPr>
                      <w:rFonts w:hint="default"/>
                      <w:color w:val="auto"/>
                      <w:spacing w:val="-6"/>
                      <w:highlight w:val="none"/>
                    </w:rPr>
                  </w:pPr>
                  <w:r>
                    <w:rPr>
                      <w:rFonts w:hint="default"/>
                      <w:color w:val="auto"/>
                      <w:spacing w:val="-6"/>
                      <w:highlight w:val="none"/>
                      <w:lang w:val="en-US" w:eastAsia="zh-CN"/>
                    </w:rPr>
                    <w:t>60</w:t>
                  </w:r>
                </w:p>
              </w:tc>
              <w:tc>
                <w:tcPr>
                  <w:tcW w:w="600" w:type="dxa"/>
                  <w:tcBorders>
                    <w:tl2br w:val="nil"/>
                    <w:tr2bl w:val="nil"/>
                  </w:tcBorders>
                  <w:shd w:val="clear" w:color="auto" w:fill="auto"/>
                  <w:noWrap/>
                  <w:vAlign w:val="center"/>
                </w:tcPr>
                <w:p w14:paraId="7BE74A6A">
                  <w:pPr>
                    <w:pStyle w:val="40"/>
                    <w:bidi w:val="0"/>
                    <w:rPr>
                      <w:rFonts w:hint="default"/>
                      <w:color w:val="auto"/>
                      <w:spacing w:val="-6"/>
                      <w:highlight w:val="none"/>
                    </w:rPr>
                  </w:pPr>
                  <w:r>
                    <w:rPr>
                      <w:rFonts w:hint="default"/>
                      <w:color w:val="auto"/>
                      <w:spacing w:val="-6"/>
                      <w:highlight w:val="none"/>
                      <w:lang w:val="en-US" w:eastAsia="zh-CN"/>
                    </w:rPr>
                    <w:t>141</w:t>
                  </w:r>
                </w:p>
              </w:tc>
              <w:tc>
                <w:tcPr>
                  <w:tcW w:w="588" w:type="dxa"/>
                  <w:tcBorders>
                    <w:tl2br w:val="nil"/>
                    <w:tr2bl w:val="nil"/>
                  </w:tcBorders>
                  <w:shd w:val="clear" w:color="auto" w:fill="auto"/>
                  <w:noWrap/>
                  <w:vAlign w:val="center"/>
                </w:tcPr>
                <w:p w14:paraId="6DA19F98">
                  <w:pPr>
                    <w:pStyle w:val="40"/>
                    <w:bidi w:val="0"/>
                    <w:rPr>
                      <w:rFonts w:hint="default"/>
                      <w:color w:val="auto"/>
                      <w:spacing w:val="-6"/>
                      <w:highlight w:val="none"/>
                    </w:rPr>
                  </w:pPr>
                  <w:r>
                    <w:rPr>
                      <w:rFonts w:hint="default"/>
                      <w:color w:val="auto"/>
                      <w:spacing w:val="-6"/>
                      <w:highlight w:val="none"/>
                      <w:lang w:val="en-US" w:eastAsia="zh-CN"/>
                    </w:rPr>
                    <w:t>166</w:t>
                  </w:r>
                </w:p>
              </w:tc>
              <w:tc>
                <w:tcPr>
                  <w:tcW w:w="565" w:type="dxa"/>
                  <w:tcBorders>
                    <w:tl2br w:val="nil"/>
                    <w:tr2bl w:val="nil"/>
                  </w:tcBorders>
                  <w:shd w:val="clear" w:color="auto" w:fill="auto"/>
                  <w:noWrap/>
                  <w:vAlign w:val="center"/>
                </w:tcPr>
                <w:p w14:paraId="4DFCDD5B">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37197CD0">
                  <w:pPr>
                    <w:pStyle w:val="40"/>
                    <w:bidi w:val="0"/>
                    <w:rPr>
                      <w:rFonts w:hint="default"/>
                      <w:color w:val="auto"/>
                      <w:spacing w:val="-6"/>
                      <w:highlight w:val="none"/>
                    </w:rPr>
                  </w:pPr>
                  <w:r>
                    <w:rPr>
                      <w:rFonts w:hint="default"/>
                      <w:color w:val="auto"/>
                      <w:spacing w:val="-6"/>
                      <w:highlight w:val="none"/>
                      <w:lang w:val="en-US" w:eastAsia="zh-CN"/>
                    </w:rPr>
                    <w:t>70</w:t>
                  </w:r>
                </w:p>
              </w:tc>
              <w:tc>
                <w:tcPr>
                  <w:tcW w:w="600" w:type="dxa"/>
                  <w:tcBorders>
                    <w:tl2br w:val="nil"/>
                    <w:tr2bl w:val="nil"/>
                  </w:tcBorders>
                  <w:shd w:val="clear" w:color="auto" w:fill="auto"/>
                  <w:noWrap/>
                  <w:vAlign w:val="center"/>
                </w:tcPr>
                <w:p w14:paraId="333AA63A">
                  <w:pPr>
                    <w:pStyle w:val="40"/>
                    <w:bidi w:val="0"/>
                    <w:rPr>
                      <w:rFonts w:hint="default"/>
                      <w:color w:val="auto"/>
                      <w:spacing w:val="-6"/>
                      <w:highlight w:val="none"/>
                    </w:rPr>
                  </w:pPr>
                  <w:r>
                    <w:rPr>
                      <w:rFonts w:hint="default"/>
                      <w:color w:val="auto"/>
                      <w:spacing w:val="-6"/>
                      <w:highlight w:val="none"/>
                      <w:lang w:val="en-US" w:eastAsia="zh-CN"/>
                    </w:rPr>
                    <w:t>42.7</w:t>
                  </w:r>
                </w:p>
              </w:tc>
              <w:tc>
                <w:tcPr>
                  <w:tcW w:w="611" w:type="dxa"/>
                  <w:vMerge w:val="continue"/>
                  <w:tcBorders>
                    <w:tl2br w:val="nil"/>
                    <w:tr2bl w:val="nil"/>
                  </w:tcBorders>
                  <w:shd w:val="clear" w:color="auto" w:fill="auto"/>
                  <w:noWrap/>
                  <w:vAlign w:val="center"/>
                </w:tcPr>
                <w:p w14:paraId="2FD3A0EA">
                  <w:pPr>
                    <w:pStyle w:val="40"/>
                    <w:bidi w:val="0"/>
                    <w:rPr>
                      <w:rFonts w:hint="default"/>
                      <w:color w:val="auto"/>
                      <w:spacing w:val="-6"/>
                      <w:highlight w:val="none"/>
                    </w:rPr>
                  </w:pPr>
                </w:p>
              </w:tc>
            </w:tr>
            <w:tr w14:paraId="41D187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323C283C">
                  <w:pPr>
                    <w:pStyle w:val="40"/>
                    <w:bidi w:val="0"/>
                    <w:rPr>
                      <w:rFonts w:hint="default"/>
                      <w:color w:val="auto"/>
                      <w:spacing w:val="-6"/>
                      <w:highlight w:val="none"/>
                    </w:rPr>
                  </w:pPr>
                </w:p>
              </w:tc>
              <w:tc>
                <w:tcPr>
                  <w:tcW w:w="1218" w:type="dxa"/>
                  <w:vMerge w:val="restart"/>
                  <w:tcBorders>
                    <w:tl2br w:val="nil"/>
                    <w:tr2bl w:val="nil"/>
                  </w:tcBorders>
                  <w:shd w:val="clear" w:color="auto" w:fill="auto"/>
                  <w:vAlign w:val="center"/>
                </w:tcPr>
                <w:p w14:paraId="212318EF">
                  <w:pPr>
                    <w:pStyle w:val="40"/>
                    <w:bidi w:val="0"/>
                    <w:rPr>
                      <w:rFonts w:hint="default"/>
                      <w:color w:val="auto"/>
                      <w:spacing w:val="-6"/>
                      <w:highlight w:val="none"/>
                    </w:rPr>
                  </w:pPr>
                  <w:r>
                    <w:rPr>
                      <w:rFonts w:hint="eastAsia"/>
                      <w:color w:val="auto"/>
                      <w:spacing w:val="-6"/>
                      <w:highlight w:val="none"/>
                      <w:lang w:val="en-US" w:eastAsia="zh-CN"/>
                    </w:rPr>
                    <w:t>成球包膜区</w:t>
                  </w:r>
                </w:p>
              </w:tc>
              <w:tc>
                <w:tcPr>
                  <w:tcW w:w="1562" w:type="dxa"/>
                  <w:tcBorders>
                    <w:tl2br w:val="nil"/>
                    <w:tr2bl w:val="nil"/>
                  </w:tcBorders>
                  <w:shd w:val="clear" w:color="auto" w:fill="auto"/>
                  <w:noWrap/>
                  <w:vAlign w:val="center"/>
                </w:tcPr>
                <w:p w14:paraId="18021787">
                  <w:pPr>
                    <w:pStyle w:val="40"/>
                    <w:bidi w:val="0"/>
                    <w:rPr>
                      <w:rFonts w:hint="default"/>
                      <w:color w:val="auto"/>
                      <w:spacing w:val="-6"/>
                      <w:highlight w:val="none"/>
                    </w:rPr>
                  </w:pPr>
                  <w:r>
                    <w:rPr>
                      <w:rFonts w:hint="default"/>
                      <w:color w:val="auto"/>
                      <w:spacing w:val="-6"/>
                      <w:highlight w:val="none"/>
                      <w:lang w:val="en-US" w:eastAsia="zh-CN"/>
                    </w:rPr>
                    <w:t>1#</w:t>
                  </w:r>
                  <w:r>
                    <w:rPr>
                      <w:rFonts w:hint="eastAsia"/>
                      <w:color w:val="auto"/>
                      <w:spacing w:val="-6"/>
                      <w:highlight w:val="none"/>
                      <w:lang w:val="en-US" w:eastAsia="zh-CN"/>
                    </w:rPr>
                    <w:t>成球机</w:t>
                  </w:r>
                </w:p>
              </w:tc>
              <w:tc>
                <w:tcPr>
                  <w:tcW w:w="1062" w:type="dxa"/>
                  <w:tcBorders>
                    <w:tl2br w:val="nil"/>
                    <w:tr2bl w:val="nil"/>
                  </w:tcBorders>
                  <w:shd w:val="clear" w:color="auto" w:fill="auto"/>
                  <w:noWrap/>
                  <w:vAlign w:val="center"/>
                </w:tcPr>
                <w:p w14:paraId="60C31322">
                  <w:pPr>
                    <w:pStyle w:val="40"/>
                    <w:bidi w:val="0"/>
                    <w:rPr>
                      <w:rFonts w:hint="default"/>
                      <w:color w:val="auto"/>
                      <w:spacing w:val="-6"/>
                      <w:highlight w:val="none"/>
                    </w:rPr>
                  </w:pPr>
                  <w:r>
                    <w:rPr>
                      <w:rFonts w:hint="default"/>
                      <w:color w:val="auto"/>
                      <w:spacing w:val="-6"/>
                      <w:highlight w:val="none"/>
                      <w:lang w:val="en-US" w:eastAsia="zh-CN"/>
                    </w:rPr>
                    <w:t>85</w:t>
                  </w:r>
                </w:p>
              </w:tc>
              <w:tc>
                <w:tcPr>
                  <w:tcW w:w="600" w:type="dxa"/>
                  <w:tcBorders>
                    <w:tl2br w:val="nil"/>
                    <w:tr2bl w:val="nil"/>
                  </w:tcBorders>
                  <w:shd w:val="clear" w:color="auto" w:fill="auto"/>
                  <w:noWrap/>
                  <w:vAlign w:val="center"/>
                </w:tcPr>
                <w:p w14:paraId="10BD30E0">
                  <w:pPr>
                    <w:pStyle w:val="40"/>
                    <w:bidi w:val="0"/>
                    <w:rPr>
                      <w:rFonts w:hint="default"/>
                      <w:color w:val="auto"/>
                      <w:spacing w:val="-6"/>
                      <w:highlight w:val="none"/>
                    </w:rPr>
                  </w:pPr>
                  <w:r>
                    <w:rPr>
                      <w:rFonts w:hint="default"/>
                      <w:color w:val="auto"/>
                      <w:spacing w:val="-6"/>
                      <w:highlight w:val="none"/>
                      <w:lang w:val="en-US" w:eastAsia="zh-CN"/>
                    </w:rPr>
                    <w:t>87</w:t>
                  </w:r>
                </w:p>
              </w:tc>
              <w:tc>
                <w:tcPr>
                  <w:tcW w:w="588" w:type="dxa"/>
                  <w:tcBorders>
                    <w:tl2br w:val="nil"/>
                    <w:tr2bl w:val="nil"/>
                  </w:tcBorders>
                  <w:shd w:val="clear" w:color="auto" w:fill="auto"/>
                  <w:noWrap/>
                  <w:vAlign w:val="center"/>
                </w:tcPr>
                <w:p w14:paraId="062A16E2">
                  <w:pPr>
                    <w:pStyle w:val="40"/>
                    <w:bidi w:val="0"/>
                    <w:rPr>
                      <w:rFonts w:hint="default"/>
                      <w:color w:val="auto"/>
                      <w:spacing w:val="-6"/>
                      <w:highlight w:val="none"/>
                    </w:rPr>
                  </w:pPr>
                  <w:r>
                    <w:rPr>
                      <w:rFonts w:hint="default"/>
                      <w:color w:val="auto"/>
                      <w:spacing w:val="-6"/>
                      <w:highlight w:val="none"/>
                      <w:lang w:val="en-US" w:eastAsia="zh-CN"/>
                    </w:rPr>
                    <w:t>147</w:t>
                  </w:r>
                </w:p>
              </w:tc>
              <w:tc>
                <w:tcPr>
                  <w:tcW w:w="565" w:type="dxa"/>
                  <w:tcBorders>
                    <w:tl2br w:val="nil"/>
                    <w:tr2bl w:val="nil"/>
                  </w:tcBorders>
                  <w:shd w:val="clear" w:color="auto" w:fill="auto"/>
                  <w:noWrap/>
                  <w:vAlign w:val="center"/>
                </w:tcPr>
                <w:p w14:paraId="67EC000A">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76E6425E">
                  <w:pPr>
                    <w:pStyle w:val="40"/>
                    <w:bidi w:val="0"/>
                    <w:rPr>
                      <w:rFonts w:hint="default"/>
                      <w:color w:val="auto"/>
                      <w:spacing w:val="-6"/>
                      <w:highlight w:val="none"/>
                    </w:rPr>
                  </w:pPr>
                  <w:r>
                    <w:rPr>
                      <w:rFonts w:hint="default"/>
                      <w:color w:val="auto"/>
                      <w:spacing w:val="-6"/>
                      <w:highlight w:val="none"/>
                      <w:lang w:val="en-US" w:eastAsia="zh-CN"/>
                    </w:rPr>
                    <w:t>78</w:t>
                  </w:r>
                </w:p>
              </w:tc>
              <w:tc>
                <w:tcPr>
                  <w:tcW w:w="600" w:type="dxa"/>
                  <w:tcBorders>
                    <w:tl2br w:val="nil"/>
                    <w:tr2bl w:val="nil"/>
                  </w:tcBorders>
                  <w:shd w:val="clear" w:color="auto" w:fill="auto"/>
                  <w:noWrap/>
                  <w:vAlign w:val="center"/>
                </w:tcPr>
                <w:p w14:paraId="72ECB129">
                  <w:pPr>
                    <w:pStyle w:val="40"/>
                    <w:bidi w:val="0"/>
                    <w:rPr>
                      <w:rFonts w:hint="default"/>
                      <w:color w:val="auto"/>
                      <w:spacing w:val="-6"/>
                      <w:highlight w:val="none"/>
                    </w:rPr>
                  </w:pPr>
                  <w:r>
                    <w:rPr>
                      <w:rFonts w:hint="default"/>
                      <w:color w:val="auto"/>
                      <w:spacing w:val="-6"/>
                      <w:highlight w:val="none"/>
                      <w:lang w:val="en-US" w:eastAsia="zh-CN"/>
                    </w:rPr>
                    <w:t>67.7</w:t>
                  </w:r>
                </w:p>
              </w:tc>
              <w:tc>
                <w:tcPr>
                  <w:tcW w:w="611" w:type="dxa"/>
                  <w:vMerge w:val="continue"/>
                  <w:tcBorders>
                    <w:tl2br w:val="nil"/>
                    <w:tr2bl w:val="nil"/>
                  </w:tcBorders>
                  <w:shd w:val="clear" w:color="auto" w:fill="auto"/>
                  <w:noWrap/>
                  <w:vAlign w:val="center"/>
                </w:tcPr>
                <w:p w14:paraId="5A6A7057">
                  <w:pPr>
                    <w:pStyle w:val="40"/>
                    <w:bidi w:val="0"/>
                    <w:rPr>
                      <w:rFonts w:hint="default"/>
                      <w:color w:val="auto"/>
                      <w:spacing w:val="-6"/>
                      <w:highlight w:val="none"/>
                    </w:rPr>
                  </w:pPr>
                </w:p>
              </w:tc>
            </w:tr>
            <w:tr w14:paraId="3F8948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4FCB2FCA">
                  <w:pPr>
                    <w:pStyle w:val="40"/>
                    <w:bidi w:val="0"/>
                    <w:rPr>
                      <w:rFonts w:hint="default"/>
                      <w:color w:val="auto"/>
                      <w:spacing w:val="-6"/>
                      <w:highlight w:val="none"/>
                    </w:rPr>
                  </w:pPr>
                </w:p>
              </w:tc>
              <w:tc>
                <w:tcPr>
                  <w:tcW w:w="1218" w:type="dxa"/>
                  <w:vMerge w:val="continue"/>
                  <w:tcBorders>
                    <w:tl2br w:val="nil"/>
                    <w:tr2bl w:val="nil"/>
                  </w:tcBorders>
                  <w:shd w:val="clear" w:color="auto" w:fill="auto"/>
                  <w:vAlign w:val="center"/>
                </w:tcPr>
                <w:p w14:paraId="09674BC7">
                  <w:pPr>
                    <w:pStyle w:val="40"/>
                    <w:bidi w:val="0"/>
                    <w:rPr>
                      <w:rFonts w:hint="default"/>
                      <w:color w:val="auto"/>
                      <w:spacing w:val="-6"/>
                      <w:highlight w:val="none"/>
                    </w:rPr>
                  </w:pPr>
                </w:p>
              </w:tc>
              <w:tc>
                <w:tcPr>
                  <w:tcW w:w="1562" w:type="dxa"/>
                  <w:tcBorders>
                    <w:tl2br w:val="nil"/>
                    <w:tr2bl w:val="nil"/>
                  </w:tcBorders>
                  <w:shd w:val="clear" w:color="auto" w:fill="auto"/>
                  <w:noWrap/>
                  <w:vAlign w:val="center"/>
                </w:tcPr>
                <w:p w14:paraId="4989E18F">
                  <w:pPr>
                    <w:pStyle w:val="40"/>
                    <w:bidi w:val="0"/>
                    <w:rPr>
                      <w:rFonts w:hint="default"/>
                      <w:color w:val="auto"/>
                      <w:spacing w:val="-6"/>
                      <w:highlight w:val="none"/>
                    </w:rPr>
                  </w:pPr>
                  <w:r>
                    <w:rPr>
                      <w:rFonts w:hint="default"/>
                      <w:color w:val="auto"/>
                      <w:spacing w:val="-6"/>
                      <w:highlight w:val="none"/>
                      <w:lang w:val="en-US" w:eastAsia="zh-CN"/>
                    </w:rPr>
                    <w:t>2#</w:t>
                  </w:r>
                  <w:r>
                    <w:rPr>
                      <w:rFonts w:hint="eastAsia"/>
                      <w:color w:val="auto"/>
                      <w:spacing w:val="-6"/>
                      <w:highlight w:val="none"/>
                      <w:lang w:val="en-US" w:eastAsia="zh-CN"/>
                    </w:rPr>
                    <w:t>成球机</w:t>
                  </w:r>
                </w:p>
              </w:tc>
              <w:tc>
                <w:tcPr>
                  <w:tcW w:w="1062" w:type="dxa"/>
                  <w:tcBorders>
                    <w:tl2br w:val="nil"/>
                    <w:tr2bl w:val="nil"/>
                  </w:tcBorders>
                  <w:shd w:val="clear" w:color="auto" w:fill="auto"/>
                  <w:noWrap/>
                  <w:vAlign w:val="center"/>
                </w:tcPr>
                <w:p w14:paraId="3EF245C4">
                  <w:pPr>
                    <w:pStyle w:val="40"/>
                    <w:bidi w:val="0"/>
                    <w:rPr>
                      <w:rFonts w:hint="default"/>
                      <w:color w:val="auto"/>
                      <w:spacing w:val="-6"/>
                      <w:highlight w:val="none"/>
                    </w:rPr>
                  </w:pPr>
                  <w:r>
                    <w:rPr>
                      <w:rFonts w:hint="default"/>
                      <w:color w:val="auto"/>
                      <w:spacing w:val="-6"/>
                      <w:highlight w:val="none"/>
                      <w:lang w:val="en-US" w:eastAsia="zh-CN"/>
                    </w:rPr>
                    <w:t>85</w:t>
                  </w:r>
                </w:p>
              </w:tc>
              <w:tc>
                <w:tcPr>
                  <w:tcW w:w="600" w:type="dxa"/>
                  <w:tcBorders>
                    <w:tl2br w:val="nil"/>
                    <w:tr2bl w:val="nil"/>
                  </w:tcBorders>
                  <w:shd w:val="clear" w:color="auto" w:fill="auto"/>
                  <w:noWrap/>
                  <w:vAlign w:val="center"/>
                </w:tcPr>
                <w:p w14:paraId="21171795">
                  <w:pPr>
                    <w:pStyle w:val="40"/>
                    <w:bidi w:val="0"/>
                    <w:rPr>
                      <w:rFonts w:hint="default"/>
                      <w:color w:val="auto"/>
                      <w:spacing w:val="-6"/>
                      <w:highlight w:val="none"/>
                    </w:rPr>
                  </w:pPr>
                  <w:r>
                    <w:rPr>
                      <w:rFonts w:hint="default"/>
                      <w:color w:val="auto"/>
                      <w:spacing w:val="-6"/>
                      <w:highlight w:val="none"/>
                      <w:lang w:val="en-US" w:eastAsia="zh-CN"/>
                    </w:rPr>
                    <w:t>102</w:t>
                  </w:r>
                </w:p>
              </w:tc>
              <w:tc>
                <w:tcPr>
                  <w:tcW w:w="588" w:type="dxa"/>
                  <w:tcBorders>
                    <w:tl2br w:val="nil"/>
                    <w:tr2bl w:val="nil"/>
                  </w:tcBorders>
                  <w:shd w:val="clear" w:color="auto" w:fill="auto"/>
                  <w:noWrap/>
                  <w:vAlign w:val="center"/>
                </w:tcPr>
                <w:p w14:paraId="08A02FEF">
                  <w:pPr>
                    <w:pStyle w:val="40"/>
                    <w:bidi w:val="0"/>
                    <w:rPr>
                      <w:rFonts w:hint="default"/>
                      <w:color w:val="auto"/>
                      <w:spacing w:val="-6"/>
                      <w:highlight w:val="none"/>
                    </w:rPr>
                  </w:pPr>
                  <w:r>
                    <w:rPr>
                      <w:rFonts w:hint="default"/>
                      <w:color w:val="auto"/>
                      <w:spacing w:val="-6"/>
                      <w:highlight w:val="none"/>
                      <w:lang w:val="en-US" w:eastAsia="zh-CN"/>
                    </w:rPr>
                    <w:t>148</w:t>
                  </w:r>
                </w:p>
              </w:tc>
              <w:tc>
                <w:tcPr>
                  <w:tcW w:w="565" w:type="dxa"/>
                  <w:tcBorders>
                    <w:tl2br w:val="nil"/>
                    <w:tr2bl w:val="nil"/>
                  </w:tcBorders>
                  <w:shd w:val="clear" w:color="auto" w:fill="auto"/>
                  <w:noWrap/>
                  <w:vAlign w:val="center"/>
                </w:tcPr>
                <w:p w14:paraId="0B61156B">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6169FA5D">
                  <w:pPr>
                    <w:pStyle w:val="40"/>
                    <w:bidi w:val="0"/>
                    <w:rPr>
                      <w:rFonts w:hint="default"/>
                      <w:color w:val="auto"/>
                      <w:spacing w:val="-6"/>
                      <w:highlight w:val="none"/>
                    </w:rPr>
                  </w:pPr>
                  <w:r>
                    <w:rPr>
                      <w:rFonts w:hint="default"/>
                      <w:color w:val="auto"/>
                      <w:spacing w:val="-6"/>
                      <w:highlight w:val="none"/>
                      <w:lang w:val="en-US" w:eastAsia="zh-CN"/>
                    </w:rPr>
                    <w:t>77</w:t>
                  </w:r>
                </w:p>
              </w:tc>
              <w:tc>
                <w:tcPr>
                  <w:tcW w:w="600" w:type="dxa"/>
                  <w:tcBorders>
                    <w:tl2br w:val="nil"/>
                    <w:tr2bl w:val="nil"/>
                  </w:tcBorders>
                  <w:shd w:val="clear" w:color="auto" w:fill="auto"/>
                  <w:noWrap/>
                  <w:vAlign w:val="center"/>
                </w:tcPr>
                <w:p w14:paraId="7A412DAA">
                  <w:pPr>
                    <w:pStyle w:val="40"/>
                    <w:bidi w:val="0"/>
                    <w:rPr>
                      <w:rFonts w:hint="default"/>
                      <w:color w:val="auto"/>
                      <w:spacing w:val="-6"/>
                      <w:highlight w:val="none"/>
                    </w:rPr>
                  </w:pPr>
                  <w:r>
                    <w:rPr>
                      <w:rFonts w:hint="default"/>
                      <w:color w:val="auto"/>
                      <w:spacing w:val="-6"/>
                      <w:highlight w:val="none"/>
                      <w:lang w:val="en-US" w:eastAsia="zh-CN"/>
                    </w:rPr>
                    <w:t>67.7</w:t>
                  </w:r>
                </w:p>
              </w:tc>
              <w:tc>
                <w:tcPr>
                  <w:tcW w:w="611" w:type="dxa"/>
                  <w:vMerge w:val="continue"/>
                  <w:tcBorders>
                    <w:tl2br w:val="nil"/>
                    <w:tr2bl w:val="nil"/>
                  </w:tcBorders>
                  <w:shd w:val="clear" w:color="auto" w:fill="auto"/>
                  <w:noWrap/>
                  <w:vAlign w:val="center"/>
                </w:tcPr>
                <w:p w14:paraId="2E76D80F">
                  <w:pPr>
                    <w:pStyle w:val="40"/>
                    <w:bidi w:val="0"/>
                    <w:rPr>
                      <w:rFonts w:hint="default"/>
                      <w:color w:val="auto"/>
                      <w:spacing w:val="-6"/>
                      <w:highlight w:val="none"/>
                    </w:rPr>
                  </w:pPr>
                </w:p>
              </w:tc>
            </w:tr>
            <w:tr w14:paraId="18BC79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06949CBB">
                  <w:pPr>
                    <w:pStyle w:val="40"/>
                    <w:bidi w:val="0"/>
                    <w:rPr>
                      <w:rFonts w:hint="default"/>
                      <w:color w:val="auto"/>
                      <w:spacing w:val="-6"/>
                      <w:highlight w:val="none"/>
                    </w:rPr>
                  </w:pPr>
                </w:p>
              </w:tc>
              <w:tc>
                <w:tcPr>
                  <w:tcW w:w="1218" w:type="dxa"/>
                  <w:vMerge w:val="continue"/>
                  <w:tcBorders>
                    <w:tl2br w:val="nil"/>
                    <w:tr2bl w:val="nil"/>
                  </w:tcBorders>
                  <w:shd w:val="clear" w:color="auto" w:fill="auto"/>
                  <w:vAlign w:val="center"/>
                </w:tcPr>
                <w:p w14:paraId="0E4C43B4">
                  <w:pPr>
                    <w:pStyle w:val="40"/>
                    <w:bidi w:val="0"/>
                    <w:rPr>
                      <w:rFonts w:hint="default"/>
                      <w:color w:val="auto"/>
                      <w:spacing w:val="-6"/>
                      <w:highlight w:val="none"/>
                    </w:rPr>
                  </w:pPr>
                </w:p>
              </w:tc>
              <w:tc>
                <w:tcPr>
                  <w:tcW w:w="1562" w:type="dxa"/>
                  <w:tcBorders>
                    <w:tl2br w:val="nil"/>
                    <w:tr2bl w:val="nil"/>
                  </w:tcBorders>
                  <w:shd w:val="clear" w:color="auto" w:fill="auto"/>
                  <w:noWrap/>
                  <w:vAlign w:val="center"/>
                </w:tcPr>
                <w:p w14:paraId="44D2850B">
                  <w:pPr>
                    <w:pStyle w:val="40"/>
                    <w:bidi w:val="0"/>
                    <w:rPr>
                      <w:rFonts w:hint="default"/>
                      <w:color w:val="auto"/>
                      <w:spacing w:val="-6"/>
                      <w:highlight w:val="none"/>
                    </w:rPr>
                  </w:pPr>
                  <w:r>
                    <w:rPr>
                      <w:rFonts w:hint="default"/>
                      <w:color w:val="auto"/>
                      <w:spacing w:val="-6"/>
                      <w:highlight w:val="none"/>
                      <w:lang w:val="en-US" w:eastAsia="zh-CN"/>
                    </w:rPr>
                    <w:t>3#</w:t>
                  </w:r>
                  <w:r>
                    <w:rPr>
                      <w:rFonts w:hint="eastAsia"/>
                      <w:color w:val="auto"/>
                      <w:spacing w:val="-6"/>
                      <w:highlight w:val="none"/>
                      <w:lang w:val="en-US" w:eastAsia="zh-CN"/>
                    </w:rPr>
                    <w:t>成球机</w:t>
                  </w:r>
                </w:p>
              </w:tc>
              <w:tc>
                <w:tcPr>
                  <w:tcW w:w="1062" w:type="dxa"/>
                  <w:tcBorders>
                    <w:tl2br w:val="nil"/>
                    <w:tr2bl w:val="nil"/>
                  </w:tcBorders>
                  <w:shd w:val="clear" w:color="auto" w:fill="auto"/>
                  <w:noWrap/>
                  <w:vAlign w:val="center"/>
                </w:tcPr>
                <w:p w14:paraId="02902790">
                  <w:pPr>
                    <w:pStyle w:val="40"/>
                    <w:bidi w:val="0"/>
                    <w:rPr>
                      <w:rFonts w:hint="default"/>
                      <w:color w:val="auto"/>
                      <w:spacing w:val="-6"/>
                      <w:highlight w:val="none"/>
                    </w:rPr>
                  </w:pPr>
                  <w:r>
                    <w:rPr>
                      <w:rFonts w:hint="default"/>
                      <w:color w:val="auto"/>
                      <w:spacing w:val="-6"/>
                      <w:highlight w:val="none"/>
                      <w:lang w:val="en-US" w:eastAsia="zh-CN"/>
                    </w:rPr>
                    <w:t>85</w:t>
                  </w:r>
                </w:p>
              </w:tc>
              <w:tc>
                <w:tcPr>
                  <w:tcW w:w="600" w:type="dxa"/>
                  <w:tcBorders>
                    <w:tl2br w:val="nil"/>
                    <w:tr2bl w:val="nil"/>
                  </w:tcBorders>
                  <w:shd w:val="clear" w:color="auto" w:fill="auto"/>
                  <w:noWrap/>
                  <w:vAlign w:val="center"/>
                </w:tcPr>
                <w:p w14:paraId="00F56FF0">
                  <w:pPr>
                    <w:pStyle w:val="40"/>
                    <w:bidi w:val="0"/>
                    <w:rPr>
                      <w:rFonts w:hint="default"/>
                      <w:color w:val="auto"/>
                      <w:spacing w:val="-6"/>
                      <w:highlight w:val="none"/>
                    </w:rPr>
                  </w:pPr>
                  <w:r>
                    <w:rPr>
                      <w:rFonts w:hint="default"/>
                      <w:color w:val="auto"/>
                      <w:spacing w:val="-6"/>
                      <w:highlight w:val="none"/>
                      <w:lang w:val="en-US" w:eastAsia="zh-CN"/>
                    </w:rPr>
                    <w:t>117</w:t>
                  </w:r>
                </w:p>
              </w:tc>
              <w:tc>
                <w:tcPr>
                  <w:tcW w:w="588" w:type="dxa"/>
                  <w:tcBorders>
                    <w:tl2br w:val="nil"/>
                    <w:tr2bl w:val="nil"/>
                  </w:tcBorders>
                  <w:shd w:val="clear" w:color="auto" w:fill="auto"/>
                  <w:noWrap/>
                  <w:vAlign w:val="center"/>
                </w:tcPr>
                <w:p w14:paraId="62367A87">
                  <w:pPr>
                    <w:pStyle w:val="40"/>
                    <w:bidi w:val="0"/>
                    <w:rPr>
                      <w:rFonts w:hint="default"/>
                      <w:color w:val="auto"/>
                      <w:spacing w:val="-6"/>
                      <w:highlight w:val="none"/>
                    </w:rPr>
                  </w:pPr>
                  <w:r>
                    <w:rPr>
                      <w:rFonts w:hint="default"/>
                      <w:color w:val="auto"/>
                      <w:spacing w:val="-6"/>
                      <w:highlight w:val="none"/>
                      <w:lang w:val="en-US" w:eastAsia="zh-CN"/>
                    </w:rPr>
                    <w:t>149</w:t>
                  </w:r>
                </w:p>
              </w:tc>
              <w:tc>
                <w:tcPr>
                  <w:tcW w:w="565" w:type="dxa"/>
                  <w:tcBorders>
                    <w:tl2br w:val="nil"/>
                    <w:tr2bl w:val="nil"/>
                  </w:tcBorders>
                  <w:shd w:val="clear" w:color="auto" w:fill="auto"/>
                  <w:noWrap/>
                  <w:vAlign w:val="center"/>
                </w:tcPr>
                <w:p w14:paraId="60F0758D">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58F6F9E5">
                  <w:pPr>
                    <w:pStyle w:val="40"/>
                    <w:bidi w:val="0"/>
                    <w:rPr>
                      <w:rFonts w:hint="default"/>
                      <w:color w:val="auto"/>
                      <w:spacing w:val="-6"/>
                      <w:highlight w:val="none"/>
                    </w:rPr>
                  </w:pPr>
                  <w:r>
                    <w:rPr>
                      <w:rFonts w:hint="default"/>
                      <w:color w:val="auto"/>
                      <w:spacing w:val="-6"/>
                      <w:highlight w:val="none"/>
                      <w:lang w:val="en-US" w:eastAsia="zh-CN"/>
                    </w:rPr>
                    <w:t>75</w:t>
                  </w:r>
                </w:p>
              </w:tc>
              <w:tc>
                <w:tcPr>
                  <w:tcW w:w="600" w:type="dxa"/>
                  <w:tcBorders>
                    <w:tl2br w:val="nil"/>
                    <w:tr2bl w:val="nil"/>
                  </w:tcBorders>
                  <w:shd w:val="clear" w:color="auto" w:fill="auto"/>
                  <w:noWrap/>
                  <w:vAlign w:val="center"/>
                </w:tcPr>
                <w:p w14:paraId="306B6C87">
                  <w:pPr>
                    <w:pStyle w:val="40"/>
                    <w:bidi w:val="0"/>
                    <w:rPr>
                      <w:rFonts w:hint="default"/>
                      <w:color w:val="auto"/>
                      <w:spacing w:val="-6"/>
                      <w:highlight w:val="none"/>
                    </w:rPr>
                  </w:pPr>
                  <w:r>
                    <w:rPr>
                      <w:rFonts w:hint="default"/>
                      <w:color w:val="auto"/>
                      <w:spacing w:val="-6"/>
                      <w:highlight w:val="none"/>
                      <w:lang w:val="en-US" w:eastAsia="zh-CN"/>
                    </w:rPr>
                    <w:t>67.7</w:t>
                  </w:r>
                </w:p>
              </w:tc>
              <w:tc>
                <w:tcPr>
                  <w:tcW w:w="611" w:type="dxa"/>
                  <w:vMerge w:val="continue"/>
                  <w:tcBorders>
                    <w:tl2br w:val="nil"/>
                    <w:tr2bl w:val="nil"/>
                  </w:tcBorders>
                  <w:shd w:val="clear" w:color="auto" w:fill="auto"/>
                  <w:noWrap/>
                  <w:vAlign w:val="center"/>
                </w:tcPr>
                <w:p w14:paraId="09B649C4">
                  <w:pPr>
                    <w:pStyle w:val="40"/>
                    <w:bidi w:val="0"/>
                    <w:rPr>
                      <w:rFonts w:hint="default"/>
                      <w:color w:val="auto"/>
                      <w:spacing w:val="-6"/>
                      <w:highlight w:val="none"/>
                    </w:rPr>
                  </w:pPr>
                </w:p>
              </w:tc>
            </w:tr>
            <w:tr w14:paraId="131BEC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02E8F569">
                  <w:pPr>
                    <w:pStyle w:val="40"/>
                    <w:bidi w:val="0"/>
                    <w:rPr>
                      <w:rFonts w:hint="default"/>
                      <w:color w:val="auto"/>
                      <w:spacing w:val="-6"/>
                      <w:highlight w:val="none"/>
                    </w:rPr>
                  </w:pPr>
                </w:p>
              </w:tc>
              <w:tc>
                <w:tcPr>
                  <w:tcW w:w="1218" w:type="dxa"/>
                  <w:vMerge w:val="continue"/>
                  <w:tcBorders>
                    <w:tl2br w:val="nil"/>
                    <w:tr2bl w:val="nil"/>
                  </w:tcBorders>
                  <w:shd w:val="clear" w:color="auto" w:fill="auto"/>
                  <w:vAlign w:val="center"/>
                </w:tcPr>
                <w:p w14:paraId="1552AE09">
                  <w:pPr>
                    <w:pStyle w:val="40"/>
                    <w:bidi w:val="0"/>
                    <w:rPr>
                      <w:rFonts w:hint="default"/>
                      <w:color w:val="auto"/>
                      <w:spacing w:val="-6"/>
                      <w:highlight w:val="none"/>
                    </w:rPr>
                  </w:pPr>
                </w:p>
              </w:tc>
              <w:tc>
                <w:tcPr>
                  <w:tcW w:w="1562" w:type="dxa"/>
                  <w:tcBorders>
                    <w:tl2br w:val="nil"/>
                    <w:tr2bl w:val="nil"/>
                  </w:tcBorders>
                  <w:shd w:val="clear" w:color="auto" w:fill="auto"/>
                  <w:noWrap/>
                  <w:vAlign w:val="center"/>
                </w:tcPr>
                <w:p w14:paraId="79D0B16A">
                  <w:pPr>
                    <w:pStyle w:val="40"/>
                    <w:bidi w:val="0"/>
                    <w:rPr>
                      <w:rFonts w:hint="default"/>
                      <w:color w:val="auto"/>
                      <w:spacing w:val="-6"/>
                      <w:highlight w:val="none"/>
                    </w:rPr>
                  </w:pPr>
                  <w:r>
                    <w:rPr>
                      <w:rFonts w:hint="default"/>
                      <w:color w:val="auto"/>
                      <w:spacing w:val="-6"/>
                      <w:highlight w:val="none"/>
                      <w:lang w:val="en-US" w:eastAsia="zh-CN"/>
                    </w:rPr>
                    <w:t>4#</w:t>
                  </w:r>
                  <w:r>
                    <w:rPr>
                      <w:rFonts w:hint="eastAsia"/>
                      <w:color w:val="auto"/>
                      <w:spacing w:val="-6"/>
                      <w:highlight w:val="none"/>
                      <w:lang w:val="en-US" w:eastAsia="zh-CN"/>
                    </w:rPr>
                    <w:t>成球机</w:t>
                  </w:r>
                </w:p>
              </w:tc>
              <w:tc>
                <w:tcPr>
                  <w:tcW w:w="1062" w:type="dxa"/>
                  <w:tcBorders>
                    <w:tl2br w:val="nil"/>
                    <w:tr2bl w:val="nil"/>
                  </w:tcBorders>
                  <w:shd w:val="clear" w:color="auto" w:fill="auto"/>
                  <w:noWrap/>
                  <w:vAlign w:val="center"/>
                </w:tcPr>
                <w:p w14:paraId="7423D7B9">
                  <w:pPr>
                    <w:pStyle w:val="40"/>
                    <w:bidi w:val="0"/>
                    <w:rPr>
                      <w:rFonts w:hint="default"/>
                      <w:color w:val="auto"/>
                      <w:spacing w:val="-6"/>
                      <w:highlight w:val="none"/>
                    </w:rPr>
                  </w:pPr>
                  <w:r>
                    <w:rPr>
                      <w:rFonts w:hint="default"/>
                      <w:color w:val="auto"/>
                      <w:spacing w:val="-6"/>
                      <w:highlight w:val="none"/>
                      <w:lang w:val="en-US" w:eastAsia="zh-CN"/>
                    </w:rPr>
                    <w:t>85</w:t>
                  </w:r>
                </w:p>
              </w:tc>
              <w:tc>
                <w:tcPr>
                  <w:tcW w:w="600" w:type="dxa"/>
                  <w:tcBorders>
                    <w:tl2br w:val="nil"/>
                    <w:tr2bl w:val="nil"/>
                  </w:tcBorders>
                  <w:shd w:val="clear" w:color="auto" w:fill="auto"/>
                  <w:noWrap/>
                  <w:vAlign w:val="center"/>
                </w:tcPr>
                <w:p w14:paraId="3EF1E84E">
                  <w:pPr>
                    <w:pStyle w:val="40"/>
                    <w:bidi w:val="0"/>
                    <w:rPr>
                      <w:rFonts w:hint="default"/>
                      <w:color w:val="auto"/>
                      <w:spacing w:val="-6"/>
                      <w:highlight w:val="none"/>
                    </w:rPr>
                  </w:pPr>
                  <w:r>
                    <w:rPr>
                      <w:rFonts w:hint="default"/>
                      <w:color w:val="auto"/>
                      <w:spacing w:val="-6"/>
                      <w:highlight w:val="none"/>
                      <w:lang w:val="en-US" w:eastAsia="zh-CN"/>
                    </w:rPr>
                    <w:t>132</w:t>
                  </w:r>
                </w:p>
              </w:tc>
              <w:tc>
                <w:tcPr>
                  <w:tcW w:w="588" w:type="dxa"/>
                  <w:tcBorders>
                    <w:tl2br w:val="nil"/>
                    <w:tr2bl w:val="nil"/>
                  </w:tcBorders>
                  <w:shd w:val="clear" w:color="auto" w:fill="auto"/>
                  <w:noWrap/>
                  <w:vAlign w:val="center"/>
                </w:tcPr>
                <w:p w14:paraId="725E5B85">
                  <w:pPr>
                    <w:pStyle w:val="40"/>
                    <w:bidi w:val="0"/>
                    <w:rPr>
                      <w:rFonts w:hint="default"/>
                      <w:color w:val="auto"/>
                      <w:spacing w:val="-6"/>
                      <w:highlight w:val="none"/>
                    </w:rPr>
                  </w:pPr>
                  <w:r>
                    <w:rPr>
                      <w:rFonts w:hint="default"/>
                      <w:color w:val="auto"/>
                      <w:spacing w:val="-6"/>
                      <w:highlight w:val="none"/>
                      <w:lang w:val="en-US" w:eastAsia="zh-CN"/>
                    </w:rPr>
                    <w:t>150</w:t>
                  </w:r>
                </w:p>
              </w:tc>
              <w:tc>
                <w:tcPr>
                  <w:tcW w:w="565" w:type="dxa"/>
                  <w:tcBorders>
                    <w:tl2br w:val="nil"/>
                    <w:tr2bl w:val="nil"/>
                  </w:tcBorders>
                  <w:shd w:val="clear" w:color="auto" w:fill="auto"/>
                  <w:noWrap/>
                  <w:vAlign w:val="center"/>
                </w:tcPr>
                <w:p w14:paraId="04DBDF60">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2F3E2D63">
                  <w:pPr>
                    <w:pStyle w:val="40"/>
                    <w:bidi w:val="0"/>
                    <w:rPr>
                      <w:rFonts w:hint="default"/>
                      <w:color w:val="auto"/>
                      <w:spacing w:val="-6"/>
                      <w:highlight w:val="none"/>
                    </w:rPr>
                  </w:pPr>
                  <w:r>
                    <w:rPr>
                      <w:rFonts w:hint="default"/>
                      <w:color w:val="auto"/>
                      <w:spacing w:val="-6"/>
                      <w:highlight w:val="none"/>
                      <w:lang w:val="en-US" w:eastAsia="zh-CN"/>
                    </w:rPr>
                    <w:t>80</w:t>
                  </w:r>
                </w:p>
              </w:tc>
              <w:tc>
                <w:tcPr>
                  <w:tcW w:w="600" w:type="dxa"/>
                  <w:tcBorders>
                    <w:tl2br w:val="nil"/>
                    <w:tr2bl w:val="nil"/>
                  </w:tcBorders>
                  <w:shd w:val="clear" w:color="auto" w:fill="auto"/>
                  <w:noWrap/>
                  <w:vAlign w:val="center"/>
                </w:tcPr>
                <w:p w14:paraId="18334384">
                  <w:pPr>
                    <w:pStyle w:val="40"/>
                    <w:bidi w:val="0"/>
                    <w:rPr>
                      <w:rFonts w:hint="default"/>
                      <w:color w:val="auto"/>
                      <w:spacing w:val="-6"/>
                      <w:highlight w:val="none"/>
                    </w:rPr>
                  </w:pPr>
                  <w:r>
                    <w:rPr>
                      <w:rFonts w:hint="default"/>
                      <w:color w:val="auto"/>
                      <w:spacing w:val="-6"/>
                      <w:highlight w:val="none"/>
                      <w:lang w:val="en-US" w:eastAsia="zh-CN"/>
                    </w:rPr>
                    <w:t>67.7</w:t>
                  </w:r>
                </w:p>
              </w:tc>
              <w:tc>
                <w:tcPr>
                  <w:tcW w:w="611" w:type="dxa"/>
                  <w:vMerge w:val="continue"/>
                  <w:tcBorders>
                    <w:tl2br w:val="nil"/>
                    <w:tr2bl w:val="nil"/>
                  </w:tcBorders>
                  <w:shd w:val="clear" w:color="auto" w:fill="auto"/>
                  <w:noWrap/>
                  <w:vAlign w:val="center"/>
                </w:tcPr>
                <w:p w14:paraId="4DCA42EF">
                  <w:pPr>
                    <w:pStyle w:val="40"/>
                    <w:bidi w:val="0"/>
                    <w:rPr>
                      <w:rFonts w:hint="default"/>
                      <w:color w:val="auto"/>
                      <w:spacing w:val="-6"/>
                      <w:highlight w:val="none"/>
                    </w:rPr>
                  </w:pPr>
                </w:p>
              </w:tc>
            </w:tr>
            <w:tr w14:paraId="0532D4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7630D371">
                  <w:pPr>
                    <w:pStyle w:val="40"/>
                    <w:bidi w:val="0"/>
                    <w:rPr>
                      <w:rFonts w:hint="default"/>
                      <w:color w:val="auto"/>
                      <w:spacing w:val="-6"/>
                      <w:highlight w:val="none"/>
                    </w:rPr>
                  </w:pPr>
                </w:p>
              </w:tc>
              <w:tc>
                <w:tcPr>
                  <w:tcW w:w="1218" w:type="dxa"/>
                  <w:vMerge w:val="continue"/>
                  <w:tcBorders>
                    <w:tl2br w:val="nil"/>
                    <w:tr2bl w:val="nil"/>
                  </w:tcBorders>
                  <w:shd w:val="clear" w:color="auto" w:fill="auto"/>
                  <w:vAlign w:val="center"/>
                </w:tcPr>
                <w:p w14:paraId="0753B4B2">
                  <w:pPr>
                    <w:pStyle w:val="40"/>
                    <w:bidi w:val="0"/>
                    <w:rPr>
                      <w:rFonts w:hint="default"/>
                      <w:color w:val="auto"/>
                      <w:spacing w:val="-6"/>
                      <w:highlight w:val="none"/>
                    </w:rPr>
                  </w:pPr>
                </w:p>
              </w:tc>
              <w:tc>
                <w:tcPr>
                  <w:tcW w:w="1562" w:type="dxa"/>
                  <w:tcBorders>
                    <w:tl2br w:val="nil"/>
                    <w:tr2bl w:val="nil"/>
                  </w:tcBorders>
                  <w:shd w:val="clear" w:color="auto" w:fill="auto"/>
                  <w:noWrap/>
                  <w:vAlign w:val="center"/>
                </w:tcPr>
                <w:p w14:paraId="71452C44">
                  <w:pPr>
                    <w:pStyle w:val="40"/>
                    <w:bidi w:val="0"/>
                    <w:rPr>
                      <w:rFonts w:hint="default"/>
                      <w:color w:val="auto"/>
                      <w:spacing w:val="-6"/>
                      <w:highlight w:val="none"/>
                    </w:rPr>
                  </w:pPr>
                  <w:r>
                    <w:rPr>
                      <w:rFonts w:hint="default"/>
                      <w:color w:val="auto"/>
                      <w:spacing w:val="-6"/>
                      <w:highlight w:val="none"/>
                      <w:lang w:val="en-US" w:eastAsia="zh-CN"/>
                    </w:rPr>
                    <w:t>5#</w:t>
                  </w:r>
                  <w:r>
                    <w:rPr>
                      <w:rFonts w:hint="eastAsia"/>
                      <w:color w:val="auto"/>
                      <w:spacing w:val="-6"/>
                      <w:highlight w:val="none"/>
                      <w:lang w:val="en-US" w:eastAsia="zh-CN"/>
                    </w:rPr>
                    <w:t>成球机</w:t>
                  </w:r>
                </w:p>
              </w:tc>
              <w:tc>
                <w:tcPr>
                  <w:tcW w:w="1062" w:type="dxa"/>
                  <w:tcBorders>
                    <w:tl2br w:val="nil"/>
                    <w:tr2bl w:val="nil"/>
                  </w:tcBorders>
                  <w:shd w:val="clear" w:color="auto" w:fill="auto"/>
                  <w:noWrap/>
                  <w:vAlign w:val="center"/>
                </w:tcPr>
                <w:p w14:paraId="5308E84F">
                  <w:pPr>
                    <w:pStyle w:val="40"/>
                    <w:bidi w:val="0"/>
                    <w:rPr>
                      <w:rFonts w:hint="default"/>
                      <w:color w:val="auto"/>
                      <w:spacing w:val="-6"/>
                      <w:highlight w:val="none"/>
                    </w:rPr>
                  </w:pPr>
                  <w:r>
                    <w:rPr>
                      <w:rFonts w:hint="default"/>
                      <w:color w:val="auto"/>
                      <w:spacing w:val="-6"/>
                      <w:highlight w:val="none"/>
                      <w:lang w:val="en-US" w:eastAsia="zh-CN"/>
                    </w:rPr>
                    <w:t>85</w:t>
                  </w:r>
                </w:p>
              </w:tc>
              <w:tc>
                <w:tcPr>
                  <w:tcW w:w="600" w:type="dxa"/>
                  <w:tcBorders>
                    <w:tl2br w:val="nil"/>
                    <w:tr2bl w:val="nil"/>
                  </w:tcBorders>
                  <w:shd w:val="clear" w:color="auto" w:fill="auto"/>
                  <w:noWrap/>
                  <w:vAlign w:val="center"/>
                </w:tcPr>
                <w:p w14:paraId="022C49B1">
                  <w:pPr>
                    <w:pStyle w:val="40"/>
                    <w:bidi w:val="0"/>
                    <w:rPr>
                      <w:rFonts w:hint="default"/>
                      <w:color w:val="auto"/>
                      <w:spacing w:val="-6"/>
                      <w:highlight w:val="none"/>
                    </w:rPr>
                  </w:pPr>
                  <w:r>
                    <w:rPr>
                      <w:rFonts w:hint="default"/>
                      <w:color w:val="auto"/>
                      <w:spacing w:val="-6"/>
                      <w:highlight w:val="none"/>
                      <w:lang w:val="en-US" w:eastAsia="zh-CN"/>
                    </w:rPr>
                    <w:t>147</w:t>
                  </w:r>
                </w:p>
              </w:tc>
              <w:tc>
                <w:tcPr>
                  <w:tcW w:w="588" w:type="dxa"/>
                  <w:tcBorders>
                    <w:tl2br w:val="nil"/>
                    <w:tr2bl w:val="nil"/>
                  </w:tcBorders>
                  <w:shd w:val="clear" w:color="auto" w:fill="auto"/>
                  <w:noWrap/>
                  <w:vAlign w:val="center"/>
                </w:tcPr>
                <w:p w14:paraId="2AE0A906">
                  <w:pPr>
                    <w:pStyle w:val="40"/>
                    <w:bidi w:val="0"/>
                    <w:rPr>
                      <w:rFonts w:hint="default"/>
                      <w:color w:val="auto"/>
                      <w:spacing w:val="-6"/>
                      <w:highlight w:val="none"/>
                    </w:rPr>
                  </w:pPr>
                  <w:r>
                    <w:rPr>
                      <w:rFonts w:hint="default"/>
                      <w:color w:val="auto"/>
                      <w:spacing w:val="-6"/>
                      <w:highlight w:val="none"/>
                      <w:lang w:val="en-US" w:eastAsia="zh-CN"/>
                    </w:rPr>
                    <w:t>151</w:t>
                  </w:r>
                </w:p>
              </w:tc>
              <w:tc>
                <w:tcPr>
                  <w:tcW w:w="565" w:type="dxa"/>
                  <w:tcBorders>
                    <w:tl2br w:val="nil"/>
                    <w:tr2bl w:val="nil"/>
                  </w:tcBorders>
                  <w:shd w:val="clear" w:color="auto" w:fill="auto"/>
                  <w:noWrap/>
                  <w:vAlign w:val="center"/>
                </w:tcPr>
                <w:p w14:paraId="06080670">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6589D389">
                  <w:pPr>
                    <w:pStyle w:val="40"/>
                    <w:bidi w:val="0"/>
                    <w:rPr>
                      <w:rFonts w:hint="default"/>
                      <w:color w:val="auto"/>
                      <w:spacing w:val="-6"/>
                      <w:highlight w:val="none"/>
                    </w:rPr>
                  </w:pPr>
                  <w:r>
                    <w:rPr>
                      <w:rFonts w:hint="default"/>
                      <w:color w:val="auto"/>
                      <w:spacing w:val="-6"/>
                      <w:highlight w:val="none"/>
                      <w:lang w:val="en-US" w:eastAsia="zh-CN"/>
                    </w:rPr>
                    <w:t>84</w:t>
                  </w:r>
                </w:p>
              </w:tc>
              <w:tc>
                <w:tcPr>
                  <w:tcW w:w="600" w:type="dxa"/>
                  <w:tcBorders>
                    <w:tl2br w:val="nil"/>
                    <w:tr2bl w:val="nil"/>
                  </w:tcBorders>
                  <w:shd w:val="clear" w:color="auto" w:fill="auto"/>
                  <w:noWrap/>
                  <w:vAlign w:val="center"/>
                </w:tcPr>
                <w:p w14:paraId="4BD11BB7">
                  <w:pPr>
                    <w:pStyle w:val="40"/>
                    <w:bidi w:val="0"/>
                    <w:rPr>
                      <w:rFonts w:hint="default"/>
                      <w:color w:val="auto"/>
                      <w:spacing w:val="-6"/>
                      <w:highlight w:val="none"/>
                    </w:rPr>
                  </w:pPr>
                  <w:r>
                    <w:rPr>
                      <w:rFonts w:hint="default"/>
                      <w:color w:val="auto"/>
                      <w:spacing w:val="-6"/>
                      <w:highlight w:val="none"/>
                      <w:lang w:val="en-US" w:eastAsia="zh-CN"/>
                    </w:rPr>
                    <w:t>67.7</w:t>
                  </w:r>
                </w:p>
              </w:tc>
              <w:tc>
                <w:tcPr>
                  <w:tcW w:w="611" w:type="dxa"/>
                  <w:vMerge w:val="continue"/>
                  <w:tcBorders>
                    <w:tl2br w:val="nil"/>
                    <w:tr2bl w:val="nil"/>
                  </w:tcBorders>
                  <w:shd w:val="clear" w:color="auto" w:fill="auto"/>
                  <w:noWrap/>
                  <w:vAlign w:val="center"/>
                </w:tcPr>
                <w:p w14:paraId="52B28C28">
                  <w:pPr>
                    <w:pStyle w:val="40"/>
                    <w:bidi w:val="0"/>
                    <w:rPr>
                      <w:rFonts w:hint="default"/>
                      <w:color w:val="auto"/>
                      <w:spacing w:val="-6"/>
                      <w:highlight w:val="none"/>
                    </w:rPr>
                  </w:pPr>
                </w:p>
              </w:tc>
            </w:tr>
            <w:tr w14:paraId="25270B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6C914FEF">
                  <w:pPr>
                    <w:pStyle w:val="40"/>
                    <w:bidi w:val="0"/>
                    <w:rPr>
                      <w:rFonts w:hint="default"/>
                      <w:color w:val="auto"/>
                      <w:spacing w:val="-6"/>
                      <w:highlight w:val="none"/>
                    </w:rPr>
                  </w:pPr>
                </w:p>
              </w:tc>
              <w:tc>
                <w:tcPr>
                  <w:tcW w:w="1218" w:type="dxa"/>
                  <w:vMerge w:val="continue"/>
                  <w:tcBorders>
                    <w:tl2br w:val="nil"/>
                    <w:tr2bl w:val="nil"/>
                  </w:tcBorders>
                  <w:shd w:val="clear" w:color="auto" w:fill="auto"/>
                  <w:vAlign w:val="center"/>
                </w:tcPr>
                <w:p w14:paraId="653AF368">
                  <w:pPr>
                    <w:pStyle w:val="40"/>
                    <w:bidi w:val="0"/>
                    <w:rPr>
                      <w:rFonts w:hint="default"/>
                      <w:color w:val="auto"/>
                      <w:spacing w:val="-6"/>
                      <w:highlight w:val="none"/>
                    </w:rPr>
                  </w:pPr>
                </w:p>
              </w:tc>
              <w:tc>
                <w:tcPr>
                  <w:tcW w:w="1562" w:type="dxa"/>
                  <w:tcBorders>
                    <w:tl2br w:val="nil"/>
                    <w:tr2bl w:val="nil"/>
                  </w:tcBorders>
                  <w:shd w:val="clear" w:color="auto" w:fill="auto"/>
                  <w:noWrap/>
                  <w:vAlign w:val="center"/>
                </w:tcPr>
                <w:p w14:paraId="3B2A7D75">
                  <w:pPr>
                    <w:pStyle w:val="40"/>
                    <w:bidi w:val="0"/>
                    <w:rPr>
                      <w:rFonts w:hint="default"/>
                      <w:color w:val="auto"/>
                      <w:spacing w:val="-6"/>
                      <w:highlight w:val="none"/>
                    </w:rPr>
                  </w:pPr>
                  <w:r>
                    <w:rPr>
                      <w:rFonts w:hint="default"/>
                      <w:color w:val="auto"/>
                      <w:spacing w:val="-6"/>
                      <w:highlight w:val="none"/>
                      <w:lang w:val="en-US" w:eastAsia="zh-CN"/>
                    </w:rPr>
                    <w:t>1#</w:t>
                  </w:r>
                  <w:r>
                    <w:rPr>
                      <w:rFonts w:hint="eastAsia"/>
                      <w:color w:val="auto"/>
                      <w:spacing w:val="-6"/>
                      <w:highlight w:val="none"/>
                      <w:lang w:val="en-US" w:eastAsia="zh-CN"/>
                    </w:rPr>
                    <w:t>包膜机</w:t>
                  </w:r>
                </w:p>
              </w:tc>
              <w:tc>
                <w:tcPr>
                  <w:tcW w:w="1062" w:type="dxa"/>
                  <w:tcBorders>
                    <w:tl2br w:val="nil"/>
                    <w:tr2bl w:val="nil"/>
                  </w:tcBorders>
                  <w:shd w:val="clear" w:color="auto" w:fill="auto"/>
                  <w:noWrap/>
                  <w:vAlign w:val="center"/>
                </w:tcPr>
                <w:p w14:paraId="7930DA99">
                  <w:pPr>
                    <w:pStyle w:val="40"/>
                    <w:bidi w:val="0"/>
                    <w:rPr>
                      <w:rFonts w:hint="default"/>
                      <w:color w:val="auto"/>
                      <w:spacing w:val="-6"/>
                      <w:highlight w:val="none"/>
                    </w:rPr>
                  </w:pPr>
                  <w:r>
                    <w:rPr>
                      <w:rFonts w:hint="default"/>
                      <w:color w:val="auto"/>
                      <w:spacing w:val="-6"/>
                      <w:highlight w:val="none"/>
                      <w:lang w:val="en-US" w:eastAsia="zh-CN"/>
                    </w:rPr>
                    <w:t>85</w:t>
                  </w:r>
                </w:p>
              </w:tc>
              <w:tc>
                <w:tcPr>
                  <w:tcW w:w="600" w:type="dxa"/>
                  <w:tcBorders>
                    <w:tl2br w:val="nil"/>
                    <w:tr2bl w:val="nil"/>
                  </w:tcBorders>
                  <w:shd w:val="clear" w:color="auto" w:fill="auto"/>
                  <w:noWrap/>
                  <w:vAlign w:val="center"/>
                </w:tcPr>
                <w:p w14:paraId="5802C787">
                  <w:pPr>
                    <w:pStyle w:val="40"/>
                    <w:bidi w:val="0"/>
                    <w:rPr>
                      <w:rFonts w:hint="default"/>
                      <w:color w:val="auto"/>
                      <w:spacing w:val="-6"/>
                      <w:highlight w:val="none"/>
                    </w:rPr>
                  </w:pPr>
                  <w:r>
                    <w:rPr>
                      <w:rFonts w:hint="default"/>
                      <w:color w:val="auto"/>
                      <w:spacing w:val="-6"/>
                      <w:highlight w:val="none"/>
                      <w:lang w:val="en-US" w:eastAsia="zh-CN"/>
                    </w:rPr>
                    <w:t>87</w:t>
                  </w:r>
                </w:p>
              </w:tc>
              <w:tc>
                <w:tcPr>
                  <w:tcW w:w="588" w:type="dxa"/>
                  <w:tcBorders>
                    <w:tl2br w:val="nil"/>
                    <w:tr2bl w:val="nil"/>
                  </w:tcBorders>
                  <w:shd w:val="clear" w:color="auto" w:fill="auto"/>
                  <w:noWrap/>
                  <w:vAlign w:val="center"/>
                </w:tcPr>
                <w:p w14:paraId="1BAB49A8">
                  <w:pPr>
                    <w:pStyle w:val="40"/>
                    <w:bidi w:val="0"/>
                    <w:rPr>
                      <w:rFonts w:hint="default"/>
                      <w:color w:val="auto"/>
                      <w:spacing w:val="-6"/>
                      <w:highlight w:val="none"/>
                    </w:rPr>
                  </w:pPr>
                  <w:r>
                    <w:rPr>
                      <w:rFonts w:hint="default"/>
                      <w:color w:val="auto"/>
                      <w:spacing w:val="-6"/>
                      <w:highlight w:val="none"/>
                      <w:lang w:val="en-US" w:eastAsia="zh-CN"/>
                    </w:rPr>
                    <w:t>142</w:t>
                  </w:r>
                </w:p>
              </w:tc>
              <w:tc>
                <w:tcPr>
                  <w:tcW w:w="565" w:type="dxa"/>
                  <w:tcBorders>
                    <w:tl2br w:val="nil"/>
                    <w:tr2bl w:val="nil"/>
                  </w:tcBorders>
                  <w:shd w:val="clear" w:color="auto" w:fill="auto"/>
                  <w:noWrap/>
                  <w:vAlign w:val="center"/>
                </w:tcPr>
                <w:p w14:paraId="7BE96D7E">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1DCA5A8A">
                  <w:pPr>
                    <w:pStyle w:val="40"/>
                    <w:bidi w:val="0"/>
                    <w:rPr>
                      <w:rFonts w:hint="default"/>
                      <w:color w:val="auto"/>
                      <w:spacing w:val="-6"/>
                      <w:highlight w:val="none"/>
                    </w:rPr>
                  </w:pPr>
                  <w:r>
                    <w:rPr>
                      <w:rFonts w:hint="default"/>
                      <w:color w:val="auto"/>
                      <w:spacing w:val="-6"/>
                      <w:highlight w:val="none"/>
                      <w:lang w:val="en-US" w:eastAsia="zh-CN"/>
                    </w:rPr>
                    <w:t>83</w:t>
                  </w:r>
                </w:p>
              </w:tc>
              <w:tc>
                <w:tcPr>
                  <w:tcW w:w="600" w:type="dxa"/>
                  <w:tcBorders>
                    <w:tl2br w:val="nil"/>
                    <w:tr2bl w:val="nil"/>
                  </w:tcBorders>
                  <w:shd w:val="clear" w:color="auto" w:fill="auto"/>
                  <w:noWrap/>
                  <w:vAlign w:val="center"/>
                </w:tcPr>
                <w:p w14:paraId="72D90F0A">
                  <w:pPr>
                    <w:pStyle w:val="40"/>
                    <w:bidi w:val="0"/>
                    <w:rPr>
                      <w:rFonts w:hint="default"/>
                      <w:color w:val="auto"/>
                      <w:spacing w:val="-6"/>
                      <w:highlight w:val="none"/>
                    </w:rPr>
                  </w:pPr>
                  <w:r>
                    <w:rPr>
                      <w:rFonts w:hint="default"/>
                      <w:color w:val="auto"/>
                      <w:spacing w:val="-6"/>
                      <w:highlight w:val="none"/>
                      <w:lang w:val="en-US" w:eastAsia="zh-CN"/>
                    </w:rPr>
                    <w:t>67.7</w:t>
                  </w:r>
                </w:p>
              </w:tc>
              <w:tc>
                <w:tcPr>
                  <w:tcW w:w="611" w:type="dxa"/>
                  <w:vMerge w:val="continue"/>
                  <w:tcBorders>
                    <w:tl2br w:val="nil"/>
                    <w:tr2bl w:val="nil"/>
                  </w:tcBorders>
                  <w:shd w:val="clear" w:color="auto" w:fill="auto"/>
                  <w:noWrap/>
                  <w:vAlign w:val="center"/>
                </w:tcPr>
                <w:p w14:paraId="1234586D">
                  <w:pPr>
                    <w:pStyle w:val="40"/>
                    <w:bidi w:val="0"/>
                    <w:rPr>
                      <w:rFonts w:hint="default"/>
                      <w:color w:val="auto"/>
                      <w:spacing w:val="-6"/>
                      <w:highlight w:val="none"/>
                    </w:rPr>
                  </w:pPr>
                </w:p>
              </w:tc>
            </w:tr>
            <w:tr w14:paraId="192C1C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1D3987D9">
                  <w:pPr>
                    <w:pStyle w:val="40"/>
                    <w:bidi w:val="0"/>
                    <w:rPr>
                      <w:rFonts w:hint="default"/>
                      <w:color w:val="auto"/>
                      <w:spacing w:val="-6"/>
                      <w:highlight w:val="none"/>
                    </w:rPr>
                  </w:pPr>
                </w:p>
              </w:tc>
              <w:tc>
                <w:tcPr>
                  <w:tcW w:w="1218" w:type="dxa"/>
                  <w:vMerge w:val="continue"/>
                  <w:tcBorders>
                    <w:tl2br w:val="nil"/>
                    <w:tr2bl w:val="nil"/>
                  </w:tcBorders>
                  <w:shd w:val="clear" w:color="auto" w:fill="auto"/>
                  <w:vAlign w:val="center"/>
                </w:tcPr>
                <w:p w14:paraId="54D2760E">
                  <w:pPr>
                    <w:pStyle w:val="40"/>
                    <w:bidi w:val="0"/>
                    <w:rPr>
                      <w:rFonts w:hint="default"/>
                      <w:color w:val="auto"/>
                      <w:spacing w:val="-6"/>
                      <w:highlight w:val="none"/>
                    </w:rPr>
                  </w:pPr>
                </w:p>
              </w:tc>
              <w:tc>
                <w:tcPr>
                  <w:tcW w:w="1562" w:type="dxa"/>
                  <w:tcBorders>
                    <w:tl2br w:val="nil"/>
                    <w:tr2bl w:val="nil"/>
                  </w:tcBorders>
                  <w:shd w:val="clear" w:color="auto" w:fill="auto"/>
                  <w:noWrap/>
                  <w:vAlign w:val="center"/>
                </w:tcPr>
                <w:p w14:paraId="2329E598">
                  <w:pPr>
                    <w:pStyle w:val="40"/>
                    <w:bidi w:val="0"/>
                    <w:rPr>
                      <w:rFonts w:hint="default"/>
                      <w:color w:val="auto"/>
                      <w:spacing w:val="-6"/>
                      <w:highlight w:val="none"/>
                    </w:rPr>
                  </w:pPr>
                  <w:r>
                    <w:rPr>
                      <w:rFonts w:hint="default"/>
                      <w:color w:val="auto"/>
                      <w:spacing w:val="-6"/>
                      <w:highlight w:val="none"/>
                      <w:lang w:val="en-US" w:eastAsia="zh-CN"/>
                    </w:rPr>
                    <w:t>2#</w:t>
                  </w:r>
                  <w:r>
                    <w:rPr>
                      <w:rFonts w:hint="eastAsia"/>
                      <w:color w:val="auto"/>
                      <w:spacing w:val="-6"/>
                      <w:highlight w:val="none"/>
                      <w:lang w:val="en-US" w:eastAsia="zh-CN"/>
                    </w:rPr>
                    <w:t>包膜机</w:t>
                  </w:r>
                </w:p>
              </w:tc>
              <w:tc>
                <w:tcPr>
                  <w:tcW w:w="1062" w:type="dxa"/>
                  <w:tcBorders>
                    <w:tl2br w:val="nil"/>
                    <w:tr2bl w:val="nil"/>
                  </w:tcBorders>
                  <w:shd w:val="clear" w:color="auto" w:fill="auto"/>
                  <w:noWrap/>
                  <w:vAlign w:val="center"/>
                </w:tcPr>
                <w:p w14:paraId="6FF43617">
                  <w:pPr>
                    <w:pStyle w:val="40"/>
                    <w:bidi w:val="0"/>
                    <w:rPr>
                      <w:rFonts w:hint="default"/>
                      <w:color w:val="auto"/>
                      <w:spacing w:val="-6"/>
                      <w:highlight w:val="none"/>
                    </w:rPr>
                  </w:pPr>
                  <w:r>
                    <w:rPr>
                      <w:rFonts w:hint="default"/>
                      <w:color w:val="auto"/>
                      <w:spacing w:val="-6"/>
                      <w:highlight w:val="none"/>
                      <w:lang w:val="en-US" w:eastAsia="zh-CN"/>
                    </w:rPr>
                    <w:t>85</w:t>
                  </w:r>
                </w:p>
              </w:tc>
              <w:tc>
                <w:tcPr>
                  <w:tcW w:w="600" w:type="dxa"/>
                  <w:tcBorders>
                    <w:tl2br w:val="nil"/>
                    <w:tr2bl w:val="nil"/>
                  </w:tcBorders>
                  <w:shd w:val="clear" w:color="auto" w:fill="auto"/>
                  <w:noWrap/>
                  <w:vAlign w:val="center"/>
                </w:tcPr>
                <w:p w14:paraId="3C88E830">
                  <w:pPr>
                    <w:pStyle w:val="40"/>
                    <w:bidi w:val="0"/>
                    <w:rPr>
                      <w:rFonts w:hint="default"/>
                      <w:color w:val="auto"/>
                      <w:spacing w:val="-6"/>
                      <w:highlight w:val="none"/>
                    </w:rPr>
                  </w:pPr>
                  <w:r>
                    <w:rPr>
                      <w:rFonts w:hint="default"/>
                      <w:color w:val="auto"/>
                      <w:spacing w:val="-6"/>
                      <w:highlight w:val="none"/>
                      <w:lang w:val="en-US" w:eastAsia="zh-CN"/>
                    </w:rPr>
                    <w:t>102</w:t>
                  </w:r>
                </w:p>
              </w:tc>
              <w:tc>
                <w:tcPr>
                  <w:tcW w:w="588" w:type="dxa"/>
                  <w:tcBorders>
                    <w:tl2br w:val="nil"/>
                    <w:tr2bl w:val="nil"/>
                  </w:tcBorders>
                  <w:shd w:val="clear" w:color="auto" w:fill="auto"/>
                  <w:noWrap/>
                  <w:vAlign w:val="center"/>
                </w:tcPr>
                <w:p w14:paraId="2B10DF7E">
                  <w:pPr>
                    <w:pStyle w:val="40"/>
                    <w:bidi w:val="0"/>
                    <w:rPr>
                      <w:rFonts w:hint="default"/>
                      <w:color w:val="auto"/>
                      <w:spacing w:val="-6"/>
                      <w:highlight w:val="none"/>
                    </w:rPr>
                  </w:pPr>
                  <w:r>
                    <w:rPr>
                      <w:rFonts w:hint="default"/>
                      <w:color w:val="auto"/>
                      <w:spacing w:val="-6"/>
                      <w:highlight w:val="none"/>
                      <w:lang w:val="en-US" w:eastAsia="zh-CN"/>
                    </w:rPr>
                    <w:t>143</w:t>
                  </w:r>
                </w:p>
              </w:tc>
              <w:tc>
                <w:tcPr>
                  <w:tcW w:w="565" w:type="dxa"/>
                  <w:tcBorders>
                    <w:tl2br w:val="nil"/>
                    <w:tr2bl w:val="nil"/>
                  </w:tcBorders>
                  <w:shd w:val="clear" w:color="auto" w:fill="auto"/>
                  <w:noWrap/>
                  <w:vAlign w:val="center"/>
                </w:tcPr>
                <w:p w14:paraId="1019E536">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072FEBF4">
                  <w:pPr>
                    <w:pStyle w:val="40"/>
                    <w:bidi w:val="0"/>
                    <w:rPr>
                      <w:rFonts w:hint="default"/>
                      <w:color w:val="auto"/>
                      <w:spacing w:val="-6"/>
                      <w:highlight w:val="none"/>
                    </w:rPr>
                  </w:pPr>
                  <w:r>
                    <w:rPr>
                      <w:rFonts w:hint="default"/>
                      <w:color w:val="auto"/>
                      <w:spacing w:val="-6"/>
                      <w:highlight w:val="none"/>
                      <w:lang w:val="en-US" w:eastAsia="zh-CN"/>
                    </w:rPr>
                    <w:t>81</w:t>
                  </w:r>
                </w:p>
              </w:tc>
              <w:tc>
                <w:tcPr>
                  <w:tcW w:w="600" w:type="dxa"/>
                  <w:tcBorders>
                    <w:tl2br w:val="nil"/>
                    <w:tr2bl w:val="nil"/>
                  </w:tcBorders>
                  <w:shd w:val="clear" w:color="auto" w:fill="auto"/>
                  <w:noWrap/>
                  <w:vAlign w:val="center"/>
                </w:tcPr>
                <w:p w14:paraId="09047E36">
                  <w:pPr>
                    <w:pStyle w:val="40"/>
                    <w:bidi w:val="0"/>
                    <w:rPr>
                      <w:rFonts w:hint="default"/>
                      <w:color w:val="auto"/>
                      <w:spacing w:val="-6"/>
                      <w:highlight w:val="none"/>
                    </w:rPr>
                  </w:pPr>
                  <w:r>
                    <w:rPr>
                      <w:rFonts w:hint="default"/>
                      <w:color w:val="auto"/>
                      <w:spacing w:val="-6"/>
                      <w:highlight w:val="none"/>
                      <w:lang w:val="en-US" w:eastAsia="zh-CN"/>
                    </w:rPr>
                    <w:t>67.7</w:t>
                  </w:r>
                </w:p>
              </w:tc>
              <w:tc>
                <w:tcPr>
                  <w:tcW w:w="611" w:type="dxa"/>
                  <w:vMerge w:val="continue"/>
                  <w:tcBorders>
                    <w:tl2br w:val="nil"/>
                    <w:tr2bl w:val="nil"/>
                  </w:tcBorders>
                  <w:shd w:val="clear" w:color="auto" w:fill="auto"/>
                  <w:noWrap/>
                  <w:vAlign w:val="center"/>
                </w:tcPr>
                <w:p w14:paraId="3BCAAC26">
                  <w:pPr>
                    <w:pStyle w:val="40"/>
                    <w:bidi w:val="0"/>
                    <w:rPr>
                      <w:rFonts w:hint="default"/>
                      <w:color w:val="auto"/>
                      <w:spacing w:val="-6"/>
                      <w:highlight w:val="none"/>
                    </w:rPr>
                  </w:pPr>
                </w:p>
              </w:tc>
            </w:tr>
            <w:tr w14:paraId="1470E9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5E891522">
                  <w:pPr>
                    <w:pStyle w:val="40"/>
                    <w:bidi w:val="0"/>
                    <w:rPr>
                      <w:rFonts w:hint="default"/>
                      <w:color w:val="auto"/>
                      <w:spacing w:val="-6"/>
                      <w:highlight w:val="none"/>
                    </w:rPr>
                  </w:pPr>
                </w:p>
              </w:tc>
              <w:tc>
                <w:tcPr>
                  <w:tcW w:w="1218" w:type="dxa"/>
                  <w:vMerge w:val="continue"/>
                  <w:tcBorders>
                    <w:tl2br w:val="nil"/>
                    <w:tr2bl w:val="nil"/>
                  </w:tcBorders>
                  <w:shd w:val="clear" w:color="auto" w:fill="auto"/>
                  <w:vAlign w:val="center"/>
                </w:tcPr>
                <w:p w14:paraId="09CFEAAB">
                  <w:pPr>
                    <w:pStyle w:val="40"/>
                    <w:bidi w:val="0"/>
                    <w:rPr>
                      <w:rFonts w:hint="default"/>
                      <w:color w:val="auto"/>
                      <w:spacing w:val="-6"/>
                      <w:highlight w:val="none"/>
                    </w:rPr>
                  </w:pPr>
                </w:p>
              </w:tc>
              <w:tc>
                <w:tcPr>
                  <w:tcW w:w="1562" w:type="dxa"/>
                  <w:tcBorders>
                    <w:tl2br w:val="nil"/>
                    <w:tr2bl w:val="nil"/>
                  </w:tcBorders>
                  <w:shd w:val="clear" w:color="auto" w:fill="auto"/>
                  <w:noWrap/>
                  <w:vAlign w:val="center"/>
                </w:tcPr>
                <w:p w14:paraId="2C18E022">
                  <w:pPr>
                    <w:pStyle w:val="40"/>
                    <w:bidi w:val="0"/>
                    <w:rPr>
                      <w:rFonts w:hint="default"/>
                      <w:color w:val="auto"/>
                      <w:spacing w:val="-6"/>
                      <w:highlight w:val="none"/>
                    </w:rPr>
                  </w:pPr>
                  <w:r>
                    <w:rPr>
                      <w:rFonts w:hint="default"/>
                      <w:color w:val="auto"/>
                      <w:spacing w:val="-6"/>
                      <w:highlight w:val="none"/>
                      <w:lang w:val="en-US" w:eastAsia="zh-CN"/>
                    </w:rPr>
                    <w:t>3#</w:t>
                  </w:r>
                  <w:r>
                    <w:rPr>
                      <w:rFonts w:hint="eastAsia"/>
                      <w:color w:val="auto"/>
                      <w:spacing w:val="-6"/>
                      <w:highlight w:val="none"/>
                      <w:lang w:val="en-US" w:eastAsia="zh-CN"/>
                    </w:rPr>
                    <w:t>包膜机</w:t>
                  </w:r>
                </w:p>
              </w:tc>
              <w:tc>
                <w:tcPr>
                  <w:tcW w:w="1062" w:type="dxa"/>
                  <w:tcBorders>
                    <w:tl2br w:val="nil"/>
                    <w:tr2bl w:val="nil"/>
                  </w:tcBorders>
                  <w:shd w:val="clear" w:color="auto" w:fill="auto"/>
                  <w:noWrap/>
                  <w:vAlign w:val="center"/>
                </w:tcPr>
                <w:p w14:paraId="36A17C83">
                  <w:pPr>
                    <w:pStyle w:val="40"/>
                    <w:bidi w:val="0"/>
                    <w:rPr>
                      <w:rFonts w:hint="default"/>
                      <w:color w:val="auto"/>
                      <w:spacing w:val="-6"/>
                      <w:highlight w:val="none"/>
                    </w:rPr>
                  </w:pPr>
                  <w:r>
                    <w:rPr>
                      <w:rFonts w:hint="default"/>
                      <w:color w:val="auto"/>
                      <w:spacing w:val="-6"/>
                      <w:highlight w:val="none"/>
                      <w:lang w:val="en-US" w:eastAsia="zh-CN"/>
                    </w:rPr>
                    <w:t>85</w:t>
                  </w:r>
                </w:p>
              </w:tc>
              <w:tc>
                <w:tcPr>
                  <w:tcW w:w="600" w:type="dxa"/>
                  <w:tcBorders>
                    <w:tl2br w:val="nil"/>
                    <w:tr2bl w:val="nil"/>
                  </w:tcBorders>
                  <w:shd w:val="clear" w:color="auto" w:fill="auto"/>
                  <w:noWrap/>
                  <w:vAlign w:val="center"/>
                </w:tcPr>
                <w:p w14:paraId="2A2BA903">
                  <w:pPr>
                    <w:pStyle w:val="40"/>
                    <w:bidi w:val="0"/>
                    <w:rPr>
                      <w:rFonts w:hint="default"/>
                      <w:color w:val="auto"/>
                      <w:spacing w:val="-6"/>
                      <w:highlight w:val="none"/>
                    </w:rPr>
                  </w:pPr>
                  <w:r>
                    <w:rPr>
                      <w:rFonts w:hint="default"/>
                      <w:color w:val="auto"/>
                      <w:spacing w:val="-6"/>
                      <w:highlight w:val="none"/>
                      <w:lang w:val="en-US" w:eastAsia="zh-CN"/>
                    </w:rPr>
                    <w:t>117</w:t>
                  </w:r>
                </w:p>
              </w:tc>
              <w:tc>
                <w:tcPr>
                  <w:tcW w:w="588" w:type="dxa"/>
                  <w:tcBorders>
                    <w:tl2br w:val="nil"/>
                    <w:tr2bl w:val="nil"/>
                  </w:tcBorders>
                  <w:shd w:val="clear" w:color="auto" w:fill="auto"/>
                  <w:noWrap/>
                  <w:vAlign w:val="center"/>
                </w:tcPr>
                <w:p w14:paraId="11A4B043">
                  <w:pPr>
                    <w:pStyle w:val="40"/>
                    <w:bidi w:val="0"/>
                    <w:rPr>
                      <w:rFonts w:hint="default"/>
                      <w:color w:val="auto"/>
                      <w:spacing w:val="-6"/>
                      <w:highlight w:val="none"/>
                    </w:rPr>
                  </w:pPr>
                  <w:r>
                    <w:rPr>
                      <w:rFonts w:hint="default"/>
                      <w:color w:val="auto"/>
                      <w:spacing w:val="-6"/>
                      <w:highlight w:val="none"/>
                      <w:lang w:val="en-US" w:eastAsia="zh-CN"/>
                    </w:rPr>
                    <w:t>144</w:t>
                  </w:r>
                </w:p>
              </w:tc>
              <w:tc>
                <w:tcPr>
                  <w:tcW w:w="565" w:type="dxa"/>
                  <w:tcBorders>
                    <w:tl2br w:val="nil"/>
                    <w:tr2bl w:val="nil"/>
                  </w:tcBorders>
                  <w:shd w:val="clear" w:color="auto" w:fill="auto"/>
                  <w:noWrap/>
                  <w:vAlign w:val="center"/>
                </w:tcPr>
                <w:p w14:paraId="674A651B">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1398C55B">
                  <w:pPr>
                    <w:pStyle w:val="40"/>
                    <w:bidi w:val="0"/>
                    <w:rPr>
                      <w:rFonts w:hint="default"/>
                      <w:color w:val="auto"/>
                      <w:spacing w:val="-6"/>
                      <w:highlight w:val="none"/>
                    </w:rPr>
                  </w:pPr>
                  <w:r>
                    <w:rPr>
                      <w:rFonts w:hint="default"/>
                      <w:color w:val="auto"/>
                      <w:spacing w:val="-6"/>
                      <w:highlight w:val="none"/>
                      <w:lang w:val="en-US" w:eastAsia="zh-CN"/>
                    </w:rPr>
                    <w:t>80</w:t>
                  </w:r>
                </w:p>
              </w:tc>
              <w:tc>
                <w:tcPr>
                  <w:tcW w:w="600" w:type="dxa"/>
                  <w:tcBorders>
                    <w:tl2br w:val="nil"/>
                    <w:tr2bl w:val="nil"/>
                  </w:tcBorders>
                  <w:shd w:val="clear" w:color="auto" w:fill="auto"/>
                  <w:noWrap/>
                  <w:vAlign w:val="center"/>
                </w:tcPr>
                <w:p w14:paraId="53FEB5C4">
                  <w:pPr>
                    <w:pStyle w:val="40"/>
                    <w:bidi w:val="0"/>
                    <w:rPr>
                      <w:rFonts w:hint="default"/>
                      <w:color w:val="auto"/>
                      <w:spacing w:val="-6"/>
                      <w:highlight w:val="none"/>
                    </w:rPr>
                  </w:pPr>
                  <w:r>
                    <w:rPr>
                      <w:rFonts w:hint="default"/>
                      <w:color w:val="auto"/>
                      <w:spacing w:val="-6"/>
                      <w:highlight w:val="none"/>
                      <w:lang w:val="en-US" w:eastAsia="zh-CN"/>
                    </w:rPr>
                    <w:t>67.7</w:t>
                  </w:r>
                </w:p>
              </w:tc>
              <w:tc>
                <w:tcPr>
                  <w:tcW w:w="611" w:type="dxa"/>
                  <w:vMerge w:val="continue"/>
                  <w:tcBorders>
                    <w:tl2br w:val="nil"/>
                    <w:tr2bl w:val="nil"/>
                  </w:tcBorders>
                  <w:shd w:val="clear" w:color="auto" w:fill="auto"/>
                  <w:noWrap/>
                  <w:vAlign w:val="center"/>
                </w:tcPr>
                <w:p w14:paraId="0A59769E">
                  <w:pPr>
                    <w:pStyle w:val="40"/>
                    <w:bidi w:val="0"/>
                    <w:rPr>
                      <w:rFonts w:hint="default"/>
                      <w:color w:val="auto"/>
                      <w:spacing w:val="-6"/>
                      <w:highlight w:val="none"/>
                    </w:rPr>
                  </w:pPr>
                </w:p>
              </w:tc>
            </w:tr>
            <w:tr w14:paraId="198C21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4BDC540D">
                  <w:pPr>
                    <w:pStyle w:val="40"/>
                    <w:bidi w:val="0"/>
                    <w:rPr>
                      <w:rFonts w:hint="default"/>
                      <w:color w:val="auto"/>
                      <w:spacing w:val="-6"/>
                      <w:highlight w:val="none"/>
                    </w:rPr>
                  </w:pPr>
                </w:p>
              </w:tc>
              <w:tc>
                <w:tcPr>
                  <w:tcW w:w="1218" w:type="dxa"/>
                  <w:vMerge w:val="continue"/>
                  <w:tcBorders>
                    <w:tl2br w:val="nil"/>
                    <w:tr2bl w:val="nil"/>
                  </w:tcBorders>
                  <w:shd w:val="clear" w:color="auto" w:fill="auto"/>
                  <w:vAlign w:val="center"/>
                </w:tcPr>
                <w:p w14:paraId="5A0DC74F">
                  <w:pPr>
                    <w:pStyle w:val="40"/>
                    <w:bidi w:val="0"/>
                    <w:rPr>
                      <w:rFonts w:hint="default"/>
                      <w:color w:val="auto"/>
                      <w:spacing w:val="-6"/>
                      <w:highlight w:val="none"/>
                    </w:rPr>
                  </w:pPr>
                </w:p>
              </w:tc>
              <w:tc>
                <w:tcPr>
                  <w:tcW w:w="1562" w:type="dxa"/>
                  <w:tcBorders>
                    <w:tl2br w:val="nil"/>
                    <w:tr2bl w:val="nil"/>
                  </w:tcBorders>
                  <w:shd w:val="clear" w:color="auto" w:fill="auto"/>
                  <w:noWrap/>
                  <w:vAlign w:val="center"/>
                </w:tcPr>
                <w:p w14:paraId="7ADAF287">
                  <w:pPr>
                    <w:pStyle w:val="40"/>
                    <w:bidi w:val="0"/>
                    <w:rPr>
                      <w:rFonts w:hint="default"/>
                      <w:color w:val="auto"/>
                      <w:spacing w:val="-6"/>
                      <w:highlight w:val="none"/>
                    </w:rPr>
                  </w:pPr>
                  <w:r>
                    <w:rPr>
                      <w:rFonts w:hint="default"/>
                      <w:color w:val="auto"/>
                      <w:spacing w:val="-6"/>
                      <w:highlight w:val="none"/>
                      <w:lang w:val="en-US" w:eastAsia="zh-CN"/>
                    </w:rPr>
                    <w:t>4#</w:t>
                  </w:r>
                  <w:r>
                    <w:rPr>
                      <w:rFonts w:hint="eastAsia"/>
                      <w:color w:val="auto"/>
                      <w:spacing w:val="-6"/>
                      <w:highlight w:val="none"/>
                      <w:lang w:val="en-US" w:eastAsia="zh-CN"/>
                    </w:rPr>
                    <w:t>包膜机</w:t>
                  </w:r>
                </w:p>
              </w:tc>
              <w:tc>
                <w:tcPr>
                  <w:tcW w:w="1062" w:type="dxa"/>
                  <w:tcBorders>
                    <w:tl2br w:val="nil"/>
                    <w:tr2bl w:val="nil"/>
                  </w:tcBorders>
                  <w:shd w:val="clear" w:color="auto" w:fill="auto"/>
                  <w:noWrap/>
                  <w:vAlign w:val="center"/>
                </w:tcPr>
                <w:p w14:paraId="77F03638">
                  <w:pPr>
                    <w:pStyle w:val="40"/>
                    <w:bidi w:val="0"/>
                    <w:rPr>
                      <w:rFonts w:hint="default"/>
                      <w:color w:val="auto"/>
                      <w:spacing w:val="-6"/>
                      <w:highlight w:val="none"/>
                    </w:rPr>
                  </w:pPr>
                  <w:r>
                    <w:rPr>
                      <w:rFonts w:hint="default"/>
                      <w:color w:val="auto"/>
                      <w:spacing w:val="-6"/>
                      <w:highlight w:val="none"/>
                      <w:lang w:val="en-US" w:eastAsia="zh-CN"/>
                    </w:rPr>
                    <w:t>85</w:t>
                  </w:r>
                </w:p>
              </w:tc>
              <w:tc>
                <w:tcPr>
                  <w:tcW w:w="600" w:type="dxa"/>
                  <w:tcBorders>
                    <w:tl2br w:val="nil"/>
                    <w:tr2bl w:val="nil"/>
                  </w:tcBorders>
                  <w:shd w:val="clear" w:color="auto" w:fill="auto"/>
                  <w:noWrap/>
                  <w:vAlign w:val="center"/>
                </w:tcPr>
                <w:p w14:paraId="4BCC3C53">
                  <w:pPr>
                    <w:pStyle w:val="40"/>
                    <w:bidi w:val="0"/>
                    <w:rPr>
                      <w:rFonts w:hint="default"/>
                      <w:color w:val="auto"/>
                      <w:spacing w:val="-6"/>
                      <w:highlight w:val="none"/>
                    </w:rPr>
                  </w:pPr>
                  <w:r>
                    <w:rPr>
                      <w:rFonts w:hint="default"/>
                      <w:color w:val="auto"/>
                      <w:spacing w:val="-6"/>
                      <w:highlight w:val="none"/>
                      <w:lang w:val="en-US" w:eastAsia="zh-CN"/>
                    </w:rPr>
                    <w:t>132</w:t>
                  </w:r>
                </w:p>
              </w:tc>
              <w:tc>
                <w:tcPr>
                  <w:tcW w:w="588" w:type="dxa"/>
                  <w:tcBorders>
                    <w:tl2br w:val="nil"/>
                    <w:tr2bl w:val="nil"/>
                  </w:tcBorders>
                  <w:shd w:val="clear" w:color="auto" w:fill="auto"/>
                  <w:noWrap/>
                  <w:vAlign w:val="center"/>
                </w:tcPr>
                <w:p w14:paraId="0000A66D">
                  <w:pPr>
                    <w:pStyle w:val="40"/>
                    <w:bidi w:val="0"/>
                    <w:rPr>
                      <w:rFonts w:hint="default"/>
                      <w:color w:val="auto"/>
                      <w:spacing w:val="-6"/>
                      <w:highlight w:val="none"/>
                    </w:rPr>
                  </w:pPr>
                  <w:r>
                    <w:rPr>
                      <w:rFonts w:hint="default"/>
                      <w:color w:val="auto"/>
                      <w:spacing w:val="-6"/>
                      <w:highlight w:val="none"/>
                      <w:lang w:val="en-US" w:eastAsia="zh-CN"/>
                    </w:rPr>
                    <w:t>145</w:t>
                  </w:r>
                </w:p>
              </w:tc>
              <w:tc>
                <w:tcPr>
                  <w:tcW w:w="565" w:type="dxa"/>
                  <w:tcBorders>
                    <w:tl2br w:val="nil"/>
                    <w:tr2bl w:val="nil"/>
                  </w:tcBorders>
                  <w:shd w:val="clear" w:color="auto" w:fill="auto"/>
                  <w:noWrap/>
                  <w:vAlign w:val="center"/>
                </w:tcPr>
                <w:p w14:paraId="5A7A031F">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4BED4BAC">
                  <w:pPr>
                    <w:pStyle w:val="40"/>
                    <w:bidi w:val="0"/>
                    <w:rPr>
                      <w:rFonts w:hint="default"/>
                      <w:color w:val="auto"/>
                      <w:spacing w:val="-6"/>
                      <w:highlight w:val="none"/>
                    </w:rPr>
                  </w:pPr>
                  <w:r>
                    <w:rPr>
                      <w:rFonts w:hint="default"/>
                      <w:color w:val="auto"/>
                      <w:spacing w:val="-6"/>
                      <w:highlight w:val="none"/>
                      <w:lang w:val="en-US" w:eastAsia="zh-CN"/>
                    </w:rPr>
                    <w:t>84</w:t>
                  </w:r>
                </w:p>
              </w:tc>
              <w:tc>
                <w:tcPr>
                  <w:tcW w:w="600" w:type="dxa"/>
                  <w:tcBorders>
                    <w:tl2br w:val="nil"/>
                    <w:tr2bl w:val="nil"/>
                  </w:tcBorders>
                  <w:shd w:val="clear" w:color="auto" w:fill="auto"/>
                  <w:noWrap/>
                  <w:vAlign w:val="center"/>
                </w:tcPr>
                <w:p w14:paraId="0DD167CE">
                  <w:pPr>
                    <w:pStyle w:val="40"/>
                    <w:bidi w:val="0"/>
                    <w:rPr>
                      <w:rFonts w:hint="default"/>
                      <w:color w:val="auto"/>
                      <w:spacing w:val="-6"/>
                      <w:highlight w:val="none"/>
                    </w:rPr>
                  </w:pPr>
                  <w:r>
                    <w:rPr>
                      <w:rFonts w:hint="default"/>
                      <w:color w:val="auto"/>
                      <w:spacing w:val="-6"/>
                      <w:highlight w:val="none"/>
                      <w:lang w:val="en-US" w:eastAsia="zh-CN"/>
                    </w:rPr>
                    <w:t>67.7</w:t>
                  </w:r>
                </w:p>
              </w:tc>
              <w:tc>
                <w:tcPr>
                  <w:tcW w:w="611" w:type="dxa"/>
                  <w:vMerge w:val="continue"/>
                  <w:tcBorders>
                    <w:tl2br w:val="nil"/>
                    <w:tr2bl w:val="nil"/>
                  </w:tcBorders>
                  <w:shd w:val="clear" w:color="auto" w:fill="auto"/>
                  <w:noWrap/>
                  <w:vAlign w:val="center"/>
                </w:tcPr>
                <w:p w14:paraId="0E2D7130">
                  <w:pPr>
                    <w:pStyle w:val="40"/>
                    <w:bidi w:val="0"/>
                    <w:rPr>
                      <w:rFonts w:hint="default"/>
                      <w:color w:val="auto"/>
                      <w:spacing w:val="-6"/>
                      <w:highlight w:val="none"/>
                    </w:rPr>
                  </w:pPr>
                </w:p>
              </w:tc>
            </w:tr>
            <w:tr w14:paraId="5414F2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540AEB76">
                  <w:pPr>
                    <w:pStyle w:val="40"/>
                    <w:bidi w:val="0"/>
                    <w:rPr>
                      <w:rFonts w:hint="default"/>
                      <w:color w:val="auto"/>
                      <w:spacing w:val="-6"/>
                      <w:highlight w:val="none"/>
                    </w:rPr>
                  </w:pPr>
                </w:p>
              </w:tc>
              <w:tc>
                <w:tcPr>
                  <w:tcW w:w="1218" w:type="dxa"/>
                  <w:vMerge w:val="continue"/>
                  <w:tcBorders>
                    <w:tl2br w:val="nil"/>
                    <w:tr2bl w:val="nil"/>
                  </w:tcBorders>
                  <w:shd w:val="clear" w:color="auto" w:fill="auto"/>
                  <w:vAlign w:val="center"/>
                </w:tcPr>
                <w:p w14:paraId="1A5A0AEF">
                  <w:pPr>
                    <w:pStyle w:val="40"/>
                    <w:bidi w:val="0"/>
                    <w:rPr>
                      <w:rFonts w:hint="default"/>
                      <w:color w:val="auto"/>
                      <w:spacing w:val="-6"/>
                      <w:highlight w:val="none"/>
                    </w:rPr>
                  </w:pPr>
                </w:p>
              </w:tc>
              <w:tc>
                <w:tcPr>
                  <w:tcW w:w="1562" w:type="dxa"/>
                  <w:tcBorders>
                    <w:tl2br w:val="nil"/>
                    <w:tr2bl w:val="nil"/>
                  </w:tcBorders>
                  <w:shd w:val="clear" w:color="auto" w:fill="auto"/>
                  <w:noWrap/>
                  <w:vAlign w:val="center"/>
                </w:tcPr>
                <w:p w14:paraId="3FA8B1D8">
                  <w:pPr>
                    <w:pStyle w:val="40"/>
                    <w:bidi w:val="0"/>
                    <w:rPr>
                      <w:rFonts w:hint="default"/>
                      <w:color w:val="auto"/>
                      <w:spacing w:val="-6"/>
                      <w:highlight w:val="none"/>
                    </w:rPr>
                  </w:pPr>
                  <w:r>
                    <w:rPr>
                      <w:rFonts w:hint="default"/>
                      <w:color w:val="auto"/>
                      <w:spacing w:val="-6"/>
                      <w:highlight w:val="none"/>
                      <w:lang w:val="en-US" w:eastAsia="zh-CN"/>
                    </w:rPr>
                    <w:t>5#</w:t>
                  </w:r>
                  <w:r>
                    <w:rPr>
                      <w:rFonts w:hint="eastAsia"/>
                      <w:color w:val="auto"/>
                      <w:spacing w:val="-6"/>
                      <w:highlight w:val="none"/>
                      <w:lang w:val="en-US" w:eastAsia="zh-CN"/>
                    </w:rPr>
                    <w:t>包膜机</w:t>
                  </w:r>
                </w:p>
              </w:tc>
              <w:tc>
                <w:tcPr>
                  <w:tcW w:w="1062" w:type="dxa"/>
                  <w:tcBorders>
                    <w:tl2br w:val="nil"/>
                    <w:tr2bl w:val="nil"/>
                  </w:tcBorders>
                  <w:shd w:val="clear" w:color="auto" w:fill="auto"/>
                  <w:noWrap/>
                  <w:vAlign w:val="center"/>
                </w:tcPr>
                <w:p w14:paraId="59667F91">
                  <w:pPr>
                    <w:pStyle w:val="40"/>
                    <w:bidi w:val="0"/>
                    <w:rPr>
                      <w:rFonts w:hint="default"/>
                      <w:color w:val="auto"/>
                      <w:spacing w:val="-6"/>
                      <w:highlight w:val="none"/>
                    </w:rPr>
                  </w:pPr>
                  <w:r>
                    <w:rPr>
                      <w:rFonts w:hint="default"/>
                      <w:color w:val="auto"/>
                      <w:spacing w:val="-6"/>
                      <w:highlight w:val="none"/>
                      <w:lang w:val="en-US" w:eastAsia="zh-CN"/>
                    </w:rPr>
                    <w:t>85</w:t>
                  </w:r>
                </w:p>
              </w:tc>
              <w:tc>
                <w:tcPr>
                  <w:tcW w:w="600" w:type="dxa"/>
                  <w:tcBorders>
                    <w:tl2br w:val="nil"/>
                    <w:tr2bl w:val="nil"/>
                  </w:tcBorders>
                  <w:shd w:val="clear" w:color="auto" w:fill="auto"/>
                  <w:noWrap/>
                  <w:vAlign w:val="center"/>
                </w:tcPr>
                <w:p w14:paraId="3DCF9CB6">
                  <w:pPr>
                    <w:pStyle w:val="40"/>
                    <w:bidi w:val="0"/>
                    <w:rPr>
                      <w:rFonts w:hint="default"/>
                      <w:color w:val="auto"/>
                      <w:spacing w:val="-6"/>
                      <w:highlight w:val="none"/>
                    </w:rPr>
                  </w:pPr>
                  <w:r>
                    <w:rPr>
                      <w:rFonts w:hint="default"/>
                      <w:color w:val="auto"/>
                      <w:spacing w:val="-6"/>
                      <w:highlight w:val="none"/>
                      <w:lang w:val="en-US" w:eastAsia="zh-CN"/>
                    </w:rPr>
                    <w:t>147</w:t>
                  </w:r>
                </w:p>
              </w:tc>
              <w:tc>
                <w:tcPr>
                  <w:tcW w:w="588" w:type="dxa"/>
                  <w:tcBorders>
                    <w:tl2br w:val="nil"/>
                    <w:tr2bl w:val="nil"/>
                  </w:tcBorders>
                  <w:shd w:val="clear" w:color="auto" w:fill="auto"/>
                  <w:noWrap/>
                  <w:vAlign w:val="center"/>
                </w:tcPr>
                <w:p w14:paraId="24F075CA">
                  <w:pPr>
                    <w:pStyle w:val="40"/>
                    <w:bidi w:val="0"/>
                    <w:rPr>
                      <w:rFonts w:hint="default"/>
                      <w:color w:val="auto"/>
                      <w:spacing w:val="-6"/>
                      <w:highlight w:val="none"/>
                    </w:rPr>
                  </w:pPr>
                  <w:r>
                    <w:rPr>
                      <w:rFonts w:hint="default"/>
                      <w:color w:val="auto"/>
                      <w:spacing w:val="-6"/>
                      <w:highlight w:val="none"/>
                      <w:lang w:val="en-US" w:eastAsia="zh-CN"/>
                    </w:rPr>
                    <w:t>146</w:t>
                  </w:r>
                </w:p>
              </w:tc>
              <w:tc>
                <w:tcPr>
                  <w:tcW w:w="565" w:type="dxa"/>
                  <w:tcBorders>
                    <w:tl2br w:val="nil"/>
                    <w:tr2bl w:val="nil"/>
                  </w:tcBorders>
                  <w:shd w:val="clear" w:color="auto" w:fill="auto"/>
                  <w:noWrap/>
                  <w:vAlign w:val="center"/>
                </w:tcPr>
                <w:p w14:paraId="2CE56592">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2B6927C5">
                  <w:pPr>
                    <w:pStyle w:val="40"/>
                    <w:bidi w:val="0"/>
                    <w:rPr>
                      <w:rFonts w:hint="default"/>
                      <w:color w:val="auto"/>
                      <w:spacing w:val="-6"/>
                      <w:highlight w:val="none"/>
                    </w:rPr>
                  </w:pPr>
                  <w:r>
                    <w:rPr>
                      <w:rFonts w:hint="default"/>
                      <w:color w:val="auto"/>
                      <w:spacing w:val="-6"/>
                      <w:highlight w:val="none"/>
                      <w:lang w:val="en-US" w:eastAsia="zh-CN"/>
                    </w:rPr>
                    <w:t>88</w:t>
                  </w:r>
                </w:p>
              </w:tc>
              <w:tc>
                <w:tcPr>
                  <w:tcW w:w="600" w:type="dxa"/>
                  <w:tcBorders>
                    <w:tl2br w:val="nil"/>
                    <w:tr2bl w:val="nil"/>
                  </w:tcBorders>
                  <w:shd w:val="clear" w:color="auto" w:fill="auto"/>
                  <w:noWrap/>
                  <w:vAlign w:val="center"/>
                </w:tcPr>
                <w:p w14:paraId="3E3B0239">
                  <w:pPr>
                    <w:pStyle w:val="40"/>
                    <w:bidi w:val="0"/>
                    <w:rPr>
                      <w:rFonts w:hint="default"/>
                      <w:color w:val="auto"/>
                      <w:spacing w:val="-6"/>
                      <w:highlight w:val="none"/>
                    </w:rPr>
                  </w:pPr>
                  <w:r>
                    <w:rPr>
                      <w:rFonts w:hint="default"/>
                      <w:color w:val="auto"/>
                      <w:spacing w:val="-6"/>
                      <w:highlight w:val="none"/>
                      <w:lang w:val="en-US" w:eastAsia="zh-CN"/>
                    </w:rPr>
                    <w:t>67.7</w:t>
                  </w:r>
                </w:p>
              </w:tc>
              <w:tc>
                <w:tcPr>
                  <w:tcW w:w="611" w:type="dxa"/>
                  <w:vMerge w:val="continue"/>
                  <w:tcBorders>
                    <w:tl2br w:val="nil"/>
                    <w:tr2bl w:val="nil"/>
                  </w:tcBorders>
                  <w:shd w:val="clear" w:color="auto" w:fill="auto"/>
                  <w:noWrap/>
                  <w:vAlign w:val="center"/>
                </w:tcPr>
                <w:p w14:paraId="6893A487">
                  <w:pPr>
                    <w:pStyle w:val="40"/>
                    <w:bidi w:val="0"/>
                    <w:rPr>
                      <w:rFonts w:hint="default"/>
                      <w:color w:val="auto"/>
                      <w:spacing w:val="-6"/>
                      <w:highlight w:val="none"/>
                    </w:rPr>
                  </w:pPr>
                </w:p>
              </w:tc>
            </w:tr>
            <w:tr w14:paraId="2B2217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23DE3108">
                  <w:pPr>
                    <w:pStyle w:val="40"/>
                    <w:bidi w:val="0"/>
                    <w:rPr>
                      <w:rFonts w:hint="default"/>
                      <w:color w:val="auto"/>
                      <w:spacing w:val="-6"/>
                      <w:highlight w:val="none"/>
                    </w:rPr>
                  </w:pPr>
                </w:p>
              </w:tc>
              <w:tc>
                <w:tcPr>
                  <w:tcW w:w="1218" w:type="dxa"/>
                  <w:vMerge w:val="restart"/>
                  <w:tcBorders>
                    <w:tl2br w:val="nil"/>
                    <w:tr2bl w:val="nil"/>
                  </w:tcBorders>
                  <w:shd w:val="clear" w:color="auto" w:fill="auto"/>
                  <w:vAlign w:val="center"/>
                </w:tcPr>
                <w:p w14:paraId="3E0B71F2">
                  <w:pPr>
                    <w:pStyle w:val="40"/>
                    <w:bidi w:val="0"/>
                    <w:rPr>
                      <w:rFonts w:hint="default"/>
                      <w:color w:val="auto"/>
                      <w:spacing w:val="-6"/>
                      <w:highlight w:val="none"/>
                    </w:rPr>
                  </w:pPr>
                  <w:r>
                    <w:rPr>
                      <w:rFonts w:hint="eastAsia"/>
                      <w:color w:val="auto"/>
                      <w:spacing w:val="-6"/>
                      <w:highlight w:val="none"/>
                      <w:lang w:val="en-US" w:eastAsia="zh-CN"/>
                    </w:rPr>
                    <w:t>静养筛分区</w:t>
                  </w:r>
                </w:p>
              </w:tc>
              <w:tc>
                <w:tcPr>
                  <w:tcW w:w="1562" w:type="dxa"/>
                  <w:tcBorders>
                    <w:tl2br w:val="nil"/>
                    <w:tr2bl w:val="nil"/>
                  </w:tcBorders>
                  <w:shd w:val="clear" w:color="auto" w:fill="auto"/>
                  <w:noWrap/>
                  <w:vAlign w:val="center"/>
                </w:tcPr>
                <w:p w14:paraId="2FDC1977">
                  <w:pPr>
                    <w:pStyle w:val="40"/>
                    <w:bidi w:val="0"/>
                    <w:rPr>
                      <w:rFonts w:hint="default"/>
                      <w:color w:val="auto"/>
                      <w:spacing w:val="-6"/>
                      <w:highlight w:val="none"/>
                    </w:rPr>
                  </w:pPr>
                  <w:r>
                    <w:rPr>
                      <w:rFonts w:hint="default"/>
                      <w:color w:val="auto"/>
                      <w:spacing w:val="-6"/>
                      <w:highlight w:val="none"/>
                      <w:lang w:val="en-US" w:eastAsia="zh-CN"/>
                    </w:rPr>
                    <w:t>1#</w:t>
                  </w:r>
                  <w:r>
                    <w:rPr>
                      <w:rFonts w:hint="eastAsia"/>
                      <w:color w:val="auto"/>
                      <w:spacing w:val="-6"/>
                      <w:highlight w:val="none"/>
                      <w:lang w:val="en-US" w:eastAsia="zh-CN"/>
                    </w:rPr>
                    <w:t>静养机</w:t>
                  </w:r>
                </w:p>
              </w:tc>
              <w:tc>
                <w:tcPr>
                  <w:tcW w:w="1062" w:type="dxa"/>
                  <w:tcBorders>
                    <w:tl2br w:val="nil"/>
                    <w:tr2bl w:val="nil"/>
                  </w:tcBorders>
                  <w:shd w:val="clear" w:color="auto" w:fill="auto"/>
                  <w:noWrap/>
                  <w:vAlign w:val="center"/>
                </w:tcPr>
                <w:p w14:paraId="7B5F4B59">
                  <w:pPr>
                    <w:pStyle w:val="40"/>
                    <w:bidi w:val="0"/>
                    <w:rPr>
                      <w:rFonts w:hint="default"/>
                      <w:color w:val="auto"/>
                      <w:spacing w:val="-6"/>
                      <w:highlight w:val="none"/>
                    </w:rPr>
                  </w:pPr>
                  <w:r>
                    <w:rPr>
                      <w:rFonts w:hint="default"/>
                      <w:color w:val="auto"/>
                      <w:spacing w:val="-6"/>
                      <w:highlight w:val="none"/>
                      <w:lang w:val="en-US" w:eastAsia="zh-CN"/>
                    </w:rPr>
                    <w:t>60</w:t>
                  </w:r>
                </w:p>
              </w:tc>
              <w:tc>
                <w:tcPr>
                  <w:tcW w:w="600" w:type="dxa"/>
                  <w:tcBorders>
                    <w:tl2br w:val="nil"/>
                    <w:tr2bl w:val="nil"/>
                  </w:tcBorders>
                  <w:shd w:val="clear" w:color="auto" w:fill="auto"/>
                  <w:noWrap/>
                  <w:vAlign w:val="center"/>
                </w:tcPr>
                <w:p w14:paraId="5CE36C34">
                  <w:pPr>
                    <w:pStyle w:val="40"/>
                    <w:bidi w:val="0"/>
                    <w:rPr>
                      <w:rFonts w:hint="default"/>
                      <w:color w:val="auto"/>
                      <w:spacing w:val="-6"/>
                      <w:highlight w:val="none"/>
                    </w:rPr>
                  </w:pPr>
                  <w:r>
                    <w:rPr>
                      <w:rFonts w:hint="default"/>
                      <w:color w:val="auto"/>
                      <w:spacing w:val="-6"/>
                      <w:highlight w:val="none"/>
                      <w:lang w:val="en-US" w:eastAsia="zh-CN"/>
                    </w:rPr>
                    <w:t>89</w:t>
                  </w:r>
                </w:p>
              </w:tc>
              <w:tc>
                <w:tcPr>
                  <w:tcW w:w="588" w:type="dxa"/>
                  <w:tcBorders>
                    <w:tl2br w:val="nil"/>
                    <w:tr2bl w:val="nil"/>
                  </w:tcBorders>
                  <w:shd w:val="clear" w:color="auto" w:fill="auto"/>
                  <w:noWrap/>
                  <w:vAlign w:val="center"/>
                </w:tcPr>
                <w:p w14:paraId="703D23EE">
                  <w:pPr>
                    <w:pStyle w:val="40"/>
                    <w:bidi w:val="0"/>
                    <w:rPr>
                      <w:rFonts w:hint="default"/>
                      <w:color w:val="auto"/>
                      <w:spacing w:val="-6"/>
                      <w:highlight w:val="none"/>
                    </w:rPr>
                  </w:pPr>
                  <w:r>
                    <w:rPr>
                      <w:rFonts w:hint="default"/>
                      <w:color w:val="auto"/>
                      <w:spacing w:val="-6"/>
                      <w:highlight w:val="none"/>
                      <w:lang w:val="en-US" w:eastAsia="zh-CN"/>
                    </w:rPr>
                    <w:t>131</w:t>
                  </w:r>
                </w:p>
              </w:tc>
              <w:tc>
                <w:tcPr>
                  <w:tcW w:w="565" w:type="dxa"/>
                  <w:tcBorders>
                    <w:tl2br w:val="nil"/>
                    <w:tr2bl w:val="nil"/>
                  </w:tcBorders>
                  <w:shd w:val="clear" w:color="auto" w:fill="auto"/>
                  <w:noWrap/>
                  <w:vAlign w:val="center"/>
                </w:tcPr>
                <w:p w14:paraId="009AD8FA">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6E24B890">
                  <w:pPr>
                    <w:pStyle w:val="40"/>
                    <w:bidi w:val="0"/>
                    <w:rPr>
                      <w:rFonts w:hint="default"/>
                      <w:color w:val="auto"/>
                      <w:spacing w:val="-6"/>
                      <w:highlight w:val="none"/>
                    </w:rPr>
                  </w:pPr>
                  <w:r>
                    <w:rPr>
                      <w:rFonts w:hint="default"/>
                      <w:color w:val="auto"/>
                      <w:spacing w:val="-6"/>
                      <w:highlight w:val="none"/>
                      <w:lang w:val="en-US" w:eastAsia="zh-CN"/>
                    </w:rPr>
                    <w:t>94</w:t>
                  </w:r>
                </w:p>
              </w:tc>
              <w:tc>
                <w:tcPr>
                  <w:tcW w:w="600" w:type="dxa"/>
                  <w:tcBorders>
                    <w:tl2br w:val="nil"/>
                    <w:tr2bl w:val="nil"/>
                  </w:tcBorders>
                  <w:shd w:val="clear" w:color="auto" w:fill="auto"/>
                  <w:noWrap/>
                  <w:vAlign w:val="center"/>
                </w:tcPr>
                <w:p w14:paraId="0178093F">
                  <w:pPr>
                    <w:pStyle w:val="40"/>
                    <w:bidi w:val="0"/>
                    <w:rPr>
                      <w:rFonts w:hint="default"/>
                      <w:color w:val="auto"/>
                      <w:spacing w:val="-6"/>
                      <w:highlight w:val="none"/>
                    </w:rPr>
                  </w:pPr>
                  <w:r>
                    <w:rPr>
                      <w:rFonts w:hint="default"/>
                      <w:color w:val="auto"/>
                      <w:spacing w:val="-6"/>
                      <w:highlight w:val="none"/>
                      <w:lang w:val="en-US" w:eastAsia="zh-CN"/>
                    </w:rPr>
                    <w:t>42.7</w:t>
                  </w:r>
                </w:p>
              </w:tc>
              <w:tc>
                <w:tcPr>
                  <w:tcW w:w="611" w:type="dxa"/>
                  <w:vMerge w:val="continue"/>
                  <w:tcBorders>
                    <w:tl2br w:val="nil"/>
                    <w:tr2bl w:val="nil"/>
                  </w:tcBorders>
                  <w:shd w:val="clear" w:color="auto" w:fill="auto"/>
                  <w:noWrap/>
                  <w:vAlign w:val="center"/>
                </w:tcPr>
                <w:p w14:paraId="231A4995">
                  <w:pPr>
                    <w:pStyle w:val="40"/>
                    <w:bidi w:val="0"/>
                    <w:rPr>
                      <w:rFonts w:hint="default"/>
                      <w:color w:val="auto"/>
                      <w:spacing w:val="-6"/>
                      <w:highlight w:val="none"/>
                    </w:rPr>
                  </w:pPr>
                </w:p>
              </w:tc>
            </w:tr>
            <w:tr w14:paraId="2BC816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0E4AF147">
                  <w:pPr>
                    <w:pStyle w:val="40"/>
                    <w:bidi w:val="0"/>
                    <w:rPr>
                      <w:rFonts w:hint="default"/>
                      <w:color w:val="auto"/>
                      <w:spacing w:val="-6"/>
                      <w:highlight w:val="none"/>
                    </w:rPr>
                  </w:pPr>
                </w:p>
              </w:tc>
              <w:tc>
                <w:tcPr>
                  <w:tcW w:w="1218" w:type="dxa"/>
                  <w:vMerge w:val="continue"/>
                  <w:tcBorders>
                    <w:tl2br w:val="nil"/>
                    <w:tr2bl w:val="nil"/>
                  </w:tcBorders>
                  <w:shd w:val="clear" w:color="auto" w:fill="auto"/>
                  <w:vAlign w:val="center"/>
                </w:tcPr>
                <w:p w14:paraId="048DA165">
                  <w:pPr>
                    <w:pStyle w:val="40"/>
                    <w:bidi w:val="0"/>
                    <w:rPr>
                      <w:rFonts w:hint="default"/>
                      <w:color w:val="auto"/>
                      <w:spacing w:val="-6"/>
                      <w:highlight w:val="none"/>
                    </w:rPr>
                  </w:pPr>
                </w:p>
              </w:tc>
              <w:tc>
                <w:tcPr>
                  <w:tcW w:w="1562" w:type="dxa"/>
                  <w:tcBorders>
                    <w:tl2br w:val="nil"/>
                    <w:tr2bl w:val="nil"/>
                  </w:tcBorders>
                  <w:shd w:val="clear" w:color="auto" w:fill="auto"/>
                  <w:noWrap/>
                  <w:vAlign w:val="center"/>
                </w:tcPr>
                <w:p w14:paraId="098C9415">
                  <w:pPr>
                    <w:pStyle w:val="40"/>
                    <w:bidi w:val="0"/>
                    <w:rPr>
                      <w:rFonts w:hint="default"/>
                      <w:color w:val="auto"/>
                      <w:spacing w:val="-6"/>
                      <w:highlight w:val="none"/>
                    </w:rPr>
                  </w:pPr>
                  <w:r>
                    <w:rPr>
                      <w:rFonts w:hint="default"/>
                      <w:color w:val="auto"/>
                      <w:spacing w:val="-6"/>
                      <w:highlight w:val="none"/>
                      <w:lang w:val="en-US" w:eastAsia="zh-CN"/>
                    </w:rPr>
                    <w:t>2#</w:t>
                  </w:r>
                  <w:r>
                    <w:rPr>
                      <w:rFonts w:hint="eastAsia"/>
                      <w:color w:val="auto"/>
                      <w:spacing w:val="-6"/>
                      <w:highlight w:val="none"/>
                      <w:lang w:val="en-US" w:eastAsia="zh-CN"/>
                    </w:rPr>
                    <w:t>静养机</w:t>
                  </w:r>
                </w:p>
              </w:tc>
              <w:tc>
                <w:tcPr>
                  <w:tcW w:w="1062" w:type="dxa"/>
                  <w:tcBorders>
                    <w:tl2br w:val="nil"/>
                    <w:tr2bl w:val="nil"/>
                  </w:tcBorders>
                  <w:shd w:val="clear" w:color="auto" w:fill="auto"/>
                  <w:noWrap/>
                  <w:vAlign w:val="center"/>
                </w:tcPr>
                <w:p w14:paraId="49A2905E">
                  <w:pPr>
                    <w:pStyle w:val="40"/>
                    <w:bidi w:val="0"/>
                    <w:rPr>
                      <w:rFonts w:hint="default"/>
                      <w:color w:val="auto"/>
                      <w:spacing w:val="-6"/>
                      <w:highlight w:val="none"/>
                    </w:rPr>
                  </w:pPr>
                  <w:r>
                    <w:rPr>
                      <w:rFonts w:hint="default"/>
                      <w:color w:val="auto"/>
                      <w:spacing w:val="-6"/>
                      <w:highlight w:val="none"/>
                      <w:lang w:val="en-US" w:eastAsia="zh-CN"/>
                    </w:rPr>
                    <w:t>60</w:t>
                  </w:r>
                </w:p>
              </w:tc>
              <w:tc>
                <w:tcPr>
                  <w:tcW w:w="600" w:type="dxa"/>
                  <w:tcBorders>
                    <w:tl2br w:val="nil"/>
                    <w:tr2bl w:val="nil"/>
                  </w:tcBorders>
                  <w:shd w:val="clear" w:color="auto" w:fill="auto"/>
                  <w:noWrap/>
                  <w:vAlign w:val="center"/>
                </w:tcPr>
                <w:p w14:paraId="63AEBB7E">
                  <w:pPr>
                    <w:pStyle w:val="40"/>
                    <w:bidi w:val="0"/>
                    <w:rPr>
                      <w:rFonts w:hint="default"/>
                      <w:color w:val="auto"/>
                      <w:spacing w:val="-6"/>
                      <w:highlight w:val="none"/>
                    </w:rPr>
                  </w:pPr>
                  <w:r>
                    <w:rPr>
                      <w:rFonts w:hint="default"/>
                      <w:color w:val="auto"/>
                      <w:spacing w:val="-6"/>
                      <w:highlight w:val="none"/>
                      <w:lang w:val="en-US" w:eastAsia="zh-CN"/>
                    </w:rPr>
                    <w:t>104</w:t>
                  </w:r>
                </w:p>
              </w:tc>
              <w:tc>
                <w:tcPr>
                  <w:tcW w:w="588" w:type="dxa"/>
                  <w:tcBorders>
                    <w:tl2br w:val="nil"/>
                    <w:tr2bl w:val="nil"/>
                  </w:tcBorders>
                  <w:shd w:val="clear" w:color="auto" w:fill="auto"/>
                  <w:noWrap/>
                  <w:vAlign w:val="center"/>
                </w:tcPr>
                <w:p w14:paraId="32B318B7">
                  <w:pPr>
                    <w:pStyle w:val="40"/>
                    <w:bidi w:val="0"/>
                    <w:rPr>
                      <w:rFonts w:hint="default"/>
                      <w:color w:val="auto"/>
                      <w:spacing w:val="-6"/>
                      <w:highlight w:val="none"/>
                    </w:rPr>
                  </w:pPr>
                  <w:r>
                    <w:rPr>
                      <w:rFonts w:hint="default"/>
                      <w:color w:val="auto"/>
                      <w:spacing w:val="-6"/>
                      <w:highlight w:val="none"/>
                      <w:lang w:val="en-US" w:eastAsia="zh-CN"/>
                    </w:rPr>
                    <w:t>132</w:t>
                  </w:r>
                </w:p>
              </w:tc>
              <w:tc>
                <w:tcPr>
                  <w:tcW w:w="565" w:type="dxa"/>
                  <w:tcBorders>
                    <w:tl2br w:val="nil"/>
                    <w:tr2bl w:val="nil"/>
                  </w:tcBorders>
                  <w:shd w:val="clear" w:color="auto" w:fill="auto"/>
                  <w:noWrap/>
                  <w:vAlign w:val="center"/>
                </w:tcPr>
                <w:p w14:paraId="3C79CF39">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1116F958">
                  <w:pPr>
                    <w:pStyle w:val="40"/>
                    <w:bidi w:val="0"/>
                    <w:rPr>
                      <w:rFonts w:hint="default"/>
                      <w:color w:val="auto"/>
                      <w:spacing w:val="-6"/>
                      <w:highlight w:val="none"/>
                    </w:rPr>
                  </w:pPr>
                  <w:r>
                    <w:rPr>
                      <w:rFonts w:hint="default"/>
                      <w:color w:val="auto"/>
                      <w:spacing w:val="-6"/>
                      <w:highlight w:val="none"/>
                      <w:lang w:val="en-US" w:eastAsia="zh-CN"/>
                    </w:rPr>
                    <w:t>92</w:t>
                  </w:r>
                </w:p>
              </w:tc>
              <w:tc>
                <w:tcPr>
                  <w:tcW w:w="600" w:type="dxa"/>
                  <w:tcBorders>
                    <w:tl2br w:val="nil"/>
                    <w:tr2bl w:val="nil"/>
                  </w:tcBorders>
                  <w:shd w:val="clear" w:color="auto" w:fill="auto"/>
                  <w:noWrap/>
                  <w:vAlign w:val="center"/>
                </w:tcPr>
                <w:p w14:paraId="47595EAA">
                  <w:pPr>
                    <w:pStyle w:val="40"/>
                    <w:bidi w:val="0"/>
                    <w:rPr>
                      <w:rFonts w:hint="default"/>
                      <w:color w:val="auto"/>
                      <w:spacing w:val="-6"/>
                      <w:highlight w:val="none"/>
                    </w:rPr>
                  </w:pPr>
                  <w:r>
                    <w:rPr>
                      <w:rFonts w:hint="default"/>
                      <w:color w:val="auto"/>
                      <w:spacing w:val="-6"/>
                      <w:highlight w:val="none"/>
                      <w:lang w:val="en-US" w:eastAsia="zh-CN"/>
                    </w:rPr>
                    <w:t>42.7</w:t>
                  </w:r>
                </w:p>
              </w:tc>
              <w:tc>
                <w:tcPr>
                  <w:tcW w:w="611" w:type="dxa"/>
                  <w:vMerge w:val="continue"/>
                  <w:tcBorders>
                    <w:tl2br w:val="nil"/>
                    <w:tr2bl w:val="nil"/>
                  </w:tcBorders>
                  <w:shd w:val="clear" w:color="auto" w:fill="auto"/>
                  <w:noWrap/>
                  <w:vAlign w:val="center"/>
                </w:tcPr>
                <w:p w14:paraId="12C55250">
                  <w:pPr>
                    <w:pStyle w:val="40"/>
                    <w:bidi w:val="0"/>
                    <w:rPr>
                      <w:rFonts w:hint="default"/>
                      <w:color w:val="auto"/>
                      <w:spacing w:val="-6"/>
                      <w:highlight w:val="none"/>
                    </w:rPr>
                  </w:pPr>
                </w:p>
              </w:tc>
            </w:tr>
            <w:tr w14:paraId="066E26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155DC6B0">
                  <w:pPr>
                    <w:pStyle w:val="40"/>
                    <w:bidi w:val="0"/>
                    <w:rPr>
                      <w:rFonts w:hint="default"/>
                      <w:color w:val="auto"/>
                      <w:spacing w:val="-6"/>
                      <w:highlight w:val="none"/>
                    </w:rPr>
                  </w:pPr>
                </w:p>
              </w:tc>
              <w:tc>
                <w:tcPr>
                  <w:tcW w:w="1218" w:type="dxa"/>
                  <w:vMerge w:val="continue"/>
                  <w:tcBorders>
                    <w:tl2br w:val="nil"/>
                    <w:tr2bl w:val="nil"/>
                  </w:tcBorders>
                  <w:shd w:val="clear" w:color="auto" w:fill="auto"/>
                  <w:vAlign w:val="center"/>
                </w:tcPr>
                <w:p w14:paraId="191E2723">
                  <w:pPr>
                    <w:pStyle w:val="40"/>
                    <w:bidi w:val="0"/>
                    <w:rPr>
                      <w:rFonts w:hint="default"/>
                      <w:color w:val="auto"/>
                      <w:spacing w:val="-6"/>
                      <w:highlight w:val="none"/>
                    </w:rPr>
                  </w:pPr>
                </w:p>
              </w:tc>
              <w:tc>
                <w:tcPr>
                  <w:tcW w:w="1562" w:type="dxa"/>
                  <w:tcBorders>
                    <w:tl2br w:val="nil"/>
                    <w:tr2bl w:val="nil"/>
                  </w:tcBorders>
                  <w:shd w:val="clear" w:color="auto" w:fill="auto"/>
                  <w:noWrap/>
                  <w:vAlign w:val="center"/>
                </w:tcPr>
                <w:p w14:paraId="7C289B53">
                  <w:pPr>
                    <w:pStyle w:val="40"/>
                    <w:bidi w:val="0"/>
                    <w:rPr>
                      <w:rFonts w:hint="default"/>
                      <w:color w:val="auto"/>
                      <w:spacing w:val="-6"/>
                      <w:highlight w:val="none"/>
                    </w:rPr>
                  </w:pPr>
                  <w:r>
                    <w:rPr>
                      <w:rFonts w:hint="default"/>
                      <w:color w:val="auto"/>
                      <w:spacing w:val="-6"/>
                      <w:highlight w:val="none"/>
                      <w:lang w:val="en-US" w:eastAsia="zh-CN"/>
                    </w:rPr>
                    <w:t>3#</w:t>
                  </w:r>
                  <w:r>
                    <w:rPr>
                      <w:rFonts w:hint="eastAsia"/>
                      <w:color w:val="auto"/>
                      <w:spacing w:val="-6"/>
                      <w:highlight w:val="none"/>
                      <w:lang w:val="en-US" w:eastAsia="zh-CN"/>
                    </w:rPr>
                    <w:t>静养机</w:t>
                  </w:r>
                </w:p>
              </w:tc>
              <w:tc>
                <w:tcPr>
                  <w:tcW w:w="1062" w:type="dxa"/>
                  <w:tcBorders>
                    <w:tl2br w:val="nil"/>
                    <w:tr2bl w:val="nil"/>
                  </w:tcBorders>
                  <w:shd w:val="clear" w:color="auto" w:fill="auto"/>
                  <w:noWrap/>
                  <w:vAlign w:val="center"/>
                </w:tcPr>
                <w:p w14:paraId="452CBC0C">
                  <w:pPr>
                    <w:pStyle w:val="40"/>
                    <w:bidi w:val="0"/>
                    <w:rPr>
                      <w:rFonts w:hint="default"/>
                      <w:color w:val="auto"/>
                      <w:spacing w:val="-6"/>
                      <w:highlight w:val="none"/>
                    </w:rPr>
                  </w:pPr>
                  <w:r>
                    <w:rPr>
                      <w:rFonts w:hint="default"/>
                      <w:color w:val="auto"/>
                      <w:spacing w:val="-6"/>
                      <w:highlight w:val="none"/>
                      <w:lang w:val="en-US" w:eastAsia="zh-CN"/>
                    </w:rPr>
                    <w:t>60</w:t>
                  </w:r>
                </w:p>
              </w:tc>
              <w:tc>
                <w:tcPr>
                  <w:tcW w:w="600" w:type="dxa"/>
                  <w:tcBorders>
                    <w:tl2br w:val="nil"/>
                    <w:tr2bl w:val="nil"/>
                  </w:tcBorders>
                  <w:shd w:val="clear" w:color="auto" w:fill="auto"/>
                  <w:noWrap/>
                  <w:vAlign w:val="center"/>
                </w:tcPr>
                <w:p w14:paraId="758C63F1">
                  <w:pPr>
                    <w:pStyle w:val="40"/>
                    <w:bidi w:val="0"/>
                    <w:rPr>
                      <w:rFonts w:hint="default"/>
                      <w:color w:val="auto"/>
                      <w:spacing w:val="-6"/>
                      <w:highlight w:val="none"/>
                    </w:rPr>
                  </w:pPr>
                  <w:r>
                    <w:rPr>
                      <w:rFonts w:hint="default"/>
                      <w:color w:val="auto"/>
                      <w:spacing w:val="-6"/>
                      <w:highlight w:val="none"/>
                      <w:lang w:val="en-US" w:eastAsia="zh-CN"/>
                    </w:rPr>
                    <w:t>119</w:t>
                  </w:r>
                </w:p>
              </w:tc>
              <w:tc>
                <w:tcPr>
                  <w:tcW w:w="588" w:type="dxa"/>
                  <w:tcBorders>
                    <w:tl2br w:val="nil"/>
                    <w:tr2bl w:val="nil"/>
                  </w:tcBorders>
                  <w:shd w:val="clear" w:color="auto" w:fill="auto"/>
                  <w:noWrap/>
                  <w:vAlign w:val="center"/>
                </w:tcPr>
                <w:p w14:paraId="5A547253">
                  <w:pPr>
                    <w:pStyle w:val="40"/>
                    <w:bidi w:val="0"/>
                    <w:rPr>
                      <w:rFonts w:hint="default"/>
                      <w:color w:val="auto"/>
                      <w:spacing w:val="-6"/>
                      <w:highlight w:val="none"/>
                    </w:rPr>
                  </w:pPr>
                  <w:r>
                    <w:rPr>
                      <w:rFonts w:hint="default"/>
                      <w:color w:val="auto"/>
                      <w:spacing w:val="-6"/>
                      <w:highlight w:val="none"/>
                      <w:lang w:val="en-US" w:eastAsia="zh-CN"/>
                    </w:rPr>
                    <w:t>133</w:t>
                  </w:r>
                </w:p>
              </w:tc>
              <w:tc>
                <w:tcPr>
                  <w:tcW w:w="565" w:type="dxa"/>
                  <w:tcBorders>
                    <w:tl2br w:val="nil"/>
                    <w:tr2bl w:val="nil"/>
                  </w:tcBorders>
                  <w:shd w:val="clear" w:color="auto" w:fill="auto"/>
                  <w:noWrap/>
                  <w:vAlign w:val="center"/>
                </w:tcPr>
                <w:p w14:paraId="5EEA4A62">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1BBFB04E">
                  <w:pPr>
                    <w:pStyle w:val="40"/>
                    <w:bidi w:val="0"/>
                    <w:rPr>
                      <w:rFonts w:hint="default"/>
                      <w:color w:val="auto"/>
                      <w:spacing w:val="-6"/>
                      <w:highlight w:val="none"/>
                    </w:rPr>
                  </w:pPr>
                  <w:r>
                    <w:rPr>
                      <w:rFonts w:hint="default"/>
                      <w:color w:val="auto"/>
                      <w:spacing w:val="-6"/>
                      <w:highlight w:val="none"/>
                      <w:lang w:val="en-US" w:eastAsia="zh-CN"/>
                    </w:rPr>
                    <w:t>90</w:t>
                  </w:r>
                </w:p>
              </w:tc>
              <w:tc>
                <w:tcPr>
                  <w:tcW w:w="600" w:type="dxa"/>
                  <w:tcBorders>
                    <w:tl2br w:val="nil"/>
                    <w:tr2bl w:val="nil"/>
                  </w:tcBorders>
                  <w:shd w:val="clear" w:color="auto" w:fill="auto"/>
                  <w:noWrap/>
                  <w:vAlign w:val="center"/>
                </w:tcPr>
                <w:p w14:paraId="5FBF2D35">
                  <w:pPr>
                    <w:pStyle w:val="40"/>
                    <w:bidi w:val="0"/>
                    <w:rPr>
                      <w:rFonts w:hint="default"/>
                      <w:color w:val="auto"/>
                      <w:spacing w:val="-6"/>
                      <w:highlight w:val="none"/>
                    </w:rPr>
                  </w:pPr>
                  <w:r>
                    <w:rPr>
                      <w:rFonts w:hint="default"/>
                      <w:color w:val="auto"/>
                      <w:spacing w:val="-6"/>
                      <w:highlight w:val="none"/>
                      <w:lang w:val="en-US" w:eastAsia="zh-CN"/>
                    </w:rPr>
                    <w:t>42.7</w:t>
                  </w:r>
                </w:p>
              </w:tc>
              <w:tc>
                <w:tcPr>
                  <w:tcW w:w="611" w:type="dxa"/>
                  <w:vMerge w:val="continue"/>
                  <w:tcBorders>
                    <w:tl2br w:val="nil"/>
                    <w:tr2bl w:val="nil"/>
                  </w:tcBorders>
                  <w:shd w:val="clear" w:color="auto" w:fill="auto"/>
                  <w:noWrap/>
                  <w:vAlign w:val="center"/>
                </w:tcPr>
                <w:p w14:paraId="6102AD2A">
                  <w:pPr>
                    <w:pStyle w:val="40"/>
                    <w:bidi w:val="0"/>
                    <w:rPr>
                      <w:rFonts w:hint="default"/>
                      <w:color w:val="auto"/>
                      <w:spacing w:val="-6"/>
                      <w:highlight w:val="none"/>
                    </w:rPr>
                  </w:pPr>
                </w:p>
              </w:tc>
            </w:tr>
            <w:tr w14:paraId="1F5A6E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0F0113EB">
                  <w:pPr>
                    <w:pStyle w:val="40"/>
                    <w:bidi w:val="0"/>
                    <w:rPr>
                      <w:rFonts w:hint="default"/>
                      <w:color w:val="auto"/>
                      <w:spacing w:val="-6"/>
                      <w:highlight w:val="none"/>
                    </w:rPr>
                  </w:pPr>
                </w:p>
              </w:tc>
              <w:tc>
                <w:tcPr>
                  <w:tcW w:w="1218" w:type="dxa"/>
                  <w:vMerge w:val="continue"/>
                  <w:tcBorders>
                    <w:tl2br w:val="nil"/>
                    <w:tr2bl w:val="nil"/>
                  </w:tcBorders>
                  <w:shd w:val="clear" w:color="auto" w:fill="auto"/>
                  <w:vAlign w:val="center"/>
                </w:tcPr>
                <w:p w14:paraId="2132FBD3">
                  <w:pPr>
                    <w:pStyle w:val="40"/>
                    <w:bidi w:val="0"/>
                    <w:rPr>
                      <w:rFonts w:hint="default"/>
                      <w:color w:val="auto"/>
                      <w:spacing w:val="-6"/>
                      <w:highlight w:val="none"/>
                    </w:rPr>
                  </w:pPr>
                </w:p>
              </w:tc>
              <w:tc>
                <w:tcPr>
                  <w:tcW w:w="1562" w:type="dxa"/>
                  <w:tcBorders>
                    <w:tl2br w:val="nil"/>
                    <w:tr2bl w:val="nil"/>
                  </w:tcBorders>
                  <w:shd w:val="clear" w:color="auto" w:fill="auto"/>
                  <w:noWrap/>
                  <w:vAlign w:val="center"/>
                </w:tcPr>
                <w:p w14:paraId="5BA82C3C">
                  <w:pPr>
                    <w:pStyle w:val="40"/>
                    <w:bidi w:val="0"/>
                    <w:rPr>
                      <w:rFonts w:hint="default"/>
                      <w:color w:val="auto"/>
                      <w:spacing w:val="-6"/>
                      <w:highlight w:val="none"/>
                    </w:rPr>
                  </w:pPr>
                  <w:r>
                    <w:rPr>
                      <w:rFonts w:hint="default"/>
                      <w:color w:val="auto"/>
                      <w:spacing w:val="-6"/>
                      <w:highlight w:val="none"/>
                      <w:lang w:val="en-US" w:eastAsia="zh-CN"/>
                    </w:rPr>
                    <w:t>4#</w:t>
                  </w:r>
                  <w:r>
                    <w:rPr>
                      <w:rFonts w:hint="eastAsia"/>
                      <w:color w:val="auto"/>
                      <w:spacing w:val="-6"/>
                      <w:highlight w:val="none"/>
                      <w:lang w:val="en-US" w:eastAsia="zh-CN"/>
                    </w:rPr>
                    <w:t>静养机</w:t>
                  </w:r>
                </w:p>
              </w:tc>
              <w:tc>
                <w:tcPr>
                  <w:tcW w:w="1062" w:type="dxa"/>
                  <w:tcBorders>
                    <w:tl2br w:val="nil"/>
                    <w:tr2bl w:val="nil"/>
                  </w:tcBorders>
                  <w:shd w:val="clear" w:color="auto" w:fill="auto"/>
                  <w:noWrap/>
                  <w:vAlign w:val="center"/>
                </w:tcPr>
                <w:p w14:paraId="1D2506DA">
                  <w:pPr>
                    <w:pStyle w:val="40"/>
                    <w:bidi w:val="0"/>
                    <w:rPr>
                      <w:rFonts w:hint="default"/>
                      <w:color w:val="auto"/>
                      <w:spacing w:val="-6"/>
                      <w:highlight w:val="none"/>
                    </w:rPr>
                  </w:pPr>
                  <w:r>
                    <w:rPr>
                      <w:rFonts w:hint="default"/>
                      <w:color w:val="auto"/>
                      <w:spacing w:val="-6"/>
                      <w:highlight w:val="none"/>
                      <w:lang w:val="en-US" w:eastAsia="zh-CN"/>
                    </w:rPr>
                    <w:t>60</w:t>
                  </w:r>
                </w:p>
              </w:tc>
              <w:tc>
                <w:tcPr>
                  <w:tcW w:w="600" w:type="dxa"/>
                  <w:tcBorders>
                    <w:tl2br w:val="nil"/>
                    <w:tr2bl w:val="nil"/>
                  </w:tcBorders>
                  <w:shd w:val="clear" w:color="auto" w:fill="auto"/>
                  <w:noWrap/>
                  <w:vAlign w:val="center"/>
                </w:tcPr>
                <w:p w14:paraId="263C9BA4">
                  <w:pPr>
                    <w:pStyle w:val="40"/>
                    <w:bidi w:val="0"/>
                    <w:rPr>
                      <w:rFonts w:hint="default"/>
                      <w:color w:val="auto"/>
                      <w:spacing w:val="-6"/>
                      <w:highlight w:val="none"/>
                    </w:rPr>
                  </w:pPr>
                  <w:r>
                    <w:rPr>
                      <w:rFonts w:hint="default"/>
                      <w:color w:val="auto"/>
                      <w:spacing w:val="-6"/>
                      <w:highlight w:val="none"/>
                      <w:lang w:val="en-US" w:eastAsia="zh-CN"/>
                    </w:rPr>
                    <w:t>134</w:t>
                  </w:r>
                </w:p>
              </w:tc>
              <w:tc>
                <w:tcPr>
                  <w:tcW w:w="588" w:type="dxa"/>
                  <w:tcBorders>
                    <w:tl2br w:val="nil"/>
                    <w:tr2bl w:val="nil"/>
                  </w:tcBorders>
                  <w:shd w:val="clear" w:color="auto" w:fill="auto"/>
                  <w:noWrap/>
                  <w:vAlign w:val="center"/>
                </w:tcPr>
                <w:p w14:paraId="67F4B339">
                  <w:pPr>
                    <w:pStyle w:val="40"/>
                    <w:bidi w:val="0"/>
                    <w:rPr>
                      <w:rFonts w:hint="default"/>
                      <w:color w:val="auto"/>
                      <w:spacing w:val="-6"/>
                      <w:highlight w:val="none"/>
                    </w:rPr>
                  </w:pPr>
                  <w:r>
                    <w:rPr>
                      <w:rFonts w:hint="default"/>
                      <w:color w:val="auto"/>
                      <w:spacing w:val="-6"/>
                      <w:highlight w:val="none"/>
                      <w:lang w:val="en-US" w:eastAsia="zh-CN"/>
                    </w:rPr>
                    <w:t>134</w:t>
                  </w:r>
                </w:p>
              </w:tc>
              <w:tc>
                <w:tcPr>
                  <w:tcW w:w="565" w:type="dxa"/>
                  <w:tcBorders>
                    <w:tl2br w:val="nil"/>
                    <w:tr2bl w:val="nil"/>
                  </w:tcBorders>
                  <w:shd w:val="clear" w:color="auto" w:fill="auto"/>
                  <w:noWrap/>
                  <w:vAlign w:val="center"/>
                </w:tcPr>
                <w:p w14:paraId="06A5DE61">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36A7DA94">
                  <w:pPr>
                    <w:pStyle w:val="40"/>
                    <w:bidi w:val="0"/>
                    <w:rPr>
                      <w:rFonts w:hint="default"/>
                      <w:color w:val="auto"/>
                      <w:spacing w:val="-6"/>
                      <w:highlight w:val="none"/>
                    </w:rPr>
                  </w:pPr>
                  <w:r>
                    <w:rPr>
                      <w:rFonts w:hint="default"/>
                      <w:color w:val="auto"/>
                      <w:spacing w:val="-6"/>
                      <w:highlight w:val="none"/>
                      <w:lang w:val="en-US" w:eastAsia="zh-CN"/>
                    </w:rPr>
                    <w:t>95</w:t>
                  </w:r>
                </w:p>
              </w:tc>
              <w:tc>
                <w:tcPr>
                  <w:tcW w:w="600" w:type="dxa"/>
                  <w:tcBorders>
                    <w:tl2br w:val="nil"/>
                    <w:tr2bl w:val="nil"/>
                  </w:tcBorders>
                  <w:shd w:val="clear" w:color="auto" w:fill="auto"/>
                  <w:noWrap/>
                  <w:vAlign w:val="center"/>
                </w:tcPr>
                <w:p w14:paraId="63369ADB">
                  <w:pPr>
                    <w:pStyle w:val="40"/>
                    <w:bidi w:val="0"/>
                    <w:rPr>
                      <w:rFonts w:hint="default"/>
                      <w:color w:val="auto"/>
                      <w:spacing w:val="-6"/>
                      <w:highlight w:val="none"/>
                    </w:rPr>
                  </w:pPr>
                  <w:r>
                    <w:rPr>
                      <w:rFonts w:hint="default"/>
                      <w:color w:val="auto"/>
                      <w:spacing w:val="-6"/>
                      <w:highlight w:val="none"/>
                      <w:lang w:val="en-US" w:eastAsia="zh-CN"/>
                    </w:rPr>
                    <w:t>42.7</w:t>
                  </w:r>
                </w:p>
              </w:tc>
              <w:tc>
                <w:tcPr>
                  <w:tcW w:w="611" w:type="dxa"/>
                  <w:vMerge w:val="continue"/>
                  <w:tcBorders>
                    <w:tl2br w:val="nil"/>
                    <w:tr2bl w:val="nil"/>
                  </w:tcBorders>
                  <w:shd w:val="clear" w:color="auto" w:fill="auto"/>
                  <w:noWrap/>
                  <w:vAlign w:val="center"/>
                </w:tcPr>
                <w:p w14:paraId="0B580990">
                  <w:pPr>
                    <w:pStyle w:val="40"/>
                    <w:bidi w:val="0"/>
                    <w:rPr>
                      <w:rFonts w:hint="default"/>
                      <w:color w:val="auto"/>
                      <w:spacing w:val="-6"/>
                      <w:highlight w:val="none"/>
                    </w:rPr>
                  </w:pPr>
                </w:p>
              </w:tc>
            </w:tr>
            <w:tr w14:paraId="751FF8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15D75E5E">
                  <w:pPr>
                    <w:pStyle w:val="40"/>
                    <w:bidi w:val="0"/>
                    <w:rPr>
                      <w:rFonts w:hint="default"/>
                      <w:color w:val="auto"/>
                      <w:spacing w:val="-6"/>
                      <w:highlight w:val="none"/>
                    </w:rPr>
                  </w:pPr>
                </w:p>
              </w:tc>
              <w:tc>
                <w:tcPr>
                  <w:tcW w:w="1218" w:type="dxa"/>
                  <w:vMerge w:val="continue"/>
                  <w:tcBorders>
                    <w:tl2br w:val="nil"/>
                    <w:tr2bl w:val="nil"/>
                  </w:tcBorders>
                  <w:shd w:val="clear" w:color="auto" w:fill="auto"/>
                  <w:vAlign w:val="center"/>
                </w:tcPr>
                <w:p w14:paraId="0EE0932D">
                  <w:pPr>
                    <w:pStyle w:val="40"/>
                    <w:bidi w:val="0"/>
                    <w:rPr>
                      <w:rFonts w:hint="default"/>
                      <w:color w:val="auto"/>
                      <w:spacing w:val="-6"/>
                      <w:highlight w:val="none"/>
                    </w:rPr>
                  </w:pPr>
                </w:p>
              </w:tc>
              <w:tc>
                <w:tcPr>
                  <w:tcW w:w="1562" w:type="dxa"/>
                  <w:tcBorders>
                    <w:tl2br w:val="nil"/>
                    <w:tr2bl w:val="nil"/>
                  </w:tcBorders>
                  <w:shd w:val="clear" w:color="auto" w:fill="auto"/>
                  <w:noWrap/>
                  <w:vAlign w:val="center"/>
                </w:tcPr>
                <w:p w14:paraId="254412F4">
                  <w:pPr>
                    <w:pStyle w:val="40"/>
                    <w:bidi w:val="0"/>
                    <w:rPr>
                      <w:rFonts w:hint="default"/>
                      <w:color w:val="auto"/>
                      <w:spacing w:val="-6"/>
                      <w:highlight w:val="none"/>
                    </w:rPr>
                  </w:pPr>
                  <w:r>
                    <w:rPr>
                      <w:rFonts w:hint="default"/>
                      <w:color w:val="auto"/>
                      <w:spacing w:val="-6"/>
                      <w:highlight w:val="none"/>
                      <w:lang w:val="en-US" w:eastAsia="zh-CN"/>
                    </w:rPr>
                    <w:t>5#</w:t>
                  </w:r>
                  <w:r>
                    <w:rPr>
                      <w:rFonts w:hint="eastAsia"/>
                      <w:color w:val="auto"/>
                      <w:spacing w:val="-6"/>
                      <w:highlight w:val="none"/>
                      <w:lang w:val="en-US" w:eastAsia="zh-CN"/>
                    </w:rPr>
                    <w:t>静养机</w:t>
                  </w:r>
                </w:p>
              </w:tc>
              <w:tc>
                <w:tcPr>
                  <w:tcW w:w="1062" w:type="dxa"/>
                  <w:tcBorders>
                    <w:tl2br w:val="nil"/>
                    <w:tr2bl w:val="nil"/>
                  </w:tcBorders>
                  <w:shd w:val="clear" w:color="auto" w:fill="auto"/>
                  <w:noWrap/>
                  <w:vAlign w:val="center"/>
                </w:tcPr>
                <w:p w14:paraId="1A882F86">
                  <w:pPr>
                    <w:pStyle w:val="40"/>
                    <w:bidi w:val="0"/>
                    <w:rPr>
                      <w:rFonts w:hint="default"/>
                      <w:color w:val="auto"/>
                      <w:spacing w:val="-6"/>
                      <w:highlight w:val="none"/>
                    </w:rPr>
                  </w:pPr>
                  <w:r>
                    <w:rPr>
                      <w:rFonts w:hint="default"/>
                      <w:color w:val="auto"/>
                      <w:spacing w:val="-6"/>
                      <w:highlight w:val="none"/>
                      <w:lang w:val="en-US" w:eastAsia="zh-CN"/>
                    </w:rPr>
                    <w:t>60</w:t>
                  </w:r>
                </w:p>
              </w:tc>
              <w:tc>
                <w:tcPr>
                  <w:tcW w:w="600" w:type="dxa"/>
                  <w:tcBorders>
                    <w:tl2br w:val="nil"/>
                    <w:tr2bl w:val="nil"/>
                  </w:tcBorders>
                  <w:shd w:val="clear" w:color="auto" w:fill="auto"/>
                  <w:noWrap/>
                  <w:vAlign w:val="center"/>
                </w:tcPr>
                <w:p w14:paraId="19D97ACC">
                  <w:pPr>
                    <w:pStyle w:val="40"/>
                    <w:bidi w:val="0"/>
                    <w:rPr>
                      <w:rFonts w:hint="default"/>
                      <w:color w:val="auto"/>
                      <w:spacing w:val="-6"/>
                      <w:highlight w:val="none"/>
                    </w:rPr>
                  </w:pPr>
                  <w:r>
                    <w:rPr>
                      <w:rFonts w:hint="default"/>
                      <w:color w:val="auto"/>
                      <w:spacing w:val="-6"/>
                      <w:highlight w:val="none"/>
                      <w:lang w:val="en-US" w:eastAsia="zh-CN"/>
                    </w:rPr>
                    <w:t>149</w:t>
                  </w:r>
                </w:p>
              </w:tc>
              <w:tc>
                <w:tcPr>
                  <w:tcW w:w="588" w:type="dxa"/>
                  <w:tcBorders>
                    <w:tl2br w:val="nil"/>
                    <w:tr2bl w:val="nil"/>
                  </w:tcBorders>
                  <w:shd w:val="clear" w:color="auto" w:fill="auto"/>
                  <w:noWrap/>
                  <w:vAlign w:val="center"/>
                </w:tcPr>
                <w:p w14:paraId="5D046F6D">
                  <w:pPr>
                    <w:pStyle w:val="40"/>
                    <w:bidi w:val="0"/>
                    <w:rPr>
                      <w:rFonts w:hint="default"/>
                      <w:color w:val="auto"/>
                      <w:spacing w:val="-6"/>
                      <w:highlight w:val="none"/>
                    </w:rPr>
                  </w:pPr>
                  <w:r>
                    <w:rPr>
                      <w:rFonts w:hint="default"/>
                      <w:color w:val="auto"/>
                      <w:spacing w:val="-6"/>
                      <w:highlight w:val="none"/>
                      <w:lang w:val="en-US" w:eastAsia="zh-CN"/>
                    </w:rPr>
                    <w:t>135</w:t>
                  </w:r>
                </w:p>
              </w:tc>
              <w:tc>
                <w:tcPr>
                  <w:tcW w:w="565" w:type="dxa"/>
                  <w:tcBorders>
                    <w:tl2br w:val="nil"/>
                    <w:tr2bl w:val="nil"/>
                  </w:tcBorders>
                  <w:shd w:val="clear" w:color="auto" w:fill="auto"/>
                  <w:noWrap/>
                  <w:vAlign w:val="center"/>
                </w:tcPr>
                <w:p w14:paraId="31CADA8D">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1C0D20E8">
                  <w:pPr>
                    <w:pStyle w:val="40"/>
                    <w:bidi w:val="0"/>
                    <w:rPr>
                      <w:rFonts w:hint="default"/>
                      <w:color w:val="auto"/>
                      <w:spacing w:val="-6"/>
                      <w:highlight w:val="none"/>
                    </w:rPr>
                  </w:pPr>
                  <w:r>
                    <w:rPr>
                      <w:rFonts w:hint="default"/>
                      <w:color w:val="auto"/>
                      <w:spacing w:val="-6"/>
                      <w:highlight w:val="none"/>
                      <w:lang w:val="en-US" w:eastAsia="zh-CN"/>
                    </w:rPr>
                    <w:t>99</w:t>
                  </w:r>
                </w:p>
              </w:tc>
              <w:tc>
                <w:tcPr>
                  <w:tcW w:w="600" w:type="dxa"/>
                  <w:tcBorders>
                    <w:tl2br w:val="nil"/>
                    <w:tr2bl w:val="nil"/>
                  </w:tcBorders>
                  <w:shd w:val="clear" w:color="auto" w:fill="auto"/>
                  <w:noWrap/>
                  <w:vAlign w:val="center"/>
                </w:tcPr>
                <w:p w14:paraId="62EBBE12">
                  <w:pPr>
                    <w:pStyle w:val="40"/>
                    <w:bidi w:val="0"/>
                    <w:rPr>
                      <w:rFonts w:hint="default"/>
                      <w:color w:val="auto"/>
                      <w:spacing w:val="-6"/>
                      <w:highlight w:val="none"/>
                    </w:rPr>
                  </w:pPr>
                  <w:r>
                    <w:rPr>
                      <w:rFonts w:hint="default"/>
                      <w:color w:val="auto"/>
                      <w:spacing w:val="-6"/>
                      <w:highlight w:val="none"/>
                      <w:lang w:val="en-US" w:eastAsia="zh-CN"/>
                    </w:rPr>
                    <w:t>42.7</w:t>
                  </w:r>
                </w:p>
              </w:tc>
              <w:tc>
                <w:tcPr>
                  <w:tcW w:w="611" w:type="dxa"/>
                  <w:vMerge w:val="continue"/>
                  <w:tcBorders>
                    <w:tl2br w:val="nil"/>
                    <w:tr2bl w:val="nil"/>
                  </w:tcBorders>
                  <w:shd w:val="clear" w:color="auto" w:fill="auto"/>
                  <w:noWrap/>
                  <w:vAlign w:val="center"/>
                </w:tcPr>
                <w:p w14:paraId="09A2473E">
                  <w:pPr>
                    <w:pStyle w:val="40"/>
                    <w:bidi w:val="0"/>
                    <w:rPr>
                      <w:rFonts w:hint="default"/>
                      <w:color w:val="auto"/>
                      <w:spacing w:val="-6"/>
                      <w:highlight w:val="none"/>
                    </w:rPr>
                  </w:pPr>
                </w:p>
              </w:tc>
            </w:tr>
            <w:tr w14:paraId="2E3D00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24A38E40">
                  <w:pPr>
                    <w:pStyle w:val="40"/>
                    <w:bidi w:val="0"/>
                    <w:rPr>
                      <w:rFonts w:hint="default"/>
                      <w:color w:val="auto"/>
                      <w:spacing w:val="-6"/>
                      <w:highlight w:val="none"/>
                    </w:rPr>
                  </w:pPr>
                </w:p>
              </w:tc>
              <w:tc>
                <w:tcPr>
                  <w:tcW w:w="1218" w:type="dxa"/>
                  <w:vMerge w:val="continue"/>
                  <w:tcBorders>
                    <w:tl2br w:val="nil"/>
                    <w:tr2bl w:val="nil"/>
                  </w:tcBorders>
                  <w:shd w:val="clear" w:color="auto" w:fill="auto"/>
                  <w:vAlign w:val="center"/>
                </w:tcPr>
                <w:p w14:paraId="5A694EAA">
                  <w:pPr>
                    <w:pStyle w:val="40"/>
                    <w:bidi w:val="0"/>
                    <w:rPr>
                      <w:rFonts w:hint="default"/>
                      <w:color w:val="auto"/>
                      <w:spacing w:val="-6"/>
                      <w:highlight w:val="none"/>
                    </w:rPr>
                  </w:pPr>
                </w:p>
              </w:tc>
              <w:tc>
                <w:tcPr>
                  <w:tcW w:w="1562" w:type="dxa"/>
                  <w:tcBorders>
                    <w:tl2br w:val="nil"/>
                    <w:tr2bl w:val="nil"/>
                  </w:tcBorders>
                  <w:shd w:val="clear" w:color="auto" w:fill="auto"/>
                  <w:noWrap/>
                  <w:vAlign w:val="center"/>
                </w:tcPr>
                <w:p w14:paraId="7306264A">
                  <w:pPr>
                    <w:pStyle w:val="40"/>
                    <w:bidi w:val="0"/>
                    <w:rPr>
                      <w:rFonts w:hint="default"/>
                      <w:color w:val="auto"/>
                      <w:spacing w:val="-6"/>
                      <w:highlight w:val="none"/>
                    </w:rPr>
                  </w:pPr>
                  <w:r>
                    <w:rPr>
                      <w:rFonts w:hint="default"/>
                      <w:color w:val="auto"/>
                      <w:spacing w:val="-6"/>
                      <w:highlight w:val="none"/>
                      <w:lang w:val="en-US" w:eastAsia="zh-CN"/>
                    </w:rPr>
                    <w:t>1#</w:t>
                  </w:r>
                  <w:r>
                    <w:rPr>
                      <w:rFonts w:hint="eastAsia"/>
                      <w:color w:val="auto"/>
                      <w:spacing w:val="-6"/>
                      <w:highlight w:val="none"/>
                      <w:lang w:val="en-US" w:eastAsia="zh-CN"/>
                    </w:rPr>
                    <w:t>振动筛</w:t>
                  </w:r>
                </w:p>
              </w:tc>
              <w:tc>
                <w:tcPr>
                  <w:tcW w:w="1062" w:type="dxa"/>
                  <w:tcBorders>
                    <w:tl2br w:val="nil"/>
                    <w:tr2bl w:val="nil"/>
                  </w:tcBorders>
                  <w:shd w:val="clear" w:color="auto" w:fill="auto"/>
                  <w:noWrap/>
                  <w:vAlign w:val="center"/>
                </w:tcPr>
                <w:p w14:paraId="46FA6367">
                  <w:pPr>
                    <w:pStyle w:val="40"/>
                    <w:bidi w:val="0"/>
                    <w:rPr>
                      <w:rFonts w:hint="default"/>
                      <w:color w:val="auto"/>
                      <w:spacing w:val="-6"/>
                      <w:highlight w:val="none"/>
                    </w:rPr>
                  </w:pPr>
                  <w:r>
                    <w:rPr>
                      <w:rFonts w:hint="default"/>
                      <w:color w:val="auto"/>
                      <w:spacing w:val="-6"/>
                      <w:highlight w:val="none"/>
                      <w:lang w:val="en-US" w:eastAsia="zh-CN"/>
                    </w:rPr>
                    <w:t>85</w:t>
                  </w:r>
                </w:p>
              </w:tc>
              <w:tc>
                <w:tcPr>
                  <w:tcW w:w="600" w:type="dxa"/>
                  <w:tcBorders>
                    <w:tl2br w:val="nil"/>
                    <w:tr2bl w:val="nil"/>
                  </w:tcBorders>
                  <w:shd w:val="clear" w:color="auto" w:fill="auto"/>
                  <w:noWrap/>
                  <w:vAlign w:val="center"/>
                </w:tcPr>
                <w:p w14:paraId="40AE925F">
                  <w:pPr>
                    <w:pStyle w:val="40"/>
                    <w:bidi w:val="0"/>
                    <w:rPr>
                      <w:rFonts w:hint="default"/>
                      <w:color w:val="auto"/>
                      <w:spacing w:val="-6"/>
                      <w:highlight w:val="none"/>
                    </w:rPr>
                  </w:pPr>
                  <w:r>
                    <w:rPr>
                      <w:rFonts w:hint="default"/>
                      <w:color w:val="auto"/>
                      <w:spacing w:val="-6"/>
                      <w:highlight w:val="none"/>
                      <w:lang w:val="en-US" w:eastAsia="zh-CN"/>
                    </w:rPr>
                    <w:t>89</w:t>
                  </w:r>
                </w:p>
              </w:tc>
              <w:tc>
                <w:tcPr>
                  <w:tcW w:w="588" w:type="dxa"/>
                  <w:tcBorders>
                    <w:tl2br w:val="nil"/>
                    <w:tr2bl w:val="nil"/>
                  </w:tcBorders>
                  <w:shd w:val="clear" w:color="auto" w:fill="auto"/>
                  <w:noWrap/>
                  <w:vAlign w:val="center"/>
                </w:tcPr>
                <w:p w14:paraId="6C092DD3">
                  <w:pPr>
                    <w:pStyle w:val="40"/>
                    <w:bidi w:val="0"/>
                    <w:rPr>
                      <w:rFonts w:hint="default"/>
                      <w:color w:val="auto"/>
                      <w:spacing w:val="-6"/>
                      <w:highlight w:val="none"/>
                    </w:rPr>
                  </w:pPr>
                  <w:r>
                    <w:rPr>
                      <w:rFonts w:hint="default"/>
                      <w:color w:val="auto"/>
                      <w:spacing w:val="-6"/>
                      <w:highlight w:val="none"/>
                      <w:lang w:val="en-US" w:eastAsia="zh-CN"/>
                    </w:rPr>
                    <w:t>126</w:t>
                  </w:r>
                </w:p>
              </w:tc>
              <w:tc>
                <w:tcPr>
                  <w:tcW w:w="565" w:type="dxa"/>
                  <w:tcBorders>
                    <w:tl2br w:val="nil"/>
                    <w:tr2bl w:val="nil"/>
                  </w:tcBorders>
                  <w:shd w:val="clear" w:color="auto" w:fill="auto"/>
                  <w:noWrap/>
                  <w:vAlign w:val="center"/>
                </w:tcPr>
                <w:p w14:paraId="3F9E6E2C">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1520B04F">
                  <w:pPr>
                    <w:pStyle w:val="40"/>
                    <w:bidi w:val="0"/>
                    <w:rPr>
                      <w:rFonts w:hint="default"/>
                      <w:color w:val="auto"/>
                      <w:spacing w:val="-6"/>
                      <w:highlight w:val="none"/>
                    </w:rPr>
                  </w:pPr>
                  <w:r>
                    <w:rPr>
                      <w:rFonts w:hint="default"/>
                      <w:color w:val="auto"/>
                      <w:spacing w:val="-6"/>
                      <w:highlight w:val="none"/>
                      <w:lang w:val="en-US" w:eastAsia="zh-CN"/>
                    </w:rPr>
                    <w:t>99</w:t>
                  </w:r>
                </w:p>
              </w:tc>
              <w:tc>
                <w:tcPr>
                  <w:tcW w:w="600" w:type="dxa"/>
                  <w:tcBorders>
                    <w:tl2br w:val="nil"/>
                    <w:tr2bl w:val="nil"/>
                  </w:tcBorders>
                  <w:shd w:val="clear" w:color="auto" w:fill="auto"/>
                  <w:noWrap/>
                  <w:vAlign w:val="center"/>
                </w:tcPr>
                <w:p w14:paraId="39D54E09">
                  <w:pPr>
                    <w:pStyle w:val="40"/>
                    <w:bidi w:val="0"/>
                    <w:rPr>
                      <w:rFonts w:hint="default"/>
                      <w:color w:val="auto"/>
                      <w:spacing w:val="-6"/>
                      <w:highlight w:val="none"/>
                    </w:rPr>
                  </w:pPr>
                  <w:r>
                    <w:rPr>
                      <w:rFonts w:hint="default"/>
                      <w:color w:val="auto"/>
                      <w:spacing w:val="-6"/>
                      <w:highlight w:val="none"/>
                      <w:lang w:val="en-US" w:eastAsia="zh-CN"/>
                    </w:rPr>
                    <w:t>67.7</w:t>
                  </w:r>
                </w:p>
              </w:tc>
              <w:tc>
                <w:tcPr>
                  <w:tcW w:w="611" w:type="dxa"/>
                  <w:vMerge w:val="continue"/>
                  <w:tcBorders>
                    <w:tl2br w:val="nil"/>
                    <w:tr2bl w:val="nil"/>
                  </w:tcBorders>
                  <w:shd w:val="clear" w:color="auto" w:fill="auto"/>
                  <w:noWrap/>
                  <w:vAlign w:val="center"/>
                </w:tcPr>
                <w:p w14:paraId="7F75DE71">
                  <w:pPr>
                    <w:pStyle w:val="40"/>
                    <w:bidi w:val="0"/>
                    <w:rPr>
                      <w:rFonts w:hint="default"/>
                      <w:color w:val="auto"/>
                      <w:spacing w:val="-6"/>
                      <w:highlight w:val="none"/>
                    </w:rPr>
                  </w:pPr>
                </w:p>
              </w:tc>
            </w:tr>
            <w:tr w14:paraId="721960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64274344">
                  <w:pPr>
                    <w:pStyle w:val="40"/>
                    <w:bidi w:val="0"/>
                    <w:rPr>
                      <w:rFonts w:hint="default"/>
                      <w:color w:val="auto"/>
                      <w:spacing w:val="-6"/>
                      <w:highlight w:val="none"/>
                    </w:rPr>
                  </w:pPr>
                </w:p>
              </w:tc>
              <w:tc>
                <w:tcPr>
                  <w:tcW w:w="1218" w:type="dxa"/>
                  <w:vMerge w:val="continue"/>
                  <w:tcBorders>
                    <w:tl2br w:val="nil"/>
                    <w:tr2bl w:val="nil"/>
                  </w:tcBorders>
                  <w:shd w:val="clear" w:color="auto" w:fill="auto"/>
                  <w:vAlign w:val="center"/>
                </w:tcPr>
                <w:p w14:paraId="09CA2E79">
                  <w:pPr>
                    <w:pStyle w:val="40"/>
                    <w:bidi w:val="0"/>
                    <w:rPr>
                      <w:rFonts w:hint="default"/>
                      <w:color w:val="auto"/>
                      <w:spacing w:val="-6"/>
                      <w:highlight w:val="none"/>
                    </w:rPr>
                  </w:pPr>
                </w:p>
              </w:tc>
              <w:tc>
                <w:tcPr>
                  <w:tcW w:w="1562" w:type="dxa"/>
                  <w:tcBorders>
                    <w:tl2br w:val="nil"/>
                    <w:tr2bl w:val="nil"/>
                  </w:tcBorders>
                  <w:shd w:val="clear" w:color="auto" w:fill="auto"/>
                  <w:noWrap/>
                  <w:vAlign w:val="center"/>
                </w:tcPr>
                <w:p w14:paraId="4184561B">
                  <w:pPr>
                    <w:pStyle w:val="40"/>
                    <w:bidi w:val="0"/>
                    <w:rPr>
                      <w:rFonts w:hint="default"/>
                      <w:color w:val="auto"/>
                      <w:spacing w:val="-6"/>
                      <w:highlight w:val="none"/>
                    </w:rPr>
                  </w:pPr>
                  <w:r>
                    <w:rPr>
                      <w:rFonts w:hint="default"/>
                      <w:color w:val="auto"/>
                      <w:spacing w:val="-6"/>
                      <w:highlight w:val="none"/>
                      <w:lang w:val="en-US" w:eastAsia="zh-CN"/>
                    </w:rPr>
                    <w:t>2#</w:t>
                  </w:r>
                  <w:r>
                    <w:rPr>
                      <w:rFonts w:hint="eastAsia"/>
                      <w:color w:val="auto"/>
                      <w:spacing w:val="-6"/>
                      <w:highlight w:val="none"/>
                      <w:lang w:val="en-US" w:eastAsia="zh-CN"/>
                    </w:rPr>
                    <w:t>振动筛</w:t>
                  </w:r>
                </w:p>
              </w:tc>
              <w:tc>
                <w:tcPr>
                  <w:tcW w:w="1062" w:type="dxa"/>
                  <w:tcBorders>
                    <w:tl2br w:val="nil"/>
                    <w:tr2bl w:val="nil"/>
                  </w:tcBorders>
                  <w:shd w:val="clear" w:color="auto" w:fill="auto"/>
                  <w:noWrap/>
                  <w:vAlign w:val="center"/>
                </w:tcPr>
                <w:p w14:paraId="65B822EC">
                  <w:pPr>
                    <w:pStyle w:val="40"/>
                    <w:bidi w:val="0"/>
                    <w:rPr>
                      <w:rFonts w:hint="default"/>
                      <w:color w:val="auto"/>
                      <w:spacing w:val="-6"/>
                      <w:highlight w:val="none"/>
                    </w:rPr>
                  </w:pPr>
                  <w:r>
                    <w:rPr>
                      <w:rFonts w:hint="default"/>
                      <w:color w:val="auto"/>
                      <w:spacing w:val="-6"/>
                      <w:highlight w:val="none"/>
                      <w:lang w:val="en-US" w:eastAsia="zh-CN"/>
                    </w:rPr>
                    <w:t>85</w:t>
                  </w:r>
                </w:p>
              </w:tc>
              <w:tc>
                <w:tcPr>
                  <w:tcW w:w="600" w:type="dxa"/>
                  <w:tcBorders>
                    <w:tl2br w:val="nil"/>
                    <w:tr2bl w:val="nil"/>
                  </w:tcBorders>
                  <w:shd w:val="clear" w:color="auto" w:fill="auto"/>
                  <w:noWrap/>
                  <w:vAlign w:val="center"/>
                </w:tcPr>
                <w:p w14:paraId="29CC3686">
                  <w:pPr>
                    <w:pStyle w:val="40"/>
                    <w:bidi w:val="0"/>
                    <w:rPr>
                      <w:rFonts w:hint="default"/>
                      <w:color w:val="auto"/>
                      <w:spacing w:val="-6"/>
                      <w:highlight w:val="none"/>
                    </w:rPr>
                  </w:pPr>
                  <w:r>
                    <w:rPr>
                      <w:rFonts w:hint="default"/>
                      <w:color w:val="auto"/>
                      <w:spacing w:val="-6"/>
                      <w:highlight w:val="none"/>
                      <w:lang w:val="en-US" w:eastAsia="zh-CN"/>
                    </w:rPr>
                    <w:t>104</w:t>
                  </w:r>
                </w:p>
              </w:tc>
              <w:tc>
                <w:tcPr>
                  <w:tcW w:w="588" w:type="dxa"/>
                  <w:tcBorders>
                    <w:tl2br w:val="nil"/>
                    <w:tr2bl w:val="nil"/>
                  </w:tcBorders>
                  <w:shd w:val="clear" w:color="auto" w:fill="auto"/>
                  <w:noWrap/>
                  <w:vAlign w:val="center"/>
                </w:tcPr>
                <w:p w14:paraId="35DB222A">
                  <w:pPr>
                    <w:pStyle w:val="40"/>
                    <w:bidi w:val="0"/>
                    <w:rPr>
                      <w:rFonts w:hint="default"/>
                      <w:color w:val="auto"/>
                      <w:spacing w:val="-6"/>
                      <w:highlight w:val="none"/>
                    </w:rPr>
                  </w:pPr>
                  <w:r>
                    <w:rPr>
                      <w:rFonts w:hint="default"/>
                      <w:color w:val="auto"/>
                      <w:spacing w:val="-6"/>
                      <w:highlight w:val="none"/>
                      <w:lang w:val="en-US" w:eastAsia="zh-CN"/>
                    </w:rPr>
                    <w:t>127</w:t>
                  </w:r>
                </w:p>
              </w:tc>
              <w:tc>
                <w:tcPr>
                  <w:tcW w:w="565" w:type="dxa"/>
                  <w:tcBorders>
                    <w:tl2br w:val="nil"/>
                    <w:tr2bl w:val="nil"/>
                  </w:tcBorders>
                  <w:shd w:val="clear" w:color="auto" w:fill="auto"/>
                  <w:noWrap/>
                  <w:vAlign w:val="center"/>
                </w:tcPr>
                <w:p w14:paraId="1A9EE629">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5F350E7B">
                  <w:pPr>
                    <w:pStyle w:val="40"/>
                    <w:bidi w:val="0"/>
                    <w:rPr>
                      <w:rFonts w:hint="default"/>
                      <w:color w:val="auto"/>
                      <w:spacing w:val="-6"/>
                      <w:highlight w:val="none"/>
                    </w:rPr>
                  </w:pPr>
                  <w:r>
                    <w:rPr>
                      <w:rFonts w:hint="default"/>
                      <w:color w:val="auto"/>
                      <w:spacing w:val="-6"/>
                      <w:highlight w:val="none"/>
                      <w:lang w:val="en-US" w:eastAsia="zh-CN"/>
                    </w:rPr>
                    <w:t>97</w:t>
                  </w:r>
                </w:p>
              </w:tc>
              <w:tc>
                <w:tcPr>
                  <w:tcW w:w="600" w:type="dxa"/>
                  <w:tcBorders>
                    <w:tl2br w:val="nil"/>
                    <w:tr2bl w:val="nil"/>
                  </w:tcBorders>
                  <w:shd w:val="clear" w:color="auto" w:fill="auto"/>
                  <w:noWrap/>
                  <w:vAlign w:val="center"/>
                </w:tcPr>
                <w:p w14:paraId="61AA1811">
                  <w:pPr>
                    <w:pStyle w:val="40"/>
                    <w:bidi w:val="0"/>
                    <w:rPr>
                      <w:rFonts w:hint="default"/>
                      <w:color w:val="auto"/>
                      <w:spacing w:val="-6"/>
                      <w:highlight w:val="none"/>
                    </w:rPr>
                  </w:pPr>
                  <w:r>
                    <w:rPr>
                      <w:rFonts w:hint="default"/>
                      <w:color w:val="auto"/>
                      <w:spacing w:val="-6"/>
                      <w:highlight w:val="none"/>
                      <w:lang w:val="en-US" w:eastAsia="zh-CN"/>
                    </w:rPr>
                    <w:t>67.7</w:t>
                  </w:r>
                </w:p>
              </w:tc>
              <w:tc>
                <w:tcPr>
                  <w:tcW w:w="611" w:type="dxa"/>
                  <w:vMerge w:val="continue"/>
                  <w:tcBorders>
                    <w:tl2br w:val="nil"/>
                    <w:tr2bl w:val="nil"/>
                  </w:tcBorders>
                  <w:shd w:val="clear" w:color="auto" w:fill="auto"/>
                  <w:noWrap/>
                  <w:vAlign w:val="center"/>
                </w:tcPr>
                <w:p w14:paraId="617FDEFB">
                  <w:pPr>
                    <w:pStyle w:val="40"/>
                    <w:bidi w:val="0"/>
                    <w:rPr>
                      <w:rFonts w:hint="default"/>
                      <w:color w:val="auto"/>
                      <w:spacing w:val="-6"/>
                      <w:highlight w:val="none"/>
                    </w:rPr>
                  </w:pPr>
                </w:p>
              </w:tc>
            </w:tr>
            <w:tr w14:paraId="174528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543BA372">
                  <w:pPr>
                    <w:pStyle w:val="40"/>
                    <w:bidi w:val="0"/>
                    <w:rPr>
                      <w:rFonts w:hint="default"/>
                      <w:color w:val="auto"/>
                      <w:spacing w:val="-6"/>
                      <w:highlight w:val="none"/>
                    </w:rPr>
                  </w:pPr>
                </w:p>
              </w:tc>
              <w:tc>
                <w:tcPr>
                  <w:tcW w:w="1218" w:type="dxa"/>
                  <w:vMerge w:val="continue"/>
                  <w:tcBorders>
                    <w:tl2br w:val="nil"/>
                    <w:tr2bl w:val="nil"/>
                  </w:tcBorders>
                  <w:shd w:val="clear" w:color="auto" w:fill="auto"/>
                  <w:vAlign w:val="center"/>
                </w:tcPr>
                <w:p w14:paraId="5F26492E">
                  <w:pPr>
                    <w:pStyle w:val="40"/>
                    <w:bidi w:val="0"/>
                    <w:rPr>
                      <w:rFonts w:hint="default"/>
                      <w:color w:val="auto"/>
                      <w:spacing w:val="-6"/>
                      <w:highlight w:val="none"/>
                    </w:rPr>
                  </w:pPr>
                </w:p>
              </w:tc>
              <w:tc>
                <w:tcPr>
                  <w:tcW w:w="1562" w:type="dxa"/>
                  <w:tcBorders>
                    <w:tl2br w:val="nil"/>
                    <w:tr2bl w:val="nil"/>
                  </w:tcBorders>
                  <w:shd w:val="clear" w:color="auto" w:fill="auto"/>
                  <w:noWrap/>
                  <w:vAlign w:val="center"/>
                </w:tcPr>
                <w:p w14:paraId="5E3EEE8C">
                  <w:pPr>
                    <w:pStyle w:val="40"/>
                    <w:bidi w:val="0"/>
                    <w:rPr>
                      <w:rFonts w:hint="default"/>
                      <w:color w:val="auto"/>
                      <w:spacing w:val="-6"/>
                      <w:highlight w:val="none"/>
                    </w:rPr>
                  </w:pPr>
                  <w:r>
                    <w:rPr>
                      <w:rFonts w:hint="default"/>
                      <w:color w:val="auto"/>
                      <w:spacing w:val="-6"/>
                      <w:highlight w:val="none"/>
                      <w:lang w:val="en-US" w:eastAsia="zh-CN"/>
                    </w:rPr>
                    <w:t>3#</w:t>
                  </w:r>
                  <w:r>
                    <w:rPr>
                      <w:rFonts w:hint="eastAsia"/>
                      <w:color w:val="auto"/>
                      <w:spacing w:val="-6"/>
                      <w:highlight w:val="none"/>
                      <w:lang w:val="en-US" w:eastAsia="zh-CN"/>
                    </w:rPr>
                    <w:t>振动筛</w:t>
                  </w:r>
                </w:p>
              </w:tc>
              <w:tc>
                <w:tcPr>
                  <w:tcW w:w="1062" w:type="dxa"/>
                  <w:tcBorders>
                    <w:tl2br w:val="nil"/>
                    <w:tr2bl w:val="nil"/>
                  </w:tcBorders>
                  <w:shd w:val="clear" w:color="auto" w:fill="auto"/>
                  <w:noWrap/>
                  <w:vAlign w:val="center"/>
                </w:tcPr>
                <w:p w14:paraId="68CA921C">
                  <w:pPr>
                    <w:pStyle w:val="40"/>
                    <w:bidi w:val="0"/>
                    <w:rPr>
                      <w:rFonts w:hint="default"/>
                      <w:color w:val="auto"/>
                      <w:spacing w:val="-6"/>
                      <w:highlight w:val="none"/>
                    </w:rPr>
                  </w:pPr>
                  <w:r>
                    <w:rPr>
                      <w:rFonts w:hint="default"/>
                      <w:color w:val="auto"/>
                      <w:spacing w:val="-6"/>
                      <w:highlight w:val="none"/>
                      <w:lang w:val="en-US" w:eastAsia="zh-CN"/>
                    </w:rPr>
                    <w:t>85</w:t>
                  </w:r>
                </w:p>
              </w:tc>
              <w:tc>
                <w:tcPr>
                  <w:tcW w:w="600" w:type="dxa"/>
                  <w:tcBorders>
                    <w:tl2br w:val="nil"/>
                    <w:tr2bl w:val="nil"/>
                  </w:tcBorders>
                  <w:shd w:val="clear" w:color="auto" w:fill="auto"/>
                  <w:noWrap/>
                  <w:vAlign w:val="center"/>
                </w:tcPr>
                <w:p w14:paraId="34D90271">
                  <w:pPr>
                    <w:pStyle w:val="40"/>
                    <w:bidi w:val="0"/>
                    <w:rPr>
                      <w:rFonts w:hint="default"/>
                      <w:color w:val="auto"/>
                      <w:spacing w:val="-6"/>
                      <w:highlight w:val="none"/>
                    </w:rPr>
                  </w:pPr>
                  <w:r>
                    <w:rPr>
                      <w:rFonts w:hint="default"/>
                      <w:color w:val="auto"/>
                      <w:spacing w:val="-6"/>
                      <w:highlight w:val="none"/>
                      <w:lang w:val="en-US" w:eastAsia="zh-CN"/>
                    </w:rPr>
                    <w:t>119</w:t>
                  </w:r>
                </w:p>
              </w:tc>
              <w:tc>
                <w:tcPr>
                  <w:tcW w:w="588" w:type="dxa"/>
                  <w:tcBorders>
                    <w:tl2br w:val="nil"/>
                    <w:tr2bl w:val="nil"/>
                  </w:tcBorders>
                  <w:shd w:val="clear" w:color="auto" w:fill="auto"/>
                  <w:noWrap/>
                  <w:vAlign w:val="center"/>
                </w:tcPr>
                <w:p w14:paraId="4B9815E2">
                  <w:pPr>
                    <w:pStyle w:val="40"/>
                    <w:bidi w:val="0"/>
                    <w:rPr>
                      <w:rFonts w:hint="default"/>
                      <w:color w:val="auto"/>
                      <w:spacing w:val="-6"/>
                      <w:highlight w:val="none"/>
                    </w:rPr>
                  </w:pPr>
                  <w:r>
                    <w:rPr>
                      <w:rFonts w:hint="default"/>
                      <w:color w:val="auto"/>
                      <w:spacing w:val="-6"/>
                      <w:highlight w:val="none"/>
                      <w:lang w:val="en-US" w:eastAsia="zh-CN"/>
                    </w:rPr>
                    <w:t>128</w:t>
                  </w:r>
                </w:p>
              </w:tc>
              <w:tc>
                <w:tcPr>
                  <w:tcW w:w="565" w:type="dxa"/>
                  <w:tcBorders>
                    <w:tl2br w:val="nil"/>
                    <w:tr2bl w:val="nil"/>
                  </w:tcBorders>
                  <w:shd w:val="clear" w:color="auto" w:fill="auto"/>
                  <w:noWrap/>
                  <w:vAlign w:val="center"/>
                </w:tcPr>
                <w:p w14:paraId="523381B6">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422B63DB">
                  <w:pPr>
                    <w:pStyle w:val="40"/>
                    <w:bidi w:val="0"/>
                    <w:rPr>
                      <w:rFonts w:hint="default"/>
                      <w:color w:val="auto"/>
                      <w:spacing w:val="-6"/>
                      <w:highlight w:val="none"/>
                    </w:rPr>
                  </w:pPr>
                  <w:r>
                    <w:rPr>
                      <w:rFonts w:hint="default"/>
                      <w:color w:val="auto"/>
                      <w:spacing w:val="-6"/>
                      <w:highlight w:val="none"/>
                      <w:lang w:val="en-US" w:eastAsia="zh-CN"/>
                    </w:rPr>
                    <w:t>95</w:t>
                  </w:r>
                </w:p>
              </w:tc>
              <w:tc>
                <w:tcPr>
                  <w:tcW w:w="600" w:type="dxa"/>
                  <w:tcBorders>
                    <w:tl2br w:val="nil"/>
                    <w:tr2bl w:val="nil"/>
                  </w:tcBorders>
                  <w:shd w:val="clear" w:color="auto" w:fill="auto"/>
                  <w:noWrap/>
                  <w:vAlign w:val="center"/>
                </w:tcPr>
                <w:p w14:paraId="2195C0F9">
                  <w:pPr>
                    <w:pStyle w:val="40"/>
                    <w:bidi w:val="0"/>
                    <w:rPr>
                      <w:rFonts w:hint="default"/>
                      <w:color w:val="auto"/>
                      <w:spacing w:val="-6"/>
                      <w:highlight w:val="none"/>
                    </w:rPr>
                  </w:pPr>
                  <w:r>
                    <w:rPr>
                      <w:rFonts w:hint="default"/>
                      <w:color w:val="auto"/>
                      <w:spacing w:val="-6"/>
                      <w:highlight w:val="none"/>
                      <w:lang w:val="en-US" w:eastAsia="zh-CN"/>
                    </w:rPr>
                    <w:t>67.7</w:t>
                  </w:r>
                </w:p>
              </w:tc>
              <w:tc>
                <w:tcPr>
                  <w:tcW w:w="611" w:type="dxa"/>
                  <w:vMerge w:val="continue"/>
                  <w:tcBorders>
                    <w:tl2br w:val="nil"/>
                    <w:tr2bl w:val="nil"/>
                  </w:tcBorders>
                  <w:shd w:val="clear" w:color="auto" w:fill="auto"/>
                  <w:noWrap/>
                  <w:vAlign w:val="center"/>
                </w:tcPr>
                <w:p w14:paraId="1893B97B">
                  <w:pPr>
                    <w:pStyle w:val="40"/>
                    <w:bidi w:val="0"/>
                    <w:rPr>
                      <w:rFonts w:hint="default"/>
                      <w:color w:val="auto"/>
                      <w:spacing w:val="-6"/>
                      <w:highlight w:val="none"/>
                    </w:rPr>
                  </w:pPr>
                </w:p>
              </w:tc>
            </w:tr>
            <w:tr w14:paraId="7E61F0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75D1F480">
                  <w:pPr>
                    <w:pStyle w:val="40"/>
                    <w:bidi w:val="0"/>
                    <w:rPr>
                      <w:rFonts w:hint="default"/>
                      <w:color w:val="auto"/>
                      <w:spacing w:val="-6"/>
                      <w:highlight w:val="none"/>
                    </w:rPr>
                  </w:pPr>
                </w:p>
              </w:tc>
              <w:tc>
                <w:tcPr>
                  <w:tcW w:w="1218" w:type="dxa"/>
                  <w:vMerge w:val="continue"/>
                  <w:tcBorders>
                    <w:tl2br w:val="nil"/>
                    <w:tr2bl w:val="nil"/>
                  </w:tcBorders>
                  <w:shd w:val="clear" w:color="auto" w:fill="auto"/>
                  <w:vAlign w:val="center"/>
                </w:tcPr>
                <w:p w14:paraId="7B04EBC2">
                  <w:pPr>
                    <w:pStyle w:val="40"/>
                    <w:bidi w:val="0"/>
                    <w:rPr>
                      <w:rFonts w:hint="default"/>
                      <w:color w:val="auto"/>
                      <w:spacing w:val="-6"/>
                      <w:highlight w:val="none"/>
                    </w:rPr>
                  </w:pPr>
                </w:p>
              </w:tc>
              <w:tc>
                <w:tcPr>
                  <w:tcW w:w="1562" w:type="dxa"/>
                  <w:tcBorders>
                    <w:tl2br w:val="nil"/>
                    <w:tr2bl w:val="nil"/>
                  </w:tcBorders>
                  <w:shd w:val="clear" w:color="auto" w:fill="auto"/>
                  <w:noWrap/>
                  <w:vAlign w:val="center"/>
                </w:tcPr>
                <w:p w14:paraId="6BCAACD4">
                  <w:pPr>
                    <w:pStyle w:val="40"/>
                    <w:bidi w:val="0"/>
                    <w:rPr>
                      <w:rFonts w:hint="default"/>
                      <w:color w:val="auto"/>
                      <w:spacing w:val="-6"/>
                      <w:highlight w:val="none"/>
                    </w:rPr>
                  </w:pPr>
                  <w:r>
                    <w:rPr>
                      <w:rFonts w:hint="default"/>
                      <w:color w:val="auto"/>
                      <w:spacing w:val="-6"/>
                      <w:highlight w:val="none"/>
                      <w:lang w:val="en-US" w:eastAsia="zh-CN"/>
                    </w:rPr>
                    <w:t>4#</w:t>
                  </w:r>
                  <w:r>
                    <w:rPr>
                      <w:rFonts w:hint="eastAsia"/>
                      <w:color w:val="auto"/>
                      <w:spacing w:val="-6"/>
                      <w:highlight w:val="none"/>
                      <w:lang w:val="en-US" w:eastAsia="zh-CN"/>
                    </w:rPr>
                    <w:t>振动筛</w:t>
                  </w:r>
                </w:p>
              </w:tc>
              <w:tc>
                <w:tcPr>
                  <w:tcW w:w="1062" w:type="dxa"/>
                  <w:tcBorders>
                    <w:tl2br w:val="nil"/>
                    <w:tr2bl w:val="nil"/>
                  </w:tcBorders>
                  <w:shd w:val="clear" w:color="auto" w:fill="auto"/>
                  <w:noWrap/>
                  <w:vAlign w:val="center"/>
                </w:tcPr>
                <w:p w14:paraId="355B8A7B">
                  <w:pPr>
                    <w:pStyle w:val="40"/>
                    <w:bidi w:val="0"/>
                    <w:rPr>
                      <w:rFonts w:hint="default"/>
                      <w:color w:val="auto"/>
                      <w:spacing w:val="-6"/>
                      <w:highlight w:val="none"/>
                    </w:rPr>
                  </w:pPr>
                  <w:r>
                    <w:rPr>
                      <w:rFonts w:hint="default"/>
                      <w:color w:val="auto"/>
                      <w:spacing w:val="-6"/>
                      <w:highlight w:val="none"/>
                      <w:lang w:val="en-US" w:eastAsia="zh-CN"/>
                    </w:rPr>
                    <w:t>85</w:t>
                  </w:r>
                </w:p>
              </w:tc>
              <w:tc>
                <w:tcPr>
                  <w:tcW w:w="600" w:type="dxa"/>
                  <w:tcBorders>
                    <w:tl2br w:val="nil"/>
                    <w:tr2bl w:val="nil"/>
                  </w:tcBorders>
                  <w:shd w:val="clear" w:color="auto" w:fill="auto"/>
                  <w:noWrap/>
                  <w:vAlign w:val="center"/>
                </w:tcPr>
                <w:p w14:paraId="7F1D36C9">
                  <w:pPr>
                    <w:pStyle w:val="40"/>
                    <w:bidi w:val="0"/>
                    <w:rPr>
                      <w:rFonts w:hint="default"/>
                      <w:color w:val="auto"/>
                      <w:spacing w:val="-6"/>
                      <w:highlight w:val="none"/>
                    </w:rPr>
                  </w:pPr>
                  <w:r>
                    <w:rPr>
                      <w:rFonts w:hint="default"/>
                      <w:color w:val="auto"/>
                      <w:spacing w:val="-6"/>
                      <w:highlight w:val="none"/>
                      <w:lang w:val="en-US" w:eastAsia="zh-CN"/>
                    </w:rPr>
                    <w:t>134</w:t>
                  </w:r>
                </w:p>
              </w:tc>
              <w:tc>
                <w:tcPr>
                  <w:tcW w:w="588" w:type="dxa"/>
                  <w:tcBorders>
                    <w:tl2br w:val="nil"/>
                    <w:tr2bl w:val="nil"/>
                  </w:tcBorders>
                  <w:shd w:val="clear" w:color="auto" w:fill="auto"/>
                  <w:noWrap/>
                  <w:vAlign w:val="center"/>
                </w:tcPr>
                <w:p w14:paraId="1A1B6177">
                  <w:pPr>
                    <w:pStyle w:val="40"/>
                    <w:bidi w:val="0"/>
                    <w:rPr>
                      <w:rFonts w:hint="default"/>
                      <w:color w:val="auto"/>
                      <w:spacing w:val="-6"/>
                      <w:highlight w:val="none"/>
                    </w:rPr>
                  </w:pPr>
                  <w:r>
                    <w:rPr>
                      <w:rFonts w:hint="default"/>
                      <w:color w:val="auto"/>
                      <w:spacing w:val="-6"/>
                      <w:highlight w:val="none"/>
                      <w:lang w:val="en-US" w:eastAsia="zh-CN"/>
                    </w:rPr>
                    <w:t>129</w:t>
                  </w:r>
                </w:p>
              </w:tc>
              <w:tc>
                <w:tcPr>
                  <w:tcW w:w="565" w:type="dxa"/>
                  <w:tcBorders>
                    <w:tl2br w:val="nil"/>
                    <w:tr2bl w:val="nil"/>
                  </w:tcBorders>
                  <w:shd w:val="clear" w:color="auto" w:fill="auto"/>
                  <w:noWrap/>
                  <w:vAlign w:val="center"/>
                </w:tcPr>
                <w:p w14:paraId="4D91C9F0">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2D5C3860">
                  <w:pPr>
                    <w:pStyle w:val="40"/>
                    <w:bidi w:val="0"/>
                    <w:rPr>
                      <w:rFonts w:hint="default"/>
                      <w:color w:val="auto"/>
                      <w:spacing w:val="-6"/>
                      <w:highlight w:val="none"/>
                    </w:rPr>
                  </w:pPr>
                  <w:r>
                    <w:rPr>
                      <w:rFonts w:hint="default"/>
                      <w:color w:val="auto"/>
                      <w:spacing w:val="-6"/>
                      <w:highlight w:val="none"/>
                      <w:lang w:val="en-US" w:eastAsia="zh-CN"/>
                    </w:rPr>
                    <w:t>99</w:t>
                  </w:r>
                </w:p>
              </w:tc>
              <w:tc>
                <w:tcPr>
                  <w:tcW w:w="600" w:type="dxa"/>
                  <w:tcBorders>
                    <w:tl2br w:val="nil"/>
                    <w:tr2bl w:val="nil"/>
                  </w:tcBorders>
                  <w:shd w:val="clear" w:color="auto" w:fill="auto"/>
                  <w:noWrap/>
                  <w:vAlign w:val="center"/>
                </w:tcPr>
                <w:p w14:paraId="42B21434">
                  <w:pPr>
                    <w:pStyle w:val="40"/>
                    <w:bidi w:val="0"/>
                    <w:rPr>
                      <w:rFonts w:hint="default"/>
                      <w:color w:val="auto"/>
                      <w:spacing w:val="-6"/>
                      <w:highlight w:val="none"/>
                    </w:rPr>
                  </w:pPr>
                  <w:r>
                    <w:rPr>
                      <w:rFonts w:hint="default"/>
                      <w:color w:val="auto"/>
                      <w:spacing w:val="-6"/>
                      <w:highlight w:val="none"/>
                      <w:lang w:val="en-US" w:eastAsia="zh-CN"/>
                    </w:rPr>
                    <w:t>67.7</w:t>
                  </w:r>
                </w:p>
              </w:tc>
              <w:tc>
                <w:tcPr>
                  <w:tcW w:w="611" w:type="dxa"/>
                  <w:vMerge w:val="continue"/>
                  <w:tcBorders>
                    <w:tl2br w:val="nil"/>
                    <w:tr2bl w:val="nil"/>
                  </w:tcBorders>
                  <w:shd w:val="clear" w:color="auto" w:fill="auto"/>
                  <w:noWrap/>
                  <w:vAlign w:val="center"/>
                </w:tcPr>
                <w:p w14:paraId="5A82DDBF">
                  <w:pPr>
                    <w:pStyle w:val="40"/>
                    <w:bidi w:val="0"/>
                    <w:rPr>
                      <w:rFonts w:hint="default"/>
                      <w:color w:val="auto"/>
                      <w:spacing w:val="-6"/>
                      <w:highlight w:val="none"/>
                    </w:rPr>
                  </w:pPr>
                </w:p>
              </w:tc>
            </w:tr>
            <w:tr w14:paraId="1EC131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18CF66D2">
                  <w:pPr>
                    <w:pStyle w:val="40"/>
                    <w:bidi w:val="0"/>
                    <w:rPr>
                      <w:rFonts w:hint="default"/>
                      <w:color w:val="auto"/>
                      <w:spacing w:val="-6"/>
                      <w:highlight w:val="none"/>
                    </w:rPr>
                  </w:pPr>
                </w:p>
              </w:tc>
              <w:tc>
                <w:tcPr>
                  <w:tcW w:w="1218" w:type="dxa"/>
                  <w:vMerge w:val="continue"/>
                  <w:tcBorders>
                    <w:tl2br w:val="nil"/>
                    <w:tr2bl w:val="nil"/>
                  </w:tcBorders>
                  <w:shd w:val="clear" w:color="auto" w:fill="auto"/>
                  <w:vAlign w:val="center"/>
                </w:tcPr>
                <w:p w14:paraId="712CA1C2">
                  <w:pPr>
                    <w:pStyle w:val="40"/>
                    <w:bidi w:val="0"/>
                    <w:rPr>
                      <w:rFonts w:hint="default"/>
                      <w:color w:val="auto"/>
                      <w:spacing w:val="-6"/>
                      <w:highlight w:val="none"/>
                    </w:rPr>
                  </w:pPr>
                </w:p>
              </w:tc>
              <w:tc>
                <w:tcPr>
                  <w:tcW w:w="1562" w:type="dxa"/>
                  <w:tcBorders>
                    <w:tl2br w:val="nil"/>
                    <w:tr2bl w:val="nil"/>
                  </w:tcBorders>
                  <w:shd w:val="clear" w:color="auto" w:fill="auto"/>
                  <w:noWrap/>
                  <w:vAlign w:val="center"/>
                </w:tcPr>
                <w:p w14:paraId="5FDB748F">
                  <w:pPr>
                    <w:pStyle w:val="40"/>
                    <w:bidi w:val="0"/>
                    <w:rPr>
                      <w:rFonts w:hint="default"/>
                      <w:color w:val="auto"/>
                      <w:spacing w:val="-6"/>
                      <w:highlight w:val="none"/>
                    </w:rPr>
                  </w:pPr>
                  <w:r>
                    <w:rPr>
                      <w:rFonts w:hint="default"/>
                      <w:color w:val="auto"/>
                      <w:spacing w:val="-6"/>
                      <w:highlight w:val="none"/>
                      <w:lang w:val="en-US" w:eastAsia="zh-CN"/>
                    </w:rPr>
                    <w:t>5#</w:t>
                  </w:r>
                  <w:r>
                    <w:rPr>
                      <w:rFonts w:hint="eastAsia"/>
                      <w:color w:val="auto"/>
                      <w:spacing w:val="-6"/>
                      <w:highlight w:val="none"/>
                      <w:lang w:val="en-US" w:eastAsia="zh-CN"/>
                    </w:rPr>
                    <w:t>振动筛</w:t>
                  </w:r>
                </w:p>
              </w:tc>
              <w:tc>
                <w:tcPr>
                  <w:tcW w:w="1062" w:type="dxa"/>
                  <w:tcBorders>
                    <w:tl2br w:val="nil"/>
                    <w:tr2bl w:val="nil"/>
                  </w:tcBorders>
                  <w:shd w:val="clear" w:color="auto" w:fill="auto"/>
                  <w:noWrap/>
                  <w:vAlign w:val="center"/>
                </w:tcPr>
                <w:p w14:paraId="6F5E7E00">
                  <w:pPr>
                    <w:pStyle w:val="40"/>
                    <w:bidi w:val="0"/>
                    <w:rPr>
                      <w:rFonts w:hint="default"/>
                      <w:color w:val="auto"/>
                      <w:spacing w:val="-6"/>
                      <w:highlight w:val="none"/>
                    </w:rPr>
                  </w:pPr>
                  <w:r>
                    <w:rPr>
                      <w:rFonts w:hint="default"/>
                      <w:color w:val="auto"/>
                      <w:spacing w:val="-6"/>
                      <w:highlight w:val="none"/>
                      <w:lang w:val="en-US" w:eastAsia="zh-CN"/>
                    </w:rPr>
                    <w:t>85</w:t>
                  </w:r>
                </w:p>
              </w:tc>
              <w:tc>
                <w:tcPr>
                  <w:tcW w:w="600" w:type="dxa"/>
                  <w:tcBorders>
                    <w:tl2br w:val="nil"/>
                    <w:tr2bl w:val="nil"/>
                  </w:tcBorders>
                  <w:shd w:val="clear" w:color="auto" w:fill="auto"/>
                  <w:noWrap/>
                  <w:vAlign w:val="center"/>
                </w:tcPr>
                <w:p w14:paraId="4F94C035">
                  <w:pPr>
                    <w:pStyle w:val="40"/>
                    <w:bidi w:val="0"/>
                    <w:rPr>
                      <w:rFonts w:hint="default"/>
                      <w:color w:val="auto"/>
                      <w:spacing w:val="-6"/>
                      <w:highlight w:val="none"/>
                    </w:rPr>
                  </w:pPr>
                  <w:r>
                    <w:rPr>
                      <w:rFonts w:hint="default"/>
                      <w:color w:val="auto"/>
                      <w:spacing w:val="-6"/>
                      <w:highlight w:val="none"/>
                      <w:lang w:val="en-US" w:eastAsia="zh-CN"/>
                    </w:rPr>
                    <w:t>149</w:t>
                  </w:r>
                </w:p>
              </w:tc>
              <w:tc>
                <w:tcPr>
                  <w:tcW w:w="588" w:type="dxa"/>
                  <w:tcBorders>
                    <w:tl2br w:val="nil"/>
                    <w:tr2bl w:val="nil"/>
                  </w:tcBorders>
                  <w:shd w:val="clear" w:color="auto" w:fill="auto"/>
                  <w:noWrap/>
                  <w:vAlign w:val="center"/>
                </w:tcPr>
                <w:p w14:paraId="71E57F83">
                  <w:pPr>
                    <w:pStyle w:val="40"/>
                    <w:bidi w:val="0"/>
                    <w:rPr>
                      <w:rFonts w:hint="default"/>
                      <w:color w:val="auto"/>
                      <w:spacing w:val="-6"/>
                      <w:highlight w:val="none"/>
                    </w:rPr>
                  </w:pPr>
                  <w:r>
                    <w:rPr>
                      <w:rFonts w:hint="default"/>
                      <w:color w:val="auto"/>
                      <w:spacing w:val="-6"/>
                      <w:highlight w:val="none"/>
                      <w:lang w:val="en-US" w:eastAsia="zh-CN"/>
                    </w:rPr>
                    <w:t>130</w:t>
                  </w:r>
                </w:p>
              </w:tc>
              <w:tc>
                <w:tcPr>
                  <w:tcW w:w="565" w:type="dxa"/>
                  <w:tcBorders>
                    <w:tl2br w:val="nil"/>
                    <w:tr2bl w:val="nil"/>
                  </w:tcBorders>
                  <w:shd w:val="clear" w:color="auto" w:fill="auto"/>
                  <w:noWrap/>
                  <w:vAlign w:val="center"/>
                </w:tcPr>
                <w:p w14:paraId="064E3269">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1C6F1406">
                  <w:pPr>
                    <w:pStyle w:val="40"/>
                    <w:bidi w:val="0"/>
                    <w:rPr>
                      <w:rFonts w:hint="default"/>
                      <w:color w:val="auto"/>
                      <w:spacing w:val="-6"/>
                      <w:highlight w:val="none"/>
                    </w:rPr>
                  </w:pPr>
                  <w:r>
                    <w:rPr>
                      <w:rFonts w:hint="default"/>
                      <w:color w:val="auto"/>
                      <w:spacing w:val="-6"/>
                      <w:highlight w:val="none"/>
                      <w:lang w:val="en-US" w:eastAsia="zh-CN"/>
                    </w:rPr>
                    <w:t>103</w:t>
                  </w:r>
                </w:p>
              </w:tc>
              <w:tc>
                <w:tcPr>
                  <w:tcW w:w="600" w:type="dxa"/>
                  <w:tcBorders>
                    <w:tl2br w:val="nil"/>
                    <w:tr2bl w:val="nil"/>
                  </w:tcBorders>
                  <w:shd w:val="clear" w:color="auto" w:fill="auto"/>
                  <w:noWrap/>
                  <w:vAlign w:val="center"/>
                </w:tcPr>
                <w:p w14:paraId="15D23E86">
                  <w:pPr>
                    <w:pStyle w:val="40"/>
                    <w:bidi w:val="0"/>
                    <w:rPr>
                      <w:rFonts w:hint="default"/>
                      <w:color w:val="auto"/>
                      <w:spacing w:val="-6"/>
                      <w:highlight w:val="none"/>
                    </w:rPr>
                  </w:pPr>
                  <w:r>
                    <w:rPr>
                      <w:rFonts w:hint="default"/>
                      <w:color w:val="auto"/>
                      <w:spacing w:val="-6"/>
                      <w:highlight w:val="none"/>
                      <w:lang w:val="en-US" w:eastAsia="zh-CN"/>
                    </w:rPr>
                    <w:t>67.7</w:t>
                  </w:r>
                </w:p>
              </w:tc>
              <w:tc>
                <w:tcPr>
                  <w:tcW w:w="611" w:type="dxa"/>
                  <w:vMerge w:val="continue"/>
                  <w:tcBorders>
                    <w:tl2br w:val="nil"/>
                    <w:tr2bl w:val="nil"/>
                  </w:tcBorders>
                  <w:shd w:val="clear" w:color="auto" w:fill="auto"/>
                  <w:noWrap/>
                  <w:vAlign w:val="center"/>
                </w:tcPr>
                <w:p w14:paraId="5C1F677F">
                  <w:pPr>
                    <w:pStyle w:val="40"/>
                    <w:bidi w:val="0"/>
                    <w:rPr>
                      <w:rFonts w:hint="default"/>
                      <w:color w:val="auto"/>
                      <w:spacing w:val="-6"/>
                      <w:highlight w:val="none"/>
                    </w:rPr>
                  </w:pPr>
                </w:p>
              </w:tc>
            </w:tr>
            <w:tr w14:paraId="300F52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6D815C45">
                  <w:pPr>
                    <w:pStyle w:val="40"/>
                    <w:bidi w:val="0"/>
                    <w:rPr>
                      <w:rFonts w:hint="default"/>
                      <w:color w:val="auto"/>
                      <w:spacing w:val="-6"/>
                      <w:highlight w:val="none"/>
                    </w:rPr>
                  </w:pPr>
                </w:p>
              </w:tc>
              <w:tc>
                <w:tcPr>
                  <w:tcW w:w="1218" w:type="dxa"/>
                  <w:vMerge w:val="restart"/>
                  <w:tcBorders>
                    <w:tl2br w:val="nil"/>
                    <w:tr2bl w:val="nil"/>
                  </w:tcBorders>
                  <w:shd w:val="clear" w:color="auto" w:fill="auto"/>
                  <w:vAlign w:val="center"/>
                </w:tcPr>
                <w:p w14:paraId="5F6E44B1">
                  <w:pPr>
                    <w:pStyle w:val="40"/>
                    <w:bidi w:val="0"/>
                    <w:rPr>
                      <w:rFonts w:hint="default"/>
                      <w:color w:val="auto"/>
                      <w:spacing w:val="-6"/>
                      <w:highlight w:val="none"/>
                    </w:rPr>
                  </w:pPr>
                  <w:r>
                    <w:rPr>
                      <w:rFonts w:hint="eastAsia"/>
                      <w:color w:val="auto"/>
                      <w:spacing w:val="-6"/>
                      <w:highlight w:val="none"/>
                      <w:lang w:val="en-US" w:eastAsia="zh-CN"/>
                    </w:rPr>
                    <w:t>蒸养区</w:t>
                  </w:r>
                </w:p>
              </w:tc>
              <w:tc>
                <w:tcPr>
                  <w:tcW w:w="1562" w:type="dxa"/>
                  <w:tcBorders>
                    <w:tl2br w:val="nil"/>
                    <w:tr2bl w:val="nil"/>
                  </w:tcBorders>
                  <w:shd w:val="clear" w:color="auto" w:fill="auto"/>
                  <w:noWrap/>
                  <w:vAlign w:val="center"/>
                </w:tcPr>
                <w:p w14:paraId="3EBCA503">
                  <w:pPr>
                    <w:pStyle w:val="40"/>
                    <w:bidi w:val="0"/>
                    <w:rPr>
                      <w:rFonts w:hint="default"/>
                      <w:color w:val="auto"/>
                      <w:spacing w:val="-6"/>
                      <w:highlight w:val="none"/>
                    </w:rPr>
                  </w:pPr>
                  <w:r>
                    <w:rPr>
                      <w:rFonts w:hint="default"/>
                      <w:color w:val="auto"/>
                      <w:spacing w:val="-6"/>
                      <w:highlight w:val="none"/>
                      <w:lang w:val="en-US" w:eastAsia="zh-CN"/>
                    </w:rPr>
                    <w:t>1#</w:t>
                  </w:r>
                  <w:r>
                    <w:rPr>
                      <w:rFonts w:hint="eastAsia"/>
                      <w:color w:val="auto"/>
                      <w:spacing w:val="-6"/>
                      <w:highlight w:val="none"/>
                      <w:lang w:val="en-US" w:eastAsia="zh-CN"/>
                    </w:rPr>
                    <w:t>蒸压釜</w:t>
                  </w:r>
                </w:p>
              </w:tc>
              <w:tc>
                <w:tcPr>
                  <w:tcW w:w="1062" w:type="dxa"/>
                  <w:tcBorders>
                    <w:tl2br w:val="nil"/>
                    <w:tr2bl w:val="nil"/>
                  </w:tcBorders>
                  <w:shd w:val="clear" w:color="auto" w:fill="auto"/>
                  <w:noWrap/>
                  <w:vAlign w:val="center"/>
                </w:tcPr>
                <w:p w14:paraId="4935981A">
                  <w:pPr>
                    <w:pStyle w:val="40"/>
                    <w:bidi w:val="0"/>
                    <w:rPr>
                      <w:rFonts w:hint="default"/>
                      <w:color w:val="auto"/>
                      <w:spacing w:val="-6"/>
                      <w:highlight w:val="none"/>
                    </w:rPr>
                  </w:pPr>
                  <w:r>
                    <w:rPr>
                      <w:rFonts w:hint="default"/>
                      <w:color w:val="auto"/>
                      <w:spacing w:val="-6"/>
                      <w:highlight w:val="none"/>
                      <w:lang w:val="en-US" w:eastAsia="zh-CN"/>
                    </w:rPr>
                    <w:t>90</w:t>
                  </w:r>
                </w:p>
              </w:tc>
              <w:tc>
                <w:tcPr>
                  <w:tcW w:w="600" w:type="dxa"/>
                  <w:tcBorders>
                    <w:tl2br w:val="nil"/>
                    <w:tr2bl w:val="nil"/>
                  </w:tcBorders>
                  <w:shd w:val="clear" w:color="auto" w:fill="auto"/>
                  <w:noWrap/>
                  <w:vAlign w:val="center"/>
                </w:tcPr>
                <w:p w14:paraId="58DB3DE8">
                  <w:pPr>
                    <w:pStyle w:val="40"/>
                    <w:bidi w:val="0"/>
                    <w:rPr>
                      <w:rFonts w:hint="default"/>
                      <w:color w:val="auto"/>
                      <w:spacing w:val="-6"/>
                      <w:highlight w:val="none"/>
                    </w:rPr>
                  </w:pPr>
                  <w:r>
                    <w:rPr>
                      <w:rFonts w:hint="default"/>
                      <w:color w:val="auto"/>
                      <w:spacing w:val="-6"/>
                      <w:highlight w:val="none"/>
                      <w:lang w:val="en-US" w:eastAsia="zh-CN"/>
                    </w:rPr>
                    <w:t>90</w:t>
                  </w:r>
                </w:p>
              </w:tc>
              <w:tc>
                <w:tcPr>
                  <w:tcW w:w="588" w:type="dxa"/>
                  <w:tcBorders>
                    <w:tl2br w:val="nil"/>
                    <w:tr2bl w:val="nil"/>
                  </w:tcBorders>
                  <w:shd w:val="clear" w:color="auto" w:fill="auto"/>
                  <w:noWrap/>
                  <w:vAlign w:val="center"/>
                </w:tcPr>
                <w:p w14:paraId="7113737C">
                  <w:pPr>
                    <w:pStyle w:val="40"/>
                    <w:bidi w:val="0"/>
                    <w:rPr>
                      <w:rFonts w:hint="default"/>
                      <w:color w:val="auto"/>
                      <w:spacing w:val="-6"/>
                      <w:highlight w:val="none"/>
                    </w:rPr>
                  </w:pPr>
                  <w:r>
                    <w:rPr>
                      <w:rFonts w:hint="default"/>
                      <w:color w:val="auto"/>
                      <w:spacing w:val="-6"/>
                      <w:highlight w:val="none"/>
                      <w:lang w:val="en-US" w:eastAsia="zh-CN"/>
                    </w:rPr>
                    <w:t>115</w:t>
                  </w:r>
                </w:p>
              </w:tc>
              <w:tc>
                <w:tcPr>
                  <w:tcW w:w="565" w:type="dxa"/>
                  <w:tcBorders>
                    <w:tl2br w:val="nil"/>
                    <w:tr2bl w:val="nil"/>
                  </w:tcBorders>
                  <w:shd w:val="clear" w:color="auto" w:fill="auto"/>
                  <w:noWrap/>
                  <w:vAlign w:val="center"/>
                </w:tcPr>
                <w:p w14:paraId="3F0F6488">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5C9CB4F4">
                  <w:pPr>
                    <w:pStyle w:val="40"/>
                    <w:bidi w:val="0"/>
                    <w:rPr>
                      <w:rFonts w:hint="default"/>
                      <w:color w:val="auto"/>
                      <w:spacing w:val="-6"/>
                      <w:highlight w:val="none"/>
                    </w:rPr>
                  </w:pPr>
                  <w:r>
                    <w:rPr>
                      <w:rFonts w:hint="default"/>
                      <w:color w:val="auto"/>
                      <w:spacing w:val="-6"/>
                      <w:highlight w:val="none"/>
                      <w:lang w:val="en-US" w:eastAsia="zh-CN"/>
                    </w:rPr>
                    <w:t>109</w:t>
                  </w:r>
                </w:p>
              </w:tc>
              <w:tc>
                <w:tcPr>
                  <w:tcW w:w="600" w:type="dxa"/>
                  <w:tcBorders>
                    <w:tl2br w:val="nil"/>
                    <w:tr2bl w:val="nil"/>
                  </w:tcBorders>
                  <w:shd w:val="clear" w:color="auto" w:fill="auto"/>
                  <w:noWrap/>
                  <w:vAlign w:val="center"/>
                </w:tcPr>
                <w:p w14:paraId="62F21D62">
                  <w:pPr>
                    <w:pStyle w:val="40"/>
                    <w:bidi w:val="0"/>
                    <w:rPr>
                      <w:rFonts w:hint="default"/>
                      <w:color w:val="auto"/>
                      <w:spacing w:val="-6"/>
                      <w:highlight w:val="none"/>
                    </w:rPr>
                  </w:pPr>
                  <w:r>
                    <w:rPr>
                      <w:rFonts w:hint="default"/>
                      <w:color w:val="auto"/>
                      <w:spacing w:val="-6"/>
                      <w:highlight w:val="none"/>
                      <w:lang w:val="en-US" w:eastAsia="zh-CN"/>
                    </w:rPr>
                    <w:t>72.7</w:t>
                  </w:r>
                </w:p>
              </w:tc>
              <w:tc>
                <w:tcPr>
                  <w:tcW w:w="611" w:type="dxa"/>
                  <w:vMerge w:val="continue"/>
                  <w:tcBorders>
                    <w:tl2br w:val="nil"/>
                    <w:tr2bl w:val="nil"/>
                  </w:tcBorders>
                  <w:shd w:val="clear" w:color="auto" w:fill="auto"/>
                  <w:noWrap/>
                  <w:vAlign w:val="center"/>
                </w:tcPr>
                <w:p w14:paraId="1AECCFCC">
                  <w:pPr>
                    <w:pStyle w:val="40"/>
                    <w:bidi w:val="0"/>
                    <w:rPr>
                      <w:rFonts w:hint="default"/>
                      <w:color w:val="auto"/>
                      <w:spacing w:val="-6"/>
                      <w:highlight w:val="none"/>
                    </w:rPr>
                  </w:pPr>
                </w:p>
              </w:tc>
            </w:tr>
            <w:tr w14:paraId="35CA4D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708A0060">
                  <w:pPr>
                    <w:pStyle w:val="40"/>
                    <w:bidi w:val="0"/>
                    <w:rPr>
                      <w:rFonts w:hint="default"/>
                      <w:color w:val="auto"/>
                      <w:spacing w:val="-6"/>
                      <w:highlight w:val="none"/>
                    </w:rPr>
                  </w:pPr>
                </w:p>
              </w:tc>
              <w:tc>
                <w:tcPr>
                  <w:tcW w:w="1218" w:type="dxa"/>
                  <w:vMerge w:val="continue"/>
                  <w:tcBorders>
                    <w:tl2br w:val="nil"/>
                    <w:tr2bl w:val="nil"/>
                  </w:tcBorders>
                  <w:shd w:val="clear" w:color="auto" w:fill="auto"/>
                  <w:vAlign w:val="center"/>
                </w:tcPr>
                <w:p w14:paraId="74782876">
                  <w:pPr>
                    <w:pStyle w:val="40"/>
                    <w:bidi w:val="0"/>
                    <w:rPr>
                      <w:rFonts w:hint="default"/>
                      <w:color w:val="auto"/>
                      <w:spacing w:val="-6"/>
                      <w:highlight w:val="none"/>
                    </w:rPr>
                  </w:pPr>
                </w:p>
              </w:tc>
              <w:tc>
                <w:tcPr>
                  <w:tcW w:w="1562" w:type="dxa"/>
                  <w:tcBorders>
                    <w:tl2br w:val="nil"/>
                    <w:tr2bl w:val="nil"/>
                  </w:tcBorders>
                  <w:shd w:val="clear" w:color="auto" w:fill="auto"/>
                  <w:noWrap/>
                  <w:vAlign w:val="center"/>
                </w:tcPr>
                <w:p w14:paraId="5B1BB194">
                  <w:pPr>
                    <w:pStyle w:val="40"/>
                    <w:bidi w:val="0"/>
                    <w:rPr>
                      <w:rFonts w:hint="default"/>
                      <w:color w:val="auto"/>
                      <w:spacing w:val="-6"/>
                      <w:highlight w:val="none"/>
                    </w:rPr>
                  </w:pPr>
                  <w:r>
                    <w:rPr>
                      <w:rFonts w:hint="default"/>
                      <w:color w:val="auto"/>
                      <w:spacing w:val="-6"/>
                      <w:highlight w:val="none"/>
                      <w:lang w:val="en-US" w:eastAsia="zh-CN"/>
                    </w:rPr>
                    <w:t>2#</w:t>
                  </w:r>
                  <w:r>
                    <w:rPr>
                      <w:rFonts w:hint="eastAsia"/>
                      <w:color w:val="auto"/>
                      <w:spacing w:val="-6"/>
                      <w:highlight w:val="none"/>
                      <w:lang w:val="en-US" w:eastAsia="zh-CN"/>
                    </w:rPr>
                    <w:t>蒸压釜</w:t>
                  </w:r>
                </w:p>
              </w:tc>
              <w:tc>
                <w:tcPr>
                  <w:tcW w:w="1062" w:type="dxa"/>
                  <w:tcBorders>
                    <w:tl2br w:val="nil"/>
                    <w:tr2bl w:val="nil"/>
                  </w:tcBorders>
                  <w:shd w:val="clear" w:color="auto" w:fill="auto"/>
                  <w:noWrap/>
                  <w:vAlign w:val="center"/>
                </w:tcPr>
                <w:p w14:paraId="7ADA3ECB">
                  <w:pPr>
                    <w:pStyle w:val="40"/>
                    <w:bidi w:val="0"/>
                    <w:rPr>
                      <w:rFonts w:hint="default"/>
                      <w:color w:val="auto"/>
                      <w:spacing w:val="-6"/>
                      <w:highlight w:val="none"/>
                    </w:rPr>
                  </w:pPr>
                  <w:r>
                    <w:rPr>
                      <w:rFonts w:hint="default"/>
                      <w:color w:val="auto"/>
                      <w:spacing w:val="-6"/>
                      <w:highlight w:val="none"/>
                      <w:lang w:val="en-US" w:eastAsia="zh-CN"/>
                    </w:rPr>
                    <w:t>90</w:t>
                  </w:r>
                </w:p>
              </w:tc>
              <w:tc>
                <w:tcPr>
                  <w:tcW w:w="600" w:type="dxa"/>
                  <w:tcBorders>
                    <w:tl2br w:val="nil"/>
                    <w:tr2bl w:val="nil"/>
                  </w:tcBorders>
                  <w:shd w:val="clear" w:color="auto" w:fill="auto"/>
                  <w:noWrap/>
                  <w:vAlign w:val="center"/>
                </w:tcPr>
                <w:p w14:paraId="02398ADE">
                  <w:pPr>
                    <w:pStyle w:val="40"/>
                    <w:bidi w:val="0"/>
                    <w:rPr>
                      <w:rFonts w:hint="default"/>
                      <w:color w:val="auto"/>
                      <w:spacing w:val="-6"/>
                      <w:highlight w:val="none"/>
                    </w:rPr>
                  </w:pPr>
                  <w:r>
                    <w:rPr>
                      <w:rFonts w:hint="default"/>
                      <w:color w:val="auto"/>
                      <w:spacing w:val="-6"/>
                      <w:highlight w:val="none"/>
                      <w:lang w:val="en-US" w:eastAsia="zh-CN"/>
                    </w:rPr>
                    <w:t>105</w:t>
                  </w:r>
                </w:p>
              </w:tc>
              <w:tc>
                <w:tcPr>
                  <w:tcW w:w="588" w:type="dxa"/>
                  <w:tcBorders>
                    <w:tl2br w:val="nil"/>
                    <w:tr2bl w:val="nil"/>
                  </w:tcBorders>
                  <w:shd w:val="clear" w:color="auto" w:fill="auto"/>
                  <w:noWrap/>
                  <w:vAlign w:val="center"/>
                </w:tcPr>
                <w:p w14:paraId="7E482013">
                  <w:pPr>
                    <w:pStyle w:val="40"/>
                    <w:bidi w:val="0"/>
                    <w:rPr>
                      <w:rFonts w:hint="default"/>
                      <w:color w:val="auto"/>
                      <w:spacing w:val="-6"/>
                      <w:highlight w:val="none"/>
                    </w:rPr>
                  </w:pPr>
                  <w:r>
                    <w:rPr>
                      <w:rFonts w:hint="default"/>
                      <w:color w:val="auto"/>
                      <w:spacing w:val="-6"/>
                      <w:highlight w:val="none"/>
                      <w:lang w:val="en-US" w:eastAsia="zh-CN"/>
                    </w:rPr>
                    <w:t>116</w:t>
                  </w:r>
                </w:p>
              </w:tc>
              <w:tc>
                <w:tcPr>
                  <w:tcW w:w="565" w:type="dxa"/>
                  <w:tcBorders>
                    <w:tl2br w:val="nil"/>
                    <w:tr2bl w:val="nil"/>
                  </w:tcBorders>
                  <w:shd w:val="clear" w:color="auto" w:fill="auto"/>
                  <w:noWrap/>
                  <w:vAlign w:val="center"/>
                </w:tcPr>
                <w:p w14:paraId="3F8A1CC4">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5D202599">
                  <w:pPr>
                    <w:pStyle w:val="40"/>
                    <w:bidi w:val="0"/>
                    <w:rPr>
                      <w:rFonts w:hint="default"/>
                      <w:color w:val="auto"/>
                      <w:spacing w:val="-6"/>
                      <w:highlight w:val="none"/>
                    </w:rPr>
                  </w:pPr>
                  <w:r>
                    <w:rPr>
                      <w:rFonts w:hint="default"/>
                      <w:color w:val="auto"/>
                      <w:spacing w:val="-6"/>
                      <w:highlight w:val="none"/>
                      <w:lang w:val="en-US" w:eastAsia="zh-CN"/>
                    </w:rPr>
                    <w:t>108</w:t>
                  </w:r>
                </w:p>
              </w:tc>
              <w:tc>
                <w:tcPr>
                  <w:tcW w:w="600" w:type="dxa"/>
                  <w:tcBorders>
                    <w:tl2br w:val="nil"/>
                    <w:tr2bl w:val="nil"/>
                  </w:tcBorders>
                  <w:shd w:val="clear" w:color="auto" w:fill="auto"/>
                  <w:noWrap/>
                  <w:vAlign w:val="center"/>
                </w:tcPr>
                <w:p w14:paraId="166C1159">
                  <w:pPr>
                    <w:pStyle w:val="40"/>
                    <w:bidi w:val="0"/>
                    <w:rPr>
                      <w:rFonts w:hint="default"/>
                      <w:color w:val="auto"/>
                      <w:spacing w:val="-6"/>
                      <w:highlight w:val="none"/>
                    </w:rPr>
                  </w:pPr>
                  <w:r>
                    <w:rPr>
                      <w:rFonts w:hint="default"/>
                      <w:color w:val="auto"/>
                      <w:spacing w:val="-6"/>
                      <w:highlight w:val="none"/>
                      <w:lang w:val="en-US" w:eastAsia="zh-CN"/>
                    </w:rPr>
                    <w:t>72.7</w:t>
                  </w:r>
                </w:p>
              </w:tc>
              <w:tc>
                <w:tcPr>
                  <w:tcW w:w="611" w:type="dxa"/>
                  <w:vMerge w:val="continue"/>
                  <w:tcBorders>
                    <w:tl2br w:val="nil"/>
                    <w:tr2bl w:val="nil"/>
                  </w:tcBorders>
                  <w:shd w:val="clear" w:color="auto" w:fill="auto"/>
                  <w:noWrap/>
                  <w:vAlign w:val="center"/>
                </w:tcPr>
                <w:p w14:paraId="055F8A34">
                  <w:pPr>
                    <w:pStyle w:val="40"/>
                    <w:bidi w:val="0"/>
                    <w:rPr>
                      <w:rFonts w:hint="default"/>
                      <w:color w:val="auto"/>
                      <w:spacing w:val="-6"/>
                      <w:highlight w:val="none"/>
                    </w:rPr>
                  </w:pPr>
                </w:p>
              </w:tc>
            </w:tr>
            <w:tr w14:paraId="3D62F5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01ED55B1">
                  <w:pPr>
                    <w:pStyle w:val="40"/>
                    <w:bidi w:val="0"/>
                    <w:rPr>
                      <w:rFonts w:hint="default"/>
                      <w:color w:val="auto"/>
                      <w:spacing w:val="-6"/>
                      <w:highlight w:val="none"/>
                    </w:rPr>
                  </w:pPr>
                </w:p>
              </w:tc>
              <w:tc>
                <w:tcPr>
                  <w:tcW w:w="1218" w:type="dxa"/>
                  <w:vMerge w:val="continue"/>
                  <w:tcBorders>
                    <w:tl2br w:val="nil"/>
                    <w:tr2bl w:val="nil"/>
                  </w:tcBorders>
                  <w:shd w:val="clear" w:color="auto" w:fill="auto"/>
                  <w:vAlign w:val="center"/>
                </w:tcPr>
                <w:p w14:paraId="50380AE3">
                  <w:pPr>
                    <w:pStyle w:val="40"/>
                    <w:bidi w:val="0"/>
                    <w:rPr>
                      <w:rFonts w:hint="default"/>
                      <w:color w:val="auto"/>
                      <w:spacing w:val="-6"/>
                      <w:highlight w:val="none"/>
                    </w:rPr>
                  </w:pPr>
                </w:p>
              </w:tc>
              <w:tc>
                <w:tcPr>
                  <w:tcW w:w="1562" w:type="dxa"/>
                  <w:tcBorders>
                    <w:tl2br w:val="nil"/>
                    <w:tr2bl w:val="nil"/>
                  </w:tcBorders>
                  <w:shd w:val="clear" w:color="auto" w:fill="auto"/>
                  <w:noWrap/>
                  <w:vAlign w:val="center"/>
                </w:tcPr>
                <w:p w14:paraId="7584D461">
                  <w:pPr>
                    <w:pStyle w:val="40"/>
                    <w:bidi w:val="0"/>
                    <w:rPr>
                      <w:rFonts w:hint="default"/>
                      <w:color w:val="auto"/>
                      <w:spacing w:val="-6"/>
                      <w:highlight w:val="none"/>
                    </w:rPr>
                  </w:pPr>
                  <w:r>
                    <w:rPr>
                      <w:rFonts w:hint="default"/>
                      <w:color w:val="auto"/>
                      <w:spacing w:val="-6"/>
                      <w:highlight w:val="none"/>
                      <w:lang w:val="en-US" w:eastAsia="zh-CN"/>
                    </w:rPr>
                    <w:t>3#</w:t>
                  </w:r>
                  <w:r>
                    <w:rPr>
                      <w:rFonts w:hint="eastAsia"/>
                      <w:color w:val="auto"/>
                      <w:spacing w:val="-6"/>
                      <w:highlight w:val="none"/>
                      <w:lang w:val="en-US" w:eastAsia="zh-CN"/>
                    </w:rPr>
                    <w:t>蒸压釜</w:t>
                  </w:r>
                </w:p>
              </w:tc>
              <w:tc>
                <w:tcPr>
                  <w:tcW w:w="1062" w:type="dxa"/>
                  <w:tcBorders>
                    <w:tl2br w:val="nil"/>
                    <w:tr2bl w:val="nil"/>
                  </w:tcBorders>
                  <w:shd w:val="clear" w:color="auto" w:fill="auto"/>
                  <w:noWrap/>
                  <w:vAlign w:val="center"/>
                </w:tcPr>
                <w:p w14:paraId="3691D919">
                  <w:pPr>
                    <w:pStyle w:val="40"/>
                    <w:bidi w:val="0"/>
                    <w:rPr>
                      <w:rFonts w:hint="default"/>
                      <w:color w:val="auto"/>
                      <w:spacing w:val="-6"/>
                      <w:highlight w:val="none"/>
                    </w:rPr>
                  </w:pPr>
                  <w:r>
                    <w:rPr>
                      <w:rFonts w:hint="default"/>
                      <w:color w:val="auto"/>
                      <w:spacing w:val="-6"/>
                      <w:highlight w:val="none"/>
                      <w:lang w:val="en-US" w:eastAsia="zh-CN"/>
                    </w:rPr>
                    <w:t>90</w:t>
                  </w:r>
                </w:p>
              </w:tc>
              <w:tc>
                <w:tcPr>
                  <w:tcW w:w="600" w:type="dxa"/>
                  <w:tcBorders>
                    <w:tl2br w:val="nil"/>
                    <w:tr2bl w:val="nil"/>
                  </w:tcBorders>
                  <w:shd w:val="clear" w:color="auto" w:fill="auto"/>
                  <w:noWrap/>
                  <w:vAlign w:val="center"/>
                </w:tcPr>
                <w:p w14:paraId="18E6D146">
                  <w:pPr>
                    <w:pStyle w:val="40"/>
                    <w:bidi w:val="0"/>
                    <w:rPr>
                      <w:rFonts w:hint="default"/>
                      <w:color w:val="auto"/>
                      <w:spacing w:val="-6"/>
                      <w:highlight w:val="none"/>
                    </w:rPr>
                  </w:pPr>
                  <w:r>
                    <w:rPr>
                      <w:rFonts w:hint="default"/>
                      <w:color w:val="auto"/>
                      <w:spacing w:val="-6"/>
                      <w:highlight w:val="none"/>
                      <w:lang w:val="en-US" w:eastAsia="zh-CN"/>
                    </w:rPr>
                    <w:t>120</w:t>
                  </w:r>
                </w:p>
              </w:tc>
              <w:tc>
                <w:tcPr>
                  <w:tcW w:w="588" w:type="dxa"/>
                  <w:tcBorders>
                    <w:tl2br w:val="nil"/>
                    <w:tr2bl w:val="nil"/>
                  </w:tcBorders>
                  <w:shd w:val="clear" w:color="auto" w:fill="auto"/>
                  <w:noWrap/>
                  <w:vAlign w:val="center"/>
                </w:tcPr>
                <w:p w14:paraId="124DAC14">
                  <w:pPr>
                    <w:pStyle w:val="40"/>
                    <w:bidi w:val="0"/>
                    <w:rPr>
                      <w:rFonts w:hint="default"/>
                      <w:color w:val="auto"/>
                      <w:spacing w:val="-6"/>
                      <w:highlight w:val="none"/>
                    </w:rPr>
                  </w:pPr>
                  <w:r>
                    <w:rPr>
                      <w:rFonts w:hint="default"/>
                      <w:color w:val="auto"/>
                      <w:spacing w:val="-6"/>
                      <w:highlight w:val="none"/>
                      <w:lang w:val="en-US" w:eastAsia="zh-CN"/>
                    </w:rPr>
                    <w:t>117</w:t>
                  </w:r>
                </w:p>
              </w:tc>
              <w:tc>
                <w:tcPr>
                  <w:tcW w:w="565" w:type="dxa"/>
                  <w:tcBorders>
                    <w:tl2br w:val="nil"/>
                    <w:tr2bl w:val="nil"/>
                  </w:tcBorders>
                  <w:shd w:val="clear" w:color="auto" w:fill="auto"/>
                  <w:noWrap/>
                  <w:vAlign w:val="center"/>
                </w:tcPr>
                <w:p w14:paraId="6C5E6DB3">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1C7082C8">
                  <w:pPr>
                    <w:pStyle w:val="40"/>
                    <w:bidi w:val="0"/>
                    <w:rPr>
                      <w:rFonts w:hint="default"/>
                      <w:color w:val="auto"/>
                      <w:spacing w:val="-6"/>
                      <w:highlight w:val="none"/>
                    </w:rPr>
                  </w:pPr>
                  <w:r>
                    <w:rPr>
                      <w:rFonts w:hint="default"/>
                      <w:color w:val="auto"/>
                      <w:spacing w:val="-6"/>
                      <w:highlight w:val="none"/>
                      <w:lang w:val="en-US" w:eastAsia="zh-CN"/>
                    </w:rPr>
                    <w:t>107</w:t>
                  </w:r>
                </w:p>
              </w:tc>
              <w:tc>
                <w:tcPr>
                  <w:tcW w:w="600" w:type="dxa"/>
                  <w:tcBorders>
                    <w:tl2br w:val="nil"/>
                    <w:tr2bl w:val="nil"/>
                  </w:tcBorders>
                  <w:shd w:val="clear" w:color="auto" w:fill="auto"/>
                  <w:noWrap/>
                  <w:vAlign w:val="center"/>
                </w:tcPr>
                <w:p w14:paraId="1EC080F5">
                  <w:pPr>
                    <w:pStyle w:val="40"/>
                    <w:bidi w:val="0"/>
                    <w:rPr>
                      <w:rFonts w:hint="default"/>
                      <w:color w:val="auto"/>
                      <w:spacing w:val="-6"/>
                      <w:highlight w:val="none"/>
                    </w:rPr>
                  </w:pPr>
                  <w:r>
                    <w:rPr>
                      <w:rFonts w:hint="default"/>
                      <w:color w:val="auto"/>
                      <w:spacing w:val="-6"/>
                      <w:highlight w:val="none"/>
                      <w:lang w:val="en-US" w:eastAsia="zh-CN"/>
                    </w:rPr>
                    <w:t>72.7</w:t>
                  </w:r>
                </w:p>
              </w:tc>
              <w:tc>
                <w:tcPr>
                  <w:tcW w:w="611" w:type="dxa"/>
                  <w:vMerge w:val="continue"/>
                  <w:tcBorders>
                    <w:tl2br w:val="nil"/>
                    <w:tr2bl w:val="nil"/>
                  </w:tcBorders>
                  <w:shd w:val="clear" w:color="auto" w:fill="auto"/>
                  <w:noWrap/>
                  <w:vAlign w:val="center"/>
                </w:tcPr>
                <w:p w14:paraId="6013FAC7">
                  <w:pPr>
                    <w:pStyle w:val="40"/>
                    <w:bidi w:val="0"/>
                    <w:rPr>
                      <w:rFonts w:hint="default"/>
                      <w:color w:val="auto"/>
                      <w:spacing w:val="-6"/>
                      <w:highlight w:val="none"/>
                    </w:rPr>
                  </w:pPr>
                </w:p>
              </w:tc>
            </w:tr>
            <w:tr w14:paraId="7996E7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21E9B982">
                  <w:pPr>
                    <w:pStyle w:val="40"/>
                    <w:bidi w:val="0"/>
                    <w:rPr>
                      <w:rFonts w:hint="default"/>
                      <w:color w:val="auto"/>
                      <w:spacing w:val="-6"/>
                      <w:highlight w:val="none"/>
                    </w:rPr>
                  </w:pPr>
                </w:p>
              </w:tc>
              <w:tc>
                <w:tcPr>
                  <w:tcW w:w="1218" w:type="dxa"/>
                  <w:vMerge w:val="continue"/>
                  <w:tcBorders>
                    <w:tl2br w:val="nil"/>
                    <w:tr2bl w:val="nil"/>
                  </w:tcBorders>
                  <w:shd w:val="clear" w:color="auto" w:fill="auto"/>
                  <w:vAlign w:val="center"/>
                </w:tcPr>
                <w:p w14:paraId="3A072D37">
                  <w:pPr>
                    <w:pStyle w:val="40"/>
                    <w:bidi w:val="0"/>
                    <w:rPr>
                      <w:rFonts w:hint="default"/>
                      <w:color w:val="auto"/>
                      <w:spacing w:val="-6"/>
                      <w:highlight w:val="none"/>
                    </w:rPr>
                  </w:pPr>
                </w:p>
              </w:tc>
              <w:tc>
                <w:tcPr>
                  <w:tcW w:w="1562" w:type="dxa"/>
                  <w:tcBorders>
                    <w:tl2br w:val="nil"/>
                    <w:tr2bl w:val="nil"/>
                  </w:tcBorders>
                  <w:shd w:val="clear" w:color="auto" w:fill="auto"/>
                  <w:noWrap/>
                  <w:vAlign w:val="center"/>
                </w:tcPr>
                <w:p w14:paraId="354E6FB7">
                  <w:pPr>
                    <w:pStyle w:val="40"/>
                    <w:bidi w:val="0"/>
                    <w:rPr>
                      <w:rFonts w:hint="default"/>
                      <w:color w:val="auto"/>
                      <w:spacing w:val="-6"/>
                      <w:highlight w:val="none"/>
                    </w:rPr>
                  </w:pPr>
                  <w:r>
                    <w:rPr>
                      <w:rFonts w:hint="default"/>
                      <w:color w:val="auto"/>
                      <w:spacing w:val="-6"/>
                      <w:highlight w:val="none"/>
                      <w:lang w:val="en-US" w:eastAsia="zh-CN"/>
                    </w:rPr>
                    <w:t>4#</w:t>
                  </w:r>
                  <w:r>
                    <w:rPr>
                      <w:rFonts w:hint="eastAsia"/>
                      <w:color w:val="auto"/>
                      <w:spacing w:val="-6"/>
                      <w:highlight w:val="none"/>
                      <w:lang w:val="en-US" w:eastAsia="zh-CN"/>
                    </w:rPr>
                    <w:t>蒸压釜</w:t>
                  </w:r>
                </w:p>
              </w:tc>
              <w:tc>
                <w:tcPr>
                  <w:tcW w:w="1062" w:type="dxa"/>
                  <w:tcBorders>
                    <w:tl2br w:val="nil"/>
                    <w:tr2bl w:val="nil"/>
                  </w:tcBorders>
                  <w:shd w:val="clear" w:color="auto" w:fill="auto"/>
                  <w:noWrap/>
                  <w:vAlign w:val="center"/>
                </w:tcPr>
                <w:p w14:paraId="300706FB">
                  <w:pPr>
                    <w:pStyle w:val="40"/>
                    <w:bidi w:val="0"/>
                    <w:rPr>
                      <w:rFonts w:hint="default"/>
                      <w:color w:val="auto"/>
                      <w:spacing w:val="-6"/>
                      <w:highlight w:val="none"/>
                    </w:rPr>
                  </w:pPr>
                  <w:r>
                    <w:rPr>
                      <w:rFonts w:hint="default"/>
                      <w:color w:val="auto"/>
                      <w:spacing w:val="-6"/>
                      <w:highlight w:val="none"/>
                      <w:lang w:val="en-US" w:eastAsia="zh-CN"/>
                    </w:rPr>
                    <w:t>90</w:t>
                  </w:r>
                </w:p>
              </w:tc>
              <w:tc>
                <w:tcPr>
                  <w:tcW w:w="600" w:type="dxa"/>
                  <w:tcBorders>
                    <w:tl2br w:val="nil"/>
                    <w:tr2bl w:val="nil"/>
                  </w:tcBorders>
                  <w:shd w:val="clear" w:color="auto" w:fill="auto"/>
                  <w:noWrap/>
                  <w:vAlign w:val="center"/>
                </w:tcPr>
                <w:p w14:paraId="19CFD3E8">
                  <w:pPr>
                    <w:pStyle w:val="40"/>
                    <w:bidi w:val="0"/>
                    <w:rPr>
                      <w:rFonts w:hint="default"/>
                      <w:color w:val="auto"/>
                      <w:spacing w:val="-6"/>
                      <w:highlight w:val="none"/>
                    </w:rPr>
                  </w:pPr>
                  <w:r>
                    <w:rPr>
                      <w:rFonts w:hint="default"/>
                      <w:color w:val="auto"/>
                      <w:spacing w:val="-6"/>
                      <w:highlight w:val="none"/>
                      <w:lang w:val="en-US" w:eastAsia="zh-CN"/>
                    </w:rPr>
                    <w:t>135</w:t>
                  </w:r>
                </w:p>
              </w:tc>
              <w:tc>
                <w:tcPr>
                  <w:tcW w:w="588" w:type="dxa"/>
                  <w:tcBorders>
                    <w:tl2br w:val="nil"/>
                    <w:tr2bl w:val="nil"/>
                  </w:tcBorders>
                  <w:shd w:val="clear" w:color="auto" w:fill="auto"/>
                  <w:noWrap/>
                  <w:vAlign w:val="center"/>
                </w:tcPr>
                <w:p w14:paraId="4F7ECC09">
                  <w:pPr>
                    <w:pStyle w:val="40"/>
                    <w:bidi w:val="0"/>
                    <w:rPr>
                      <w:rFonts w:hint="default"/>
                      <w:color w:val="auto"/>
                      <w:spacing w:val="-6"/>
                      <w:highlight w:val="none"/>
                    </w:rPr>
                  </w:pPr>
                  <w:r>
                    <w:rPr>
                      <w:rFonts w:hint="default"/>
                      <w:color w:val="auto"/>
                      <w:spacing w:val="-6"/>
                      <w:highlight w:val="none"/>
                      <w:lang w:val="en-US" w:eastAsia="zh-CN"/>
                    </w:rPr>
                    <w:t>118</w:t>
                  </w:r>
                </w:p>
              </w:tc>
              <w:tc>
                <w:tcPr>
                  <w:tcW w:w="565" w:type="dxa"/>
                  <w:tcBorders>
                    <w:tl2br w:val="nil"/>
                    <w:tr2bl w:val="nil"/>
                  </w:tcBorders>
                  <w:shd w:val="clear" w:color="auto" w:fill="auto"/>
                  <w:noWrap/>
                  <w:vAlign w:val="center"/>
                </w:tcPr>
                <w:p w14:paraId="1F0130AA">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323DD1FF">
                  <w:pPr>
                    <w:pStyle w:val="40"/>
                    <w:bidi w:val="0"/>
                    <w:rPr>
                      <w:rFonts w:hint="default"/>
                      <w:color w:val="auto"/>
                      <w:spacing w:val="-6"/>
                      <w:highlight w:val="none"/>
                    </w:rPr>
                  </w:pPr>
                  <w:r>
                    <w:rPr>
                      <w:rFonts w:hint="default"/>
                      <w:color w:val="auto"/>
                      <w:spacing w:val="-6"/>
                      <w:highlight w:val="none"/>
                      <w:lang w:val="en-US" w:eastAsia="zh-CN"/>
                    </w:rPr>
                    <w:t>110</w:t>
                  </w:r>
                </w:p>
              </w:tc>
              <w:tc>
                <w:tcPr>
                  <w:tcW w:w="600" w:type="dxa"/>
                  <w:tcBorders>
                    <w:tl2br w:val="nil"/>
                    <w:tr2bl w:val="nil"/>
                  </w:tcBorders>
                  <w:shd w:val="clear" w:color="auto" w:fill="auto"/>
                  <w:noWrap/>
                  <w:vAlign w:val="center"/>
                </w:tcPr>
                <w:p w14:paraId="202CA57D">
                  <w:pPr>
                    <w:pStyle w:val="40"/>
                    <w:bidi w:val="0"/>
                    <w:rPr>
                      <w:rFonts w:hint="default"/>
                      <w:color w:val="auto"/>
                      <w:spacing w:val="-6"/>
                      <w:highlight w:val="none"/>
                    </w:rPr>
                  </w:pPr>
                  <w:r>
                    <w:rPr>
                      <w:rFonts w:hint="default"/>
                      <w:color w:val="auto"/>
                      <w:spacing w:val="-6"/>
                      <w:highlight w:val="none"/>
                      <w:lang w:val="en-US" w:eastAsia="zh-CN"/>
                    </w:rPr>
                    <w:t>72.7</w:t>
                  </w:r>
                </w:p>
              </w:tc>
              <w:tc>
                <w:tcPr>
                  <w:tcW w:w="611" w:type="dxa"/>
                  <w:vMerge w:val="continue"/>
                  <w:tcBorders>
                    <w:tl2br w:val="nil"/>
                    <w:tr2bl w:val="nil"/>
                  </w:tcBorders>
                  <w:shd w:val="clear" w:color="auto" w:fill="auto"/>
                  <w:noWrap/>
                  <w:vAlign w:val="center"/>
                </w:tcPr>
                <w:p w14:paraId="32A3456F">
                  <w:pPr>
                    <w:pStyle w:val="40"/>
                    <w:bidi w:val="0"/>
                    <w:rPr>
                      <w:rFonts w:hint="default"/>
                      <w:color w:val="auto"/>
                      <w:spacing w:val="-6"/>
                      <w:highlight w:val="none"/>
                    </w:rPr>
                  </w:pPr>
                </w:p>
              </w:tc>
            </w:tr>
            <w:tr w14:paraId="7156B2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24BAA941">
                  <w:pPr>
                    <w:pStyle w:val="40"/>
                    <w:bidi w:val="0"/>
                    <w:rPr>
                      <w:rFonts w:hint="default"/>
                      <w:color w:val="auto"/>
                      <w:spacing w:val="-6"/>
                      <w:highlight w:val="none"/>
                    </w:rPr>
                  </w:pPr>
                </w:p>
              </w:tc>
              <w:tc>
                <w:tcPr>
                  <w:tcW w:w="1218" w:type="dxa"/>
                  <w:vMerge w:val="continue"/>
                  <w:tcBorders>
                    <w:tl2br w:val="nil"/>
                    <w:tr2bl w:val="nil"/>
                  </w:tcBorders>
                  <w:shd w:val="clear" w:color="auto" w:fill="auto"/>
                  <w:vAlign w:val="center"/>
                </w:tcPr>
                <w:p w14:paraId="317CB146">
                  <w:pPr>
                    <w:pStyle w:val="40"/>
                    <w:bidi w:val="0"/>
                    <w:rPr>
                      <w:rFonts w:hint="default"/>
                      <w:color w:val="auto"/>
                      <w:spacing w:val="-6"/>
                      <w:highlight w:val="none"/>
                    </w:rPr>
                  </w:pPr>
                </w:p>
              </w:tc>
              <w:tc>
                <w:tcPr>
                  <w:tcW w:w="1562" w:type="dxa"/>
                  <w:tcBorders>
                    <w:tl2br w:val="nil"/>
                    <w:tr2bl w:val="nil"/>
                  </w:tcBorders>
                  <w:shd w:val="clear" w:color="auto" w:fill="auto"/>
                  <w:noWrap/>
                  <w:vAlign w:val="center"/>
                </w:tcPr>
                <w:p w14:paraId="276F2DC7">
                  <w:pPr>
                    <w:pStyle w:val="40"/>
                    <w:bidi w:val="0"/>
                    <w:rPr>
                      <w:rFonts w:hint="default"/>
                      <w:color w:val="auto"/>
                      <w:spacing w:val="-6"/>
                      <w:highlight w:val="none"/>
                    </w:rPr>
                  </w:pPr>
                  <w:r>
                    <w:rPr>
                      <w:rFonts w:hint="default"/>
                      <w:color w:val="auto"/>
                      <w:spacing w:val="-6"/>
                      <w:highlight w:val="none"/>
                      <w:lang w:val="en-US" w:eastAsia="zh-CN"/>
                    </w:rPr>
                    <w:t>5#</w:t>
                  </w:r>
                  <w:r>
                    <w:rPr>
                      <w:rFonts w:hint="eastAsia"/>
                      <w:color w:val="auto"/>
                      <w:spacing w:val="-6"/>
                      <w:highlight w:val="none"/>
                      <w:lang w:val="en-US" w:eastAsia="zh-CN"/>
                    </w:rPr>
                    <w:t>蒸压釜</w:t>
                  </w:r>
                </w:p>
              </w:tc>
              <w:tc>
                <w:tcPr>
                  <w:tcW w:w="1062" w:type="dxa"/>
                  <w:tcBorders>
                    <w:tl2br w:val="nil"/>
                    <w:tr2bl w:val="nil"/>
                  </w:tcBorders>
                  <w:shd w:val="clear" w:color="auto" w:fill="auto"/>
                  <w:noWrap/>
                  <w:vAlign w:val="center"/>
                </w:tcPr>
                <w:p w14:paraId="4A318FEF">
                  <w:pPr>
                    <w:pStyle w:val="40"/>
                    <w:bidi w:val="0"/>
                    <w:rPr>
                      <w:rFonts w:hint="default"/>
                      <w:color w:val="auto"/>
                      <w:spacing w:val="-6"/>
                      <w:highlight w:val="none"/>
                    </w:rPr>
                  </w:pPr>
                  <w:r>
                    <w:rPr>
                      <w:rFonts w:hint="default"/>
                      <w:color w:val="auto"/>
                      <w:spacing w:val="-6"/>
                      <w:highlight w:val="none"/>
                      <w:lang w:val="en-US" w:eastAsia="zh-CN"/>
                    </w:rPr>
                    <w:t>90</w:t>
                  </w:r>
                </w:p>
              </w:tc>
              <w:tc>
                <w:tcPr>
                  <w:tcW w:w="600" w:type="dxa"/>
                  <w:tcBorders>
                    <w:tl2br w:val="nil"/>
                    <w:tr2bl w:val="nil"/>
                  </w:tcBorders>
                  <w:shd w:val="clear" w:color="auto" w:fill="auto"/>
                  <w:noWrap/>
                  <w:vAlign w:val="center"/>
                </w:tcPr>
                <w:p w14:paraId="74A4D7DC">
                  <w:pPr>
                    <w:pStyle w:val="40"/>
                    <w:bidi w:val="0"/>
                    <w:rPr>
                      <w:rFonts w:hint="default"/>
                      <w:color w:val="auto"/>
                      <w:spacing w:val="-6"/>
                      <w:highlight w:val="none"/>
                    </w:rPr>
                  </w:pPr>
                  <w:r>
                    <w:rPr>
                      <w:rFonts w:hint="default"/>
                      <w:color w:val="auto"/>
                      <w:spacing w:val="-6"/>
                      <w:highlight w:val="none"/>
                      <w:lang w:val="en-US" w:eastAsia="zh-CN"/>
                    </w:rPr>
                    <w:t>150</w:t>
                  </w:r>
                </w:p>
              </w:tc>
              <w:tc>
                <w:tcPr>
                  <w:tcW w:w="588" w:type="dxa"/>
                  <w:tcBorders>
                    <w:tl2br w:val="nil"/>
                    <w:tr2bl w:val="nil"/>
                  </w:tcBorders>
                  <w:shd w:val="clear" w:color="auto" w:fill="auto"/>
                  <w:noWrap/>
                  <w:vAlign w:val="center"/>
                </w:tcPr>
                <w:p w14:paraId="3FDAFFDC">
                  <w:pPr>
                    <w:pStyle w:val="40"/>
                    <w:bidi w:val="0"/>
                    <w:rPr>
                      <w:rFonts w:hint="default"/>
                      <w:color w:val="auto"/>
                      <w:spacing w:val="-6"/>
                      <w:highlight w:val="none"/>
                    </w:rPr>
                  </w:pPr>
                  <w:r>
                    <w:rPr>
                      <w:rFonts w:hint="default"/>
                      <w:color w:val="auto"/>
                      <w:spacing w:val="-6"/>
                      <w:highlight w:val="none"/>
                      <w:lang w:val="en-US" w:eastAsia="zh-CN"/>
                    </w:rPr>
                    <w:t>119</w:t>
                  </w:r>
                </w:p>
              </w:tc>
              <w:tc>
                <w:tcPr>
                  <w:tcW w:w="565" w:type="dxa"/>
                  <w:tcBorders>
                    <w:tl2br w:val="nil"/>
                    <w:tr2bl w:val="nil"/>
                  </w:tcBorders>
                  <w:shd w:val="clear" w:color="auto" w:fill="auto"/>
                  <w:noWrap/>
                  <w:vAlign w:val="center"/>
                </w:tcPr>
                <w:p w14:paraId="4146CA6C">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1ABD3106">
                  <w:pPr>
                    <w:pStyle w:val="40"/>
                    <w:bidi w:val="0"/>
                    <w:rPr>
                      <w:rFonts w:hint="default"/>
                      <w:color w:val="auto"/>
                      <w:spacing w:val="-6"/>
                      <w:highlight w:val="none"/>
                    </w:rPr>
                  </w:pPr>
                  <w:r>
                    <w:rPr>
                      <w:rFonts w:hint="default"/>
                      <w:color w:val="auto"/>
                      <w:spacing w:val="-6"/>
                      <w:highlight w:val="none"/>
                      <w:lang w:val="en-US" w:eastAsia="zh-CN"/>
                    </w:rPr>
                    <w:t>113</w:t>
                  </w:r>
                </w:p>
              </w:tc>
              <w:tc>
                <w:tcPr>
                  <w:tcW w:w="600" w:type="dxa"/>
                  <w:tcBorders>
                    <w:tl2br w:val="nil"/>
                    <w:tr2bl w:val="nil"/>
                  </w:tcBorders>
                  <w:shd w:val="clear" w:color="auto" w:fill="auto"/>
                  <w:noWrap/>
                  <w:vAlign w:val="center"/>
                </w:tcPr>
                <w:p w14:paraId="07061CA8">
                  <w:pPr>
                    <w:pStyle w:val="40"/>
                    <w:bidi w:val="0"/>
                    <w:rPr>
                      <w:rFonts w:hint="default"/>
                      <w:color w:val="auto"/>
                      <w:spacing w:val="-6"/>
                      <w:highlight w:val="none"/>
                    </w:rPr>
                  </w:pPr>
                  <w:r>
                    <w:rPr>
                      <w:rFonts w:hint="default"/>
                      <w:color w:val="auto"/>
                      <w:spacing w:val="-6"/>
                      <w:highlight w:val="none"/>
                      <w:lang w:val="en-US" w:eastAsia="zh-CN"/>
                    </w:rPr>
                    <w:t>72.7</w:t>
                  </w:r>
                </w:p>
              </w:tc>
              <w:tc>
                <w:tcPr>
                  <w:tcW w:w="611" w:type="dxa"/>
                  <w:vMerge w:val="continue"/>
                  <w:tcBorders>
                    <w:tl2br w:val="nil"/>
                    <w:tr2bl w:val="nil"/>
                  </w:tcBorders>
                  <w:shd w:val="clear" w:color="auto" w:fill="auto"/>
                  <w:noWrap/>
                  <w:vAlign w:val="center"/>
                </w:tcPr>
                <w:p w14:paraId="46EF1D1B">
                  <w:pPr>
                    <w:pStyle w:val="40"/>
                    <w:bidi w:val="0"/>
                    <w:rPr>
                      <w:rFonts w:hint="default"/>
                      <w:color w:val="auto"/>
                      <w:spacing w:val="-6"/>
                      <w:highlight w:val="none"/>
                    </w:rPr>
                  </w:pPr>
                </w:p>
              </w:tc>
            </w:tr>
            <w:tr w14:paraId="3520B3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7429C9AA">
                  <w:pPr>
                    <w:pStyle w:val="40"/>
                    <w:bidi w:val="0"/>
                    <w:rPr>
                      <w:rFonts w:hint="default"/>
                      <w:color w:val="auto"/>
                      <w:spacing w:val="-6"/>
                      <w:highlight w:val="none"/>
                    </w:rPr>
                  </w:pPr>
                </w:p>
              </w:tc>
              <w:tc>
                <w:tcPr>
                  <w:tcW w:w="1218" w:type="dxa"/>
                  <w:vMerge w:val="continue"/>
                  <w:tcBorders>
                    <w:tl2br w:val="nil"/>
                    <w:tr2bl w:val="nil"/>
                  </w:tcBorders>
                  <w:shd w:val="clear" w:color="auto" w:fill="auto"/>
                  <w:vAlign w:val="center"/>
                </w:tcPr>
                <w:p w14:paraId="3E717728">
                  <w:pPr>
                    <w:pStyle w:val="40"/>
                    <w:bidi w:val="0"/>
                    <w:rPr>
                      <w:rFonts w:hint="default"/>
                      <w:color w:val="auto"/>
                      <w:spacing w:val="-6"/>
                      <w:highlight w:val="none"/>
                    </w:rPr>
                  </w:pPr>
                </w:p>
              </w:tc>
              <w:tc>
                <w:tcPr>
                  <w:tcW w:w="1562" w:type="dxa"/>
                  <w:tcBorders>
                    <w:tl2br w:val="nil"/>
                    <w:tr2bl w:val="nil"/>
                  </w:tcBorders>
                  <w:shd w:val="clear" w:color="auto" w:fill="auto"/>
                  <w:noWrap/>
                  <w:vAlign w:val="center"/>
                </w:tcPr>
                <w:p w14:paraId="23472A2B">
                  <w:pPr>
                    <w:pStyle w:val="40"/>
                    <w:bidi w:val="0"/>
                    <w:rPr>
                      <w:rFonts w:hint="default"/>
                      <w:color w:val="auto"/>
                      <w:spacing w:val="-6"/>
                      <w:highlight w:val="none"/>
                    </w:rPr>
                  </w:pPr>
                  <w:r>
                    <w:rPr>
                      <w:rFonts w:hint="default"/>
                      <w:color w:val="auto"/>
                      <w:spacing w:val="-6"/>
                      <w:highlight w:val="none"/>
                      <w:lang w:val="en-US" w:eastAsia="zh-CN"/>
                    </w:rPr>
                    <w:t>6#</w:t>
                  </w:r>
                  <w:r>
                    <w:rPr>
                      <w:rFonts w:hint="eastAsia"/>
                      <w:color w:val="auto"/>
                      <w:spacing w:val="-6"/>
                      <w:highlight w:val="none"/>
                      <w:lang w:val="en-US" w:eastAsia="zh-CN"/>
                    </w:rPr>
                    <w:t>蒸压釜</w:t>
                  </w:r>
                </w:p>
              </w:tc>
              <w:tc>
                <w:tcPr>
                  <w:tcW w:w="1062" w:type="dxa"/>
                  <w:tcBorders>
                    <w:tl2br w:val="nil"/>
                    <w:tr2bl w:val="nil"/>
                  </w:tcBorders>
                  <w:shd w:val="clear" w:color="auto" w:fill="auto"/>
                  <w:noWrap/>
                  <w:vAlign w:val="center"/>
                </w:tcPr>
                <w:p w14:paraId="609AA6DB">
                  <w:pPr>
                    <w:pStyle w:val="40"/>
                    <w:bidi w:val="0"/>
                    <w:rPr>
                      <w:rFonts w:hint="default"/>
                      <w:color w:val="auto"/>
                      <w:spacing w:val="-6"/>
                      <w:highlight w:val="none"/>
                    </w:rPr>
                  </w:pPr>
                  <w:r>
                    <w:rPr>
                      <w:rFonts w:hint="default"/>
                      <w:color w:val="auto"/>
                      <w:spacing w:val="-6"/>
                      <w:highlight w:val="none"/>
                      <w:lang w:val="en-US" w:eastAsia="zh-CN"/>
                    </w:rPr>
                    <w:t>90</w:t>
                  </w:r>
                </w:p>
              </w:tc>
              <w:tc>
                <w:tcPr>
                  <w:tcW w:w="600" w:type="dxa"/>
                  <w:tcBorders>
                    <w:tl2br w:val="nil"/>
                    <w:tr2bl w:val="nil"/>
                  </w:tcBorders>
                  <w:shd w:val="clear" w:color="auto" w:fill="auto"/>
                  <w:noWrap/>
                  <w:vAlign w:val="center"/>
                </w:tcPr>
                <w:p w14:paraId="7A234D7D">
                  <w:pPr>
                    <w:pStyle w:val="40"/>
                    <w:bidi w:val="0"/>
                    <w:rPr>
                      <w:rFonts w:hint="default"/>
                      <w:color w:val="auto"/>
                      <w:spacing w:val="-6"/>
                      <w:highlight w:val="none"/>
                    </w:rPr>
                  </w:pPr>
                  <w:r>
                    <w:rPr>
                      <w:rFonts w:hint="default"/>
                      <w:color w:val="auto"/>
                      <w:spacing w:val="-6"/>
                      <w:highlight w:val="none"/>
                      <w:lang w:val="en-US" w:eastAsia="zh-CN"/>
                    </w:rPr>
                    <w:t>90</w:t>
                  </w:r>
                </w:p>
              </w:tc>
              <w:tc>
                <w:tcPr>
                  <w:tcW w:w="588" w:type="dxa"/>
                  <w:tcBorders>
                    <w:tl2br w:val="nil"/>
                    <w:tr2bl w:val="nil"/>
                  </w:tcBorders>
                  <w:shd w:val="clear" w:color="auto" w:fill="auto"/>
                  <w:noWrap/>
                  <w:vAlign w:val="center"/>
                </w:tcPr>
                <w:p w14:paraId="1C3781E4">
                  <w:pPr>
                    <w:pStyle w:val="40"/>
                    <w:bidi w:val="0"/>
                    <w:rPr>
                      <w:rFonts w:hint="default"/>
                      <w:color w:val="auto"/>
                      <w:spacing w:val="-6"/>
                      <w:highlight w:val="none"/>
                    </w:rPr>
                  </w:pPr>
                  <w:r>
                    <w:rPr>
                      <w:rFonts w:hint="default"/>
                      <w:color w:val="auto"/>
                      <w:spacing w:val="-6"/>
                      <w:highlight w:val="none"/>
                      <w:lang w:val="en-US" w:eastAsia="zh-CN"/>
                    </w:rPr>
                    <w:t>110</w:t>
                  </w:r>
                </w:p>
              </w:tc>
              <w:tc>
                <w:tcPr>
                  <w:tcW w:w="565" w:type="dxa"/>
                  <w:tcBorders>
                    <w:tl2br w:val="nil"/>
                    <w:tr2bl w:val="nil"/>
                  </w:tcBorders>
                  <w:shd w:val="clear" w:color="auto" w:fill="auto"/>
                  <w:noWrap/>
                  <w:vAlign w:val="center"/>
                </w:tcPr>
                <w:p w14:paraId="7AAAE110">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47D21EC1">
                  <w:pPr>
                    <w:pStyle w:val="40"/>
                    <w:bidi w:val="0"/>
                    <w:rPr>
                      <w:rFonts w:hint="default"/>
                      <w:color w:val="auto"/>
                      <w:spacing w:val="-6"/>
                      <w:highlight w:val="none"/>
                    </w:rPr>
                  </w:pPr>
                  <w:r>
                    <w:rPr>
                      <w:rFonts w:hint="default"/>
                      <w:color w:val="auto"/>
                      <w:spacing w:val="-6"/>
                      <w:highlight w:val="none"/>
                      <w:lang w:val="en-US" w:eastAsia="zh-CN"/>
                    </w:rPr>
                    <w:t>114</w:t>
                  </w:r>
                </w:p>
              </w:tc>
              <w:tc>
                <w:tcPr>
                  <w:tcW w:w="600" w:type="dxa"/>
                  <w:tcBorders>
                    <w:tl2br w:val="nil"/>
                    <w:tr2bl w:val="nil"/>
                  </w:tcBorders>
                  <w:shd w:val="clear" w:color="auto" w:fill="auto"/>
                  <w:noWrap/>
                  <w:vAlign w:val="center"/>
                </w:tcPr>
                <w:p w14:paraId="40FEFC27">
                  <w:pPr>
                    <w:pStyle w:val="40"/>
                    <w:bidi w:val="0"/>
                    <w:rPr>
                      <w:rFonts w:hint="default"/>
                      <w:color w:val="auto"/>
                      <w:spacing w:val="-6"/>
                      <w:highlight w:val="none"/>
                    </w:rPr>
                  </w:pPr>
                  <w:r>
                    <w:rPr>
                      <w:rFonts w:hint="default"/>
                      <w:color w:val="auto"/>
                      <w:spacing w:val="-6"/>
                      <w:highlight w:val="none"/>
                      <w:lang w:val="en-US" w:eastAsia="zh-CN"/>
                    </w:rPr>
                    <w:t>72.7</w:t>
                  </w:r>
                </w:p>
              </w:tc>
              <w:tc>
                <w:tcPr>
                  <w:tcW w:w="611" w:type="dxa"/>
                  <w:vMerge w:val="continue"/>
                  <w:tcBorders>
                    <w:tl2br w:val="nil"/>
                    <w:tr2bl w:val="nil"/>
                  </w:tcBorders>
                  <w:shd w:val="clear" w:color="auto" w:fill="auto"/>
                  <w:noWrap/>
                  <w:vAlign w:val="center"/>
                </w:tcPr>
                <w:p w14:paraId="2FD0E260">
                  <w:pPr>
                    <w:pStyle w:val="40"/>
                    <w:bidi w:val="0"/>
                    <w:rPr>
                      <w:rFonts w:hint="default"/>
                      <w:color w:val="auto"/>
                      <w:spacing w:val="-6"/>
                      <w:highlight w:val="none"/>
                    </w:rPr>
                  </w:pPr>
                </w:p>
              </w:tc>
            </w:tr>
            <w:tr w14:paraId="5563BF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7DA38A72">
                  <w:pPr>
                    <w:pStyle w:val="40"/>
                    <w:bidi w:val="0"/>
                    <w:rPr>
                      <w:rFonts w:hint="default"/>
                      <w:color w:val="auto"/>
                      <w:spacing w:val="-6"/>
                      <w:highlight w:val="none"/>
                    </w:rPr>
                  </w:pPr>
                </w:p>
              </w:tc>
              <w:tc>
                <w:tcPr>
                  <w:tcW w:w="1218" w:type="dxa"/>
                  <w:vMerge w:val="continue"/>
                  <w:tcBorders>
                    <w:tl2br w:val="nil"/>
                    <w:tr2bl w:val="nil"/>
                  </w:tcBorders>
                  <w:shd w:val="clear" w:color="auto" w:fill="auto"/>
                  <w:vAlign w:val="center"/>
                </w:tcPr>
                <w:p w14:paraId="304EBC88">
                  <w:pPr>
                    <w:pStyle w:val="40"/>
                    <w:bidi w:val="0"/>
                    <w:rPr>
                      <w:rFonts w:hint="default"/>
                      <w:color w:val="auto"/>
                      <w:spacing w:val="-6"/>
                      <w:highlight w:val="none"/>
                    </w:rPr>
                  </w:pPr>
                </w:p>
              </w:tc>
              <w:tc>
                <w:tcPr>
                  <w:tcW w:w="1562" w:type="dxa"/>
                  <w:tcBorders>
                    <w:tl2br w:val="nil"/>
                    <w:tr2bl w:val="nil"/>
                  </w:tcBorders>
                  <w:shd w:val="clear" w:color="auto" w:fill="auto"/>
                  <w:noWrap/>
                  <w:vAlign w:val="center"/>
                </w:tcPr>
                <w:p w14:paraId="712A4EB6">
                  <w:pPr>
                    <w:pStyle w:val="40"/>
                    <w:bidi w:val="0"/>
                    <w:rPr>
                      <w:rFonts w:hint="default"/>
                      <w:color w:val="auto"/>
                      <w:spacing w:val="-6"/>
                      <w:highlight w:val="none"/>
                    </w:rPr>
                  </w:pPr>
                  <w:r>
                    <w:rPr>
                      <w:rFonts w:hint="default"/>
                      <w:color w:val="auto"/>
                      <w:spacing w:val="-6"/>
                      <w:highlight w:val="none"/>
                      <w:lang w:val="en-US" w:eastAsia="zh-CN"/>
                    </w:rPr>
                    <w:t>7#</w:t>
                  </w:r>
                  <w:r>
                    <w:rPr>
                      <w:rFonts w:hint="eastAsia"/>
                      <w:color w:val="auto"/>
                      <w:spacing w:val="-6"/>
                      <w:highlight w:val="none"/>
                      <w:lang w:val="en-US" w:eastAsia="zh-CN"/>
                    </w:rPr>
                    <w:t>蒸压釜</w:t>
                  </w:r>
                </w:p>
              </w:tc>
              <w:tc>
                <w:tcPr>
                  <w:tcW w:w="1062" w:type="dxa"/>
                  <w:tcBorders>
                    <w:tl2br w:val="nil"/>
                    <w:tr2bl w:val="nil"/>
                  </w:tcBorders>
                  <w:shd w:val="clear" w:color="auto" w:fill="auto"/>
                  <w:noWrap/>
                  <w:vAlign w:val="center"/>
                </w:tcPr>
                <w:p w14:paraId="4105CB5C">
                  <w:pPr>
                    <w:pStyle w:val="40"/>
                    <w:bidi w:val="0"/>
                    <w:rPr>
                      <w:rFonts w:hint="default"/>
                      <w:color w:val="auto"/>
                      <w:spacing w:val="-6"/>
                      <w:highlight w:val="none"/>
                    </w:rPr>
                  </w:pPr>
                  <w:r>
                    <w:rPr>
                      <w:rFonts w:hint="default"/>
                      <w:color w:val="auto"/>
                      <w:spacing w:val="-6"/>
                      <w:highlight w:val="none"/>
                      <w:lang w:val="en-US" w:eastAsia="zh-CN"/>
                    </w:rPr>
                    <w:t>90</w:t>
                  </w:r>
                </w:p>
              </w:tc>
              <w:tc>
                <w:tcPr>
                  <w:tcW w:w="600" w:type="dxa"/>
                  <w:tcBorders>
                    <w:tl2br w:val="nil"/>
                    <w:tr2bl w:val="nil"/>
                  </w:tcBorders>
                  <w:shd w:val="clear" w:color="auto" w:fill="auto"/>
                  <w:noWrap/>
                  <w:vAlign w:val="center"/>
                </w:tcPr>
                <w:p w14:paraId="054A4725">
                  <w:pPr>
                    <w:pStyle w:val="40"/>
                    <w:bidi w:val="0"/>
                    <w:rPr>
                      <w:rFonts w:hint="default"/>
                      <w:color w:val="auto"/>
                      <w:spacing w:val="-6"/>
                      <w:highlight w:val="none"/>
                    </w:rPr>
                  </w:pPr>
                  <w:r>
                    <w:rPr>
                      <w:rFonts w:hint="default"/>
                      <w:color w:val="auto"/>
                      <w:spacing w:val="-6"/>
                      <w:highlight w:val="none"/>
                      <w:lang w:val="en-US" w:eastAsia="zh-CN"/>
                    </w:rPr>
                    <w:t>105</w:t>
                  </w:r>
                </w:p>
              </w:tc>
              <w:tc>
                <w:tcPr>
                  <w:tcW w:w="588" w:type="dxa"/>
                  <w:tcBorders>
                    <w:tl2br w:val="nil"/>
                    <w:tr2bl w:val="nil"/>
                  </w:tcBorders>
                  <w:shd w:val="clear" w:color="auto" w:fill="auto"/>
                  <w:noWrap/>
                  <w:vAlign w:val="center"/>
                </w:tcPr>
                <w:p w14:paraId="1FFB321F">
                  <w:pPr>
                    <w:pStyle w:val="40"/>
                    <w:bidi w:val="0"/>
                    <w:rPr>
                      <w:rFonts w:hint="default"/>
                      <w:color w:val="auto"/>
                      <w:spacing w:val="-6"/>
                      <w:highlight w:val="none"/>
                    </w:rPr>
                  </w:pPr>
                  <w:r>
                    <w:rPr>
                      <w:rFonts w:hint="default"/>
                      <w:color w:val="auto"/>
                      <w:spacing w:val="-6"/>
                      <w:highlight w:val="none"/>
                      <w:lang w:val="en-US" w:eastAsia="zh-CN"/>
                    </w:rPr>
                    <w:t>111</w:t>
                  </w:r>
                </w:p>
              </w:tc>
              <w:tc>
                <w:tcPr>
                  <w:tcW w:w="565" w:type="dxa"/>
                  <w:tcBorders>
                    <w:tl2br w:val="nil"/>
                    <w:tr2bl w:val="nil"/>
                  </w:tcBorders>
                  <w:shd w:val="clear" w:color="auto" w:fill="auto"/>
                  <w:noWrap/>
                  <w:vAlign w:val="center"/>
                </w:tcPr>
                <w:p w14:paraId="5EC8DCB7">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052F9114">
                  <w:pPr>
                    <w:pStyle w:val="40"/>
                    <w:bidi w:val="0"/>
                    <w:rPr>
                      <w:rFonts w:hint="default"/>
                      <w:color w:val="auto"/>
                      <w:spacing w:val="-6"/>
                      <w:highlight w:val="none"/>
                    </w:rPr>
                  </w:pPr>
                  <w:r>
                    <w:rPr>
                      <w:rFonts w:hint="default"/>
                      <w:color w:val="auto"/>
                      <w:spacing w:val="-6"/>
                      <w:highlight w:val="none"/>
                      <w:lang w:val="en-US" w:eastAsia="zh-CN"/>
                    </w:rPr>
                    <w:t>113</w:t>
                  </w:r>
                </w:p>
              </w:tc>
              <w:tc>
                <w:tcPr>
                  <w:tcW w:w="600" w:type="dxa"/>
                  <w:tcBorders>
                    <w:tl2br w:val="nil"/>
                    <w:tr2bl w:val="nil"/>
                  </w:tcBorders>
                  <w:shd w:val="clear" w:color="auto" w:fill="auto"/>
                  <w:noWrap/>
                  <w:vAlign w:val="center"/>
                </w:tcPr>
                <w:p w14:paraId="322085AE">
                  <w:pPr>
                    <w:pStyle w:val="40"/>
                    <w:bidi w:val="0"/>
                    <w:rPr>
                      <w:rFonts w:hint="default"/>
                      <w:color w:val="auto"/>
                      <w:spacing w:val="-6"/>
                      <w:highlight w:val="none"/>
                    </w:rPr>
                  </w:pPr>
                  <w:r>
                    <w:rPr>
                      <w:rFonts w:hint="default"/>
                      <w:color w:val="auto"/>
                      <w:spacing w:val="-6"/>
                      <w:highlight w:val="none"/>
                      <w:lang w:val="en-US" w:eastAsia="zh-CN"/>
                    </w:rPr>
                    <w:t>72.7</w:t>
                  </w:r>
                </w:p>
              </w:tc>
              <w:tc>
                <w:tcPr>
                  <w:tcW w:w="611" w:type="dxa"/>
                  <w:vMerge w:val="continue"/>
                  <w:tcBorders>
                    <w:tl2br w:val="nil"/>
                    <w:tr2bl w:val="nil"/>
                  </w:tcBorders>
                  <w:shd w:val="clear" w:color="auto" w:fill="auto"/>
                  <w:noWrap/>
                  <w:vAlign w:val="center"/>
                </w:tcPr>
                <w:p w14:paraId="647E5F30">
                  <w:pPr>
                    <w:pStyle w:val="40"/>
                    <w:bidi w:val="0"/>
                    <w:rPr>
                      <w:rFonts w:hint="default"/>
                      <w:color w:val="auto"/>
                      <w:spacing w:val="-6"/>
                      <w:highlight w:val="none"/>
                    </w:rPr>
                  </w:pPr>
                </w:p>
              </w:tc>
            </w:tr>
            <w:tr w14:paraId="128742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745C6E0B">
                  <w:pPr>
                    <w:pStyle w:val="40"/>
                    <w:bidi w:val="0"/>
                    <w:rPr>
                      <w:rFonts w:hint="default"/>
                      <w:color w:val="auto"/>
                      <w:spacing w:val="-6"/>
                      <w:highlight w:val="none"/>
                    </w:rPr>
                  </w:pPr>
                </w:p>
              </w:tc>
              <w:tc>
                <w:tcPr>
                  <w:tcW w:w="1218" w:type="dxa"/>
                  <w:vMerge w:val="continue"/>
                  <w:tcBorders>
                    <w:tl2br w:val="nil"/>
                    <w:tr2bl w:val="nil"/>
                  </w:tcBorders>
                  <w:shd w:val="clear" w:color="auto" w:fill="auto"/>
                  <w:vAlign w:val="center"/>
                </w:tcPr>
                <w:p w14:paraId="70465A93">
                  <w:pPr>
                    <w:pStyle w:val="40"/>
                    <w:bidi w:val="0"/>
                    <w:rPr>
                      <w:rFonts w:hint="default"/>
                      <w:color w:val="auto"/>
                      <w:spacing w:val="-6"/>
                      <w:highlight w:val="none"/>
                    </w:rPr>
                  </w:pPr>
                </w:p>
              </w:tc>
              <w:tc>
                <w:tcPr>
                  <w:tcW w:w="1562" w:type="dxa"/>
                  <w:tcBorders>
                    <w:tl2br w:val="nil"/>
                    <w:tr2bl w:val="nil"/>
                  </w:tcBorders>
                  <w:shd w:val="clear" w:color="auto" w:fill="auto"/>
                  <w:noWrap/>
                  <w:vAlign w:val="center"/>
                </w:tcPr>
                <w:p w14:paraId="33E26F55">
                  <w:pPr>
                    <w:pStyle w:val="40"/>
                    <w:bidi w:val="0"/>
                    <w:rPr>
                      <w:rFonts w:hint="default"/>
                      <w:color w:val="auto"/>
                      <w:spacing w:val="-6"/>
                      <w:highlight w:val="none"/>
                    </w:rPr>
                  </w:pPr>
                  <w:r>
                    <w:rPr>
                      <w:rFonts w:hint="default"/>
                      <w:color w:val="auto"/>
                      <w:spacing w:val="-6"/>
                      <w:highlight w:val="none"/>
                      <w:lang w:val="en-US" w:eastAsia="zh-CN"/>
                    </w:rPr>
                    <w:t>8#</w:t>
                  </w:r>
                  <w:r>
                    <w:rPr>
                      <w:rFonts w:hint="eastAsia"/>
                      <w:color w:val="auto"/>
                      <w:spacing w:val="-6"/>
                      <w:highlight w:val="none"/>
                      <w:lang w:val="en-US" w:eastAsia="zh-CN"/>
                    </w:rPr>
                    <w:t>蒸压釜</w:t>
                  </w:r>
                </w:p>
              </w:tc>
              <w:tc>
                <w:tcPr>
                  <w:tcW w:w="1062" w:type="dxa"/>
                  <w:tcBorders>
                    <w:tl2br w:val="nil"/>
                    <w:tr2bl w:val="nil"/>
                  </w:tcBorders>
                  <w:shd w:val="clear" w:color="auto" w:fill="auto"/>
                  <w:noWrap/>
                  <w:vAlign w:val="center"/>
                </w:tcPr>
                <w:p w14:paraId="21086397">
                  <w:pPr>
                    <w:pStyle w:val="40"/>
                    <w:bidi w:val="0"/>
                    <w:rPr>
                      <w:rFonts w:hint="default"/>
                      <w:color w:val="auto"/>
                      <w:spacing w:val="-6"/>
                      <w:highlight w:val="none"/>
                    </w:rPr>
                  </w:pPr>
                  <w:r>
                    <w:rPr>
                      <w:rFonts w:hint="default"/>
                      <w:color w:val="auto"/>
                      <w:spacing w:val="-6"/>
                      <w:highlight w:val="none"/>
                      <w:lang w:val="en-US" w:eastAsia="zh-CN"/>
                    </w:rPr>
                    <w:t>90</w:t>
                  </w:r>
                </w:p>
              </w:tc>
              <w:tc>
                <w:tcPr>
                  <w:tcW w:w="600" w:type="dxa"/>
                  <w:tcBorders>
                    <w:tl2br w:val="nil"/>
                    <w:tr2bl w:val="nil"/>
                  </w:tcBorders>
                  <w:shd w:val="clear" w:color="auto" w:fill="auto"/>
                  <w:noWrap/>
                  <w:vAlign w:val="center"/>
                </w:tcPr>
                <w:p w14:paraId="051DAA8A">
                  <w:pPr>
                    <w:pStyle w:val="40"/>
                    <w:bidi w:val="0"/>
                    <w:rPr>
                      <w:rFonts w:hint="default"/>
                      <w:color w:val="auto"/>
                      <w:spacing w:val="-6"/>
                      <w:highlight w:val="none"/>
                    </w:rPr>
                  </w:pPr>
                  <w:r>
                    <w:rPr>
                      <w:rFonts w:hint="default"/>
                      <w:color w:val="auto"/>
                      <w:spacing w:val="-6"/>
                      <w:highlight w:val="none"/>
                      <w:lang w:val="en-US" w:eastAsia="zh-CN"/>
                    </w:rPr>
                    <w:t>120</w:t>
                  </w:r>
                </w:p>
              </w:tc>
              <w:tc>
                <w:tcPr>
                  <w:tcW w:w="588" w:type="dxa"/>
                  <w:tcBorders>
                    <w:tl2br w:val="nil"/>
                    <w:tr2bl w:val="nil"/>
                  </w:tcBorders>
                  <w:shd w:val="clear" w:color="auto" w:fill="auto"/>
                  <w:noWrap/>
                  <w:vAlign w:val="center"/>
                </w:tcPr>
                <w:p w14:paraId="4086792A">
                  <w:pPr>
                    <w:pStyle w:val="40"/>
                    <w:bidi w:val="0"/>
                    <w:rPr>
                      <w:rFonts w:hint="default"/>
                      <w:color w:val="auto"/>
                      <w:spacing w:val="-6"/>
                      <w:highlight w:val="none"/>
                    </w:rPr>
                  </w:pPr>
                  <w:r>
                    <w:rPr>
                      <w:rFonts w:hint="default"/>
                      <w:color w:val="auto"/>
                      <w:spacing w:val="-6"/>
                      <w:highlight w:val="none"/>
                      <w:lang w:val="en-US" w:eastAsia="zh-CN"/>
                    </w:rPr>
                    <w:t>112</w:t>
                  </w:r>
                </w:p>
              </w:tc>
              <w:tc>
                <w:tcPr>
                  <w:tcW w:w="565" w:type="dxa"/>
                  <w:tcBorders>
                    <w:tl2br w:val="nil"/>
                    <w:tr2bl w:val="nil"/>
                  </w:tcBorders>
                  <w:shd w:val="clear" w:color="auto" w:fill="auto"/>
                  <w:noWrap/>
                  <w:vAlign w:val="center"/>
                </w:tcPr>
                <w:p w14:paraId="3A215473">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07536019">
                  <w:pPr>
                    <w:pStyle w:val="40"/>
                    <w:bidi w:val="0"/>
                    <w:rPr>
                      <w:rFonts w:hint="default"/>
                      <w:color w:val="auto"/>
                      <w:spacing w:val="-6"/>
                      <w:highlight w:val="none"/>
                    </w:rPr>
                  </w:pPr>
                  <w:r>
                    <w:rPr>
                      <w:rFonts w:hint="default"/>
                      <w:color w:val="auto"/>
                      <w:spacing w:val="-6"/>
                      <w:highlight w:val="none"/>
                      <w:lang w:val="en-US" w:eastAsia="zh-CN"/>
                    </w:rPr>
                    <w:t>112</w:t>
                  </w:r>
                </w:p>
              </w:tc>
              <w:tc>
                <w:tcPr>
                  <w:tcW w:w="600" w:type="dxa"/>
                  <w:tcBorders>
                    <w:tl2br w:val="nil"/>
                    <w:tr2bl w:val="nil"/>
                  </w:tcBorders>
                  <w:shd w:val="clear" w:color="auto" w:fill="auto"/>
                  <w:noWrap/>
                  <w:vAlign w:val="center"/>
                </w:tcPr>
                <w:p w14:paraId="022810E0">
                  <w:pPr>
                    <w:pStyle w:val="40"/>
                    <w:bidi w:val="0"/>
                    <w:rPr>
                      <w:rFonts w:hint="default"/>
                      <w:color w:val="auto"/>
                      <w:spacing w:val="-6"/>
                      <w:highlight w:val="none"/>
                    </w:rPr>
                  </w:pPr>
                  <w:r>
                    <w:rPr>
                      <w:rFonts w:hint="default"/>
                      <w:color w:val="auto"/>
                      <w:spacing w:val="-6"/>
                      <w:highlight w:val="none"/>
                      <w:lang w:val="en-US" w:eastAsia="zh-CN"/>
                    </w:rPr>
                    <w:t>72.7</w:t>
                  </w:r>
                </w:p>
              </w:tc>
              <w:tc>
                <w:tcPr>
                  <w:tcW w:w="611" w:type="dxa"/>
                  <w:vMerge w:val="continue"/>
                  <w:tcBorders>
                    <w:tl2br w:val="nil"/>
                    <w:tr2bl w:val="nil"/>
                  </w:tcBorders>
                  <w:shd w:val="clear" w:color="auto" w:fill="auto"/>
                  <w:noWrap/>
                  <w:vAlign w:val="center"/>
                </w:tcPr>
                <w:p w14:paraId="2B09F74A">
                  <w:pPr>
                    <w:pStyle w:val="40"/>
                    <w:bidi w:val="0"/>
                    <w:rPr>
                      <w:rFonts w:hint="default"/>
                      <w:color w:val="auto"/>
                      <w:spacing w:val="-6"/>
                      <w:highlight w:val="none"/>
                    </w:rPr>
                  </w:pPr>
                </w:p>
              </w:tc>
            </w:tr>
            <w:tr w14:paraId="2946EB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58CC63D5">
                  <w:pPr>
                    <w:pStyle w:val="40"/>
                    <w:bidi w:val="0"/>
                    <w:rPr>
                      <w:rFonts w:hint="default"/>
                      <w:color w:val="auto"/>
                      <w:spacing w:val="-6"/>
                      <w:highlight w:val="none"/>
                    </w:rPr>
                  </w:pPr>
                </w:p>
              </w:tc>
              <w:tc>
                <w:tcPr>
                  <w:tcW w:w="1218" w:type="dxa"/>
                  <w:vMerge w:val="continue"/>
                  <w:tcBorders>
                    <w:tl2br w:val="nil"/>
                    <w:tr2bl w:val="nil"/>
                  </w:tcBorders>
                  <w:shd w:val="clear" w:color="auto" w:fill="auto"/>
                  <w:vAlign w:val="center"/>
                </w:tcPr>
                <w:p w14:paraId="3FFF1E50">
                  <w:pPr>
                    <w:pStyle w:val="40"/>
                    <w:bidi w:val="0"/>
                    <w:rPr>
                      <w:rFonts w:hint="default"/>
                      <w:color w:val="auto"/>
                      <w:spacing w:val="-6"/>
                      <w:highlight w:val="none"/>
                    </w:rPr>
                  </w:pPr>
                </w:p>
              </w:tc>
              <w:tc>
                <w:tcPr>
                  <w:tcW w:w="1562" w:type="dxa"/>
                  <w:tcBorders>
                    <w:tl2br w:val="nil"/>
                    <w:tr2bl w:val="nil"/>
                  </w:tcBorders>
                  <w:shd w:val="clear" w:color="auto" w:fill="auto"/>
                  <w:noWrap/>
                  <w:vAlign w:val="center"/>
                </w:tcPr>
                <w:p w14:paraId="0FB4B37F">
                  <w:pPr>
                    <w:pStyle w:val="40"/>
                    <w:bidi w:val="0"/>
                    <w:rPr>
                      <w:rFonts w:hint="default"/>
                      <w:color w:val="auto"/>
                      <w:spacing w:val="-6"/>
                      <w:highlight w:val="none"/>
                    </w:rPr>
                  </w:pPr>
                  <w:r>
                    <w:rPr>
                      <w:rFonts w:hint="default"/>
                      <w:color w:val="auto"/>
                      <w:spacing w:val="-6"/>
                      <w:highlight w:val="none"/>
                      <w:lang w:val="en-US" w:eastAsia="zh-CN"/>
                    </w:rPr>
                    <w:t>9#</w:t>
                  </w:r>
                  <w:r>
                    <w:rPr>
                      <w:rFonts w:hint="eastAsia"/>
                      <w:color w:val="auto"/>
                      <w:spacing w:val="-6"/>
                      <w:highlight w:val="none"/>
                      <w:lang w:val="en-US" w:eastAsia="zh-CN"/>
                    </w:rPr>
                    <w:t>蒸压釜</w:t>
                  </w:r>
                </w:p>
              </w:tc>
              <w:tc>
                <w:tcPr>
                  <w:tcW w:w="1062" w:type="dxa"/>
                  <w:tcBorders>
                    <w:tl2br w:val="nil"/>
                    <w:tr2bl w:val="nil"/>
                  </w:tcBorders>
                  <w:shd w:val="clear" w:color="auto" w:fill="auto"/>
                  <w:noWrap/>
                  <w:vAlign w:val="center"/>
                </w:tcPr>
                <w:p w14:paraId="34253263">
                  <w:pPr>
                    <w:pStyle w:val="40"/>
                    <w:bidi w:val="0"/>
                    <w:rPr>
                      <w:rFonts w:hint="default"/>
                      <w:color w:val="auto"/>
                      <w:spacing w:val="-6"/>
                      <w:highlight w:val="none"/>
                    </w:rPr>
                  </w:pPr>
                  <w:r>
                    <w:rPr>
                      <w:rFonts w:hint="default"/>
                      <w:color w:val="auto"/>
                      <w:spacing w:val="-6"/>
                      <w:highlight w:val="none"/>
                      <w:lang w:val="en-US" w:eastAsia="zh-CN"/>
                    </w:rPr>
                    <w:t>90</w:t>
                  </w:r>
                </w:p>
              </w:tc>
              <w:tc>
                <w:tcPr>
                  <w:tcW w:w="600" w:type="dxa"/>
                  <w:tcBorders>
                    <w:tl2br w:val="nil"/>
                    <w:tr2bl w:val="nil"/>
                  </w:tcBorders>
                  <w:shd w:val="clear" w:color="auto" w:fill="auto"/>
                  <w:noWrap/>
                  <w:vAlign w:val="center"/>
                </w:tcPr>
                <w:p w14:paraId="272D7BB4">
                  <w:pPr>
                    <w:pStyle w:val="40"/>
                    <w:bidi w:val="0"/>
                    <w:rPr>
                      <w:rFonts w:hint="default"/>
                      <w:color w:val="auto"/>
                      <w:spacing w:val="-6"/>
                      <w:highlight w:val="none"/>
                    </w:rPr>
                  </w:pPr>
                  <w:r>
                    <w:rPr>
                      <w:rFonts w:hint="default"/>
                      <w:color w:val="auto"/>
                      <w:spacing w:val="-6"/>
                      <w:highlight w:val="none"/>
                      <w:lang w:val="en-US" w:eastAsia="zh-CN"/>
                    </w:rPr>
                    <w:t>135</w:t>
                  </w:r>
                </w:p>
              </w:tc>
              <w:tc>
                <w:tcPr>
                  <w:tcW w:w="588" w:type="dxa"/>
                  <w:tcBorders>
                    <w:tl2br w:val="nil"/>
                    <w:tr2bl w:val="nil"/>
                  </w:tcBorders>
                  <w:shd w:val="clear" w:color="auto" w:fill="auto"/>
                  <w:noWrap/>
                  <w:vAlign w:val="center"/>
                </w:tcPr>
                <w:p w14:paraId="4A0F22A1">
                  <w:pPr>
                    <w:pStyle w:val="40"/>
                    <w:bidi w:val="0"/>
                    <w:rPr>
                      <w:rFonts w:hint="default"/>
                      <w:color w:val="auto"/>
                      <w:spacing w:val="-6"/>
                      <w:highlight w:val="none"/>
                    </w:rPr>
                  </w:pPr>
                  <w:r>
                    <w:rPr>
                      <w:rFonts w:hint="default"/>
                      <w:color w:val="auto"/>
                      <w:spacing w:val="-6"/>
                      <w:highlight w:val="none"/>
                      <w:lang w:val="en-US" w:eastAsia="zh-CN"/>
                    </w:rPr>
                    <w:t>113</w:t>
                  </w:r>
                </w:p>
              </w:tc>
              <w:tc>
                <w:tcPr>
                  <w:tcW w:w="565" w:type="dxa"/>
                  <w:tcBorders>
                    <w:tl2br w:val="nil"/>
                    <w:tr2bl w:val="nil"/>
                  </w:tcBorders>
                  <w:shd w:val="clear" w:color="auto" w:fill="auto"/>
                  <w:noWrap/>
                  <w:vAlign w:val="center"/>
                </w:tcPr>
                <w:p w14:paraId="55FA877D">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7B4B10D7">
                  <w:pPr>
                    <w:pStyle w:val="40"/>
                    <w:bidi w:val="0"/>
                    <w:rPr>
                      <w:rFonts w:hint="default"/>
                      <w:color w:val="auto"/>
                      <w:spacing w:val="-6"/>
                      <w:highlight w:val="none"/>
                    </w:rPr>
                  </w:pPr>
                  <w:r>
                    <w:rPr>
                      <w:rFonts w:hint="default"/>
                      <w:color w:val="auto"/>
                      <w:spacing w:val="-6"/>
                      <w:highlight w:val="none"/>
                      <w:lang w:val="en-US" w:eastAsia="zh-CN"/>
                    </w:rPr>
                    <w:t>115</w:t>
                  </w:r>
                </w:p>
              </w:tc>
              <w:tc>
                <w:tcPr>
                  <w:tcW w:w="600" w:type="dxa"/>
                  <w:tcBorders>
                    <w:tl2br w:val="nil"/>
                    <w:tr2bl w:val="nil"/>
                  </w:tcBorders>
                  <w:shd w:val="clear" w:color="auto" w:fill="auto"/>
                  <w:noWrap/>
                  <w:vAlign w:val="center"/>
                </w:tcPr>
                <w:p w14:paraId="58F44D7C">
                  <w:pPr>
                    <w:pStyle w:val="40"/>
                    <w:bidi w:val="0"/>
                    <w:rPr>
                      <w:rFonts w:hint="default"/>
                      <w:color w:val="auto"/>
                      <w:spacing w:val="-6"/>
                      <w:highlight w:val="none"/>
                    </w:rPr>
                  </w:pPr>
                  <w:r>
                    <w:rPr>
                      <w:rFonts w:hint="default"/>
                      <w:color w:val="auto"/>
                      <w:spacing w:val="-6"/>
                      <w:highlight w:val="none"/>
                      <w:lang w:val="en-US" w:eastAsia="zh-CN"/>
                    </w:rPr>
                    <w:t>72.7</w:t>
                  </w:r>
                </w:p>
              </w:tc>
              <w:tc>
                <w:tcPr>
                  <w:tcW w:w="611" w:type="dxa"/>
                  <w:vMerge w:val="continue"/>
                  <w:tcBorders>
                    <w:tl2br w:val="nil"/>
                    <w:tr2bl w:val="nil"/>
                  </w:tcBorders>
                  <w:shd w:val="clear" w:color="auto" w:fill="auto"/>
                  <w:noWrap/>
                  <w:vAlign w:val="center"/>
                </w:tcPr>
                <w:p w14:paraId="2520A9CC">
                  <w:pPr>
                    <w:pStyle w:val="40"/>
                    <w:bidi w:val="0"/>
                    <w:rPr>
                      <w:rFonts w:hint="default"/>
                      <w:color w:val="auto"/>
                      <w:spacing w:val="-6"/>
                      <w:highlight w:val="none"/>
                    </w:rPr>
                  </w:pPr>
                </w:p>
              </w:tc>
            </w:tr>
            <w:tr w14:paraId="0F4CC6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0E4A9D88">
                  <w:pPr>
                    <w:pStyle w:val="40"/>
                    <w:bidi w:val="0"/>
                    <w:rPr>
                      <w:rFonts w:hint="default"/>
                      <w:color w:val="auto"/>
                      <w:spacing w:val="-6"/>
                      <w:highlight w:val="none"/>
                    </w:rPr>
                  </w:pPr>
                </w:p>
              </w:tc>
              <w:tc>
                <w:tcPr>
                  <w:tcW w:w="1218" w:type="dxa"/>
                  <w:vMerge w:val="continue"/>
                  <w:tcBorders>
                    <w:tl2br w:val="nil"/>
                    <w:tr2bl w:val="nil"/>
                  </w:tcBorders>
                  <w:shd w:val="clear" w:color="auto" w:fill="auto"/>
                  <w:vAlign w:val="center"/>
                </w:tcPr>
                <w:p w14:paraId="501D50F3">
                  <w:pPr>
                    <w:pStyle w:val="40"/>
                    <w:bidi w:val="0"/>
                    <w:rPr>
                      <w:rFonts w:hint="default"/>
                      <w:color w:val="auto"/>
                      <w:spacing w:val="-6"/>
                      <w:highlight w:val="none"/>
                    </w:rPr>
                  </w:pPr>
                </w:p>
              </w:tc>
              <w:tc>
                <w:tcPr>
                  <w:tcW w:w="1562" w:type="dxa"/>
                  <w:tcBorders>
                    <w:tl2br w:val="nil"/>
                    <w:tr2bl w:val="nil"/>
                  </w:tcBorders>
                  <w:shd w:val="clear" w:color="auto" w:fill="auto"/>
                  <w:noWrap/>
                  <w:vAlign w:val="center"/>
                </w:tcPr>
                <w:p w14:paraId="1B667CCB">
                  <w:pPr>
                    <w:pStyle w:val="40"/>
                    <w:bidi w:val="0"/>
                    <w:rPr>
                      <w:rFonts w:hint="default"/>
                      <w:color w:val="auto"/>
                      <w:spacing w:val="-6"/>
                      <w:highlight w:val="none"/>
                    </w:rPr>
                  </w:pPr>
                  <w:r>
                    <w:rPr>
                      <w:rFonts w:hint="default"/>
                      <w:color w:val="auto"/>
                      <w:spacing w:val="-6"/>
                      <w:highlight w:val="none"/>
                      <w:lang w:val="en-US" w:eastAsia="zh-CN"/>
                    </w:rPr>
                    <w:t>10#</w:t>
                  </w:r>
                  <w:r>
                    <w:rPr>
                      <w:rFonts w:hint="eastAsia"/>
                      <w:color w:val="auto"/>
                      <w:spacing w:val="-6"/>
                      <w:highlight w:val="none"/>
                      <w:lang w:val="en-US" w:eastAsia="zh-CN"/>
                    </w:rPr>
                    <w:t>蒸压釜</w:t>
                  </w:r>
                </w:p>
              </w:tc>
              <w:tc>
                <w:tcPr>
                  <w:tcW w:w="1062" w:type="dxa"/>
                  <w:tcBorders>
                    <w:tl2br w:val="nil"/>
                    <w:tr2bl w:val="nil"/>
                  </w:tcBorders>
                  <w:shd w:val="clear" w:color="auto" w:fill="auto"/>
                  <w:noWrap/>
                  <w:vAlign w:val="center"/>
                </w:tcPr>
                <w:p w14:paraId="158B45D9">
                  <w:pPr>
                    <w:pStyle w:val="40"/>
                    <w:bidi w:val="0"/>
                    <w:rPr>
                      <w:rFonts w:hint="default"/>
                      <w:color w:val="auto"/>
                      <w:spacing w:val="-6"/>
                      <w:highlight w:val="none"/>
                    </w:rPr>
                  </w:pPr>
                  <w:r>
                    <w:rPr>
                      <w:rFonts w:hint="default"/>
                      <w:color w:val="auto"/>
                      <w:spacing w:val="-6"/>
                      <w:highlight w:val="none"/>
                      <w:lang w:val="en-US" w:eastAsia="zh-CN"/>
                    </w:rPr>
                    <w:t>90</w:t>
                  </w:r>
                </w:p>
              </w:tc>
              <w:tc>
                <w:tcPr>
                  <w:tcW w:w="600" w:type="dxa"/>
                  <w:tcBorders>
                    <w:tl2br w:val="nil"/>
                    <w:tr2bl w:val="nil"/>
                  </w:tcBorders>
                  <w:shd w:val="clear" w:color="auto" w:fill="auto"/>
                  <w:noWrap/>
                  <w:vAlign w:val="center"/>
                </w:tcPr>
                <w:p w14:paraId="0AD88A87">
                  <w:pPr>
                    <w:pStyle w:val="40"/>
                    <w:bidi w:val="0"/>
                    <w:rPr>
                      <w:rFonts w:hint="default"/>
                      <w:color w:val="auto"/>
                      <w:spacing w:val="-6"/>
                      <w:highlight w:val="none"/>
                    </w:rPr>
                  </w:pPr>
                  <w:r>
                    <w:rPr>
                      <w:rFonts w:hint="default"/>
                      <w:color w:val="auto"/>
                      <w:spacing w:val="-6"/>
                      <w:highlight w:val="none"/>
                      <w:lang w:val="en-US" w:eastAsia="zh-CN"/>
                    </w:rPr>
                    <w:t>150</w:t>
                  </w:r>
                </w:p>
              </w:tc>
              <w:tc>
                <w:tcPr>
                  <w:tcW w:w="588" w:type="dxa"/>
                  <w:tcBorders>
                    <w:tl2br w:val="nil"/>
                    <w:tr2bl w:val="nil"/>
                  </w:tcBorders>
                  <w:shd w:val="clear" w:color="auto" w:fill="auto"/>
                  <w:noWrap/>
                  <w:vAlign w:val="center"/>
                </w:tcPr>
                <w:p w14:paraId="3C5844C8">
                  <w:pPr>
                    <w:pStyle w:val="40"/>
                    <w:bidi w:val="0"/>
                    <w:rPr>
                      <w:rFonts w:hint="default"/>
                      <w:color w:val="auto"/>
                      <w:spacing w:val="-6"/>
                      <w:highlight w:val="none"/>
                    </w:rPr>
                  </w:pPr>
                  <w:r>
                    <w:rPr>
                      <w:rFonts w:hint="default"/>
                      <w:color w:val="auto"/>
                      <w:spacing w:val="-6"/>
                      <w:highlight w:val="none"/>
                      <w:lang w:val="en-US" w:eastAsia="zh-CN"/>
                    </w:rPr>
                    <w:t>114</w:t>
                  </w:r>
                </w:p>
              </w:tc>
              <w:tc>
                <w:tcPr>
                  <w:tcW w:w="565" w:type="dxa"/>
                  <w:tcBorders>
                    <w:tl2br w:val="nil"/>
                    <w:tr2bl w:val="nil"/>
                  </w:tcBorders>
                  <w:shd w:val="clear" w:color="auto" w:fill="auto"/>
                  <w:noWrap/>
                  <w:vAlign w:val="center"/>
                </w:tcPr>
                <w:p w14:paraId="6F25C4B6">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7DDFD518">
                  <w:pPr>
                    <w:pStyle w:val="40"/>
                    <w:bidi w:val="0"/>
                    <w:rPr>
                      <w:rFonts w:hint="default"/>
                      <w:color w:val="auto"/>
                      <w:spacing w:val="-6"/>
                      <w:highlight w:val="none"/>
                    </w:rPr>
                  </w:pPr>
                  <w:r>
                    <w:rPr>
                      <w:rFonts w:hint="default"/>
                      <w:color w:val="auto"/>
                      <w:spacing w:val="-6"/>
                      <w:highlight w:val="none"/>
                      <w:lang w:val="en-US" w:eastAsia="zh-CN"/>
                    </w:rPr>
                    <w:t>118</w:t>
                  </w:r>
                </w:p>
              </w:tc>
              <w:tc>
                <w:tcPr>
                  <w:tcW w:w="600" w:type="dxa"/>
                  <w:tcBorders>
                    <w:tl2br w:val="nil"/>
                    <w:tr2bl w:val="nil"/>
                  </w:tcBorders>
                  <w:shd w:val="clear" w:color="auto" w:fill="auto"/>
                  <w:noWrap/>
                  <w:vAlign w:val="center"/>
                </w:tcPr>
                <w:p w14:paraId="12E29DDB">
                  <w:pPr>
                    <w:pStyle w:val="40"/>
                    <w:bidi w:val="0"/>
                    <w:rPr>
                      <w:rFonts w:hint="default"/>
                      <w:color w:val="auto"/>
                      <w:spacing w:val="-6"/>
                      <w:highlight w:val="none"/>
                    </w:rPr>
                  </w:pPr>
                  <w:r>
                    <w:rPr>
                      <w:rFonts w:hint="default"/>
                      <w:color w:val="auto"/>
                      <w:spacing w:val="-6"/>
                      <w:highlight w:val="none"/>
                      <w:lang w:val="en-US" w:eastAsia="zh-CN"/>
                    </w:rPr>
                    <w:t>72.7</w:t>
                  </w:r>
                </w:p>
              </w:tc>
              <w:tc>
                <w:tcPr>
                  <w:tcW w:w="611" w:type="dxa"/>
                  <w:vMerge w:val="continue"/>
                  <w:tcBorders>
                    <w:tl2br w:val="nil"/>
                    <w:tr2bl w:val="nil"/>
                  </w:tcBorders>
                  <w:shd w:val="clear" w:color="auto" w:fill="auto"/>
                  <w:noWrap/>
                  <w:vAlign w:val="center"/>
                </w:tcPr>
                <w:p w14:paraId="3472FE10">
                  <w:pPr>
                    <w:pStyle w:val="40"/>
                    <w:bidi w:val="0"/>
                    <w:rPr>
                      <w:rFonts w:hint="default"/>
                      <w:color w:val="auto"/>
                      <w:spacing w:val="-6"/>
                      <w:highlight w:val="none"/>
                    </w:rPr>
                  </w:pPr>
                </w:p>
              </w:tc>
            </w:tr>
            <w:tr w14:paraId="25024F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06001032">
                  <w:pPr>
                    <w:pStyle w:val="40"/>
                    <w:bidi w:val="0"/>
                    <w:rPr>
                      <w:rFonts w:hint="default"/>
                      <w:color w:val="auto"/>
                      <w:spacing w:val="-6"/>
                      <w:highlight w:val="none"/>
                    </w:rPr>
                  </w:pPr>
                </w:p>
              </w:tc>
              <w:tc>
                <w:tcPr>
                  <w:tcW w:w="1218" w:type="dxa"/>
                  <w:vMerge w:val="restart"/>
                  <w:tcBorders>
                    <w:tl2br w:val="nil"/>
                    <w:tr2bl w:val="nil"/>
                  </w:tcBorders>
                  <w:shd w:val="clear" w:color="auto" w:fill="auto"/>
                  <w:vAlign w:val="center"/>
                </w:tcPr>
                <w:p w14:paraId="3E48866B">
                  <w:pPr>
                    <w:pStyle w:val="40"/>
                    <w:bidi w:val="0"/>
                    <w:rPr>
                      <w:rFonts w:hint="default"/>
                      <w:color w:val="auto"/>
                      <w:spacing w:val="-6"/>
                      <w:highlight w:val="none"/>
                    </w:rPr>
                  </w:pPr>
                  <w:r>
                    <w:rPr>
                      <w:rFonts w:hint="eastAsia"/>
                      <w:color w:val="auto"/>
                      <w:spacing w:val="-6"/>
                      <w:highlight w:val="none"/>
                      <w:lang w:val="en-US" w:eastAsia="zh-CN"/>
                    </w:rPr>
                    <w:t>成品筛分区</w:t>
                  </w:r>
                </w:p>
              </w:tc>
              <w:tc>
                <w:tcPr>
                  <w:tcW w:w="1562" w:type="dxa"/>
                  <w:tcBorders>
                    <w:tl2br w:val="nil"/>
                    <w:tr2bl w:val="nil"/>
                  </w:tcBorders>
                  <w:shd w:val="clear" w:color="auto" w:fill="auto"/>
                  <w:noWrap/>
                  <w:vAlign w:val="center"/>
                </w:tcPr>
                <w:p w14:paraId="6AA9DF18">
                  <w:pPr>
                    <w:pStyle w:val="40"/>
                    <w:bidi w:val="0"/>
                    <w:rPr>
                      <w:rFonts w:hint="default"/>
                      <w:color w:val="auto"/>
                      <w:spacing w:val="-6"/>
                      <w:highlight w:val="none"/>
                    </w:rPr>
                  </w:pPr>
                  <w:r>
                    <w:rPr>
                      <w:rFonts w:hint="default"/>
                      <w:color w:val="auto"/>
                      <w:spacing w:val="-6"/>
                      <w:highlight w:val="none"/>
                      <w:lang w:val="en-US" w:eastAsia="zh-CN"/>
                    </w:rPr>
                    <w:t>1#</w:t>
                  </w:r>
                  <w:r>
                    <w:rPr>
                      <w:rFonts w:hint="eastAsia"/>
                      <w:color w:val="auto"/>
                      <w:spacing w:val="-6"/>
                      <w:highlight w:val="none"/>
                      <w:lang w:val="en-US" w:eastAsia="zh-CN"/>
                    </w:rPr>
                    <w:t>振动筛</w:t>
                  </w:r>
                </w:p>
              </w:tc>
              <w:tc>
                <w:tcPr>
                  <w:tcW w:w="1062" w:type="dxa"/>
                  <w:tcBorders>
                    <w:tl2br w:val="nil"/>
                    <w:tr2bl w:val="nil"/>
                  </w:tcBorders>
                  <w:shd w:val="clear" w:color="auto" w:fill="auto"/>
                  <w:noWrap/>
                  <w:vAlign w:val="center"/>
                </w:tcPr>
                <w:p w14:paraId="0E2A5CB6">
                  <w:pPr>
                    <w:pStyle w:val="40"/>
                    <w:bidi w:val="0"/>
                    <w:rPr>
                      <w:rFonts w:hint="default"/>
                      <w:color w:val="auto"/>
                      <w:spacing w:val="-6"/>
                      <w:highlight w:val="none"/>
                    </w:rPr>
                  </w:pPr>
                  <w:r>
                    <w:rPr>
                      <w:rFonts w:hint="default"/>
                      <w:color w:val="auto"/>
                      <w:spacing w:val="-6"/>
                      <w:highlight w:val="none"/>
                      <w:lang w:val="en-US" w:eastAsia="zh-CN"/>
                    </w:rPr>
                    <w:t>85</w:t>
                  </w:r>
                </w:p>
              </w:tc>
              <w:tc>
                <w:tcPr>
                  <w:tcW w:w="600" w:type="dxa"/>
                  <w:tcBorders>
                    <w:tl2br w:val="nil"/>
                    <w:tr2bl w:val="nil"/>
                  </w:tcBorders>
                  <w:shd w:val="clear" w:color="auto" w:fill="auto"/>
                  <w:noWrap/>
                  <w:vAlign w:val="center"/>
                </w:tcPr>
                <w:p w14:paraId="7E5A1CAF">
                  <w:pPr>
                    <w:pStyle w:val="40"/>
                    <w:bidi w:val="0"/>
                    <w:rPr>
                      <w:rFonts w:hint="default"/>
                      <w:color w:val="auto"/>
                      <w:spacing w:val="-6"/>
                      <w:highlight w:val="none"/>
                    </w:rPr>
                  </w:pPr>
                  <w:r>
                    <w:rPr>
                      <w:rFonts w:hint="default"/>
                      <w:color w:val="auto"/>
                      <w:spacing w:val="-6"/>
                      <w:highlight w:val="none"/>
                      <w:lang w:val="en-US" w:eastAsia="zh-CN"/>
                    </w:rPr>
                    <w:t>92</w:t>
                  </w:r>
                </w:p>
              </w:tc>
              <w:tc>
                <w:tcPr>
                  <w:tcW w:w="588" w:type="dxa"/>
                  <w:tcBorders>
                    <w:tl2br w:val="nil"/>
                    <w:tr2bl w:val="nil"/>
                  </w:tcBorders>
                  <w:shd w:val="clear" w:color="auto" w:fill="auto"/>
                  <w:noWrap/>
                  <w:vAlign w:val="center"/>
                </w:tcPr>
                <w:p w14:paraId="68D9C524">
                  <w:pPr>
                    <w:pStyle w:val="40"/>
                    <w:bidi w:val="0"/>
                    <w:rPr>
                      <w:rFonts w:hint="default"/>
                      <w:color w:val="auto"/>
                      <w:spacing w:val="-6"/>
                      <w:highlight w:val="none"/>
                    </w:rPr>
                  </w:pPr>
                  <w:r>
                    <w:rPr>
                      <w:rFonts w:hint="default"/>
                      <w:color w:val="auto"/>
                      <w:spacing w:val="-6"/>
                      <w:highlight w:val="none"/>
                      <w:lang w:val="en-US" w:eastAsia="zh-CN"/>
                    </w:rPr>
                    <w:t>101</w:t>
                  </w:r>
                </w:p>
              </w:tc>
              <w:tc>
                <w:tcPr>
                  <w:tcW w:w="565" w:type="dxa"/>
                  <w:tcBorders>
                    <w:tl2br w:val="nil"/>
                    <w:tr2bl w:val="nil"/>
                  </w:tcBorders>
                  <w:shd w:val="clear" w:color="auto" w:fill="auto"/>
                  <w:noWrap/>
                  <w:vAlign w:val="center"/>
                </w:tcPr>
                <w:p w14:paraId="7881991D">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7FDA122F">
                  <w:pPr>
                    <w:pStyle w:val="40"/>
                    <w:bidi w:val="0"/>
                    <w:rPr>
                      <w:rFonts w:hint="default"/>
                      <w:color w:val="auto"/>
                      <w:spacing w:val="-6"/>
                      <w:highlight w:val="none"/>
                    </w:rPr>
                  </w:pPr>
                  <w:r>
                    <w:rPr>
                      <w:rFonts w:hint="default"/>
                      <w:color w:val="auto"/>
                      <w:spacing w:val="-6"/>
                      <w:highlight w:val="none"/>
                      <w:lang w:val="en-US" w:eastAsia="zh-CN"/>
                    </w:rPr>
                    <w:t>125</w:t>
                  </w:r>
                </w:p>
              </w:tc>
              <w:tc>
                <w:tcPr>
                  <w:tcW w:w="600" w:type="dxa"/>
                  <w:tcBorders>
                    <w:tl2br w:val="nil"/>
                    <w:tr2bl w:val="nil"/>
                  </w:tcBorders>
                  <w:shd w:val="clear" w:color="auto" w:fill="auto"/>
                  <w:noWrap/>
                  <w:vAlign w:val="center"/>
                </w:tcPr>
                <w:p w14:paraId="4963D901">
                  <w:pPr>
                    <w:pStyle w:val="40"/>
                    <w:bidi w:val="0"/>
                    <w:rPr>
                      <w:rFonts w:hint="default"/>
                      <w:color w:val="auto"/>
                      <w:spacing w:val="-6"/>
                      <w:highlight w:val="none"/>
                    </w:rPr>
                  </w:pPr>
                  <w:r>
                    <w:rPr>
                      <w:rFonts w:hint="default"/>
                      <w:color w:val="auto"/>
                      <w:spacing w:val="-6"/>
                      <w:highlight w:val="none"/>
                      <w:lang w:val="en-US" w:eastAsia="zh-CN"/>
                    </w:rPr>
                    <w:t>67.7</w:t>
                  </w:r>
                </w:p>
              </w:tc>
              <w:tc>
                <w:tcPr>
                  <w:tcW w:w="611" w:type="dxa"/>
                  <w:vMerge w:val="continue"/>
                  <w:tcBorders>
                    <w:tl2br w:val="nil"/>
                    <w:tr2bl w:val="nil"/>
                  </w:tcBorders>
                  <w:shd w:val="clear" w:color="auto" w:fill="auto"/>
                  <w:noWrap/>
                  <w:vAlign w:val="center"/>
                </w:tcPr>
                <w:p w14:paraId="4C3304A7">
                  <w:pPr>
                    <w:pStyle w:val="40"/>
                    <w:bidi w:val="0"/>
                    <w:rPr>
                      <w:rFonts w:hint="default"/>
                      <w:color w:val="auto"/>
                      <w:spacing w:val="-6"/>
                      <w:highlight w:val="none"/>
                    </w:rPr>
                  </w:pPr>
                </w:p>
              </w:tc>
            </w:tr>
            <w:tr w14:paraId="4CBB61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1A656B3F">
                  <w:pPr>
                    <w:pStyle w:val="40"/>
                    <w:bidi w:val="0"/>
                    <w:rPr>
                      <w:rFonts w:hint="default"/>
                      <w:color w:val="auto"/>
                      <w:spacing w:val="-6"/>
                      <w:highlight w:val="none"/>
                    </w:rPr>
                  </w:pPr>
                </w:p>
              </w:tc>
              <w:tc>
                <w:tcPr>
                  <w:tcW w:w="1218" w:type="dxa"/>
                  <w:vMerge w:val="continue"/>
                  <w:tcBorders>
                    <w:tl2br w:val="nil"/>
                    <w:tr2bl w:val="nil"/>
                  </w:tcBorders>
                  <w:shd w:val="clear" w:color="auto" w:fill="auto"/>
                  <w:vAlign w:val="center"/>
                </w:tcPr>
                <w:p w14:paraId="55BCF8F3">
                  <w:pPr>
                    <w:pStyle w:val="40"/>
                    <w:bidi w:val="0"/>
                    <w:rPr>
                      <w:rFonts w:hint="default"/>
                      <w:color w:val="auto"/>
                      <w:spacing w:val="-6"/>
                      <w:highlight w:val="none"/>
                    </w:rPr>
                  </w:pPr>
                </w:p>
              </w:tc>
              <w:tc>
                <w:tcPr>
                  <w:tcW w:w="1562" w:type="dxa"/>
                  <w:tcBorders>
                    <w:tl2br w:val="nil"/>
                    <w:tr2bl w:val="nil"/>
                  </w:tcBorders>
                  <w:shd w:val="clear" w:color="auto" w:fill="auto"/>
                  <w:noWrap/>
                  <w:vAlign w:val="center"/>
                </w:tcPr>
                <w:p w14:paraId="13957168">
                  <w:pPr>
                    <w:pStyle w:val="40"/>
                    <w:bidi w:val="0"/>
                    <w:rPr>
                      <w:rFonts w:hint="default"/>
                      <w:color w:val="auto"/>
                      <w:spacing w:val="-6"/>
                      <w:highlight w:val="none"/>
                    </w:rPr>
                  </w:pPr>
                  <w:r>
                    <w:rPr>
                      <w:rFonts w:hint="default"/>
                      <w:color w:val="auto"/>
                      <w:spacing w:val="-6"/>
                      <w:highlight w:val="none"/>
                      <w:lang w:val="en-US" w:eastAsia="zh-CN"/>
                    </w:rPr>
                    <w:t>2#</w:t>
                  </w:r>
                  <w:r>
                    <w:rPr>
                      <w:rFonts w:hint="eastAsia"/>
                      <w:color w:val="auto"/>
                      <w:spacing w:val="-6"/>
                      <w:highlight w:val="none"/>
                      <w:lang w:val="en-US" w:eastAsia="zh-CN"/>
                    </w:rPr>
                    <w:t>振动筛</w:t>
                  </w:r>
                </w:p>
              </w:tc>
              <w:tc>
                <w:tcPr>
                  <w:tcW w:w="1062" w:type="dxa"/>
                  <w:tcBorders>
                    <w:tl2br w:val="nil"/>
                    <w:tr2bl w:val="nil"/>
                  </w:tcBorders>
                  <w:shd w:val="clear" w:color="auto" w:fill="auto"/>
                  <w:noWrap/>
                  <w:vAlign w:val="center"/>
                </w:tcPr>
                <w:p w14:paraId="78106C18">
                  <w:pPr>
                    <w:pStyle w:val="40"/>
                    <w:bidi w:val="0"/>
                    <w:rPr>
                      <w:rFonts w:hint="default"/>
                      <w:color w:val="auto"/>
                      <w:spacing w:val="-6"/>
                      <w:highlight w:val="none"/>
                    </w:rPr>
                  </w:pPr>
                  <w:r>
                    <w:rPr>
                      <w:rFonts w:hint="default"/>
                      <w:color w:val="auto"/>
                      <w:spacing w:val="-6"/>
                      <w:highlight w:val="none"/>
                      <w:lang w:val="en-US" w:eastAsia="zh-CN"/>
                    </w:rPr>
                    <w:t>85</w:t>
                  </w:r>
                </w:p>
              </w:tc>
              <w:tc>
                <w:tcPr>
                  <w:tcW w:w="600" w:type="dxa"/>
                  <w:tcBorders>
                    <w:tl2br w:val="nil"/>
                    <w:tr2bl w:val="nil"/>
                  </w:tcBorders>
                  <w:shd w:val="clear" w:color="auto" w:fill="auto"/>
                  <w:noWrap/>
                  <w:vAlign w:val="center"/>
                </w:tcPr>
                <w:p w14:paraId="1FE984E3">
                  <w:pPr>
                    <w:pStyle w:val="40"/>
                    <w:bidi w:val="0"/>
                    <w:rPr>
                      <w:rFonts w:hint="default"/>
                      <w:color w:val="auto"/>
                      <w:spacing w:val="-6"/>
                      <w:highlight w:val="none"/>
                    </w:rPr>
                  </w:pPr>
                  <w:r>
                    <w:rPr>
                      <w:rFonts w:hint="default"/>
                      <w:color w:val="auto"/>
                      <w:spacing w:val="-6"/>
                      <w:highlight w:val="none"/>
                      <w:lang w:val="en-US" w:eastAsia="zh-CN"/>
                    </w:rPr>
                    <w:t>107</w:t>
                  </w:r>
                </w:p>
              </w:tc>
              <w:tc>
                <w:tcPr>
                  <w:tcW w:w="588" w:type="dxa"/>
                  <w:tcBorders>
                    <w:tl2br w:val="nil"/>
                    <w:tr2bl w:val="nil"/>
                  </w:tcBorders>
                  <w:shd w:val="clear" w:color="auto" w:fill="auto"/>
                  <w:noWrap/>
                  <w:vAlign w:val="center"/>
                </w:tcPr>
                <w:p w14:paraId="2C725A57">
                  <w:pPr>
                    <w:pStyle w:val="40"/>
                    <w:bidi w:val="0"/>
                    <w:rPr>
                      <w:rFonts w:hint="default"/>
                      <w:color w:val="auto"/>
                      <w:spacing w:val="-6"/>
                      <w:highlight w:val="none"/>
                    </w:rPr>
                  </w:pPr>
                  <w:r>
                    <w:rPr>
                      <w:rFonts w:hint="default"/>
                      <w:color w:val="auto"/>
                      <w:spacing w:val="-6"/>
                      <w:highlight w:val="none"/>
                      <w:lang w:val="en-US" w:eastAsia="zh-CN"/>
                    </w:rPr>
                    <w:t>102</w:t>
                  </w:r>
                </w:p>
              </w:tc>
              <w:tc>
                <w:tcPr>
                  <w:tcW w:w="565" w:type="dxa"/>
                  <w:tcBorders>
                    <w:tl2br w:val="nil"/>
                    <w:tr2bl w:val="nil"/>
                  </w:tcBorders>
                  <w:shd w:val="clear" w:color="auto" w:fill="auto"/>
                  <w:noWrap/>
                  <w:vAlign w:val="center"/>
                </w:tcPr>
                <w:p w14:paraId="084D4C55">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34B40501">
                  <w:pPr>
                    <w:pStyle w:val="40"/>
                    <w:bidi w:val="0"/>
                    <w:rPr>
                      <w:rFonts w:hint="default"/>
                      <w:color w:val="auto"/>
                      <w:spacing w:val="-6"/>
                      <w:highlight w:val="none"/>
                    </w:rPr>
                  </w:pPr>
                  <w:r>
                    <w:rPr>
                      <w:rFonts w:hint="default"/>
                      <w:color w:val="auto"/>
                      <w:spacing w:val="-6"/>
                      <w:highlight w:val="none"/>
                      <w:lang w:val="en-US" w:eastAsia="zh-CN"/>
                    </w:rPr>
                    <w:t>124</w:t>
                  </w:r>
                </w:p>
              </w:tc>
              <w:tc>
                <w:tcPr>
                  <w:tcW w:w="600" w:type="dxa"/>
                  <w:tcBorders>
                    <w:tl2br w:val="nil"/>
                    <w:tr2bl w:val="nil"/>
                  </w:tcBorders>
                  <w:shd w:val="clear" w:color="auto" w:fill="auto"/>
                  <w:noWrap/>
                  <w:vAlign w:val="center"/>
                </w:tcPr>
                <w:p w14:paraId="6DFD044E">
                  <w:pPr>
                    <w:pStyle w:val="40"/>
                    <w:bidi w:val="0"/>
                    <w:rPr>
                      <w:rFonts w:hint="default"/>
                      <w:color w:val="auto"/>
                      <w:spacing w:val="-6"/>
                      <w:highlight w:val="none"/>
                    </w:rPr>
                  </w:pPr>
                  <w:r>
                    <w:rPr>
                      <w:rFonts w:hint="default"/>
                      <w:color w:val="auto"/>
                      <w:spacing w:val="-6"/>
                      <w:highlight w:val="none"/>
                      <w:lang w:val="en-US" w:eastAsia="zh-CN"/>
                    </w:rPr>
                    <w:t>67.7</w:t>
                  </w:r>
                </w:p>
              </w:tc>
              <w:tc>
                <w:tcPr>
                  <w:tcW w:w="611" w:type="dxa"/>
                  <w:vMerge w:val="continue"/>
                  <w:tcBorders>
                    <w:tl2br w:val="nil"/>
                    <w:tr2bl w:val="nil"/>
                  </w:tcBorders>
                  <w:shd w:val="clear" w:color="auto" w:fill="auto"/>
                  <w:noWrap/>
                  <w:vAlign w:val="center"/>
                </w:tcPr>
                <w:p w14:paraId="14319D35">
                  <w:pPr>
                    <w:pStyle w:val="40"/>
                    <w:bidi w:val="0"/>
                    <w:rPr>
                      <w:rFonts w:hint="default"/>
                      <w:color w:val="auto"/>
                      <w:spacing w:val="-6"/>
                      <w:highlight w:val="none"/>
                    </w:rPr>
                  </w:pPr>
                </w:p>
              </w:tc>
            </w:tr>
            <w:tr w14:paraId="5EFE14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7DF54C00">
                  <w:pPr>
                    <w:pStyle w:val="40"/>
                    <w:bidi w:val="0"/>
                    <w:rPr>
                      <w:rFonts w:hint="default"/>
                      <w:color w:val="auto"/>
                      <w:spacing w:val="-6"/>
                      <w:highlight w:val="none"/>
                    </w:rPr>
                  </w:pPr>
                </w:p>
              </w:tc>
              <w:tc>
                <w:tcPr>
                  <w:tcW w:w="1218" w:type="dxa"/>
                  <w:vMerge w:val="continue"/>
                  <w:tcBorders>
                    <w:tl2br w:val="nil"/>
                    <w:tr2bl w:val="nil"/>
                  </w:tcBorders>
                  <w:shd w:val="clear" w:color="auto" w:fill="auto"/>
                  <w:vAlign w:val="center"/>
                </w:tcPr>
                <w:p w14:paraId="61C379B2">
                  <w:pPr>
                    <w:pStyle w:val="40"/>
                    <w:bidi w:val="0"/>
                    <w:rPr>
                      <w:rFonts w:hint="default"/>
                      <w:color w:val="auto"/>
                      <w:spacing w:val="-6"/>
                      <w:highlight w:val="none"/>
                    </w:rPr>
                  </w:pPr>
                </w:p>
              </w:tc>
              <w:tc>
                <w:tcPr>
                  <w:tcW w:w="1562" w:type="dxa"/>
                  <w:tcBorders>
                    <w:tl2br w:val="nil"/>
                    <w:tr2bl w:val="nil"/>
                  </w:tcBorders>
                  <w:shd w:val="clear" w:color="auto" w:fill="auto"/>
                  <w:noWrap/>
                  <w:vAlign w:val="center"/>
                </w:tcPr>
                <w:p w14:paraId="319F9B71">
                  <w:pPr>
                    <w:pStyle w:val="40"/>
                    <w:bidi w:val="0"/>
                    <w:rPr>
                      <w:rFonts w:hint="default"/>
                      <w:color w:val="auto"/>
                      <w:spacing w:val="-6"/>
                      <w:highlight w:val="none"/>
                    </w:rPr>
                  </w:pPr>
                  <w:r>
                    <w:rPr>
                      <w:rFonts w:hint="default"/>
                      <w:color w:val="auto"/>
                      <w:spacing w:val="-6"/>
                      <w:highlight w:val="none"/>
                      <w:lang w:val="en-US" w:eastAsia="zh-CN"/>
                    </w:rPr>
                    <w:t>3#</w:t>
                  </w:r>
                  <w:r>
                    <w:rPr>
                      <w:rFonts w:hint="eastAsia"/>
                      <w:color w:val="auto"/>
                      <w:spacing w:val="-6"/>
                      <w:highlight w:val="none"/>
                      <w:lang w:val="en-US" w:eastAsia="zh-CN"/>
                    </w:rPr>
                    <w:t>振动筛</w:t>
                  </w:r>
                </w:p>
              </w:tc>
              <w:tc>
                <w:tcPr>
                  <w:tcW w:w="1062" w:type="dxa"/>
                  <w:tcBorders>
                    <w:tl2br w:val="nil"/>
                    <w:tr2bl w:val="nil"/>
                  </w:tcBorders>
                  <w:shd w:val="clear" w:color="auto" w:fill="auto"/>
                  <w:noWrap/>
                  <w:vAlign w:val="center"/>
                </w:tcPr>
                <w:p w14:paraId="355C039E">
                  <w:pPr>
                    <w:pStyle w:val="40"/>
                    <w:bidi w:val="0"/>
                    <w:rPr>
                      <w:rFonts w:hint="default"/>
                      <w:color w:val="auto"/>
                      <w:spacing w:val="-6"/>
                      <w:highlight w:val="none"/>
                    </w:rPr>
                  </w:pPr>
                  <w:r>
                    <w:rPr>
                      <w:rFonts w:hint="default"/>
                      <w:color w:val="auto"/>
                      <w:spacing w:val="-6"/>
                      <w:highlight w:val="none"/>
                      <w:lang w:val="en-US" w:eastAsia="zh-CN"/>
                    </w:rPr>
                    <w:t>85</w:t>
                  </w:r>
                </w:p>
              </w:tc>
              <w:tc>
                <w:tcPr>
                  <w:tcW w:w="600" w:type="dxa"/>
                  <w:tcBorders>
                    <w:tl2br w:val="nil"/>
                    <w:tr2bl w:val="nil"/>
                  </w:tcBorders>
                  <w:shd w:val="clear" w:color="auto" w:fill="auto"/>
                  <w:noWrap/>
                  <w:vAlign w:val="center"/>
                </w:tcPr>
                <w:p w14:paraId="791CC19E">
                  <w:pPr>
                    <w:pStyle w:val="40"/>
                    <w:bidi w:val="0"/>
                    <w:rPr>
                      <w:rFonts w:hint="default"/>
                      <w:color w:val="auto"/>
                      <w:spacing w:val="-6"/>
                      <w:highlight w:val="none"/>
                    </w:rPr>
                  </w:pPr>
                  <w:r>
                    <w:rPr>
                      <w:rFonts w:hint="default"/>
                      <w:color w:val="auto"/>
                      <w:spacing w:val="-6"/>
                      <w:highlight w:val="none"/>
                      <w:lang w:val="en-US" w:eastAsia="zh-CN"/>
                    </w:rPr>
                    <w:t>122</w:t>
                  </w:r>
                </w:p>
              </w:tc>
              <w:tc>
                <w:tcPr>
                  <w:tcW w:w="588" w:type="dxa"/>
                  <w:tcBorders>
                    <w:tl2br w:val="nil"/>
                    <w:tr2bl w:val="nil"/>
                  </w:tcBorders>
                  <w:shd w:val="clear" w:color="auto" w:fill="auto"/>
                  <w:noWrap/>
                  <w:vAlign w:val="center"/>
                </w:tcPr>
                <w:p w14:paraId="295C2EC8">
                  <w:pPr>
                    <w:pStyle w:val="40"/>
                    <w:bidi w:val="0"/>
                    <w:rPr>
                      <w:rFonts w:hint="default"/>
                      <w:color w:val="auto"/>
                      <w:spacing w:val="-6"/>
                      <w:highlight w:val="none"/>
                    </w:rPr>
                  </w:pPr>
                  <w:r>
                    <w:rPr>
                      <w:rFonts w:hint="default"/>
                      <w:color w:val="auto"/>
                      <w:spacing w:val="-6"/>
                      <w:highlight w:val="none"/>
                      <w:lang w:val="en-US" w:eastAsia="zh-CN"/>
                    </w:rPr>
                    <w:t>103</w:t>
                  </w:r>
                </w:p>
              </w:tc>
              <w:tc>
                <w:tcPr>
                  <w:tcW w:w="565" w:type="dxa"/>
                  <w:tcBorders>
                    <w:tl2br w:val="nil"/>
                    <w:tr2bl w:val="nil"/>
                  </w:tcBorders>
                  <w:shd w:val="clear" w:color="auto" w:fill="auto"/>
                  <w:noWrap/>
                  <w:vAlign w:val="center"/>
                </w:tcPr>
                <w:p w14:paraId="342C952B">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1CBC00B8">
                  <w:pPr>
                    <w:pStyle w:val="40"/>
                    <w:bidi w:val="0"/>
                    <w:rPr>
                      <w:rFonts w:hint="default"/>
                      <w:color w:val="auto"/>
                      <w:spacing w:val="-6"/>
                      <w:highlight w:val="none"/>
                    </w:rPr>
                  </w:pPr>
                  <w:r>
                    <w:rPr>
                      <w:rFonts w:hint="default"/>
                      <w:color w:val="auto"/>
                      <w:spacing w:val="-6"/>
                      <w:highlight w:val="none"/>
                      <w:lang w:val="en-US" w:eastAsia="zh-CN"/>
                    </w:rPr>
                    <w:t>123</w:t>
                  </w:r>
                </w:p>
              </w:tc>
              <w:tc>
                <w:tcPr>
                  <w:tcW w:w="600" w:type="dxa"/>
                  <w:tcBorders>
                    <w:tl2br w:val="nil"/>
                    <w:tr2bl w:val="nil"/>
                  </w:tcBorders>
                  <w:shd w:val="clear" w:color="auto" w:fill="auto"/>
                  <w:noWrap/>
                  <w:vAlign w:val="center"/>
                </w:tcPr>
                <w:p w14:paraId="5718AA2B">
                  <w:pPr>
                    <w:pStyle w:val="40"/>
                    <w:bidi w:val="0"/>
                    <w:rPr>
                      <w:rFonts w:hint="default"/>
                      <w:color w:val="auto"/>
                      <w:spacing w:val="-6"/>
                      <w:highlight w:val="none"/>
                    </w:rPr>
                  </w:pPr>
                  <w:r>
                    <w:rPr>
                      <w:rFonts w:hint="default"/>
                      <w:color w:val="auto"/>
                      <w:spacing w:val="-6"/>
                      <w:highlight w:val="none"/>
                      <w:lang w:val="en-US" w:eastAsia="zh-CN"/>
                    </w:rPr>
                    <w:t>67.7</w:t>
                  </w:r>
                </w:p>
              </w:tc>
              <w:tc>
                <w:tcPr>
                  <w:tcW w:w="611" w:type="dxa"/>
                  <w:vMerge w:val="continue"/>
                  <w:tcBorders>
                    <w:tl2br w:val="nil"/>
                    <w:tr2bl w:val="nil"/>
                  </w:tcBorders>
                  <w:shd w:val="clear" w:color="auto" w:fill="auto"/>
                  <w:noWrap/>
                  <w:vAlign w:val="center"/>
                </w:tcPr>
                <w:p w14:paraId="64A543C8">
                  <w:pPr>
                    <w:pStyle w:val="40"/>
                    <w:bidi w:val="0"/>
                    <w:rPr>
                      <w:rFonts w:hint="default"/>
                      <w:color w:val="auto"/>
                      <w:spacing w:val="-6"/>
                      <w:highlight w:val="none"/>
                    </w:rPr>
                  </w:pPr>
                </w:p>
              </w:tc>
            </w:tr>
            <w:tr w14:paraId="029739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394E27D9">
                  <w:pPr>
                    <w:pStyle w:val="40"/>
                    <w:bidi w:val="0"/>
                    <w:rPr>
                      <w:rFonts w:hint="default"/>
                      <w:color w:val="auto"/>
                      <w:spacing w:val="-6"/>
                      <w:highlight w:val="none"/>
                    </w:rPr>
                  </w:pPr>
                </w:p>
              </w:tc>
              <w:tc>
                <w:tcPr>
                  <w:tcW w:w="1218" w:type="dxa"/>
                  <w:vMerge w:val="continue"/>
                  <w:tcBorders>
                    <w:tl2br w:val="nil"/>
                    <w:tr2bl w:val="nil"/>
                  </w:tcBorders>
                  <w:shd w:val="clear" w:color="auto" w:fill="auto"/>
                  <w:vAlign w:val="center"/>
                </w:tcPr>
                <w:p w14:paraId="71C7D2F6">
                  <w:pPr>
                    <w:pStyle w:val="40"/>
                    <w:bidi w:val="0"/>
                    <w:rPr>
                      <w:rFonts w:hint="default"/>
                      <w:color w:val="auto"/>
                      <w:spacing w:val="-6"/>
                      <w:highlight w:val="none"/>
                    </w:rPr>
                  </w:pPr>
                </w:p>
              </w:tc>
              <w:tc>
                <w:tcPr>
                  <w:tcW w:w="1562" w:type="dxa"/>
                  <w:tcBorders>
                    <w:tl2br w:val="nil"/>
                    <w:tr2bl w:val="nil"/>
                  </w:tcBorders>
                  <w:shd w:val="clear" w:color="auto" w:fill="auto"/>
                  <w:noWrap/>
                  <w:vAlign w:val="center"/>
                </w:tcPr>
                <w:p w14:paraId="6D9F22C4">
                  <w:pPr>
                    <w:pStyle w:val="40"/>
                    <w:bidi w:val="0"/>
                    <w:rPr>
                      <w:rFonts w:hint="default"/>
                      <w:color w:val="auto"/>
                      <w:spacing w:val="-6"/>
                      <w:highlight w:val="none"/>
                    </w:rPr>
                  </w:pPr>
                  <w:r>
                    <w:rPr>
                      <w:rFonts w:hint="default"/>
                      <w:color w:val="auto"/>
                      <w:spacing w:val="-6"/>
                      <w:highlight w:val="none"/>
                      <w:lang w:val="en-US" w:eastAsia="zh-CN"/>
                    </w:rPr>
                    <w:t>4#</w:t>
                  </w:r>
                  <w:r>
                    <w:rPr>
                      <w:rFonts w:hint="eastAsia"/>
                      <w:color w:val="auto"/>
                      <w:spacing w:val="-6"/>
                      <w:highlight w:val="none"/>
                      <w:lang w:val="en-US" w:eastAsia="zh-CN"/>
                    </w:rPr>
                    <w:t>振动筛</w:t>
                  </w:r>
                </w:p>
              </w:tc>
              <w:tc>
                <w:tcPr>
                  <w:tcW w:w="1062" w:type="dxa"/>
                  <w:tcBorders>
                    <w:tl2br w:val="nil"/>
                    <w:tr2bl w:val="nil"/>
                  </w:tcBorders>
                  <w:shd w:val="clear" w:color="auto" w:fill="auto"/>
                  <w:noWrap/>
                  <w:vAlign w:val="center"/>
                </w:tcPr>
                <w:p w14:paraId="0DD365AD">
                  <w:pPr>
                    <w:pStyle w:val="40"/>
                    <w:bidi w:val="0"/>
                    <w:rPr>
                      <w:rFonts w:hint="default"/>
                      <w:color w:val="auto"/>
                      <w:spacing w:val="-6"/>
                      <w:highlight w:val="none"/>
                    </w:rPr>
                  </w:pPr>
                  <w:r>
                    <w:rPr>
                      <w:rFonts w:hint="default"/>
                      <w:color w:val="auto"/>
                      <w:spacing w:val="-6"/>
                      <w:highlight w:val="none"/>
                      <w:lang w:val="en-US" w:eastAsia="zh-CN"/>
                    </w:rPr>
                    <w:t>85</w:t>
                  </w:r>
                </w:p>
              </w:tc>
              <w:tc>
                <w:tcPr>
                  <w:tcW w:w="600" w:type="dxa"/>
                  <w:tcBorders>
                    <w:tl2br w:val="nil"/>
                    <w:tr2bl w:val="nil"/>
                  </w:tcBorders>
                  <w:shd w:val="clear" w:color="auto" w:fill="auto"/>
                  <w:noWrap/>
                  <w:vAlign w:val="center"/>
                </w:tcPr>
                <w:p w14:paraId="2AB32D49">
                  <w:pPr>
                    <w:pStyle w:val="40"/>
                    <w:bidi w:val="0"/>
                    <w:rPr>
                      <w:rFonts w:hint="default"/>
                      <w:color w:val="auto"/>
                      <w:spacing w:val="-6"/>
                      <w:highlight w:val="none"/>
                    </w:rPr>
                  </w:pPr>
                  <w:r>
                    <w:rPr>
                      <w:rFonts w:hint="default"/>
                      <w:color w:val="auto"/>
                      <w:spacing w:val="-6"/>
                      <w:highlight w:val="none"/>
                      <w:lang w:val="en-US" w:eastAsia="zh-CN"/>
                    </w:rPr>
                    <w:t>137</w:t>
                  </w:r>
                </w:p>
              </w:tc>
              <w:tc>
                <w:tcPr>
                  <w:tcW w:w="588" w:type="dxa"/>
                  <w:tcBorders>
                    <w:tl2br w:val="nil"/>
                    <w:tr2bl w:val="nil"/>
                  </w:tcBorders>
                  <w:shd w:val="clear" w:color="auto" w:fill="auto"/>
                  <w:noWrap/>
                  <w:vAlign w:val="center"/>
                </w:tcPr>
                <w:p w14:paraId="452E3ED8">
                  <w:pPr>
                    <w:pStyle w:val="40"/>
                    <w:bidi w:val="0"/>
                    <w:rPr>
                      <w:rFonts w:hint="default"/>
                      <w:color w:val="auto"/>
                      <w:spacing w:val="-6"/>
                      <w:highlight w:val="none"/>
                    </w:rPr>
                  </w:pPr>
                  <w:r>
                    <w:rPr>
                      <w:rFonts w:hint="default"/>
                      <w:color w:val="auto"/>
                      <w:spacing w:val="-6"/>
                      <w:highlight w:val="none"/>
                      <w:lang w:val="en-US" w:eastAsia="zh-CN"/>
                    </w:rPr>
                    <w:t>104</w:t>
                  </w:r>
                </w:p>
              </w:tc>
              <w:tc>
                <w:tcPr>
                  <w:tcW w:w="565" w:type="dxa"/>
                  <w:tcBorders>
                    <w:tl2br w:val="nil"/>
                    <w:tr2bl w:val="nil"/>
                  </w:tcBorders>
                  <w:shd w:val="clear" w:color="auto" w:fill="auto"/>
                  <w:noWrap/>
                  <w:vAlign w:val="center"/>
                </w:tcPr>
                <w:p w14:paraId="7915864C">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0965CE58">
                  <w:pPr>
                    <w:pStyle w:val="40"/>
                    <w:bidi w:val="0"/>
                    <w:rPr>
                      <w:rFonts w:hint="default"/>
                      <w:color w:val="auto"/>
                      <w:spacing w:val="-6"/>
                      <w:highlight w:val="none"/>
                    </w:rPr>
                  </w:pPr>
                  <w:r>
                    <w:rPr>
                      <w:rFonts w:hint="default"/>
                      <w:color w:val="auto"/>
                      <w:spacing w:val="-6"/>
                      <w:highlight w:val="none"/>
                      <w:lang w:val="en-US" w:eastAsia="zh-CN"/>
                    </w:rPr>
                    <w:t>126</w:t>
                  </w:r>
                </w:p>
              </w:tc>
              <w:tc>
                <w:tcPr>
                  <w:tcW w:w="600" w:type="dxa"/>
                  <w:tcBorders>
                    <w:tl2br w:val="nil"/>
                    <w:tr2bl w:val="nil"/>
                  </w:tcBorders>
                  <w:shd w:val="clear" w:color="auto" w:fill="auto"/>
                  <w:noWrap/>
                  <w:vAlign w:val="center"/>
                </w:tcPr>
                <w:p w14:paraId="287E6E1A">
                  <w:pPr>
                    <w:pStyle w:val="40"/>
                    <w:bidi w:val="0"/>
                    <w:rPr>
                      <w:rFonts w:hint="default"/>
                      <w:color w:val="auto"/>
                      <w:spacing w:val="-6"/>
                      <w:highlight w:val="none"/>
                    </w:rPr>
                  </w:pPr>
                  <w:r>
                    <w:rPr>
                      <w:rFonts w:hint="default"/>
                      <w:color w:val="auto"/>
                      <w:spacing w:val="-6"/>
                      <w:highlight w:val="none"/>
                      <w:lang w:val="en-US" w:eastAsia="zh-CN"/>
                    </w:rPr>
                    <w:t>67.7</w:t>
                  </w:r>
                </w:p>
              </w:tc>
              <w:tc>
                <w:tcPr>
                  <w:tcW w:w="611" w:type="dxa"/>
                  <w:vMerge w:val="continue"/>
                  <w:tcBorders>
                    <w:tl2br w:val="nil"/>
                    <w:tr2bl w:val="nil"/>
                  </w:tcBorders>
                  <w:shd w:val="clear" w:color="auto" w:fill="auto"/>
                  <w:noWrap/>
                  <w:vAlign w:val="center"/>
                </w:tcPr>
                <w:p w14:paraId="3596D3CA">
                  <w:pPr>
                    <w:pStyle w:val="40"/>
                    <w:bidi w:val="0"/>
                    <w:rPr>
                      <w:rFonts w:hint="default"/>
                      <w:color w:val="auto"/>
                      <w:spacing w:val="-6"/>
                      <w:highlight w:val="none"/>
                    </w:rPr>
                  </w:pPr>
                </w:p>
              </w:tc>
            </w:tr>
            <w:tr w14:paraId="02EA75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06D6A433">
                  <w:pPr>
                    <w:pStyle w:val="40"/>
                    <w:bidi w:val="0"/>
                    <w:rPr>
                      <w:rFonts w:hint="default"/>
                      <w:color w:val="auto"/>
                      <w:spacing w:val="-6"/>
                      <w:highlight w:val="none"/>
                    </w:rPr>
                  </w:pPr>
                </w:p>
              </w:tc>
              <w:tc>
                <w:tcPr>
                  <w:tcW w:w="1218" w:type="dxa"/>
                  <w:vMerge w:val="continue"/>
                  <w:tcBorders>
                    <w:tl2br w:val="nil"/>
                    <w:tr2bl w:val="nil"/>
                  </w:tcBorders>
                  <w:shd w:val="clear" w:color="auto" w:fill="auto"/>
                  <w:vAlign w:val="center"/>
                </w:tcPr>
                <w:p w14:paraId="033B3429">
                  <w:pPr>
                    <w:pStyle w:val="40"/>
                    <w:bidi w:val="0"/>
                    <w:rPr>
                      <w:rFonts w:hint="default"/>
                      <w:color w:val="auto"/>
                      <w:spacing w:val="-6"/>
                      <w:highlight w:val="none"/>
                    </w:rPr>
                  </w:pPr>
                </w:p>
              </w:tc>
              <w:tc>
                <w:tcPr>
                  <w:tcW w:w="1562" w:type="dxa"/>
                  <w:tcBorders>
                    <w:tl2br w:val="nil"/>
                    <w:tr2bl w:val="nil"/>
                  </w:tcBorders>
                  <w:shd w:val="clear" w:color="auto" w:fill="auto"/>
                  <w:noWrap/>
                  <w:vAlign w:val="center"/>
                </w:tcPr>
                <w:p w14:paraId="2A5A8BDE">
                  <w:pPr>
                    <w:pStyle w:val="40"/>
                    <w:bidi w:val="0"/>
                    <w:rPr>
                      <w:rFonts w:hint="default"/>
                      <w:color w:val="auto"/>
                      <w:spacing w:val="-6"/>
                      <w:highlight w:val="none"/>
                    </w:rPr>
                  </w:pPr>
                  <w:r>
                    <w:rPr>
                      <w:rFonts w:hint="default"/>
                      <w:color w:val="auto"/>
                      <w:spacing w:val="-6"/>
                      <w:highlight w:val="none"/>
                      <w:lang w:val="en-US" w:eastAsia="zh-CN"/>
                    </w:rPr>
                    <w:t>5#</w:t>
                  </w:r>
                  <w:r>
                    <w:rPr>
                      <w:rFonts w:hint="eastAsia"/>
                      <w:color w:val="auto"/>
                      <w:spacing w:val="-6"/>
                      <w:highlight w:val="none"/>
                      <w:lang w:val="en-US" w:eastAsia="zh-CN"/>
                    </w:rPr>
                    <w:t>振动筛</w:t>
                  </w:r>
                </w:p>
              </w:tc>
              <w:tc>
                <w:tcPr>
                  <w:tcW w:w="1062" w:type="dxa"/>
                  <w:tcBorders>
                    <w:tl2br w:val="nil"/>
                    <w:tr2bl w:val="nil"/>
                  </w:tcBorders>
                  <w:shd w:val="clear" w:color="auto" w:fill="auto"/>
                  <w:noWrap/>
                  <w:vAlign w:val="center"/>
                </w:tcPr>
                <w:p w14:paraId="0B6BDDD2">
                  <w:pPr>
                    <w:pStyle w:val="40"/>
                    <w:bidi w:val="0"/>
                    <w:rPr>
                      <w:rFonts w:hint="default"/>
                      <w:color w:val="auto"/>
                      <w:spacing w:val="-6"/>
                      <w:highlight w:val="none"/>
                    </w:rPr>
                  </w:pPr>
                  <w:r>
                    <w:rPr>
                      <w:rFonts w:hint="default"/>
                      <w:color w:val="auto"/>
                      <w:spacing w:val="-6"/>
                      <w:highlight w:val="none"/>
                      <w:lang w:val="en-US" w:eastAsia="zh-CN"/>
                    </w:rPr>
                    <w:t>85</w:t>
                  </w:r>
                </w:p>
              </w:tc>
              <w:tc>
                <w:tcPr>
                  <w:tcW w:w="600" w:type="dxa"/>
                  <w:tcBorders>
                    <w:tl2br w:val="nil"/>
                    <w:tr2bl w:val="nil"/>
                  </w:tcBorders>
                  <w:shd w:val="clear" w:color="auto" w:fill="auto"/>
                  <w:noWrap/>
                  <w:vAlign w:val="center"/>
                </w:tcPr>
                <w:p w14:paraId="7B167921">
                  <w:pPr>
                    <w:pStyle w:val="40"/>
                    <w:bidi w:val="0"/>
                    <w:rPr>
                      <w:rFonts w:hint="default"/>
                      <w:color w:val="auto"/>
                      <w:spacing w:val="-6"/>
                      <w:highlight w:val="none"/>
                    </w:rPr>
                  </w:pPr>
                  <w:r>
                    <w:rPr>
                      <w:rFonts w:hint="default"/>
                      <w:color w:val="auto"/>
                      <w:spacing w:val="-6"/>
                      <w:highlight w:val="none"/>
                      <w:lang w:val="en-US" w:eastAsia="zh-CN"/>
                    </w:rPr>
                    <w:t>152</w:t>
                  </w:r>
                </w:p>
              </w:tc>
              <w:tc>
                <w:tcPr>
                  <w:tcW w:w="588" w:type="dxa"/>
                  <w:tcBorders>
                    <w:tl2br w:val="nil"/>
                    <w:tr2bl w:val="nil"/>
                  </w:tcBorders>
                  <w:shd w:val="clear" w:color="auto" w:fill="auto"/>
                  <w:noWrap/>
                  <w:vAlign w:val="center"/>
                </w:tcPr>
                <w:p w14:paraId="4B2963D8">
                  <w:pPr>
                    <w:pStyle w:val="40"/>
                    <w:bidi w:val="0"/>
                    <w:rPr>
                      <w:rFonts w:hint="default"/>
                      <w:color w:val="auto"/>
                      <w:spacing w:val="-6"/>
                      <w:highlight w:val="none"/>
                    </w:rPr>
                  </w:pPr>
                  <w:r>
                    <w:rPr>
                      <w:rFonts w:hint="default"/>
                      <w:color w:val="auto"/>
                      <w:spacing w:val="-6"/>
                      <w:highlight w:val="none"/>
                      <w:lang w:val="en-US" w:eastAsia="zh-CN"/>
                    </w:rPr>
                    <w:t>105</w:t>
                  </w:r>
                </w:p>
              </w:tc>
              <w:tc>
                <w:tcPr>
                  <w:tcW w:w="565" w:type="dxa"/>
                  <w:tcBorders>
                    <w:tl2br w:val="nil"/>
                    <w:tr2bl w:val="nil"/>
                  </w:tcBorders>
                  <w:shd w:val="clear" w:color="auto" w:fill="auto"/>
                  <w:noWrap/>
                  <w:vAlign w:val="center"/>
                </w:tcPr>
                <w:p w14:paraId="011B853B">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2DF4830E">
                  <w:pPr>
                    <w:pStyle w:val="40"/>
                    <w:bidi w:val="0"/>
                    <w:rPr>
                      <w:rFonts w:hint="default"/>
                      <w:color w:val="auto"/>
                      <w:spacing w:val="-6"/>
                      <w:highlight w:val="none"/>
                    </w:rPr>
                  </w:pPr>
                  <w:r>
                    <w:rPr>
                      <w:rFonts w:hint="default"/>
                      <w:color w:val="auto"/>
                      <w:spacing w:val="-6"/>
                      <w:highlight w:val="none"/>
                      <w:lang w:val="en-US" w:eastAsia="zh-CN"/>
                    </w:rPr>
                    <w:t>129</w:t>
                  </w:r>
                </w:p>
              </w:tc>
              <w:tc>
                <w:tcPr>
                  <w:tcW w:w="600" w:type="dxa"/>
                  <w:tcBorders>
                    <w:tl2br w:val="nil"/>
                    <w:tr2bl w:val="nil"/>
                  </w:tcBorders>
                  <w:shd w:val="clear" w:color="auto" w:fill="auto"/>
                  <w:noWrap/>
                  <w:vAlign w:val="center"/>
                </w:tcPr>
                <w:p w14:paraId="1C02073F">
                  <w:pPr>
                    <w:pStyle w:val="40"/>
                    <w:bidi w:val="0"/>
                    <w:rPr>
                      <w:rFonts w:hint="default"/>
                      <w:color w:val="auto"/>
                      <w:spacing w:val="-6"/>
                      <w:highlight w:val="none"/>
                    </w:rPr>
                  </w:pPr>
                  <w:r>
                    <w:rPr>
                      <w:rFonts w:hint="default"/>
                      <w:color w:val="auto"/>
                      <w:spacing w:val="-6"/>
                      <w:highlight w:val="none"/>
                      <w:lang w:val="en-US" w:eastAsia="zh-CN"/>
                    </w:rPr>
                    <w:t>67.7</w:t>
                  </w:r>
                </w:p>
              </w:tc>
              <w:tc>
                <w:tcPr>
                  <w:tcW w:w="611" w:type="dxa"/>
                  <w:vMerge w:val="continue"/>
                  <w:tcBorders>
                    <w:tl2br w:val="nil"/>
                    <w:tr2bl w:val="nil"/>
                  </w:tcBorders>
                  <w:shd w:val="clear" w:color="auto" w:fill="auto"/>
                  <w:noWrap/>
                  <w:vAlign w:val="center"/>
                </w:tcPr>
                <w:p w14:paraId="388D5352">
                  <w:pPr>
                    <w:pStyle w:val="40"/>
                    <w:bidi w:val="0"/>
                    <w:rPr>
                      <w:rFonts w:hint="default"/>
                      <w:color w:val="auto"/>
                      <w:spacing w:val="-6"/>
                      <w:highlight w:val="none"/>
                    </w:rPr>
                  </w:pPr>
                </w:p>
              </w:tc>
            </w:tr>
            <w:tr w14:paraId="0E8F64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2D8C0C4D">
                  <w:pPr>
                    <w:pStyle w:val="40"/>
                    <w:bidi w:val="0"/>
                    <w:rPr>
                      <w:rFonts w:hint="default"/>
                      <w:color w:val="auto"/>
                      <w:spacing w:val="-6"/>
                      <w:highlight w:val="none"/>
                    </w:rPr>
                  </w:pPr>
                </w:p>
              </w:tc>
              <w:tc>
                <w:tcPr>
                  <w:tcW w:w="1218" w:type="dxa"/>
                  <w:vMerge w:val="continue"/>
                  <w:tcBorders>
                    <w:tl2br w:val="nil"/>
                    <w:tr2bl w:val="nil"/>
                  </w:tcBorders>
                  <w:shd w:val="clear" w:color="auto" w:fill="auto"/>
                  <w:vAlign w:val="center"/>
                </w:tcPr>
                <w:p w14:paraId="0B185DA6">
                  <w:pPr>
                    <w:pStyle w:val="40"/>
                    <w:bidi w:val="0"/>
                    <w:rPr>
                      <w:rFonts w:hint="default"/>
                      <w:color w:val="auto"/>
                      <w:spacing w:val="-6"/>
                      <w:highlight w:val="none"/>
                    </w:rPr>
                  </w:pPr>
                </w:p>
              </w:tc>
              <w:tc>
                <w:tcPr>
                  <w:tcW w:w="1562" w:type="dxa"/>
                  <w:tcBorders>
                    <w:tl2br w:val="nil"/>
                    <w:tr2bl w:val="nil"/>
                  </w:tcBorders>
                  <w:shd w:val="clear" w:color="auto" w:fill="auto"/>
                  <w:noWrap/>
                  <w:vAlign w:val="center"/>
                </w:tcPr>
                <w:p w14:paraId="7CD39C80">
                  <w:pPr>
                    <w:pStyle w:val="40"/>
                    <w:bidi w:val="0"/>
                    <w:rPr>
                      <w:rFonts w:hint="eastAsia"/>
                      <w:color w:val="auto"/>
                      <w:spacing w:val="-6"/>
                      <w:highlight w:val="none"/>
                    </w:rPr>
                  </w:pPr>
                  <w:r>
                    <w:rPr>
                      <w:rFonts w:hint="eastAsia"/>
                      <w:color w:val="auto"/>
                      <w:spacing w:val="-6"/>
                      <w:highlight w:val="none"/>
                      <w:lang w:val="en-US" w:eastAsia="zh-CN"/>
                    </w:rPr>
                    <w:t>风机</w:t>
                  </w:r>
                </w:p>
              </w:tc>
              <w:tc>
                <w:tcPr>
                  <w:tcW w:w="1062" w:type="dxa"/>
                  <w:tcBorders>
                    <w:tl2br w:val="nil"/>
                    <w:tr2bl w:val="nil"/>
                  </w:tcBorders>
                  <w:shd w:val="clear" w:color="auto" w:fill="auto"/>
                  <w:noWrap/>
                  <w:vAlign w:val="center"/>
                </w:tcPr>
                <w:p w14:paraId="2AFC855E">
                  <w:pPr>
                    <w:pStyle w:val="40"/>
                    <w:bidi w:val="0"/>
                    <w:rPr>
                      <w:rFonts w:hint="default"/>
                      <w:color w:val="auto"/>
                      <w:spacing w:val="-6"/>
                      <w:highlight w:val="none"/>
                    </w:rPr>
                  </w:pPr>
                  <w:r>
                    <w:rPr>
                      <w:rFonts w:hint="default"/>
                      <w:color w:val="auto"/>
                      <w:spacing w:val="-6"/>
                      <w:highlight w:val="none"/>
                      <w:lang w:val="en-US" w:eastAsia="zh-CN"/>
                    </w:rPr>
                    <w:t>90</w:t>
                  </w:r>
                </w:p>
              </w:tc>
              <w:tc>
                <w:tcPr>
                  <w:tcW w:w="600" w:type="dxa"/>
                  <w:tcBorders>
                    <w:tl2br w:val="nil"/>
                    <w:tr2bl w:val="nil"/>
                  </w:tcBorders>
                  <w:shd w:val="clear" w:color="auto" w:fill="auto"/>
                  <w:noWrap/>
                  <w:vAlign w:val="center"/>
                </w:tcPr>
                <w:p w14:paraId="5F734CB0">
                  <w:pPr>
                    <w:pStyle w:val="40"/>
                    <w:bidi w:val="0"/>
                    <w:rPr>
                      <w:rFonts w:hint="default"/>
                      <w:color w:val="auto"/>
                      <w:spacing w:val="-6"/>
                      <w:highlight w:val="none"/>
                    </w:rPr>
                  </w:pPr>
                  <w:r>
                    <w:rPr>
                      <w:rFonts w:hint="default"/>
                      <w:color w:val="auto"/>
                      <w:spacing w:val="-6"/>
                      <w:highlight w:val="none"/>
                      <w:lang w:val="en-US" w:eastAsia="zh-CN"/>
                    </w:rPr>
                    <w:t>92</w:t>
                  </w:r>
                </w:p>
              </w:tc>
              <w:tc>
                <w:tcPr>
                  <w:tcW w:w="588" w:type="dxa"/>
                  <w:tcBorders>
                    <w:tl2br w:val="nil"/>
                    <w:tr2bl w:val="nil"/>
                  </w:tcBorders>
                  <w:shd w:val="clear" w:color="auto" w:fill="auto"/>
                  <w:noWrap/>
                  <w:vAlign w:val="center"/>
                </w:tcPr>
                <w:p w14:paraId="2CF0D45C">
                  <w:pPr>
                    <w:pStyle w:val="40"/>
                    <w:bidi w:val="0"/>
                    <w:rPr>
                      <w:rFonts w:hint="default"/>
                      <w:color w:val="auto"/>
                      <w:spacing w:val="-6"/>
                      <w:highlight w:val="none"/>
                    </w:rPr>
                  </w:pPr>
                  <w:r>
                    <w:rPr>
                      <w:rFonts w:hint="default"/>
                      <w:color w:val="auto"/>
                      <w:spacing w:val="-6"/>
                      <w:highlight w:val="none"/>
                      <w:lang w:val="en-US" w:eastAsia="zh-CN"/>
                    </w:rPr>
                    <w:t>99</w:t>
                  </w:r>
                </w:p>
              </w:tc>
              <w:tc>
                <w:tcPr>
                  <w:tcW w:w="565" w:type="dxa"/>
                  <w:tcBorders>
                    <w:tl2br w:val="nil"/>
                    <w:tr2bl w:val="nil"/>
                  </w:tcBorders>
                  <w:shd w:val="clear" w:color="auto" w:fill="auto"/>
                  <w:noWrap/>
                  <w:vAlign w:val="center"/>
                </w:tcPr>
                <w:p w14:paraId="175DD2E0">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7CAEF77F">
                  <w:pPr>
                    <w:pStyle w:val="40"/>
                    <w:bidi w:val="0"/>
                    <w:rPr>
                      <w:rFonts w:hint="default"/>
                      <w:color w:val="auto"/>
                      <w:spacing w:val="-6"/>
                      <w:highlight w:val="none"/>
                    </w:rPr>
                  </w:pPr>
                  <w:r>
                    <w:rPr>
                      <w:rFonts w:hint="default"/>
                      <w:color w:val="auto"/>
                      <w:spacing w:val="-6"/>
                      <w:highlight w:val="none"/>
                      <w:lang w:val="en-US" w:eastAsia="zh-CN"/>
                    </w:rPr>
                    <w:t>130</w:t>
                  </w:r>
                </w:p>
              </w:tc>
              <w:tc>
                <w:tcPr>
                  <w:tcW w:w="600" w:type="dxa"/>
                  <w:tcBorders>
                    <w:tl2br w:val="nil"/>
                    <w:tr2bl w:val="nil"/>
                  </w:tcBorders>
                  <w:shd w:val="clear" w:color="auto" w:fill="auto"/>
                  <w:noWrap/>
                  <w:vAlign w:val="center"/>
                </w:tcPr>
                <w:p w14:paraId="7F98DD53">
                  <w:pPr>
                    <w:pStyle w:val="40"/>
                    <w:bidi w:val="0"/>
                    <w:rPr>
                      <w:rFonts w:hint="default"/>
                      <w:color w:val="auto"/>
                      <w:spacing w:val="-6"/>
                      <w:highlight w:val="none"/>
                    </w:rPr>
                  </w:pPr>
                  <w:r>
                    <w:rPr>
                      <w:rFonts w:hint="default"/>
                      <w:color w:val="auto"/>
                      <w:spacing w:val="-6"/>
                      <w:highlight w:val="none"/>
                      <w:lang w:val="en-US" w:eastAsia="zh-CN"/>
                    </w:rPr>
                    <w:t>72.7</w:t>
                  </w:r>
                </w:p>
              </w:tc>
              <w:tc>
                <w:tcPr>
                  <w:tcW w:w="611" w:type="dxa"/>
                  <w:vMerge w:val="continue"/>
                  <w:tcBorders>
                    <w:tl2br w:val="nil"/>
                    <w:tr2bl w:val="nil"/>
                  </w:tcBorders>
                  <w:shd w:val="clear" w:color="auto" w:fill="auto"/>
                  <w:noWrap/>
                  <w:vAlign w:val="center"/>
                </w:tcPr>
                <w:p w14:paraId="2999FCBE">
                  <w:pPr>
                    <w:pStyle w:val="40"/>
                    <w:bidi w:val="0"/>
                    <w:rPr>
                      <w:rFonts w:hint="default"/>
                      <w:color w:val="auto"/>
                      <w:spacing w:val="-6"/>
                      <w:highlight w:val="none"/>
                    </w:rPr>
                  </w:pPr>
                </w:p>
              </w:tc>
            </w:tr>
            <w:tr w14:paraId="7694EB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6288C635">
                  <w:pPr>
                    <w:pStyle w:val="40"/>
                    <w:bidi w:val="0"/>
                    <w:rPr>
                      <w:rFonts w:hint="default"/>
                      <w:color w:val="auto"/>
                      <w:spacing w:val="-6"/>
                      <w:highlight w:val="none"/>
                    </w:rPr>
                  </w:pPr>
                </w:p>
              </w:tc>
              <w:tc>
                <w:tcPr>
                  <w:tcW w:w="1218" w:type="dxa"/>
                  <w:vMerge w:val="restart"/>
                  <w:tcBorders>
                    <w:tl2br w:val="nil"/>
                    <w:tr2bl w:val="nil"/>
                  </w:tcBorders>
                  <w:shd w:val="clear" w:color="auto" w:fill="auto"/>
                  <w:vAlign w:val="center"/>
                </w:tcPr>
                <w:p w14:paraId="47D4BE7A">
                  <w:pPr>
                    <w:pStyle w:val="40"/>
                    <w:bidi w:val="0"/>
                    <w:rPr>
                      <w:rFonts w:hint="default"/>
                      <w:color w:val="auto"/>
                      <w:spacing w:val="-6"/>
                      <w:highlight w:val="none"/>
                    </w:rPr>
                  </w:pPr>
                  <w:r>
                    <w:rPr>
                      <w:rFonts w:hint="eastAsia"/>
                      <w:color w:val="auto"/>
                      <w:spacing w:val="-6"/>
                      <w:highlight w:val="none"/>
                      <w:lang w:val="en-US" w:eastAsia="zh-CN"/>
                    </w:rPr>
                    <w:t>空压站</w:t>
                  </w:r>
                </w:p>
              </w:tc>
              <w:tc>
                <w:tcPr>
                  <w:tcW w:w="1562" w:type="dxa"/>
                  <w:tcBorders>
                    <w:tl2br w:val="nil"/>
                    <w:tr2bl w:val="nil"/>
                  </w:tcBorders>
                  <w:shd w:val="clear" w:color="auto" w:fill="auto"/>
                  <w:noWrap/>
                  <w:vAlign w:val="center"/>
                </w:tcPr>
                <w:p w14:paraId="22EA1597">
                  <w:pPr>
                    <w:pStyle w:val="40"/>
                    <w:bidi w:val="0"/>
                    <w:rPr>
                      <w:rFonts w:hint="default"/>
                      <w:color w:val="auto"/>
                      <w:spacing w:val="-6"/>
                      <w:highlight w:val="none"/>
                    </w:rPr>
                  </w:pPr>
                  <w:r>
                    <w:rPr>
                      <w:rFonts w:hint="default"/>
                      <w:color w:val="auto"/>
                      <w:spacing w:val="-6"/>
                      <w:highlight w:val="none"/>
                      <w:lang w:val="en-US" w:eastAsia="zh-CN"/>
                    </w:rPr>
                    <w:t>1#</w:t>
                  </w:r>
                  <w:r>
                    <w:rPr>
                      <w:rFonts w:hint="eastAsia"/>
                      <w:color w:val="auto"/>
                      <w:spacing w:val="-6"/>
                      <w:highlight w:val="none"/>
                      <w:lang w:val="en-US" w:eastAsia="zh-CN"/>
                    </w:rPr>
                    <w:t>空压机</w:t>
                  </w:r>
                </w:p>
              </w:tc>
              <w:tc>
                <w:tcPr>
                  <w:tcW w:w="1062" w:type="dxa"/>
                  <w:tcBorders>
                    <w:tl2br w:val="nil"/>
                    <w:tr2bl w:val="nil"/>
                  </w:tcBorders>
                  <w:shd w:val="clear" w:color="auto" w:fill="auto"/>
                  <w:noWrap/>
                  <w:vAlign w:val="center"/>
                </w:tcPr>
                <w:p w14:paraId="3B024C38">
                  <w:pPr>
                    <w:pStyle w:val="40"/>
                    <w:bidi w:val="0"/>
                    <w:rPr>
                      <w:rFonts w:hint="default"/>
                      <w:color w:val="auto"/>
                      <w:spacing w:val="-6"/>
                      <w:highlight w:val="none"/>
                    </w:rPr>
                  </w:pPr>
                  <w:r>
                    <w:rPr>
                      <w:rFonts w:hint="default"/>
                      <w:color w:val="auto"/>
                      <w:spacing w:val="-6"/>
                      <w:highlight w:val="none"/>
                      <w:lang w:val="en-US" w:eastAsia="zh-CN"/>
                    </w:rPr>
                    <w:t>80</w:t>
                  </w:r>
                </w:p>
              </w:tc>
              <w:tc>
                <w:tcPr>
                  <w:tcW w:w="600" w:type="dxa"/>
                  <w:tcBorders>
                    <w:tl2br w:val="nil"/>
                    <w:tr2bl w:val="nil"/>
                  </w:tcBorders>
                  <w:shd w:val="clear" w:color="auto" w:fill="auto"/>
                  <w:noWrap/>
                  <w:vAlign w:val="center"/>
                </w:tcPr>
                <w:p w14:paraId="42D6B62E">
                  <w:pPr>
                    <w:pStyle w:val="40"/>
                    <w:bidi w:val="0"/>
                    <w:rPr>
                      <w:rFonts w:hint="default"/>
                      <w:color w:val="auto"/>
                      <w:spacing w:val="-6"/>
                      <w:highlight w:val="none"/>
                    </w:rPr>
                  </w:pPr>
                  <w:r>
                    <w:rPr>
                      <w:rFonts w:hint="default"/>
                      <w:color w:val="auto"/>
                      <w:spacing w:val="-6"/>
                      <w:highlight w:val="none"/>
                      <w:lang w:val="en-US" w:eastAsia="zh-CN"/>
                    </w:rPr>
                    <w:t>134</w:t>
                  </w:r>
                </w:p>
              </w:tc>
              <w:tc>
                <w:tcPr>
                  <w:tcW w:w="588" w:type="dxa"/>
                  <w:tcBorders>
                    <w:tl2br w:val="nil"/>
                    <w:tr2bl w:val="nil"/>
                  </w:tcBorders>
                  <w:shd w:val="clear" w:color="auto" w:fill="auto"/>
                  <w:noWrap/>
                  <w:vAlign w:val="center"/>
                </w:tcPr>
                <w:p w14:paraId="63386520">
                  <w:pPr>
                    <w:pStyle w:val="40"/>
                    <w:bidi w:val="0"/>
                    <w:rPr>
                      <w:rFonts w:hint="default"/>
                      <w:color w:val="auto"/>
                      <w:spacing w:val="-6"/>
                      <w:highlight w:val="none"/>
                    </w:rPr>
                  </w:pPr>
                  <w:r>
                    <w:rPr>
                      <w:rFonts w:hint="default"/>
                      <w:color w:val="auto"/>
                      <w:spacing w:val="-6"/>
                      <w:highlight w:val="none"/>
                      <w:lang w:val="en-US" w:eastAsia="zh-CN"/>
                    </w:rPr>
                    <w:t>86</w:t>
                  </w:r>
                </w:p>
              </w:tc>
              <w:tc>
                <w:tcPr>
                  <w:tcW w:w="565" w:type="dxa"/>
                  <w:tcBorders>
                    <w:tl2br w:val="nil"/>
                    <w:tr2bl w:val="nil"/>
                  </w:tcBorders>
                  <w:shd w:val="clear" w:color="auto" w:fill="auto"/>
                  <w:noWrap/>
                  <w:vAlign w:val="center"/>
                </w:tcPr>
                <w:p w14:paraId="19FF6FD5">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49F595DF">
                  <w:pPr>
                    <w:pStyle w:val="40"/>
                    <w:bidi w:val="0"/>
                    <w:rPr>
                      <w:rFonts w:hint="default"/>
                      <w:color w:val="auto"/>
                      <w:spacing w:val="-6"/>
                      <w:highlight w:val="none"/>
                    </w:rPr>
                  </w:pPr>
                  <w:r>
                    <w:rPr>
                      <w:rFonts w:hint="default"/>
                      <w:color w:val="auto"/>
                      <w:spacing w:val="-6"/>
                      <w:highlight w:val="none"/>
                      <w:lang w:val="en-US" w:eastAsia="zh-CN"/>
                    </w:rPr>
                    <w:t>139</w:t>
                  </w:r>
                </w:p>
              </w:tc>
              <w:tc>
                <w:tcPr>
                  <w:tcW w:w="600" w:type="dxa"/>
                  <w:tcBorders>
                    <w:tl2br w:val="nil"/>
                    <w:tr2bl w:val="nil"/>
                  </w:tcBorders>
                  <w:shd w:val="clear" w:color="auto" w:fill="auto"/>
                  <w:noWrap/>
                  <w:vAlign w:val="center"/>
                </w:tcPr>
                <w:p w14:paraId="69380FDD">
                  <w:pPr>
                    <w:pStyle w:val="40"/>
                    <w:bidi w:val="0"/>
                    <w:rPr>
                      <w:rFonts w:hint="default"/>
                      <w:color w:val="auto"/>
                      <w:spacing w:val="-6"/>
                      <w:highlight w:val="none"/>
                    </w:rPr>
                  </w:pPr>
                  <w:r>
                    <w:rPr>
                      <w:rFonts w:hint="default"/>
                      <w:color w:val="auto"/>
                      <w:spacing w:val="-6"/>
                      <w:highlight w:val="none"/>
                      <w:lang w:val="en-US" w:eastAsia="zh-CN"/>
                    </w:rPr>
                    <w:t>62.7</w:t>
                  </w:r>
                </w:p>
              </w:tc>
              <w:tc>
                <w:tcPr>
                  <w:tcW w:w="611" w:type="dxa"/>
                  <w:vMerge w:val="continue"/>
                  <w:tcBorders>
                    <w:tl2br w:val="nil"/>
                    <w:tr2bl w:val="nil"/>
                  </w:tcBorders>
                  <w:shd w:val="clear" w:color="auto" w:fill="auto"/>
                  <w:noWrap/>
                  <w:vAlign w:val="center"/>
                </w:tcPr>
                <w:p w14:paraId="4C9B08BF">
                  <w:pPr>
                    <w:pStyle w:val="40"/>
                    <w:bidi w:val="0"/>
                    <w:rPr>
                      <w:rFonts w:hint="default"/>
                      <w:color w:val="auto"/>
                      <w:spacing w:val="-6"/>
                      <w:highlight w:val="none"/>
                    </w:rPr>
                  </w:pPr>
                </w:p>
              </w:tc>
            </w:tr>
            <w:tr w14:paraId="2B6FD3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4D88513F">
                  <w:pPr>
                    <w:pStyle w:val="40"/>
                    <w:bidi w:val="0"/>
                    <w:rPr>
                      <w:rFonts w:hint="default"/>
                      <w:color w:val="auto"/>
                      <w:spacing w:val="-6"/>
                      <w:highlight w:val="none"/>
                    </w:rPr>
                  </w:pPr>
                </w:p>
              </w:tc>
              <w:tc>
                <w:tcPr>
                  <w:tcW w:w="1218" w:type="dxa"/>
                  <w:vMerge w:val="continue"/>
                  <w:tcBorders>
                    <w:tl2br w:val="nil"/>
                    <w:tr2bl w:val="nil"/>
                  </w:tcBorders>
                  <w:shd w:val="clear" w:color="auto" w:fill="auto"/>
                  <w:vAlign w:val="center"/>
                </w:tcPr>
                <w:p w14:paraId="51EDBFE2">
                  <w:pPr>
                    <w:pStyle w:val="40"/>
                    <w:bidi w:val="0"/>
                    <w:rPr>
                      <w:rFonts w:hint="default"/>
                      <w:color w:val="auto"/>
                      <w:spacing w:val="-6"/>
                      <w:highlight w:val="none"/>
                    </w:rPr>
                  </w:pPr>
                </w:p>
              </w:tc>
              <w:tc>
                <w:tcPr>
                  <w:tcW w:w="1562" w:type="dxa"/>
                  <w:tcBorders>
                    <w:tl2br w:val="nil"/>
                    <w:tr2bl w:val="nil"/>
                  </w:tcBorders>
                  <w:shd w:val="clear" w:color="auto" w:fill="auto"/>
                  <w:noWrap/>
                  <w:vAlign w:val="center"/>
                </w:tcPr>
                <w:p w14:paraId="69DFC555">
                  <w:pPr>
                    <w:pStyle w:val="40"/>
                    <w:bidi w:val="0"/>
                    <w:rPr>
                      <w:rFonts w:hint="default"/>
                      <w:color w:val="auto"/>
                      <w:spacing w:val="-6"/>
                      <w:highlight w:val="none"/>
                    </w:rPr>
                  </w:pPr>
                  <w:r>
                    <w:rPr>
                      <w:rFonts w:hint="default"/>
                      <w:color w:val="auto"/>
                      <w:spacing w:val="-6"/>
                      <w:highlight w:val="none"/>
                      <w:lang w:val="en-US" w:eastAsia="zh-CN"/>
                    </w:rPr>
                    <w:t>2#</w:t>
                  </w:r>
                  <w:r>
                    <w:rPr>
                      <w:rFonts w:hint="eastAsia"/>
                      <w:color w:val="auto"/>
                      <w:spacing w:val="-6"/>
                      <w:highlight w:val="none"/>
                      <w:lang w:val="en-US" w:eastAsia="zh-CN"/>
                    </w:rPr>
                    <w:t>空压机</w:t>
                  </w:r>
                </w:p>
              </w:tc>
              <w:tc>
                <w:tcPr>
                  <w:tcW w:w="1062" w:type="dxa"/>
                  <w:tcBorders>
                    <w:tl2br w:val="nil"/>
                    <w:tr2bl w:val="nil"/>
                  </w:tcBorders>
                  <w:shd w:val="clear" w:color="auto" w:fill="auto"/>
                  <w:noWrap/>
                  <w:vAlign w:val="center"/>
                </w:tcPr>
                <w:p w14:paraId="0353476C">
                  <w:pPr>
                    <w:pStyle w:val="40"/>
                    <w:bidi w:val="0"/>
                    <w:rPr>
                      <w:rFonts w:hint="default"/>
                      <w:color w:val="auto"/>
                      <w:spacing w:val="-6"/>
                      <w:highlight w:val="none"/>
                    </w:rPr>
                  </w:pPr>
                  <w:r>
                    <w:rPr>
                      <w:rFonts w:hint="default"/>
                      <w:color w:val="auto"/>
                      <w:spacing w:val="-6"/>
                      <w:highlight w:val="none"/>
                      <w:lang w:val="en-US" w:eastAsia="zh-CN"/>
                    </w:rPr>
                    <w:t>80</w:t>
                  </w:r>
                </w:p>
              </w:tc>
              <w:tc>
                <w:tcPr>
                  <w:tcW w:w="600" w:type="dxa"/>
                  <w:tcBorders>
                    <w:tl2br w:val="nil"/>
                    <w:tr2bl w:val="nil"/>
                  </w:tcBorders>
                  <w:shd w:val="clear" w:color="auto" w:fill="auto"/>
                  <w:noWrap/>
                  <w:vAlign w:val="center"/>
                </w:tcPr>
                <w:p w14:paraId="3B7E677B">
                  <w:pPr>
                    <w:pStyle w:val="40"/>
                    <w:bidi w:val="0"/>
                    <w:rPr>
                      <w:rFonts w:hint="default"/>
                      <w:color w:val="auto"/>
                      <w:spacing w:val="-6"/>
                      <w:highlight w:val="none"/>
                    </w:rPr>
                  </w:pPr>
                  <w:r>
                    <w:rPr>
                      <w:rFonts w:hint="default"/>
                      <w:color w:val="auto"/>
                      <w:spacing w:val="-6"/>
                      <w:highlight w:val="none"/>
                      <w:lang w:val="en-US" w:eastAsia="zh-CN"/>
                    </w:rPr>
                    <w:t>140</w:t>
                  </w:r>
                </w:p>
              </w:tc>
              <w:tc>
                <w:tcPr>
                  <w:tcW w:w="588" w:type="dxa"/>
                  <w:tcBorders>
                    <w:tl2br w:val="nil"/>
                    <w:tr2bl w:val="nil"/>
                  </w:tcBorders>
                  <w:shd w:val="clear" w:color="auto" w:fill="auto"/>
                  <w:noWrap/>
                  <w:vAlign w:val="center"/>
                </w:tcPr>
                <w:p w14:paraId="5D84E3D1">
                  <w:pPr>
                    <w:pStyle w:val="40"/>
                    <w:bidi w:val="0"/>
                    <w:rPr>
                      <w:rFonts w:hint="default"/>
                      <w:color w:val="auto"/>
                      <w:spacing w:val="-6"/>
                      <w:highlight w:val="none"/>
                    </w:rPr>
                  </w:pPr>
                  <w:r>
                    <w:rPr>
                      <w:rFonts w:hint="default"/>
                      <w:color w:val="auto"/>
                      <w:spacing w:val="-6"/>
                      <w:highlight w:val="none"/>
                      <w:lang w:val="en-US" w:eastAsia="zh-CN"/>
                    </w:rPr>
                    <w:t>87</w:t>
                  </w:r>
                </w:p>
              </w:tc>
              <w:tc>
                <w:tcPr>
                  <w:tcW w:w="565" w:type="dxa"/>
                  <w:tcBorders>
                    <w:tl2br w:val="nil"/>
                    <w:tr2bl w:val="nil"/>
                  </w:tcBorders>
                  <w:shd w:val="clear" w:color="auto" w:fill="auto"/>
                  <w:noWrap/>
                  <w:vAlign w:val="center"/>
                </w:tcPr>
                <w:p w14:paraId="03C1BA36">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057C2D8C">
                  <w:pPr>
                    <w:pStyle w:val="40"/>
                    <w:bidi w:val="0"/>
                    <w:rPr>
                      <w:rFonts w:hint="default"/>
                      <w:color w:val="auto"/>
                      <w:spacing w:val="-6"/>
                      <w:highlight w:val="none"/>
                    </w:rPr>
                  </w:pPr>
                  <w:r>
                    <w:rPr>
                      <w:rFonts w:hint="default"/>
                      <w:color w:val="auto"/>
                      <w:spacing w:val="-6"/>
                      <w:highlight w:val="none"/>
                      <w:lang w:val="en-US" w:eastAsia="zh-CN"/>
                    </w:rPr>
                    <w:t>142</w:t>
                  </w:r>
                </w:p>
              </w:tc>
              <w:tc>
                <w:tcPr>
                  <w:tcW w:w="600" w:type="dxa"/>
                  <w:tcBorders>
                    <w:tl2br w:val="nil"/>
                    <w:tr2bl w:val="nil"/>
                  </w:tcBorders>
                  <w:shd w:val="clear" w:color="auto" w:fill="auto"/>
                  <w:noWrap/>
                  <w:vAlign w:val="center"/>
                </w:tcPr>
                <w:p w14:paraId="1CF7B0F4">
                  <w:pPr>
                    <w:pStyle w:val="40"/>
                    <w:bidi w:val="0"/>
                    <w:rPr>
                      <w:rFonts w:hint="default"/>
                      <w:color w:val="auto"/>
                      <w:spacing w:val="-6"/>
                      <w:highlight w:val="none"/>
                    </w:rPr>
                  </w:pPr>
                  <w:r>
                    <w:rPr>
                      <w:rFonts w:hint="default"/>
                      <w:color w:val="auto"/>
                      <w:spacing w:val="-6"/>
                      <w:highlight w:val="none"/>
                      <w:lang w:val="en-US" w:eastAsia="zh-CN"/>
                    </w:rPr>
                    <w:t>62.7</w:t>
                  </w:r>
                </w:p>
              </w:tc>
              <w:tc>
                <w:tcPr>
                  <w:tcW w:w="611" w:type="dxa"/>
                  <w:vMerge w:val="continue"/>
                  <w:tcBorders>
                    <w:tl2br w:val="nil"/>
                    <w:tr2bl w:val="nil"/>
                  </w:tcBorders>
                  <w:shd w:val="clear" w:color="auto" w:fill="auto"/>
                  <w:noWrap/>
                  <w:vAlign w:val="center"/>
                </w:tcPr>
                <w:p w14:paraId="41ABB674">
                  <w:pPr>
                    <w:pStyle w:val="40"/>
                    <w:bidi w:val="0"/>
                    <w:rPr>
                      <w:rFonts w:hint="default"/>
                      <w:color w:val="auto"/>
                      <w:spacing w:val="-6"/>
                      <w:highlight w:val="none"/>
                    </w:rPr>
                  </w:pPr>
                </w:p>
              </w:tc>
            </w:tr>
            <w:tr w14:paraId="4F055A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74" w:type="dxa"/>
                  <w:vMerge w:val="restart"/>
                  <w:tcBorders>
                    <w:tl2br w:val="nil"/>
                    <w:tr2bl w:val="nil"/>
                  </w:tcBorders>
                  <w:shd w:val="clear" w:color="auto" w:fill="auto"/>
                  <w:vAlign w:val="center"/>
                </w:tcPr>
                <w:p w14:paraId="0526A45E">
                  <w:pPr>
                    <w:pStyle w:val="40"/>
                    <w:bidi w:val="0"/>
                    <w:rPr>
                      <w:rFonts w:hint="default"/>
                      <w:color w:val="auto"/>
                      <w:spacing w:val="-6"/>
                      <w:highlight w:val="none"/>
                    </w:rPr>
                  </w:pPr>
                  <w:r>
                    <w:rPr>
                      <w:rFonts w:hint="eastAsia"/>
                      <w:color w:val="auto"/>
                      <w:spacing w:val="-6"/>
                      <w:highlight w:val="none"/>
                      <w:lang w:val="en-US" w:eastAsia="zh-CN"/>
                    </w:rPr>
                    <w:t>混凝土生产线</w:t>
                  </w:r>
                </w:p>
              </w:tc>
              <w:tc>
                <w:tcPr>
                  <w:tcW w:w="1218" w:type="dxa"/>
                  <w:tcBorders>
                    <w:tl2br w:val="nil"/>
                    <w:tr2bl w:val="nil"/>
                  </w:tcBorders>
                  <w:shd w:val="clear" w:color="auto" w:fill="auto"/>
                  <w:vAlign w:val="center"/>
                </w:tcPr>
                <w:p w14:paraId="381765BD">
                  <w:pPr>
                    <w:pStyle w:val="40"/>
                    <w:bidi w:val="0"/>
                    <w:rPr>
                      <w:rFonts w:hint="default"/>
                      <w:color w:val="auto"/>
                      <w:spacing w:val="-6"/>
                      <w:highlight w:val="none"/>
                    </w:rPr>
                  </w:pPr>
                  <w:r>
                    <w:rPr>
                      <w:rFonts w:hint="eastAsia"/>
                      <w:color w:val="auto"/>
                      <w:spacing w:val="-6"/>
                      <w:highlight w:val="none"/>
                      <w:lang w:val="en-US" w:eastAsia="zh-CN"/>
                    </w:rPr>
                    <w:t>投料系统</w:t>
                  </w:r>
                </w:p>
              </w:tc>
              <w:tc>
                <w:tcPr>
                  <w:tcW w:w="1562" w:type="dxa"/>
                  <w:tcBorders>
                    <w:tl2br w:val="nil"/>
                    <w:tr2bl w:val="nil"/>
                  </w:tcBorders>
                  <w:shd w:val="clear" w:color="auto" w:fill="auto"/>
                  <w:noWrap/>
                  <w:vAlign w:val="center"/>
                </w:tcPr>
                <w:p w14:paraId="24F7B7BD">
                  <w:pPr>
                    <w:pStyle w:val="40"/>
                    <w:bidi w:val="0"/>
                    <w:rPr>
                      <w:rFonts w:hint="default"/>
                      <w:color w:val="auto"/>
                      <w:spacing w:val="-6"/>
                      <w:highlight w:val="none"/>
                    </w:rPr>
                  </w:pPr>
                  <w:r>
                    <w:rPr>
                      <w:rFonts w:hint="eastAsia"/>
                      <w:color w:val="auto"/>
                      <w:spacing w:val="-6"/>
                      <w:highlight w:val="none"/>
                      <w:lang w:val="en-US" w:eastAsia="zh-CN"/>
                    </w:rPr>
                    <w:t>装载机</w:t>
                  </w:r>
                </w:p>
              </w:tc>
              <w:tc>
                <w:tcPr>
                  <w:tcW w:w="1062" w:type="dxa"/>
                  <w:tcBorders>
                    <w:tl2br w:val="nil"/>
                    <w:tr2bl w:val="nil"/>
                  </w:tcBorders>
                  <w:shd w:val="clear" w:color="auto" w:fill="auto"/>
                  <w:noWrap/>
                  <w:vAlign w:val="center"/>
                </w:tcPr>
                <w:p w14:paraId="440C28B3">
                  <w:pPr>
                    <w:pStyle w:val="40"/>
                    <w:bidi w:val="0"/>
                    <w:rPr>
                      <w:rFonts w:hint="default"/>
                      <w:color w:val="auto"/>
                      <w:spacing w:val="-6"/>
                      <w:highlight w:val="none"/>
                    </w:rPr>
                  </w:pPr>
                  <w:r>
                    <w:rPr>
                      <w:rFonts w:hint="default"/>
                      <w:color w:val="auto"/>
                      <w:spacing w:val="-6"/>
                      <w:highlight w:val="none"/>
                      <w:lang w:val="en-US" w:eastAsia="zh-CN"/>
                    </w:rPr>
                    <w:t>80</w:t>
                  </w:r>
                </w:p>
              </w:tc>
              <w:tc>
                <w:tcPr>
                  <w:tcW w:w="600" w:type="dxa"/>
                  <w:tcBorders>
                    <w:tl2br w:val="nil"/>
                    <w:tr2bl w:val="nil"/>
                  </w:tcBorders>
                  <w:shd w:val="clear" w:color="auto" w:fill="auto"/>
                  <w:noWrap/>
                  <w:vAlign w:val="center"/>
                </w:tcPr>
                <w:p w14:paraId="560C8692">
                  <w:pPr>
                    <w:pStyle w:val="40"/>
                    <w:bidi w:val="0"/>
                    <w:rPr>
                      <w:rFonts w:hint="default"/>
                      <w:color w:val="auto"/>
                      <w:spacing w:val="-6"/>
                      <w:highlight w:val="none"/>
                    </w:rPr>
                  </w:pPr>
                  <w:r>
                    <w:rPr>
                      <w:rFonts w:hint="default"/>
                      <w:color w:val="auto"/>
                      <w:spacing w:val="-6"/>
                      <w:highlight w:val="none"/>
                      <w:lang w:val="en-US" w:eastAsia="zh-CN"/>
                    </w:rPr>
                    <w:t>42</w:t>
                  </w:r>
                </w:p>
              </w:tc>
              <w:tc>
                <w:tcPr>
                  <w:tcW w:w="588" w:type="dxa"/>
                  <w:tcBorders>
                    <w:tl2br w:val="nil"/>
                    <w:tr2bl w:val="nil"/>
                  </w:tcBorders>
                  <w:shd w:val="clear" w:color="auto" w:fill="auto"/>
                  <w:noWrap/>
                  <w:vAlign w:val="center"/>
                </w:tcPr>
                <w:p w14:paraId="70AC0AC6">
                  <w:pPr>
                    <w:pStyle w:val="40"/>
                    <w:bidi w:val="0"/>
                    <w:rPr>
                      <w:rFonts w:hint="default"/>
                      <w:color w:val="auto"/>
                      <w:spacing w:val="-6"/>
                      <w:highlight w:val="none"/>
                    </w:rPr>
                  </w:pPr>
                  <w:r>
                    <w:rPr>
                      <w:rFonts w:hint="default"/>
                      <w:color w:val="auto"/>
                      <w:spacing w:val="-6"/>
                      <w:highlight w:val="none"/>
                      <w:lang w:val="en-US" w:eastAsia="zh-CN"/>
                    </w:rPr>
                    <w:t>194</w:t>
                  </w:r>
                </w:p>
              </w:tc>
              <w:tc>
                <w:tcPr>
                  <w:tcW w:w="565" w:type="dxa"/>
                  <w:tcBorders>
                    <w:tl2br w:val="nil"/>
                    <w:tr2bl w:val="nil"/>
                  </w:tcBorders>
                  <w:shd w:val="clear" w:color="auto" w:fill="auto"/>
                  <w:noWrap/>
                  <w:vAlign w:val="center"/>
                </w:tcPr>
                <w:p w14:paraId="327A4ED1">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1E4FE37C">
                  <w:pPr>
                    <w:pStyle w:val="40"/>
                    <w:bidi w:val="0"/>
                    <w:rPr>
                      <w:rFonts w:hint="default"/>
                      <w:color w:val="auto"/>
                      <w:spacing w:val="-6"/>
                      <w:highlight w:val="none"/>
                    </w:rPr>
                  </w:pPr>
                  <w:r>
                    <w:rPr>
                      <w:rFonts w:hint="default"/>
                      <w:color w:val="auto"/>
                      <w:spacing w:val="-6"/>
                      <w:highlight w:val="none"/>
                      <w:lang w:val="en-US" w:eastAsia="zh-CN"/>
                    </w:rPr>
                    <w:t>64</w:t>
                  </w:r>
                </w:p>
              </w:tc>
              <w:tc>
                <w:tcPr>
                  <w:tcW w:w="600" w:type="dxa"/>
                  <w:tcBorders>
                    <w:tl2br w:val="nil"/>
                    <w:tr2bl w:val="nil"/>
                  </w:tcBorders>
                  <w:shd w:val="clear" w:color="auto" w:fill="auto"/>
                  <w:noWrap/>
                  <w:vAlign w:val="center"/>
                </w:tcPr>
                <w:p w14:paraId="4BFF773A">
                  <w:pPr>
                    <w:pStyle w:val="40"/>
                    <w:bidi w:val="0"/>
                    <w:rPr>
                      <w:rFonts w:hint="default"/>
                      <w:color w:val="auto"/>
                      <w:spacing w:val="-6"/>
                      <w:highlight w:val="none"/>
                    </w:rPr>
                  </w:pPr>
                  <w:r>
                    <w:rPr>
                      <w:rFonts w:hint="default"/>
                      <w:color w:val="auto"/>
                      <w:spacing w:val="-6"/>
                      <w:highlight w:val="none"/>
                      <w:lang w:val="en-US" w:eastAsia="zh-CN"/>
                    </w:rPr>
                    <w:t>71.0</w:t>
                  </w:r>
                </w:p>
              </w:tc>
              <w:tc>
                <w:tcPr>
                  <w:tcW w:w="611" w:type="dxa"/>
                  <w:vMerge w:val="restart"/>
                  <w:tcBorders>
                    <w:tl2br w:val="nil"/>
                    <w:tr2bl w:val="nil"/>
                  </w:tcBorders>
                  <w:shd w:val="clear" w:color="auto" w:fill="auto"/>
                  <w:noWrap/>
                  <w:vAlign w:val="center"/>
                </w:tcPr>
                <w:p w14:paraId="4448CD86">
                  <w:pPr>
                    <w:pStyle w:val="40"/>
                    <w:bidi w:val="0"/>
                    <w:rPr>
                      <w:rFonts w:hint="default"/>
                      <w:color w:val="auto"/>
                      <w:spacing w:val="-6"/>
                      <w:highlight w:val="none"/>
                    </w:rPr>
                  </w:pPr>
                  <w:r>
                    <w:rPr>
                      <w:rFonts w:hint="default"/>
                      <w:color w:val="auto"/>
                      <w:spacing w:val="-6"/>
                      <w:highlight w:val="none"/>
                      <w:lang w:val="en-US" w:eastAsia="zh-CN"/>
                    </w:rPr>
                    <w:t>87.6</w:t>
                  </w:r>
                </w:p>
              </w:tc>
            </w:tr>
            <w:tr w14:paraId="176495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28136F81">
                  <w:pPr>
                    <w:pStyle w:val="40"/>
                    <w:bidi w:val="0"/>
                    <w:rPr>
                      <w:rFonts w:hint="default"/>
                      <w:color w:val="auto"/>
                      <w:spacing w:val="-6"/>
                      <w:highlight w:val="none"/>
                    </w:rPr>
                  </w:pPr>
                </w:p>
              </w:tc>
              <w:tc>
                <w:tcPr>
                  <w:tcW w:w="1218" w:type="dxa"/>
                  <w:vMerge w:val="restart"/>
                  <w:tcBorders>
                    <w:tl2br w:val="nil"/>
                    <w:tr2bl w:val="nil"/>
                  </w:tcBorders>
                  <w:shd w:val="clear" w:color="auto" w:fill="auto"/>
                  <w:vAlign w:val="center"/>
                </w:tcPr>
                <w:p w14:paraId="15D1DAA8">
                  <w:pPr>
                    <w:pStyle w:val="40"/>
                    <w:bidi w:val="0"/>
                    <w:rPr>
                      <w:rFonts w:hint="default"/>
                      <w:color w:val="auto"/>
                      <w:spacing w:val="-6"/>
                      <w:highlight w:val="none"/>
                    </w:rPr>
                  </w:pPr>
                  <w:r>
                    <w:rPr>
                      <w:rFonts w:hint="eastAsia"/>
                      <w:color w:val="auto"/>
                      <w:spacing w:val="-6"/>
                      <w:highlight w:val="none"/>
                      <w:lang w:val="en-US" w:eastAsia="zh-CN"/>
                    </w:rPr>
                    <w:t>输送系统</w:t>
                  </w:r>
                </w:p>
              </w:tc>
              <w:tc>
                <w:tcPr>
                  <w:tcW w:w="1562" w:type="dxa"/>
                  <w:tcBorders>
                    <w:tl2br w:val="nil"/>
                    <w:tr2bl w:val="nil"/>
                  </w:tcBorders>
                  <w:shd w:val="clear" w:color="auto" w:fill="auto"/>
                  <w:noWrap/>
                  <w:vAlign w:val="center"/>
                </w:tcPr>
                <w:p w14:paraId="7BC87426">
                  <w:pPr>
                    <w:pStyle w:val="40"/>
                    <w:bidi w:val="0"/>
                    <w:rPr>
                      <w:rFonts w:hint="default"/>
                      <w:color w:val="auto"/>
                      <w:spacing w:val="-6"/>
                      <w:highlight w:val="none"/>
                    </w:rPr>
                  </w:pPr>
                  <w:r>
                    <w:rPr>
                      <w:rFonts w:hint="default"/>
                      <w:color w:val="auto"/>
                      <w:spacing w:val="-6"/>
                      <w:highlight w:val="none"/>
                      <w:lang w:val="en-US" w:eastAsia="zh-CN"/>
                    </w:rPr>
                    <w:t>1#</w:t>
                  </w:r>
                  <w:r>
                    <w:rPr>
                      <w:rFonts w:hint="eastAsia"/>
                      <w:color w:val="auto"/>
                      <w:spacing w:val="-6"/>
                      <w:highlight w:val="none"/>
                      <w:lang w:val="en-US" w:eastAsia="zh-CN"/>
                    </w:rPr>
                    <w:t>皮带输送机</w:t>
                  </w:r>
                </w:p>
              </w:tc>
              <w:tc>
                <w:tcPr>
                  <w:tcW w:w="1062" w:type="dxa"/>
                  <w:tcBorders>
                    <w:tl2br w:val="nil"/>
                    <w:tr2bl w:val="nil"/>
                  </w:tcBorders>
                  <w:shd w:val="clear" w:color="auto" w:fill="auto"/>
                  <w:noWrap/>
                  <w:vAlign w:val="center"/>
                </w:tcPr>
                <w:p w14:paraId="03C9BBE9">
                  <w:pPr>
                    <w:pStyle w:val="40"/>
                    <w:bidi w:val="0"/>
                    <w:rPr>
                      <w:rFonts w:hint="default"/>
                      <w:color w:val="auto"/>
                      <w:spacing w:val="-6"/>
                      <w:highlight w:val="none"/>
                    </w:rPr>
                  </w:pPr>
                  <w:r>
                    <w:rPr>
                      <w:rFonts w:hint="default"/>
                      <w:color w:val="auto"/>
                      <w:spacing w:val="-6"/>
                      <w:highlight w:val="none"/>
                      <w:lang w:val="en-US" w:eastAsia="zh-CN"/>
                    </w:rPr>
                    <w:t>85</w:t>
                  </w:r>
                </w:p>
              </w:tc>
              <w:tc>
                <w:tcPr>
                  <w:tcW w:w="600" w:type="dxa"/>
                  <w:tcBorders>
                    <w:tl2br w:val="nil"/>
                    <w:tr2bl w:val="nil"/>
                  </w:tcBorders>
                  <w:shd w:val="clear" w:color="auto" w:fill="auto"/>
                  <w:noWrap/>
                  <w:vAlign w:val="center"/>
                </w:tcPr>
                <w:p w14:paraId="51254E41">
                  <w:pPr>
                    <w:pStyle w:val="40"/>
                    <w:bidi w:val="0"/>
                    <w:rPr>
                      <w:rFonts w:hint="default"/>
                      <w:color w:val="auto"/>
                      <w:spacing w:val="-6"/>
                      <w:highlight w:val="none"/>
                    </w:rPr>
                  </w:pPr>
                  <w:r>
                    <w:rPr>
                      <w:rFonts w:hint="default"/>
                      <w:color w:val="auto"/>
                      <w:spacing w:val="-6"/>
                      <w:highlight w:val="none"/>
                      <w:lang w:val="en-US" w:eastAsia="zh-CN"/>
                    </w:rPr>
                    <w:t>22</w:t>
                  </w:r>
                </w:p>
              </w:tc>
              <w:tc>
                <w:tcPr>
                  <w:tcW w:w="588" w:type="dxa"/>
                  <w:tcBorders>
                    <w:tl2br w:val="nil"/>
                    <w:tr2bl w:val="nil"/>
                  </w:tcBorders>
                  <w:shd w:val="clear" w:color="auto" w:fill="auto"/>
                  <w:noWrap/>
                  <w:vAlign w:val="center"/>
                </w:tcPr>
                <w:p w14:paraId="13AB4A7B">
                  <w:pPr>
                    <w:pStyle w:val="40"/>
                    <w:bidi w:val="0"/>
                    <w:rPr>
                      <w:rFonts w:hint="default"/>
                      <w:color w:val="auto"/>
                      <w:spacing w:val="-6"/>
                      <w:highlight w:val="none"/>
                    </w:rPr>
                  </w:pPr>
                  <w:r>
                    <w:rPr>
                      <w:rFonts w:hint="default"/>
                      <w:color w:val="auto"/>
                      <w:spacing w:val="-6"/>
                      <w:highlight w:val="none"/>
                      <w:lang w:val="en-US" w:eastAsia="zh-CN"/>
                    </w:rPr>
                    <w:t>178</w:t>
                  </w:r>
                </w:p>
              </w:tc>
              <w:tc>
                <w:tcPr>
                  <w:tcW w:w="565" w:type="dxa"/>
                  <w:tcBorders>
                    <w:tl2br w:val="nil"/>
                    <w:tr2bl w:val="nil"/>
                  </w:tcBorders>
                  <w:shd w:val="clear" w:color="auto" w:fill="auto"/>
                  <w:noWrap/>
                  <w:vAlign w:val="center"/>
                </w:tcPr>
                <w:p w14:paraId="41FD7D3F">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0DA562D6">
                  <w:pPr>
                    <w:pStyle w:val="40"/>
                    <w:bidi w:val="0"/>
                    <w:rPr>
                      <w:rFonts w:hint="default"/>
                      <w:color w:val="auto"/>
                      <w:spacing w:val="-6"/>
                      <w:highlight w:val="none"/>
                    </w:rPr>
                  </w:pPr>
                  <w:r>
                    <w:rPr>
                      <w:rFonts w:hint="default"/>
                      <w:color w:val="auto"/>
                      <w:spacing w:val="-6"/>
                      <w:highlight w:val="none"/>
                      <w:lang w:val="en-US" w:eastAsia="zh-CN"/>
                    </w:rPr>
                    <w:t>36</w:t>
                  </w:r>
                </w:p>
              </w:tc>
              <w:tc>
                <w:tcPr>
                  <w:tcW w:w="600" w:type="dxa"/>
                  <w:tcBorders>
                    <w:tl2br w:val="nil"/>
                    <w:tr2bl w:val="nil"/>
                  </w:tcBorders>
                  <w:shd w:val="clear" w:color="auto" w:fill="auto"/>
                  <w:noWrap/>
                  <w:vAlign w:val="center"/>
                </w:tcPr>
                <w:p w14:paraId="70F1B68E">
                  <w:pPr>
                    <w:pStyle w:val="40"/>
                    <w:bidi w:val="0"/>
                    <w:rPr>
                      <w:rFonts w:hint="default"/>
                      <w:color w:val="auto"/>
                      <w:spacing w:val="-6"/>
                      <w:highlight w:val="none"/>
                    </w:rPr>
                  </w:pPr>
                  <w:r>
                    <w:rPr>
                      <w:rFonts w:hint="default"/>
                      <w:color w:val="auto"/>
                      <w:spacing w:val="-6"/>
                      <w:highlight w:val="none"/>
                      <w:lang w:val="en-US" w:eastAsia="zh-CN"/>
                    </w:rPr>
                    <w:t>76.0</w:t>
                  </w:r>
                </w:p>
              </w:tc>
              <w:tc>
                <w:tcPr>
                  <w:tcW w:w="611" w:type="dxa"/>
                  <w:vMerge w:val="continue"/>
                  <w:tcBorders>
                    <w:tl2br w:val="nil"/>
                    <w:tr2bl w:val="nil"/>
                  </w:tcBorders>
                  <w:shd w:val="clear" w:color="auto" w:fill="auto"/>
                  <w:noWrap/>
                  <w:vAlign w:val="center"/>
                </w:tcPr>
                <w:p w14:paraId="6FC6C41C">
                  <w:pPr>
                    <w:pStyle w:val="40"/>
                    <w:bidi w:val="0"/>
                    <w:rPr>
                      <w:rFonts w:hint="default"/>
                      <w:color w:val="auto"/>
                      <w:spacing w:val="-6"/>
                      <w:highlight w:val="none"/>
                    </w:rPr>
                  </w:pPr>
                </w:p>
              </w:tc>
            </w:tr>
            <w:tr w14:paraId="32FA4E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5C10FBA8">
                  <w:pPr>
                    <w:pStyle w:val="40"/>
                    <w:bidi w:val="0"/>
                    <w:rPr>
                      <w:rFonts w:hint="default"/>
                      <w:color w:val="auto"/>
                      <w:spacing w:val="-6"/>
                      <w:highlight w:val="none"/>
                    </w:rPr>
                  </w:pPr>
                </w:p>
              </w:tc>
              <w:tc>
                <w:tcPr>
                  <w:tcW w:w="1218" w:type="dxa"/>
                  <w:vMerge w:val="continue"/>
                  <w:tcBorders>
                    <w:tl2br w:val="nil"/>
                    <w:tr2bl w:val="nil"/>
                  </w:tcBorders>
                  <w:shd w:val="clear" w:color="auto" w:fill="auto"/>
                  <w:vAlign w:val="center"/>
                </w:tcPr>
                <w:p w14:paraId="74F6FAED">
                  <w:pPr>
                    <w:pStyle w:val="40"/>
                    <w:bidi w:val="0"/>
                    <w:rPr>
                      <w:rFonts w:hint="default"/>
                      <w:color w:val="auto"/>
                      <w:spacing w:val="-6"/>
                      <w:highlight w:val="none"/>
                    </w:rPr>
                  </w:pPr>
                </w:p>
              </w:tc>
              <w:tc>
                <w:tcPr>
                  <w:tcW w:w="1562" w:type="dxa"/>
                  <w:tcBorders>
                    <w:tl2br w:val="nil"/>
                    <w:tr2bl w:val="nil"/>
                  </w:tcBorders>
                  <w:shd w:val="clear" w:color="auto" w:fill="auto"/>
                  <w:noWrap/>
                  <w:vAlign w:val="center"/>
                </w:tcPr>
                <w:p w14:paraId="26B6882D">
                  <w:pPr>
                    <w:pStyle w:val="40"/>
                    <w:bidi w:val="0"/>
                    <w:rPr>
                      <w:rFonts w:hint="default"/>
                      <w:color w:val="auto"/>
                      <w:spacing w:val="-6"/>
                      <w:highlight w:val="none"/>
                    </w:rPr>
                  </w:pPr>
                  <w:r>
                    <w:rPr>
                      <w:rFonts w:hint="default"/>
                      <w:color w:val="auto"/>
                      <w:spacing w:val="-6"/>
                      <w:highlight w:val="none"/>
                      <w:lang w:val="en-US" w:eastAsia="zh-CN"/>
                    </w:rPr>
                    <w:t>2#</w:t>
                  </w:r>
                  <w:r>
                    <w:rPr>
                      <w:rFonts w:hint="eastAsia"/>
                      <w:color w:val="auto"/>
                      <w:spacing w:val="-6"/>
                      <w:highlight w:val="none"/>
                      <w:lang w:val="en-US" w:eastAsia="zh-CN"/>
                    </w:rPr>
                    <w:t>皮带输送机</w:t>
                  </w:r>
                </w:p>
              </w:tc>
              <w:tc>
                <w:tcPr>
                  <w:tcW w:w="1062" w:type="dxa"/>
                  <w:tcBorders>
                    <w:tl2br w:val="nil"/>
                    <w:tr2bl w:val="nil"/>
                  </w:tcBorders>
                  <w:shd w:val="clear" w:color="auto" w:fill="auto"/>
                  <w:noWrap/>
                  <w:vAlign w:val="center"/>
                </w:tcPr>
                <w:p w14:paraId="72703A3A">
                  <w:pPr>
                    <w:pStyle w:val="40"/>
                    <w:bidi w:val="0"/>
                    <w:rPr>
                      <w:rFonts w:hint="default"/>
                      <w:color w:val="auto"/>
                      <w:spacing w:val="-6"/>
                      <w:highlight w:val="none"/>
                    </w:rPr>
                  </w:pPr>
                  <w:r>
                    <w:rPr>
                      <w:rFonts w:hint="default"/>
                      <w:color w:val="auto"/>
                      <w:spacing w:val="-6"/>
                      <w:highlight w:val="none"/>
                      <w:lang w:val="en-US" w:eastAsia="zh-CN"/>
                    </w:rPr>
                    <w:t>85</w:t>
                  </w:r>
                </w:p>
              </w:tc>
              <w:tc>
                <w:tcPr>
                  <w:tcW w:w="600" w:type="dxa"/>
                  <w:tcBorders>
                    <w:tl2br w:val="nil"/>
                    <w:tr2bl w:val="nil"/>
                  </w:tcBorders>
                  <w:shd w:val="clear" w:color="auto" w:fill="auto"/>
                  <w:noWrap/>
                  <w:vAlign w:val="center"/>
                </w:tcPr>
                <w:p w14:paraId="20E50135">
                  <w:pPr>
                    <w:pStyle w:val="40"/>
                    <w:bidi w:val="0"/>
                    <w:rPr>
                      <w:rFonts w:hint="default"/>
                      <w:color w:val="auto"/>
                      <w:spacing w:val="-6"/>
                      <w:highlight w:val="none"/>
                    </w:rPr>
                  </w:pPr>
                  <w:r>
                    <w:rPr>
                      <w:rFonts w:hint="default"/>
                      <w:color w:val="auto"/>
                      <w:spacing w:val="-6"/>
                      <w:highlight w:val="none"/>
                      <w:lang w:val="en-US" w:eastAsia="zh-CN"/>
                    </w:rPr>
                    <w:t>27</w:t>
                  </w:r>
                </w:p>
              </w:tc>
              <w:tc>
                <w:tcPr>
                  <w:tcW w:w="588" w:type="dxa"/>
                  <w:tcBorders>
                    <w:tl2br w:val="nil"/>
                    <w:tr2bl w:val="nil"/>
                  </w:tcBorders>
                  <w:shd w:val="clear" w:color="auto" w:fill="auto"/>
                  <w:noWrap/>
                  <w:vAlign w:val="center"/>
                </w:tcPr>
                <w:p w14:paraId="001BAACA">
                  <w:pPr>
                    <w:pStyle w:val="40"/>
                    <w:bidi w:val="0"/>
                    <w:rPr>
                      <w:rFonts w:hint="default"/>
                      <w:color w:val="auto"/>
                      <w:spacing w:val="-6"/>
                      <w:highlight w:val="none"/>
                    </w:rPr>
                  </w:pPr>
                  <w:r>
                    <w:rPr>
                      <w:rFonts w:hint="default"/>
                      <w:color w:val="auto"/>
                      <w:spacing w:val="-6"/>
                      <w:highlight w:val="none"/>
                      <w:lang w:val="en-US" w:eastAsia="zh-CN"/>
                    </w:rPr>
                    <w:t>178</w:t>
                  </w:r>
                </w:p>
              </w:tc>
              <w:tc>
                <w:tcPr>
                  <w:tcW w:w="565" w:type="dxa"/>
                  <w:tcBorders>
                    <w:tl2br w:val="nil"/>
                    <w:tr2bl w:val="nil"/>
                  </w:tcBorders>
                  <w:shd w:val="clear" w:color="auto" w:fill="auto"/>
                  <w:noWrap/>
                  <w:vAlign w:val="center"/>
                </w:tcPr>
                <w:p w14:paraId="5BE4F9BB">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2D95E326">
                  <w:pPr>
                    <w:pStyle w:val="40"/>
                    <w:bidi w:val="0"/>
                    <w:rPr>
                      <w:rFonts w:hint="default"/>
                      <w:color w:val="auto"/>
                      <w:spacing w:val="-6"/>
                      <w:highlight w:val="none"/>
                    </w:rPr>
                  </w:pPr>
                  <w:r>
                    <w:rPr>
                      <w:rFonts w:hint="default"/>
                      <w:color w:val="auto"/>
                      <w:spacing w:val="-6"/>
                      <w:highlight w:val="none"/>
                      <w:lang w:val="en-US" w:eastAsia="zh-CN"/>
                    </w:rPr>
                    <w:t>34</w:t>
                  </w:r>
                </w:p>
              </w:tc>
              <w:tc>
                <w:tcPr>
                  <w:tcW w:w="600" w:type="dxa"/>
                  <w:tcBorders>
                    <w:tl2br w:val="nil"/>
                    <w:tr2bl w:val="nil"/>
                  </w:tcBorders>
                  <w:shd w:val="clear" w:color="auto" w:fill="auto"/>
                  <w:noWrap/>
                  <w:vAlign w:val="center"/>
                </w:tcPr>
                <w:p w14:paraId="35F0C33C">
                  <w:pPr>
                    <w:pStyle w:val="40"/>
                    <w:bidi w:val="0"/>
                    <w:rPr>
                      <w:rFonts w:hint="default"/>
                      <w:color w:val="auto"/>
                      <w:spacing w:val="-6"/>
                      <w:highlight w:val="none"/>
                    </w:rPr>
                  </w:pPr>
                  <w:r>
                    <w:rPr>
                      <w:rFonts w:hint="default"/>
                      <w:color w:val="auto"/>
                      <w:spacing w:val="-6"/>
                      <w:highlight w:val="none"/>
                      <w:lang w:val="en-US" w:eastAsia="zh-CN"/>
                    </w:rPr>
                    <w:t>76.0</w:t>
                  </w:r>
                </w:p>
              </w:tc>
              <w:tc>
                <w:tcPr>
                  <w:tcW w:w="611" w:type="dxa"/>
                  <w:vMerge w:val="continue"/>
                  <w:tcBorders>
                    <w:tl2br w:val="nil"/>
                    <w:tr2bl w:val="nil"/>
                  </w:tcBorders>
                  <w:shd w:val="clear" w:color="auto" w:fill="auto"/>
                  <w:noWrap/>
                  <w:vAlign w:val="center"/>
                </w:tcPr>
                <w:p w14:paraId="7D4595DD">
                  <w:pPr>
                    <w:pStyle w:val="40"/>
                    <w:bidi w:val="0"/>
                    <w:rPr>
                      <w:rFonts w:hint="default"/>
                      <w:color w:val="auto"/>
                      <w:spacing w:val="-6"/>
                      <w:highlight w:val="none"/>
                    </w:rPr>
                  </w:pPr>
                </w:p>
              </w:tc>
            </w:tr>
            <w:tr w14:paraId="5E0914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6A697F5E">
                  <w:pPr>
                    <w:pStyle w:val="40"/>
                    <w:bidi w:val="0"/>
                    <w:rPr>
                      <w:rFonts w:hint="default"/>
                      <w:color w:val="auto"/>
                      <w:spacing w:val="-6"/>
                      <w:highlight w:val="none"/>
                    </w:rPr>
                  </w:pPr>
                </w:p>
              </w:tc>
              <w:tc>
                <w:tcPr>
                  <w:tcW w:w="1218" w:type="dxa"/>
                  <w:vMerge w:val="continue"/>
                  <w:tcBorders>
                    <w:tl2br w:val="nil"/>
                    <w:tr2bl w:val="nil"/>
                  </w:tcBorders>
                  <w:shd w:val="clear" w:color="auto" w:fill="auto"/>
                  <w:vAlign w:val="center"/>
                </w:tcPr>
                <w:p w14:paraId="12404838">
                  <w:pPr>
                    <w:pStyle w:val="40"/>
                    <w:bidi w:val="0"/>
                    <w:rPr>
                      <w:rFonts w:hint="default"/>
                      <w:color w:val="auto"/>
                      <w:spacing w:val="-6"/>
                      <w:highlight w:val="none"/>
                    </w:rPr>
                  </w:pPr>
                </w:p>
              </w:tc>
              <w:tc>
                <w:tcPr>
                  <w:tcW w:w="1562" w:type="dxa"/>
                  <w:tcBorders>
                    <w:tl2br w:val="nil"/>
                    <w:tr2bl w:val="nil"/>
                  </w:tcBorders>
                  <w:shd w:val="clear" w:color="auto" w:fill="auto"/>
                  <w:noWrap/>
                  <w:vAlign w:val="center"/>
                </w:tcPr>
                <w:p w14:paraId="083CCC9F">
                  <w:pPr>
                    <w:pStyle w:val="40"/>
                    <w:bidi w:val="0"/>
                    <w:rPr>
                      <w:rFonts w:hint="default"/>
                      <w:color w:val="auto"/>
                      <w:spacing w:val="-6"/>
                      <w:highlight w:val="none"/>
                    </w:rPr>
                  </w:pPr>
                  <w:r>
                    <w:rPr>
                      <w:rFonts w:hint="default"/>
                      <w:color w:val="auto"/>
                      <w:spacing w:val="-6"/>
                      <w:highlight w:val="none"/>
                      <w:lang w:val="en-US" w:eastAsia="zh-CN"/>
                    </w:rPr>
                    <w:t>1#</w:t>
                  </w:r>
                  <w:r>
                    <w:rPr>
                      <w:rFonts w:hint="eastAsia"/>
                      <w:color w:val="auto"/>
                      <w:spacing w:val="-6"/>
                      <w:highlight w:val="none"/>
                      <w:lang w:val="en-US" w:eastAsia="zh-CN"/>
                    </w:rPr>
                    <w:t>螺旋输送机</w:t>
                  </w:r>
                </w:p>
              </w:tc>
              <w:tc>
                <w:tcPr>
                  <w:tcW w:w="1062" w:type="dxa"/>
                  <w:tcBorders>
                    <w:tl2br w:val="nil"/>
                    <w:tr2bl w:val="nil"/>
                  </w:tcBorders>
                  <w:shd w:val="clear" w:color="auto" w:fill="auto"/>
                  <w:noWrap/>
                  <w:vAlign w:val="center"/>
                </w:tcPr>
                <w:p w14:paraId="100936FB">
                  <w:pPr>
                    <w:pStyle w:val="40"/>
                    <w:bidi w:val="0"/>
                    <w:rPr>
                      <w:rFonts w:hint="default"/>
                      <w:color w:val="auto"/>
                      <w:spacing w:val="-6"/>
                      <w:highlight w:val="none"/>
                    </w:rPr>
                  </w:pPr>
                  <w:r>
                    <w:rPr>
                      <w:rFonts w:hint="default"/>
                      <w:color w:val="auto"/>
                      <w:spacing w:val="-6"/>
                      <w:highlight w:val="none"/>
                      <w:lang w:val="en-US" w:eastAsia="zh-CN"/>
                    </w:rPr>
                    <w:t>85</w:t>
                  </w:r>
                </w:p>
              </w:tc>
              <w:tc>
                <w:tcPr>
                  <w:tcW w:w="600" w:type="dxa"/>
                  <w:tcBorders>
                    <w:tl2br w:val="nil"/>
                    <w:tr2bl w:val="nil"/>
                  </w:tcBorders>
                  <w:shd w:val="clear" w:color="auto" w:fill="auto"/>
                  <w:noWrap/>
                  <w:vAlign w:val="center"/>
                </w:tcPr>
                <w:p w14:paraId="62C4EA2A">
                  <w:pPr>
                    <w:pStyle w:val="40"/>
                    <w:bidi w:val="0"/>
                    <w:rPr>
                      <w:rFonts w:hint="default"/>
                      <w:color w:val="auto"/>
                      <w:spacing w:val="-6"/>
                      <w:highlight w:val="none"/>
                    </w:rPr>
                  </w:pPr>
                  <w:r>
                    <w:rPr>
                      <w:rFonts w:hint="default"/>
                      <w:color w:val="auto"/>
                      <w:spacing w:val="-6"/>
                      <w:highlight w:val="none"/>
                      <w:lang w:val="en-US" w:eastAsia="zh-CN"/>
                    </w:rPr>
                    <w:t>32</w:t>
                  </w:r>
                </w:p>
              </w:tc>
              <w:tc>
                <w:tcPr>
                  <w:tcW w:w="588" w:type="dxa"/>
                  <w:tcBorders>
                    <w:tl2br w:val="nil"/>
                    <w:tr2bl w:val="nil"/>
                  </w:tcBorders>
                  <w:shd w:val="clear" w:color="auto" w:fill="auto"/>
                  <w:noWrap/>
                  <w:vAlign w:val="center"/>
                </w:tcPr>
                <w:p w14:paraId="056C5634">
                  <w:pPr>
                    <w:pStyle w:val="40"/>
                    <w:bidi w:val="0"/>
                    <w:rPr>
                      <w:rFonts w:hint="default"/>
                      <w:color w:val="auto"/>
                      <w:spacing w:val="-6"/>
                      <w:highlight w:val="none"/>
                    </w:rPr>
                  </w:pPr>
                  <w:r>
                    <w:rPr>
                      <w:rFonts w:hint="default"/>
                      <w:color w:val="auto"/>
                      <w:spacing w:val="-6"/>
                      <w:highlight w:val="none"/>
                      <w:lang w:val="en-US" w:eastAsia="zh-CN"/>
                    </w:rPr>
                    <w:t>178</w:t>
                  </w:r>
                </w:p>
              </w:tc>
              <w:tc>
                <w:tcPr>
                  <w:tcW w:w="565" w:type="dxa"/>
                  <w:tcBorders>
                    <w:tl2br w:val="nil"/>
                    <w:tr2bl w:val="nil"/>
                  </w:tcBorders>
                  <w:shd w:val="clear" w:color="auto" w:fill="auto"/>
                  <w:noWrap/>
                  <w:vAlign w:val="center"/>
                </w:tcPr>
                <w:p w14:paraId="726B7BC3">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305D6737">
                  <w:pPr>
                    <w:pStyle w:val="40"/>
                    <w:bidi w:val="0"/>
                    <w:rPr>
                      <w:rFonts w:hint="default"/>
                      <w:color w:val="auto"/>
                      <w:spacing w:val="-6"/>
                      <w:highlight w:val="none"/>
                    </w:rPr>
                  </w:pPr>
                  <w:r>
                    <w:rPr>
                      <w:rFonts w:hint="default"/>
                      <w:color w:val="auto"/>
                      <w:spacing w:val="-6"/>
                      <w:highlight w:val="none"/>
                      <w:lang w:val="en-US" w:eastAsia="zh-CN"/>
                    </w:rPr>
                    <w:t>32</w:t>
                  </w:r>
                </w:p>
              </w:tc>
              <w:tc>
                <w:tcPr>
                  <w:tcW w:w="600" w:type="dxa"/>
                  <w:tcBorders>
                    <w:tl2br w:val="nil"/>
                    <w:tr2bl w:val="nil"/>
                  </w:tcBorders>
                  <w:shd w:val="clear" w:color="auto" w:fill="auto"/>
                  <w:noWrap/>
                  <w:vAlign w:val="center"/>
                </w:tcPr>
                <w:p w14:paraId="2E5149DB">
                  <w:pPr>
                    <w:pStyle w:val="40"/>
                    <w:bidi w:val="0"/>
                    <w:rPr>
                      <w:rFonts w:hint="default"/>
                      <w:color w:val="auto"/>
                      <w:spacing w:val="-6"/>
                      <w:highlight w:val="none"/>
                    </w:rPr>
                  </w:pPr>
                  <w:r>
                    <w:rPr>
                      <w:rFonts w:hint="default"/>
                      <w:color w:val="auto"/>
                      <w:spacing w:val="-6"/>
                      <w:highlight w:val="none"/>
                      <w:lang w:val="en-US" w:eastAsia="zh-CN"/>
                    </w:rPr>
                    <w:t>76.0</w:t>
                  </w:r>
                </w:p>
              </w:tc>
              <w:tc>
                <w:tcPr>
                  <w:tcW w:w="611" w:type="dxa"/>
                  <w:vMerge w:val="continue"/>
                  <w:tcBorders>
                    <w:tl2br w:val="nil"/>
                    <w:tr2bl w:val="nil"/>
                  </w:tcBorders>
                  <w:shd w:val="clear" w:color="auto" w:fill="auto"/>
                  <w:noWrap/>
                  <w:vAlign w:val="center"/>
                </w:tcPr>
                <w:p w14:paraId="6A5168C5">
                  <w:pPr>
                    <w:pStyle w:val="40"/>
                    <w:bidi w:val="0"/>
                    <w:rPr>
                      <w:rFonts w:hint="default"/>
                      <w:color w:val="auto"/>
                      <w:spacing w:val="-6"/>
                      <w:highlight w:val="none"/>
                    </w:rPr>
                  </w:pPr>
                </w:p>
              </w:tc>
            </w:tr>
            <w:tr w14:paraId="71C9E2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26D37FA5">
                  <w:pPr>
                    <w:pStyle w:val="40"/>
                    <w:bidi w:val="0"/>
                    <w:rPr>
                      <w:rFonts w:hint="default"/>
                      <w:color w:val="auto"/>
                      <w:spacing w:val="-6"/>
                      <w:highlight w:val="none"/>
                    </w:rPr>
                  </w:pPr>
                </w:p>
              </w:tc>
              <w:tc>
                <w:tcPr>
                  <w:tcW w:w="1218" w:type="dxa"/>
                  <w:vMerge w:val="continue"/>
                  <w:tcBorders>
                    <w:tl2br w:val="nil"/>
                    <w:tr2bl w:val="nil"/>
                  </w:tcBorders>
                  <w:shd w:val="clear" w:color="auto" w:fill="auto"/>
                  <w:vAlign w:val="center"/>
                </w:tcPr>
                <w:p w14:paraId="6826E78C">
                  <w:pPr>
                    <w:pStyle w:val="40"/>
                    <w:bidi w:val="0"/>
                    <w:rPr>
                      <w:rFonts w:hint="default"/>
                      <w:color w:val="auto"/>
                      <w:spacing w:val="-6"/>
                      <w:highlight w:val="none"/>
                    </w:rPr>
                  </w:pPr>
                </w:p>
              </w:tc>
              <w:tc>
                <w:tcPr>
                  <w:tcW w:w="1562" w:type="dxa"/>
                  <w:tcBorders>
                    <w:tl2br w:val="nil"/>
                    <w:tr2bl w:val="nil"/>
                  </w:tcBorders>
                  <w:shd w:val="clear" w:color="auto" w:fill="auto"/>
                  <w:noWrap/>
                  <w:vAlign w:val="center"/>
                </w:tcPr>
                <w:p w14:paraId="0FFE8341">
                  <w:pPr>
                    <w:pStyle w:val="40"/>
                    <w:bidi w:val="0"/>
                    <w:rPr>
                      <w:rFonts w:hint="default"/>
                      <w:color w:val="auto"/>
                      <w:spacing w:val="-6"/>
                      <w:highlight w:val="none"/>
                    </w:rPr>
                  </w:pPr>
                  <w:r>
                    <w:rPr>
                      <w:rFonts w:hint="default"/>
                      <w:color w:val="auto"/>
                      <w:spacing w:val="-6"/>
                      <w:highlight w:val="none"/>
                      <w:lang w:val="en-US" w:eastAsia="zh-CN"/>
                    </w:rPr>
                    <w:t>2#</w:t>
                  </w:r>
                  <w:r>
                    <w:rPr>
                      <w:rFonts w:hint="eastAsia"/>
                      <w:color w:val="auto"/>
                      <w:spacing w:val="-6"/>
                      <w:highlight w:val="none"/>
                      <w:lang w:val="en-US" w:eastAsia="zh-CN"/>
                    </w:rPr>
                    <w:t>螺旋输送机</w:t>
                  </w:r>
                </w:p>
              </w:tc>
              <w:tc>
                <w:tcPr>
                  <w:tcW w:w="1062" w:type="dxa"/>
                  <w:tcBorders>
                    <w:tl2br w:val="nil"/>
                    <w:tr2bl w:val="nil"/>
                  </w:tcBorders>
                  <w:shd w:val="clear" w:color="auto" w:fill="auto"/>
                  <w:noWrap/>
                  <w:vAlign w:val="center"/>
                </w:tcPr>
                <w:p w14:paraId="715401B8">
                  <w:pPr>
                    <w:pStyle w:val="40"/>
                    <w:bidi w:val="0"/>
                    <w:rPr>
                      <w:rFonts w:hint="default"/>
                      <w:color w:val="auto"/>
                      <w:spacing w:val="-6"/>
                      <w:highlight w:val="none"/>
                    </w:rPr>
                  </w:pPr>
                  <w:r>
                    <w:rPr>
                      <w:rFonts w:hint="default"/>
                      <w:color w:val="auto"/>
                      <w:spacing w:val="-6"/>
                      <w:highlight w:val="none"/>
                      <w:lang w:val="en-US" w:eastAsia="zh-CN"/>
                    </w:rPr>
                    <w:t>85</w:t>
                  </w:r>
                </w:p>
              </w:tc>
              <w:tc>
                <w:tcPr>
                  <w:tcW w:w="600" w:type="dxa"/>
                  <w:tcBorders>
                    <w:tl2br w:val="nil"/>
                    <w:tr2bl w:val="nil"/>
                  </w:tcBorders>
                  <w:shd w:val="clear" w:color="auto" w:fill="auto"/>
                  <w:noWrap/>
                  <w:vAlign w:val="center"/>
                </w:tcPr>
                <w:p w14:paraId="52CFA2CE">
                  <w:pPr>
                    <w:pStyle w:val="40"/>
                    <w:bidi w:val="0"/>
                    <w:rPr>
                      <w:rFonts w:hint="default"/>
                      <w:color w:val="auto"/>
                      <w:spacing w:val="-6"/>
                      <w:highlight w:val="none"/>
                    </w:rPr>
                  </w:pPr>
                  <w:r>
                    <w:rPr>
                      <w:rFonts w:hint="default"/>
                      <w:color w:val="auto"/>
                      <w:spacing w:val="-6"/>
                      <w:highlight w:val="none"/>
                      <w:lang w:val="en-US" w:eastAsia="zh-CN"/>
                    </w:rPr>
                    <w:t>37</w:t>
                  </w:r>
                </w:p>
              </w:tc>
              <w:tc>
                <w:tcPr>
                  <w:tcW w:w="588" w:type="dxa"/>
                  <w:tcBorders>
                    <w:tl2br w:val="nil"/>
                    <w:tr2bl w:val="nil"/>
                  </w:tcBorders>
                  <w:shd w:val="clear" w:color="auto" w:fill="auto"/>
                  <w:noWrap/>
                  <w:vAlign w:val="center"/>
                </w:tcPr>
                <w:p w14:paraId="49AB2670">
                  <w:pPr>
                    <w:pStyle w:val="40"/>
                    <w:bidi w:val="0"/>
                    <w:rPr>
                      <w:rFonts w:hint="default"/>
                      <w:color w:val="auto"/>
                      <w:spacing w:val="-6"/>
                      <w:highlight w:val="none"/>
                    </w:rPr>
                  </w:pPr>
                  <w:r>
                    <w:rPr>
                      <w:rFonts w:hint="default"/>
                      <w:color w:val="auto"/>
                      <w:spacing w:val="-6"/>
                      <w:highlight w:val="none"/>
                      <w:lang w:val="en-US" w:eastAsia="zh-CN"/>
                    </w:rPr>
                    <w:t>179</w:t>
                  </w:r>
                </w:p>
              </w:tc>
              <w:tc>
                <w:tcPr>
                  <w:tcW w:w="565" w:type="dxa"/>
                  <w:tcBorders>
                    <w:tl2br w:val="nil"/>
                    <w:tr2bl w:val="nil"/>
                  </w:tcBorders>
                  <w:shd w:val="clear" w:color="auto" w:fill="auto"/>
                  <w:noWrap/>
                  <w:vAlign w:val="center"/>
                </w:tcPr>
                <w:p w14:paraId="3A3B637A">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27018C6F">
                  <w:pPr>
                    <w:pStyle w:val="40"/>
                    <w:bidi w:val="0"/>
                    <w:rPr>
                      <w:rFonts w:hint="default"/>
                      <w:color w:val="auto"/>
                      <w:spacing w:val="-6"/>
                      <w:highlight w:val="none"/>
                    </w:rPr>
                  </w:pPr>
                  <w:r>
                    <w:rPr>
                      <w:rFonts w:hint="default"/>
                      <w:color w:val="auto"/>
                      <w:spacing w:val="-6"/>
                      <w:highlight w:val="none"/>
                      <w:lang w:val="en-US" w:eastAsia="zh-CN"/>
                    </w:rPr>
                    <w:t>30</w:t>
                  </w:r>
                </w:p>
              </w:tc>
              <w:tc>
                <w:tcPr>
                  <w:tcW w:w="600" w:type="dxa"/>
                  <w:tcBorders>
                    <w:tl2br w:val="nil"/>
                    <w:tr2bl w:val="nil"/>
                  </w:tcBorders>
                  <w:shd w:val="clear" w:color="auto" w:fill="auto"/>
                  <w:noWrap/>
                  <w:vAlign w:val="center"/>
                </w:tcPr>
                <w:p w14:paraId="70E08E01">
                  <w:pPr>
                    <w:pStyle w:val="40"/>
                    <w:bidi w:val="0"/>
                    <w:rPr>
                      <w:rFonts w:hint="default"/>
                      <w:color w:val="auto"/>
                      <w:spacing w:val="-6"/>
                      <w:highlight w:val="none"/>
                    </w:rPr>
                  </w:pPr>
                  <w:r>
                    <w:rPr>
                      <w:rFonts w:hint="default"/>
                      <w:color w:val="auto"/>
                      <w:spacing w:val="-6"/>
                      <w:highlight w:val="none"/>
                      <w:lang w:val="en-US" w:eastAsia="zh-CN"/>
                    </w:rPr>
                    <w:t>76.0</w:t>
                  </w:r>
                </w:p>
              </w:tc>
              <w:tc>
                <w:tcPr>
                  <w:tcW w:w="611" w:type="dxa"/>
                  <w:vMerge w:val="continue"/>
                  <w:tcBorders>
                    <w:tl2br w:val="nil"/>
                    <w:tr2bl w:val="nil"/>
                  </w:tcBorders>
                  <w:shd w:val="clear" w:color="auto" w:fill="auto"/>
                  <w:noWrap/>
                  <w:vAlign w:val="center"/>
                </w:tcPr>
                <w:p w14:paraId="436497C6">
                  <w:pPr>
                    <w:pStyle w:val="40"/>
                    <w:bidi w:val="0"/>
                    <w:rPr>
                      <w:rFonts w:hint="default"/>
                      <w:color w:val="auto"/>
                      <w:spacing w:val="-6"/>
                      <w:highlight w:val="none"/>
                    </w:rPr>
                  </w:pPr>
                </w:p>
              </w:tc>
            </w:tr>
            <w:tr w14:paraId="20C47C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0ECC7ED0">
                  <w:pPr>
                    <w:pStyle w:val="40"/>
                    <w:bidi w:val="0"/>
                    <w:rPr>
                      <w:rFonts w:hint="default"/>
                      <w:color w:val="auto"/>
                      <w:spacing w:val="-6"/>
                      <w:highlight w:val="none"/>
                    </w:rPr>
                  </w:pPr>
                </w:p>
              </w:tc>
              <w:tc>
                <w:tcPr>
                  <w:tcW w:w="1218" w:type="dxa"/>
                  <w:vMerge w:val="continue"/>
                  <w:tcBorders>
                    <w:tl2br w:val="nil"/>
                    <w:tr2bl w:val="nil"/>
                  </w:tcBorders>
                  <w:shd w:val="clear" w:color="auto" w:fill="auto"/>
                  <w:vAlign w:val="center"/>
                </w:tcPr>
                <w:p w14:paraId="04963B98">
                  <w:pPr>
                    <w:pStyle w:val="40"/>
                    <w:bidi w:val="0"/>
                    <w:rPr>
                      <w:rFonts w:hint="default"/>
                      <w:color w:val="auto"/>
                      <w:spacing w:val="-6"/>
                      <w:highlight w:val="none"/>
                    </w:rPr>
                  </w:pPr>
                </w:p>
              </w:tc>
              <w:tc>
                <w:tcPr>
                  <w:tcW w:w="1562" w:type="dxa"/>
                  <w:tcBorders>
                    <w:tl2br w:val="nil"/>
                    <w:tr2bl w:val="nil"/>
                  </w:tcBorders>
                  <w:shd w:val="clear" w:color="auto" w:fill="auto"/>
                  <w:noWrap/>
                  <w:vAlign w:val="center"/>
                </w:tcPr>
                <w:p w14:paraId="0BE5D452">
                  <w:pPr>
                    <w:pStyle w:val="40"/>
                    <w:bidi w:val="0"/>
                    <w:rPr>
                      <w:rFonts w:hint="default"/>
                      <w:color w:val="auto"/>
                      <w:spacing w:val="-6"/>
                      <w:highlight w:val="none"/>
                    </w:rPr>
                  </w:pPr>
                  <w:r>
                    <w:rPr>
                      <w:rFonts w:hint="default"/>
                      <w:color w:val="auto"/>
                      <w:spacing w:val="-6"/>
                      <w:highlight w:val="none"/>
                      <w:lang w:val="en-US" w:eastAsia="zh-CN"/>
                    </w:rPr>
                    <w:t>3#</w:t>
                  </w:r>
                  <w:r>
                    <w:rPr>
                      <w:rFonts w:hint="eastAsia"/>
                      <w:color w:val="auto"/>
                      <w:spacing w:val="-6"/>
                      <w:highlight w:val="none"/>
                      <w:lang w:val="en-US" w:eastAsia="zh-CN"/>
                    </w:rPr>
                    <w:t>螺旋输送机</w:t>
                  </w:r>
                </w:p>
              </w:tc>
              <w:tc>
                <w:tcPr>
                  <w:tcW w:w="1062" w:type="dxa"/>
                  <w:tcBorders>
                    <w:tl2br w:val="nil"/>
                    <w:tr2bl w:val="nil"/>
                  </w:tcBorders>
                  <w:shd w:val="clear" w:color="auto" w:fill="auto"/>
                  <w:noWrap/>
                  <w:vAlign w:val="center"/>
                </w:tcPr>
                <w:p w14:paraId="6B7E7B35">
                  <w:pPr>
                    <w:pStyle w:val="40"/>
                    <w:bidi w:val="0"/>
                    <w:rPr>
                      <w:rFonts w:hint="default"/>
                      <w:color w:val="auto"/>
                      <w:spacing w:val="-6"/>
                      <w:highlight w:val="none"/>
                    </w:rPr>
                  </w:pPr>
                  <w:r>
                    <w:rPr>
                      <w:rFonts w:hint="default"/>
                      <w:color w:val="auto"/>
                      <w:spacing w:val="-6"/>
                      <w:highlight w:val="none"/>
                      <w:lang w:val="en-US" w:eastAsia="zh-CN"/>
                    </w:rPr>
                    <w:t>85</w:t>
                  </w:r>
                </w:p>
              </w:tc>
              <w:tc>
                <w:tcPr>
                  <w:tcW w:w="600" w:type="dxa"/>
                  <w:tcBorders>
                    <w:tl2br w:val="nil"/>
                    <w:tr2bl w:val="nil"/>
                  </w:tcBorders>
                  <w:shd w:val="clear" w:color="auto" w:fill="auto"/>
                  <w:noWrap/>
                  <w:vAlign w:val="center"/>
                </w:tcPr>
                <w:p w14:paraId="3C049298">
                  <w:pPr>
                    <w:pStyle w:val="40"/>
                    <w:bidi w:val="0"/>
                    <w:rPr>
                      <w:rFonts w:hint="default"/>
                      <w:color w:val="auto"/>
                      <w:spacing w:val="-6"/>
                      <w:highlight w:val="none"/>
                    </w:rPr>
                  </w:pPr>
                  <w:r>
                    <w:rPr>
                      <w:rFonts w:hint="default"/>
                      <w:color w:val="auto"/>
                      <w:spacing w:val="-6"/>
                      <w:highlight w:val="none"/>
                      <w:lang w:val="en-US" w:eastAsia="zh-CN"/>
                    </w:rPr>
                    <w:t>42</w:t>
                  </w:r>
                </w:p>
              </w:tc>
              <w:tc>
                <w:tcPr>
                  <w:tcW w:w="588" w:type="dxa"/>
                  <w:tcBorders>
                    <w:tl2br w:val="nil"/>
                    <w:tr2bl w:val="nil"/>
                  </w:tcBorders>
                  <w:shd w:val="clear" w:color="auto" w:fill="auto"/>
                  <w:noWrap/>
                  <w:vAlign w:val="center"/>
                </w:tcPr>
                <w:p w14:paraId="05CD3442">
                  <w:pPr>
                    <w:pStyle w:val="40"/>
                    <w:bidi w:val="0"/>
                    <w:rPr>
                      <w:rFonts w:hint="default"/>
                      <w:color w:val="auto"/>
                      <w:spacing w:val="-6"/>
                      <w:highlight w:val="none"/>
                    </w:rPr>
                  </w:pPr>
                  <w:r>
                    <w:rPr>
                      <w:rFonts w:hint="default"/>
                      <w:color w:val="auto"/>
                      <w:spacing w:val="-6"/>
                      <w:highlight w:val="none"/>
                      <w:lang w:val="en-US" w:eastAsia="zh-CN"/>
                    </w:rPr>
                    <w:t>179</w:t>
                  </w:r>
                </w:p>
              </w:tc>
              <w:tc>
                <w:tcPr>
                  <w:tcW w:w="565" w:type="dxa"/>
                  <w:tcBorders>
                    <w:tl2br w:val="nil"/>
                    <w:tr2bl w:val="nil"/>
                  </w:tcBorders>
                  <w:shd w:val="clear" w:color="auto" w:fill="auto"/>
                  <w:noWrap/>
                  <w:vAlign w:val="center"/>
                </w:tcPr>
                <w:p w14:paraId="34279FC3">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2EDBA166">
                  <w:pPr>
                    <w:pStyle w:val="40"/>
                    <w:bidi w:val="0"/>
                    <w:rPr>
                      <w:rFonts w:hint="default"/>
                      <w:color w:val="auto"/>
                      <w:spacing w:val="-6"/>
                      <w:highlight w:val="none"/>
                    </w:rPr>
                  </w:pPr>
                  <w:r>
                    <w:rPr>
                      <w:rFonts w:hint="default"/>
                      <w:color w:val="auto"/>
                      <w:spacing w:val="-6"/>
                      <w:highlight w:val="none"/>
                      <w:lang w:val="en-US" w:eastAsia="zh-CN"/>
                    </w:rPr>
                    <w:t>28</w:t>
                  </w:r>
                </w:p>
              </w:tc>
              <w:tc>
                <w:tcPr>
                  <w:tcW w:w="600" w:type="dxa"/>
                  <w:tcBorders>
                    <w:tl2br w:val="nil"/>
                    <w:tr2bl w:val="nil"/>
                  </w:tcBorders>
                  <w:shd w:val="clear" w:color="auto" w:fill="auto"/>
                  <w:noWrap/>
                  <w:vAlign w:val="center"/>
                </w:tcPr>
                <w:p w14:paraId="61571904">
                  <w:pPr>
                    <w:pStyle w:val="40"/>
                    <w:bidi w:val="0"/>
                    <w:rPr>
                      <w:rFonts w:hint="default"/>
                      <w:color w:val="auto"/>
                      <w:spacing w:val="-6"/>
                      <w:highlight w:val="none"/>
                    </w:rPr>
                  </w:pPr>
                  <w:r>
                    <w:rPr>
                      <w:rFonts w:hint="default"/>
                      <w:color w:val="auto"/>
                      <w:spacing w:val="-6"/>
                      <w:highlight w:val="none"/>
                      <w:lang w:val="en-US" w:eastAsia="zh-CN"/>
                    </w:rPr>
                    <w:t>76.0</w:t>
                  </w:r>
                </w:p>
              </w:tc>
              <w:tc>
                <w:tcPr>
                  <w:tcW w:w="611" w:type="dxa"/>
                  <w:vMerge w:val="continue"/>
                  <w:tcBorders>
                    <w:tl2br w:val="nil"/>
                    <w:tr2bl w:val="nil"/>
                  </w:tcBorders>
                  <w:shd w:val="clear" w:color="auto" w:fill="auto"/>
                  <w:noWrap/>
                  <w:vAlign w:val="center"/>
                </w:tcPr>
                <w:p w14:paraId="30140578">
                  <w:pPr>
                    <w:pStyle w:val="40"/>
                    <w:bidi w:val="0"/>
                    <w:rPr>
                      <w:rFonts w:hint="default"/>
                      <w:color w:val="auto"/>
                      <w:spacing w:val="-6"/>
                      <w:highlight w:val="none"/>
                    </w:rPr>
                  </w:pPr>
                </w:p>
              </w:tc>
            </w:tr>
            <w:tr w14:paraId="79908E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653118D5">
                  <w:pPr>
                    <w:pStyle w:val="40"/>
                    <w:bidi w:val="0"/>
                    <w:rPr>
                      <w:rFonts w:hint="default"/>
                      <w:color w:val="auto"/>
                      <w:spacing w:val="-6"/>
                      <w:highlight w:val="none"/>
                    </w:rPr>
                  </w:pPr>
                </w:p>
              </w:tc>
              <w:tc>
                <w:tcPr>
                  <w:tcW w:w="1218" w:type="dxa"/>
                  <w:vMerge w:val="continue"/>
                  <w:tcBorders>
                    <w:tl2br w:val="nil"/>
                    <w:tr2bl w:val="nil"/>
                  </w:tcBorders>
                  <w:shd w:val="clear" w:color="auto" w:fill="auto"/>
                  <w:vAlign w:val="center"/>
                </w:tcPr>
                <w:p w14:paraId="09820594">
                  <w:pPr>
                    <w:pStyle w:val="40"/>
                    <w:bidi w:val="0"/>
                    <w:rPr>
                      <w:rFonts w:hint="default"/>
                      <w:color w:val="auto"/>
                      <w:spacing w:val="-6"/>
                      <w:highlight w:val="none"/>
                    </w:rPr>
                  </w:pPr>
                </w:p>
              </w:tc>
              <w:tc>
                <w:tcPr>
                  <w:tcW w:w="1562" w:type="dxa"/>
                  <w:tcBorders>
                    <w:tl2br w:val="nil"/>
                    <w:tr2bl w:val="nil"/>
                  </w:tcBorders>
                  <w:shd w:val="clear" w:color="auto" w:fill="auto"/>
                  <w:noWrap/>
                  <w:vAlign w:val="center"/>
                </w:tcPr>
                <w:p w14:paraId="0B66A6CC">
                  <w:pPr>
                    <w:pStyle w:val="40"/>
                    <w:bidi w:val="0"/>
                    <w:rPr>
                      <w:rFonts w:hint="default"/>
                      <w:color w:val="auto"/>
                      <w:spacing w:val="-6"/>
                      <w:highlight w:val="none"/>
                    </w:rPr>
                  </w:pPr>
                  <w:r>
                    <w:rPr>
                      <w:rFonts w:hint="default"/>
                      <w:color w:val="auto"/>
                      <w:spacing w:val="-6"/>
                      <w:highlight w:val="none"/>
                      <w:lang w:val="en-US" w:eastAsia="zh-CN"/>
                    </w:rPr>
                    <w:t>4#</w:t>
                  </w:r>
                  <w:r>
                    <w:rPr>
                      <w:rFonts w:hint="eastAsia"/>
                      <w:color w:val="auto"/>
                      <w:spacing w:val="-6"/>
                      <w:highlight w:val="none"/>
                      <w:lang w:val="en-US" w:eastAsia="zh-CN"/>
                    </w:rPr>
                    <w:t>螺旋输送机</w:t>
                  </w:r>
                </w:p>
              </w:tc>
              <w:tc>
                <w:tcPr>
                  <w:tcW w:w="1062" w:type="dxa"/>
                  <w:tcBorders>
                    <w:tl2br w:val="nil"/>
                    <w:tr2bl w:val="nil"/>
                  </w:tcBorders>
                  <w:shd w:val="clear" w:color="auto" w:fill="auto"/>
                  <w:noWrap/>
                  <w:vAlign w:val="center"/>
                </w:tcPr>
                <w:p w14:paraId="55A4E2C2">
                  <w:pPr>
                    <w:pStyle w:val="40"/>
                    <w:bidi w:val="0"/>
                    <w:rPr>
                      <w:rFonts w:hint="default"/>
                      <w:color w:val="auto"/>
                      <w:spacing w:val="-6"/>
                      <w:highlight w:val="none"/>
                    </w:rPr>
                  </w:pPr>
                  <w:r>
                    <w:rPr>
                      <w:rFonts w:hint="default"/>
                      <w:color w:val="auto"/>
                      <w:spacing w:val="-6"/>
                      <w:highlight w:val="none"/>
                      <w:lang w:val="en-US" w:eastAsia="zh-CN"/>
                    </w:rPr>
                    <w:t>85</w:t>
                  </w:r>
                </w:p>
              </w:tc>
              <w:tc>
                <w:tcPr>
                  <w:tcW w:w="600" w:type="dxa"/>
                  <w:tcBorders>
                    <w:tl2br w:val="nil"/>
                    <w:tr2bl w:val="nil"/>
                  </w:tcBorders>
                  <w:shd w:val="clear" w:color="auto" w:fill="auto"/>
                  <w:noWrap/>
                  <w:vAlign w:val="center"/>
                </w:tcPr>
                <w:p w14:paraId="564185BB">
                  <w:pPr>
                    <w:pStyle w:val="40"/>
                    <w:bidi w:val="0"/>
                    <w:rPr>
                      <w:rFonts w:hint="default"/>
                      <w:color w:val="auto"/>
                      <w:spacing w:val="-6"/>
                      <w:highlight w:val="none"/>
                    </w:rPr>
                  </w:pPr>
                  <w:r>
                    <w:rPr>
                      <w:rFonts w:hint="default"/>
                      <w:color w:val="auto"/>
                      <w:spacing w:val="-6"/>
                      <w:highlight w:val="none"/>
                      <w:lang w:val="en-US" w:eastAsia="zh-CN"/>
                    </w:rPr>
                    <w:t>47</w:t>
                  </w:r>
                </w:p>
              </w:tc>
              <w:tc>
                <w:tcPr>
                  <w:tcW w:w="588" w:type="dxa"/>
                  <w:tcBorders>
                    <w:tl2br w:val="nil"/>
                    <w:tr2bl w:val="nil"/>
                  </w:tcBorders>
                  <w:shd w:val="clear" w:color="auto" w:fill="auto"/>
                  <w:noWrap/>
                  <w:vAlign w:val="center"/>
                </w:tcPr>
                <w:p w14:paraId="3E62BD9F">
                  <w:pPr>
                    <w:pStyle w:val="40"/>
                    <w:bidi w:val="0"/>
                    <w:rPr>
                      <w:rFonts w:hint="default"/>
                      <w:color w:val="auto"/>
                      <w:spacing w:val="-6"/>
                      <w:highlight w:val="none"/>
                    </w:rPr>
                  </w:pPr>
                  <w:r>
                    <w:rPr>
                      <w:rFonts w:hint="default"/>
                      <w:color w:val="auto"/>
                      <w:spacing w:val="-6"/>
                      <w:highlight w:val="none"/>
                      <w:lang w:val="en-US" w:eastAsia="zh-CN"/>
                    </w:rPr>
                    <w:t>179</w:t>
                  </w:r>
                </w:p>
              </w:tc>
              <w:tc>
                <w:tcPr>
                  <w:tcW w:w="565" w:type="dxa"/>
                  <w:tcBorders>
                    <w:tl2br w:val="nil"/>
                    <w:tr2bl w:val="nil"/>
                  </w:tcBorders>
                  <w:shd w:val="clear" w:color="auto" w:fill="auto"/>
                  <w:noWrap/>
                  <w:vAlign w:val="center"/>
                </w:tcPr>
                <w:p w14:paraId="4028071E">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4B8F569B">
                  <w:pPr>
                    <w:pStyle w:val="40"/>
                    <w:bidi w:val="0"/>
                    <w:rPr>
                      <w:rFonts w:hint="default"/>
                      <w:color w:val="auto"/>
                      <w:spacing w:val="-6"/>
                      <w:highlight w:val="none"/>
                    </w:rPr>
                  </w:pPr>
                  <w:r>
                    <w:rPr>
                      <w:rFonts w:hint="default"/>
                      <w:color w:val="auto"/>
                      <w:spacing w:val="-6"/>
                      <w:highlight w:val="none"/>
                      <w:lang w:val="en-US" w:eastAsia="zh-CN"/>
                    </w:rPr>
                    <w:t>26</w:t>
                  </w:r>
                </w:p>
              </w:tc>
              <w:tc>
                <w:tcPr>
                  <w:tcW w:w="600" w:type="dxa"/>
                  <w:tcBorders>
                    <w:tl2br w:val="nil"/>
                    <w:tr2bl w:val="nil"/>
                  </w:tcBorders>
                  <w:shd w:val="clear" w:color="auto" w:fill="auto"/>
                  <w:noWrap/>
                  <w:vAlign w:val="center"/>
                </w:tcPr>
                <w:p w14:paraId="3EC8391E">
                  <w:pPr>
                    <w:pStyle w:val="40"/>
                    <w:bidi w:val="0"/>
                    <w:rPr>
                      <w:rFonts w:hint="default"/>
                      <w:color w:val="auto"/>
                      <w:spacing w:val="-6"/>
                      <w:highlight w:val="none"/>
                    </w:rPr>
                  </w:pPr>
                  <w:r>
                    <w:rPr>
                      <w:rFonts w:hint="default"/>
                      <w:color w:val="auto"/>
                      <w:spacing w:val="-6"/>
                      <w:highlight w:val="none"/>
                      <w:lang w:val="en-US" w:eastAsia="zh-CN"/>
                    </w:rPr>
                    <w:t>76.0</w:t>
                  </w:r>
                </w:p>
              </w:tc>
              <w:tc>
                <w:tcPr>
                  <w:tcW w:w="611" w:type="dxa"/>
                  <w:vMerge w:val="continue"/>
                  <w:tcBorders>
                    <w:tl2br w:val="nil"/>
                    <w:tr2bl w:val="nil"/>
                  </w:tcBorders>
                  <w:shd w:val="clear" w:color="auto" w:fill="auto"/>
                  <w:noWrap/>
                  <w:vAlign w:val="center"/>
                </w:tcPr>
                <w:p w14:paraId="55FE4792">
                  <w:pPr>
                    <w:pStyle w:val="40"/>
                    <w:bidi w:val="0"/>
                    <w:rPr>
                      <w:rFonts w:hint="default"/>
                      <w:color w:val="auto"/>
                      <w:spacing w:val="-6"/>
                      <w:highlight w:val="none"/>
                    </w:rPr>
                  </w:pPr>
                </w:p>
              </w:tc>
            </w:tr>
            <w:tr w14:paraId="5CAEAC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7E3C2E68">
                  <w:pPr>
                    <w:pStyle w:val="40"/>
                    <w:bidi w:val="0"/>
                    <w:rPr>
                      <w:rFonts w:hint="default"/>
                      <w:color w:val="auto"/>
                      <w:spacing w:val="-6"/>
                      <w:highlight w:val="none"/>
                    </w:rPr>
                  </w:pPr>
                </w:p>
              </w:tc>
              <w:tc>
                <w:tcPr>
                  <w:tcW w:w="1218" w:type="dxa"/>
                  <w:vMerge w:val="continue"/>
                  <w:tcBorders>
                    <w:tl2br w:val="nil"/>
                    <w:tr2bl w:val="nil"/>
                  </w:tcBorders>
                  <w:shd w:val="clear" w:color="auto" w:fill="auto"/>
                  <w:vAlign w:val="center"/>
                </w:tcPr>
                <w:p w14:paraId="0BDCEC35">
                  <w:pPr>
                    <w:pStyle w:val="40"/>
                    <w:bidi w:val="0"/>
                    <w:rPr>
                      <w:rFonts w:hint="default"/>
                      <w:color w:val="auto"/>
                      <w:spacing w:val="-6"/>
                      <w:highlight w:val="none"/>
                    </w:rPr>
                  </w:pPr>
                </w:p>
              </w:tc>
              <w:tc>
                <w:tcPr>
                  <w:tcW w:w="1562" w:type="dxa"/>
                  <w:tcBorders>
                    <w:tl2br w:val="nil"/>
                    <w:tr2bl w:val="nil"/>
                  </w:tcBorders>
                  <w:shd w:val="clear" w:color="auto" w:fill="auto"/>
                  <w:noWrap/>
                  <w:vAlign w:val="center"/>
                </w:tcPr>
                <w:p w14:paraId="41B24468">
                  <w:pPr>
                    <w:pStyle w:val="40"/>
                    <w:bidi w:val="0"/>
                    <w:rPr>
                      <w:rFonts w:hint="default"/>
                      <w:color w:val="auto"/>
                      <w:spacing w:val="-6"/>
                      <w:highlight w:val="none"/>
                    </w:rPr>
                  </w:pPr>
                  <w:r>
                    <w:rPr>
                      <w:rFonts w:hint="default"/>
                      <w:color w:val="auto"/>
                      <w:spacing w:val="-6"/>
                      <w:highlight w:val="none"/>
                      <w:lang w:val="en-US" w:eastAsia="zh-CN"/>
                    </w:rPr>
                    <w:t>5#</w:t>
                  </w:r>
                  <w:r>
                    <w:rPr>
                      <w:rFonts w:hint="eastAsia"/>
                      <w:color w:val="auto"/>
                      <w:spacing w:val="-6"/>
                      <w:highlight w:val="none"/>
                      <w:lang w:val="en-US" w:eastAsia="zh-CN"/>
                    </w:rPr>
                    <w:t>螺旋输送机</w:t>
                  </w:r>
                </w:p>
              </w:tc>
              <w:tc>
                <w:tcPr>
                  <w:tcW w:w="1062" w:type="dxa"/>
                  <w:tcBorders>
                    <w:tl2br w:val="nil"/>
                    <w:tr2bl w:val="nil"/>
                  </w:tcBorders>
                  <w:shd w:val="clear" w:color="auto" w:fill="auto"/>
                  <w:noWrap/>
                  <w:vAlign w:val="center"/>
                </w:tcPr>
                <w:p w14:paraId="68132FDC">
                  <w:pPr>
                    <w:pStyle w:val="40"/>
                    <w:bidi w:val="0"/>
                    <w:rPr>
                      <w:rFonts w:hint="default"/>
                      <w:color w:val="auto"/>
                      <w:spacing w:val="-6"/>
                      <w:highlight w:val="none"/>
                    </w:rPr>
                  </w:pPr>
                  <w:r>
                    <w:rPr>
                      <w:rFonts w:hint="default"/>
                      <w:color w:val="auto"/>
                      <w:spacing w:val="-6"/>
                      <w:highlight w:val="none"/>
                      <w:lang w:val="en-US" w:eastAsia="zh-CN"/>
                    </w:rPr>
                    <w:t>85</w:t>
                  </w:r>
                </w:p>
              </w:tc>
              <w:tc>
                <w:tcPr>
                  <w:tcW w:w="600" w:type="dxa"/>
                  <w:tcBorders>
                    <w:tl2br w:val="nil"/>
                    <w:tr2bl w:val="nil"/>
                  </w:tcBorders>
                  <w:shd w:val="clear" w:color="auto" w:fill="auto"/>
                  <w:noWrap/>
                  <w:vAlign w:val="center"/>
                </w:tcPr>
                <w:p w14:paraId="7ABE2F5C">
                  <w:pPr>
                    <w:pStyle w:val="40"/>
                    <w:bidi w:val="0"/>
                    <w:rPr>
                      <w:rFonts w:hint="default"/>
                      <w:color w:val="auto"/>
                      <w:spacing w:val="-6"/>
                      <w:highlight w:val="none"/>
                    </w:rPr>
                  </w:pPr>
                  <w:r>
                    <w:rPr>
                      <w:rFonts w:hint="default"/>
                      <w:color w:val="auto"/>
                      <w:spacing w:val="-6"/>
                      <w:highlight w:val="none"/>
                      <w:lang w:val="en-US" w:eastAsia="zh-CN"/>
                    </w:rPr>
                    <w:t>52</w:t>
                  </w:r>
                </w:p>
              </w:tc>
              <w:tc>
                <w:tcPr>
                  <w:tcW w:w="588" w:type="dxa"/>
                  <w:tcBorders>
                    <w:tl2br w:val="nil"/>
                    <w:tr2bl w:val="nil"/>
                  </w:tcBorders>
                  <w:shd w:val="clear" w:color="auto" w:fill="auto"/>
                  <w:noWrap/>
                  <w:vAlign w:val="center"/>
                </w:tcPr>
                <w:p w14:paraId="5F15AB73">
                  <w:pPr>
                    <w:pStyle w:val="40"/>
                    <w:bidi w:val="0"/>
                    <w:rPr>
                      <w:rFonts w:hint="default"/>
                      <w:color w:val="auto"/>
                      <w:spacing w:val="-6"/>
                      <w:highlight w:val="none"/>
                    </w:rPr>
                  </w:pPr>
                  <w:r>
                    <w:rPr>
                      <w:rFonts w:hint="default"/>
                      <w:color w:val="auto"/>
                      <w:spacing w:val="-6"/>
                      <w:highlight w:val="none"/>
                      <w:lang w:val="en-US" w:eastAsia="zh-CN"/>
                    </w:rPr>
                    <w:t>180</w:t>
                  </w:r>
                </w:p>
              </w:tc>
              <w:tc>
                <w:tcPr>
                  <w:tcW w:w="565" w:type="dxa"/>
                  <w:tcBorders>
                    <w:tl2br w:val="nil"/>
                    <w:tr2bl w:val="nil"/>
                  </w:tcBorders>
                  <w:shd w:val="clear" w:color="auto" w:fill="auto"/>
                  <w:noWrap/>
                  <w:vAlign w:val="center"/>
                </w:tcPr>
                <w:p w14:paraId="193C2BFE">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48E6A320">
                  <w:pPr>
                    <w:pStyle w:val="40"/>
                    <w:bidi w:val="0"/>
                    <w:rPr>
                      <w:rFonts w:hint="default"/>
                      <w:color w:val="auto"/>
                      <w:spacing w:val="-6"/>
                      <w:highlight w:val="none"/>
                    </w:rPr>
                  </w:pPr>
                  <w:r>
                    <w:rPr>
                      <w:rFonts w:hint="default"/>
                      <w:color w:val="auto"/>
                      <w:spacing w:val="-6"/>
                      <w:highlight w:val="none"/>
                      <w:lang w:val="en-US" w:eastAsia="zh-CN"/>
                    </w:rPr>
                    <w:t>28</w:t>
                  </w:r>
                </w:p>
              </w:tc>
              <w:tc>
                <w:tcPr>
                  <w:tcW w:w="600" w:type="dxa"/>
                  <w:tcBorders>
                    <w:tl2br w:val="nil"/>
                    <w:tr2bl w:val="nil"/>
                  </w:tcBorders>
                  <w:shd w:val="clear" w:color="auto" w:fill="auto"/>
                  <w:noWrap/>
                  <w:vAlign w:val="center"/>
                </w:tcPr>
                <w:p w14:paraId="4C0A1DBE">
                  <w:pPr>
                    <w:pStyle w:val="40"/>
                    <w:bidi w:val="0"/>
                    <w:rPr>
                      <w:rFonts w:hint="default"/>
                      <w:color w:val="auto"/>
                      <w:spacing w:val="-6"/>
                      <w:highlight w:val="none"/>
                    </w:rPr>
                  </w:pPr>
                  <w:r>
                    <w:rPr>
                      <w:rFonts w:hint="default"/>
                      <w:color w:val="auto"/>
                      <w:spacing w:val="-6"/>
                      <w:highlight w:val="none"/>
                      <w:lang w:val="en-US" w:eastAsia="zh-CN"/>
                    </w:rPr>
                    <w:t>76.0</w:t>
                  </w:r>
                </w:p>
              </w:tc>
              <w:tc>
                <w:tcPr>
                  <w:tcW w:w="611" w:type="dxa"/>
                  <w:vMerge w:val="continue"/>
                  <w:tcBorders>
                    <w:tl2br w:val="nil"/>
                    <w:tr2bl w:val="nil"/>
                  </w:tcBorders>
                  <w:shd w:val="clear" w:color="auto" w:fill="auto"/>
                  <w:noWrap/>
                  <w:vAlign w:val="center"/>
                </w:tcPr>
                <w:p w14:paraId="7FCBE82F">
                  <w:pPr>
                    <w:pStyle w:val="40"/>
                    <w:bidi w:val="0"/>
                    <w:rPr>
                      <w:rFonts w:hint="default"/>
                      <w:color w:val="auto"/>
                      <w:spacing w:val="-6"/>
                      <w:highlight w:val="none"/>
                    </w:rPr>
                  </w:pPr>
                </w:p>
              </w:tc>
            </w:tr>
            <w:tr w14:paraId="022325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733304C0">
                  <w:pPr>
                    <w:pStyle w:val="40"/>
                    <w:bidi w:val="0"/>
                    <w:rPr>
                      <w:rFonts w:hint="default"/>
                      <w:color w:val="auto"/>
                      <w:spacing w:val="-6"/>
                      <w:highlight w:val="none"/>
                    </w:rPr>
                  </w:pPr>
                </w:p>
              </w:tc>
              <w:tc>
                <w:tcPr>
                  <w:tcW w:w="1218" w:type="dxa"/>
                  <w:vMerge w:val="continue"/>
                  <w:tcBorders>
                    <w:tl2br w:val="nil"/>
                    <w:tr2bl w:val="nil"/>
                  </w:tcBorders>
                  <w:shd w:val="clear" w:color="auto" w:fill="auto"/>
                  <w:vAlign w:val="center"/>
                </w:tcPr>
                <w:p w14:paraId="349F9F38">
                  <w:pPr>
                    <w:pStyle w:val="40"/>
                    <w:bidi w:val="0"/>
                    <w:rPr>
                      <w:rFonts w:hint="default"/>
                      <w:color w:val="auto"/>
                      <w:spacing w:val="-6"/>
                      <w:highlight w:val="none"/>
                    </w:rPr>
                  </w:pPr>
                </w:p>
              </w:tc>
              <w:tc>
                <w:tcPr>
                  <w:tcW w:w="1562" w:type="dxa"/>
                  <w:tcBorders>
                    <w:tl2br w:val="nil"/>
                    <w:tr2bl w:val="nil"/>
                  </w:tcBorders>
                  <w:shd w:val="clear" w:color="auto" w:fill="auto"/>
                  <w:noWrap/>
                  <w:vAlign w:val="center"/>
                </w:tcPr>
                <w:p w14:paraId="393CE98E">
                  <w:pPr>
                    <w:pStyle w:val="40"/>
                    <w:bidi w:val="0"/>
                    <w:rPr>
                      <w:rFonts w:hint="default"/>
                      <w:color w:val="auto"/>
                      <w:spacing w:val="-6"/>
                      <w:highlight w:val="none"/>
                    </w:rPr>
                  </w:pPr>
                  <w:r>
                    <w:rPr>
                      <w:rFonts w:hint="default"/>
                      <w:color w:val="auto"/>
                      <w:spacing w:val="-6"/>
                      <w:highlight w:val="none"/>
                      <w:lang w:val="en-US" w:eastAsia="zh-CN"/>
                    </w:rPr>
                    <w:t>6#</w:t>
                  </w:r>
                  <w:r>
                    <w:rPr>
                      <w:rFonts w:hint="eastAsia"/>
                      <w:color w:val="auto"/>
                      <w:spacing w:val="-6"/>
                      <w:highlight w:val="none"/>
                      <w:lang w:val="en-US" w:eastAsia="zh-CN"/>
                    </w:rPr>
                    <w:t>螺旋输送机</w:t>
                  </w:r>
                </w:p>
              </w:tc>
              <w:tc>
                <w:tcPr>
                  <w:tcW w:w="1062" w:type="dxa"/>
                  <w:tcBorders>
                    <w:tl2br w:val="nil"/>
                    <w:tr2bl w:val="nil"/>
                  </w:tcBorders>
                  <w:shd w:val="clear" w:color="auto" w:fill="auto"/>
                  <w:noWrap/>
                  <w:vAlign w:val="center"/>
                </w:tcPr>
                <w:p w14:paraId="053CF735">
                  <w:pPr>
                    <w:pStyle w:val="40"/>
                    <w:bidi w:val="0"/>
                    <w:rPr>
                      <w:rFonts w:hint="default"/>
                      <w:color w:val="auto"/>
                      <w:spacing w:val="-6"/>
                      <w:highlight w:val="none"/>
                    </w:rPr>
                  </w:pPr>
                  <w:r>
                    <w:rPr>
                      <w:rFonts w:hint="default"/>
                      <w:color w:val="auto"/>
                      <w:spacing w:val="-6"/>
                      <w:highlight w:val="none"/>
                      <w:lang w:val="en-US" w:eastAsia="zh-CN"/>
                    </w:rPr>
                    <w:t>85</w:t>
                  </w:r>
                </w:p>
              </w:tc>
              <w:tc>
                <w:tcPr>
                  <w:tcW w:w="600" w:type="dxa"/>
                  <w:tcBorders>
                    <w:tl2br w:val="nil"/>
                    <w:tr2bl w:val="nil"/>
                  </w:tcBorders>
                  <w:shd w:val="clear" w:color="auto" w:fill="auto"/>
                  <w:noWrap/>
                  <w:vAlign w:val="center"/>
                </w:tcPr>
                <w:p w14:paraId="1C2EEE76">
                  <w:pPr>
                    <w:pStyle w:val="40"/>
                    <w:bidi w:val="0"/>
                    <w:rPr>
                      <w:rFonts w:hint="default"/>
                      <w:color w:val="auto"/>
                      <w:spacing w:val="-6"/>
                      <w:highlight w:val="none"/>
                    </w:rPr>
                  </w:pPr>
                  <w:r>
                    <w:rPr>
                      <w:rFonts w:hint="default"/>
                      <w:color w:val="auto"/>
                      <w:spacing w:val="-6"/>
                      <w:highlight w:val="none"/>
                      <w:lang w:val="en-US" w:eastAsia="zh-CN"/>
                    </w:rPr>
                    <w:t>57</w:t>
                  </w:r>
                </w:p>
              </w:tc>
              <w:tc>
                <w:tcPr>
                  <w:tcW w:w="588" w:type="dxa"/>
                  <w:tcBorders>
                    <w:tl2br w:val="nil"/>
                    <w:tr2bl w:val="nil"/>
                  </w:tcBorders>
                  <w:shd w:val="clear" w:color="auto" w:fill="auto"/>
                  <w:noWrap/>
                  <w:vAlign w:val="center"/>
                </w:tcPr>
                <w:p w14:paraId="207516C3">
                  <w:pPr>
                    <w:pStyle w:val="40"/>
                    <w:bidi w:val="0"/>
                    <w:rPr>
                      <w:rFonts w:hint="default"/>
                      <w:color w:val="auto"/>
                      <w:spacing w:val="-6"/>
                      <w:highlight w:val="none"/>
                    </w:rPr>
                  </w:pPr>
                  <w:r>
                    <w:rPr>
                      <w:rFonts w:hint="default"/>
                      <w:color w:val="auto"/>
                      <w:spacing w:val="-6"/>
                      <w:highlight w:val="none"/>
                      <w:lang w:val="en-US" w:eastAsia="zh-CN"/>
                    </w:rPr>
                    <w:t>180</w:t>
                  </w:r>
                </w:p>
              </w:tc>
              <w:tc>
                <w:tcPr>
                  <w:tcW w:w="565" w:type="dxa"/>
                  <w:tcBorders>
                    <w:tl2br w:val="nil"/>
                    <w:tr2bl w:val="nil"/>
                  </w:tcBorders>
                  <w:shd w:val="clear" w:color="auto" w:fill="auto"/>
                  <w:noWrap/>
                  <w:vAlign w:val="center"/>
                </w:tcPr>
                <w:p w14:paraId="60209010">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6D3B311B">
                  <w:pPr>
                    <w:pStyle w:val="40"/>
                    <w:bidi w:val="0"/>
                    <w:rPr>
                      <w:rFonts w:hint="default"/>
                      <w:color w:val="auto"/>
                      <w:spacing w:val="-6"/>
                      <w:highlight w:val="none"/>
                    </w:rPr>
                  </w:pPr>
                  <w:r>
                    <w:rPr>
                      <w:rFonts w:hint="default"/>
                      <w:color w:val="auto"/>
                      <w:spacing w:val="-6"/>
                      <w:highlight w:val="none"/>
                      <w:lang w:val="en-US" w:eastAsia="zh-CN"/>
                    </w:rPr>
                    <w:t>30</w:t>
                  </w:r>
                </w:p>
              </w:tc>
              <w:tc>
                <w:tcPr>
                  <w:tcW w:w="600" w:type="dxa"/>
                  <w:tcBorders>
                    <w:tl2br w:val="nil"/>
                    <w:tr2bl w:val="nil"/>
                  </w:tcBorders>
                  <w:shd w:val="clear" w:color="auto" w:fill="auto"/>
                  <w:noWrap/>
                  <w:vAlign w:val="center"/>
                </w:tcPr>
                <w:p w14:paraId="6224A883">
                  <w:pPr>
                    <w:pStyle w:val="40"/>
                    <w:bidi w:val="0"/>
                    <w:rPr>
                      <w:rFonts w:hint="default"/>
                      <w:color w:val="auto"/>
                      <w:spacing w:val="-6"/>
                      <w:highlight w:val="none"/>
                    </w:rPr>
                  </w:pPr>
                  <w:r>
                    <w:rPr>
                      <w:rFonts w:hint="default"/>
                      <w:color w:val="auto"/>
                      <w:spacing w:val="-6"/>
                      <w:highlight w:val="none"/>
                      <w:lang w:val="en-US" w:eastAsia="zh-CN"/>
                    </w:rPr>
                    <w:t>76.0</w:t>
                  </w:r>
                </w:p>
              </w:tc>
              <w:tc>
                <w:tcPr>
                  <w:tcW w:w="611" w:type="dxa"/>
                  <w:vMerge w:val="continue"/>
                  <w:tcBorders>
                    <w:tl2br w:val="nil"/>
                    <w:tr2bl w:val="nil"/>
                  </w:tcBorders>
                  <w:shd w:val="clear" w:color="auto" w:fill="auto"/>
                  <w:noWrap/>
                  <w:vAlign w:val="center"/>
                </w:tcPr>
                <w:p w14:paraId="03A34081">
                  <w:pPr>
                    <w:pStyle w:val="40"/>
                    <w:bidi w:val="0"/>
                    <w:rPr>
                      <w:rFonts w:hint="default"/>
                      <w:color w:val="auto"/>
                      <w:spacing w:val="-6"/>
                      <w:highlight w:val="none"/>
                    </w:rPr>
                  </w:pPr>
                </w:p>
              </w:tc>
            </w:tr>
            <w:tr w14:paraId="306AE0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3A63FAFF">
                  <w:pPr>
                    <w:pStyle w:val="40"/>
                    <w:bidi w:val="0"/>
                    <w:rPr>
                      <w:rFonts w:hint="default"/>
                      <w:color w:val="auto"/>
                      <w:spacing w:val="-6"/>
                      <w:highlight w:val="none"/>
                    </w:rPr>
                  </w:pPr>
                </w:p>
              </w:tc>
              <w:tc>
                <w:tcPr>
                  <w:tcW w:w="1218" w:type="dxa"/>
                  <w:vMerge w:val="continue"/>
                  <w:tcBorders>
                    <w:tl2br w:val="nil"/>
                    <w:tr2bl w:val="nil"/>
                  </w:tcBorders>
                  <w:shd w:val="clear" w:color="auto" w:fill="auto"/>
                  <w:vAlign w:val="center"/>
                </w:tcPr>
                <w:p w14:paraId="4BC2F676">
                  <w:pPr>
                    <w:pStyle w:val="40"/>
                    <w:bidi w:val="0"/>
                    <w:rPr>
                      <w:rFonts w:hint="default"/>
                      <w:color w:val="auto"/>
                      <w:spacing w:val="-6"/>
                      <w:highlight w:val="none"/>
                    </w:rPr>
                  </w:pPr>
                </w:p>
              </w:tc>
              <w:tc>
                <w:tcPr>
                  <w:tcW w:w="1562" w:type="dxa"/>
                  <w:tcBorders>
                    <w:tl2br w:val="nil"/>
                    <w:tr2bl w:val="nil"/>
                  </w:tcBorders>
                  <w:shd w:val="clear" w:color="auto" w:fill="auto"/>
                  <w:noWrap/>
                  <w:vAlign w:val="center"/>
                </w:tcPr>
                <w:p w14:paraId="1B0054BD">
                  <w:pPr>
                    <w:pStyle w:val="40"/>
                    <w:bidi w:val="0"/>
                    <w:rPr>
                      <w:rFonts w:hint="default"/>
                      <w:color w:val="auto"/>
                      <w:spacing w:val="-6"/>
                      <w:highlight w:val="none"/>
                    </w:rPr>
                  </w:pPr>
                  <w:r>
                    <w:rPr>
                      <w:rFonts w:hint="default"/>
                      <w:color w:val="auto"/>
                      <w:spacing w:val="-6"/>
                      <w:highlight w:val="none"/>
                      <w:lang w:val="en-US" w:eastAsia="zh-CN"/>
                    </w:rPr>
                    <w:t>7#</w:t>
                  </w:r>
                  <w:r>
                    <w:rPr>
                      <w:rFonts w:hint="eastAsia"/>
                      <w:color w:val="auto"/>
                      <w:spacing w:val="-6"/>
                      <w:highlight w:val="none"/>
                      <w:lang w:val="en-US" w:eastAsia="zh-CN"/>
                    </w:rPr>
                    <w:t>螺旋输送机</w:t>
                  </w:r>
                </w:p>
              </w:tc>
              <w:tc>
                <w:tcPr>
                  <w:tcW w:w="1062" w:type="dxa"/>
                  <w:tcBorders>
                    <w:tl2br w:val="nil"/>
                    <w:tr2bl w:val="nil"/>
                  </w:tcBorders>
                  <w:shd w:val="clear" w:color="auto" w:fill="auto"/>
                  <w:noWrap/>
                  <w:vAlign w:val="center"/>
                </w:tcPr>
                <w:p w14:paraId="446BCE3D">
                  <w:pPr>
                    <w:pStyle w:val="40"/>
                    <w:bidi w:val="0"/>
                    <w:rPr>
                      <w:rFonts w:hint="default"/>
                      <w:color w:val="auto"/>
                      <w:spacing w:val="-6"/>
                      <w:highlight w:val="none"/>
                    </w:rPr>
                  </w:pPr>
                  <w:r>
                    <w:rPr>
                      <w:rFonts w:hint="default"/>
                      <w:color w:val="auto"/>
                      <w:spacing w:val="-6"/>
                      <w:highlight w:val="none"/>
                      <w:lang w:val="en-US" w:eastAsia="zh-CN"/>
                    </w:rPr>
                    <w:t>85</w:t>
                  </w:r>
                </w:p>
              </w:tc>
              <w:tc>
                <w:tcPr>
                  <w:tcW w:w="600" w:type="dxa"/>
                  <w:tcBorders>
                    <w:tl2br w:val="nil"/>
                    <w:tr2bl w:val="nil"/>
                  </w:tcBorders>
                  <w:shd w:val="clear" w:color="auto" w:fill="auto"/>
                  <w:noWrap/>
                  <w:vAlign w:val="center"/>
                </w:tcPr>
                <w:p w14:paraId="2E7845A8">
                  <w:pPr>
                    <w:pStyle w:val="40"/>
                    <w:bidi w:val="0"/>
                    <w:rPr>
                      <w:rFonts w:hint="default"/>
                      <w:color w:val="auto"/>
                      <w:spacing w:val="-6"/>
                      <w:highlight w:val="none"/>
                    </w:rPr>
                  </w:pPr>
                  <w:r>
                    <w:rPr>
                      <w:rFonts w:hint="default"/>
                      <w:color w:val="auto"/>
                      <w:spacing w:val="-6"/>
                      <w:highlight w:val="none"/>
                      <w:lang w:val="en-US" w:eastAsia="zh-CN"/>
                    </w:rPr>
                    <w:t>62</w:t>
                  </w:r>
                </w:p>
              </w:tc>
              <w:tc>
                <w:tcPr>
                  <w:tcW w:w="588" w:type="dxa"/>
                  <w:tcBorders>
                    <w:tl2br w:val="nil"/>
                    <w:tr2bl w:val="nil"/>
                  </w:tcBorders>
                  <w:shd w:val="clear" w:color="auto" w:fill="auto"/>
                  <w:noWrap/>
                  <w:vAlign w:val="center"/>
                </w:tcPr>
                <w:p w14:paraId="091606BA">
                  <w:pPr>
                    <w:pStyle w:val="40"/>
                    <w:bidi w:val="0"/>
                    <w:rPr>
                      <w:rFonts w:hint="default"/>
                      <w:color w:val="auto"/>
                      <w:spacing w:val="-6"/>
                      <w:highlight w:val="none"/>
                    </w:rPr>
                  </w:pPr>
                  <w:r>
                    <w:rPr>
                      <w:rFonts w:hint="default"/>
                      <w:color w:val="auto"/>
                      <w:spacing w:val="-6"/>
                      <w:highlight w:val="none"/>
                      <w:lang w:val="en-US" w:eastAsia="zh-CN"/>
                    </w:rPr>
                    <w:t>180</w:t>
                  </w:r>
                </w:p>
              </w:tc>
              <w:tc>
                <w:tcPr>
                  <w:tcW w:w="565" w:type="dxa"/>
                  <w:tcBorders>
                    <w:tl2br w:val="nil"/>
                    <w:tr2bl w:val="nil"/>
                  </w:tcBorders>
                  <w:shd w:val="clear" w:color="auto" w:fill="auto"/>
                  <w:noWrap/>
                  <w:vAlign w:val="center"/>
                </w:tcPr>
                <w:p w14:paraId="223E00A5">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501C9D7C">
                  <w:pPr>
                    <w:pStyle w:val="40"/>
                    <w:bidi w:val="0"/>
                    <w:rPr>
                      <w:rFonts w:hint="default"/>
                      <w:color w:val="auto"/>
                      <w:spacing w:val="-6"/>
                      <w:highlight w:val="none"/>
                    </w:rPr>
                  </w:pPr>
                  <w:r>
                    <w:rPr>
                      <w:rFonts w:hint="default"/>
                      <w:color w:val="auto"/>
                      <w:spacing w:val="-6"/>
                      <w:highlight w:val="none"/>
                      <w:lang w:val="en-US" w:eastAsia="zh-CN"/>
                    </w:rPr>
                    <w:t>32</w:t>
                  </w:r>
                </w:p>
              </w:tc>
              <w:tc>
                <w:tcPr>
                  <w:tcW w:w="600" w:type="dxa"/>
                  <w:tcBorders>
                    <w:tl2br w:val="nil"/>
                    <w:tr2bl w:val="nil"/>
                  </w:tcBorders>
                  <w:shd w:val="clear" w:color="auto" w:fill="auto"/>
                  <w:noWrap/>
                  <w:vAlign w:val="center"/>
                </w:tcPr>
                <w:p w14:paraId="19384DBD">
                  <w:pPr>
                    <w:pStyle w:val="40"/>
                    <w:bidi w:val="0"/>
                    <w:rPr>
                      <w:rFonts w:hint="default"/>
                      <w:color w:val="auto"/>
                      <w:spacing w:val="-6"/>
                      <w:highlight w:val="none"/>
                    </w:rPr>
                  </w:pPr>
                  <w:r>
                    <w:rPr>
                      <w:rFonts w:hint="default"/>
                      <w:color w:val="auto"/>
                      <w:spacing w:val="-6"/>
                      <w:highlight w:val="none"/>
                      <w:lang w:val="en-US" w:eastAsia="zh-CN"/>
                    </w:rPr>
                    <w:t>76.0</w:t>
                  </w:r>
                </w:p>
              </w:tc>
              <w:tc>
                <w:tcPr>
                  <w:tcW w:w="611" w:type="dxa"/>
                  <w:vMerge w:val="continue"/>
                  <w:tcBorders>
                    <w:tl2br w:val="nil"/>
                    <w:tr2bl w:val="nil"/>
                  </w:tcBorders>
                  <w:shd w:val="clear" w:color="auto" w:fill="auto"/>
                  <w:noWrap/>
                  <w:vAlign w:val="center"/>
                </w:tcPr>
                <w:p w14:paraId="3ACAB169">
                  <w:pPr>
                    <w:pStyle w:val="40"/>
                    <w:bidi w:val="0"/>
                    <w:rPr>
                      <w:rFonts w:hint="default"/>
                      <w:color w:val="auto"/>
                      <w:spacing w:val="-6"/>
                      <w:highlight w:val="none"/>
                    </w:rPr>
                  </w:pPr>
                </w:p>
              </w:tc>
            </w:tr>
            <w:tr w14:paraId="33817B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179E2A5C">
                  <w:pPr>
                    <w:pStyle w:val="40"/>
                    <w:bidi w:val="0"/>
                    <w:rPr>
                      <w:rFonts w:hint="default"/>
                      <w:color w:val="auto"/>
                      <w:spacing w:val="-6"/>
                      <w:highlight w:val="none"/>
                    </w:rPr>
                  </w:pPr>
                </w:p>
              </w:tc>
              <w:tc>
                <w:tcPr>
                  <w:tcW w:w="1218" w:type="dxa"/>
                  <w:vMerge w:val="continue"/>
                  <w:tcBorders>
                    <w:tl2br w:val="nil"/>
                    <w:tr2bl w:val="nil"/>
                  </w:tcBorders>
                  <w:shd w:val="clear" w:color="auto" w:fill="auto"/>
                  <w:vAlign w:val="center"/>
                </w:tcPr>
                <w:p w14:paraId="28317346">
                  <w:pPr>
                    <w:pStyle w:val="40"/>
                    <w:bidi w:val="0"/>
                    <w:rPr>
                      <w:rFonts w:hint="default"/>
                      <w:color w:val="auto"/>
                      <w:spacing w:val="-6"/>
                      <w:highlight w:val="none"/>
                    </w:rPr>
                  </w:pPr>
                </w:p>
              </w:tc>
              <w:tc>
                <w:tcPr>
                  <w:tcW w:w="1562" w:type="dxa"/>
                  <w:tcBorders>
                    <w:tl2br w:val="nil"/>
                    <w:tr2bl w:val="nil"/>
                  </w:tcBorders>
                  <w:shd w:val="clear" w:color="auto" w:fill="auto"/>
                  <w:noWrap/>
                  <w:vAlign w:val="center"/>
                </w:tcPr>
                <w:p w14:paraId="0C144E4F">
                  <w:pPr>
                    <w:pStyle w:val="40"/>
                    <w:bidi w:val="0"/>
                    <w:rPr>
                      <w:rFonts w:hint="default"/>
                      <w:color w:val="auto"/>
                      <w:spacing w:val="-6"/>
                      <w:highlight w:val="none"/>
                    </w:rPr>
                  </w:pPr>
                  <w:r>
                    <w:rPr>
                      <w:rFonts w:hint="default"/>
                      <w:color w:val="auto"/>
                      <w:spacing w:val="-6"/>
                      <w:highlight w:val="none"/>
                      <w:lang w:val="en-US" w:eastAsia="zh-CN"/>
                    </w:rPr>
                    <w:t>8#</w:t>
                  </w:r>
                  <w:r>
                    <w:rPr>
                      <w:rFonts w:hint="eastAsia"/>
                      <w:color w:val="auto"/>
                      <w:spacing w:val="-6"/>
                      <w:highlight w:val="none"/>
                      <w:lang w:val="en-US" w:eastAsia="zh-CN"/>
                    </w:rPr>
                    <w:t>螺旋输送机</w:t>
                  </w:r>
                </w:p>
              </w:tc>
              <w:tc>
                <w:tcPr>
                  <w:tcW w:w="1062" w:type="dxa"/>
                  <w:tcBorders>
                    <w:tl2br w:val="nil"/>
                    <w:tr2bl w:val="nil"/>
                  </w:tcBorders>
                  <w:shd w:val="clear" w:color="auto" w:fill="auto"/>
                  <w:noWrap/>
                  <w:vAlign w:val="center"/>
                </w:tcPr>
                <w:p w14:paraId="3E6C951F">
                  <w:pPr>
                    <w:pStyle w:val="40"/>
                    <w:bidi w:val="0"/>
                    <w:rPr>
                      <w:rFonts w:hint="default"/>
                      <w:color w:val="auto"/>
                      <w:spacing w:val="-6"/>
                      <w:highlight w:val="none"/>
                    </w:rPr>
                  </w:pPr>
                  <w:r>
                    <w:rPr>
                      <w:rFonts w:hint="default"/>
                      <w:color w:val="auto"/>
                      <w:spacing w:val="-6"/>
                      <w:highlight w:val="none"/>
                      <w:lang w:val="en-US" w:eastAsia="zh-CN"/>
                    </w:rPr>
                    <w:t>85</w:t>
                  </w:r>
                </w:p>
              </w:tc>
              <w:tc>
                <w:tcPr>
                  <w:tcW w:w="600" w:type="dxa"/>
                  <w:tcBorders>
                    <w:tl2br w:val="nil"/>
                    <w:tr2bl w:val="nil"/>
                  </w:tcBorders>
                  <w:shd w:val="clear" w:color="auto" w:fill="auto"/>
                  <w:noWrap/>
                  <w:vAlign w:val="center"/>
                </w:tcPr>
                <w:p w14:paraId="5C707E7F">
                  <w:pPr>
                    <w:pStyle w:val="40"/>
                    <w:bidi w:val="0"/>
                    <w:rPr>
                      <w:rFonts w:hint="default"/>
                      <w:color w:val="auto"/>
                      <w:spacing w:val="-6"/>
                      <w:highlight w:val="none"/>
                    </w:rPr>
                  </w:pPr>
                  <w:r>
                    <w:rPr>
                      <w:rFonts w:hint="default"/>
                      <w:color w:val="auto"/>
                      <w:spacing w:val="-6"/>
                      <w:highlight w:val="none"/>
                      <w:lang w:val="en-US" w:eastAsia="zh-CN"/>
                    </w:rPr>
                    <w:t>67</w:t>
                  </w:r>
                </w:p>
              </w:tc>
              <w:tc>
                <w:tcPr>
                  <w:tcW w:w="588" w:type="dxa"/>
                  <w:tcBorders>
                    <w:tl2br w:val="nil"/>
                    <w:tr2bl w:val="nil"/>
                  </w:tcBorders>
                  <w:shd w:val="clear" w:color="auto" w:fill="auto"/>
                  <w:noWrap/>
                  <w:vAlign w:val="center"/>
                </w:tcPr>
                <w:p w14:paraId="48944FAF">
                  <w:pPr>
                    <w:pStyle w:val="40"/>
                    <w:bidi w:val="0"/>
                    <w:rPr>
                      <w:rFonts w:hint="default"/>
                      <w:color w:val="auto"/>
                      <w:spacing w:val="-6"/>
                      <w:highlight w:val="none"/>
                    </w:rPr>
                  </w:pPr>
                  <w:r>
                    <w:rPr>
                      <w:rFonts w:hint="default"/>
                      <w:color w:val="auto"/>
                      <w:spacing w:val="-6"/>
                      <w:highlight w:val="none"/>
                      <w:lang w:val="en-US" w:eastAsia="zh-CN"/>
                    </w:rPr>
                    <w:t>180</w:t>
                  </w:r>
                </w:p>
              </w:tc>
              <w:tc>
                <w:tcPr>
                  <w:tcW w:w="565" w:type="dxa"/>
                  <w:tcBorders>
                    <w:tl2br w:val="nil"/>
                    <w:tr2bl w:val="nil"/>
                  </w:tcBorders>
                  <w:shd w:val="clear" w:color="auto" w:fill="auto"/>
                  <w:noWrap/>
                  <w:vAlign w:val="center"/>
                </w:tcPr>
                <w:p w14:paraId="693B9379">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25A97A57">
                  <w:pPr>
                    <w:pStyle w:val="40"/>
                    <w:bidi w:val="0"/>
                    <w:rPr>
                      <w:rFonts w:hint="default"/>
                      <w:color w:val="auto"/>
                      <w:spacing w:val="-6"/>
                      <w:highlight w:val="none"/>
                    </w:rPr>
                  </w:pPr>
                  <w:r>
                    <w:rPr>
                      <w:rFonts w:hint="default"/>
                      <w:color w:val="auto"/>
                      <w:spacing w:val="-6"/>
                      <w:highlight w:val="none"/>
                      <w:lang w:val="en-US" w:eastAsia="zh-CN"/>
                    </w:rPr>
                    <w:t>36</w:t>
                  </w:r>
                </w:p>
              </w:tc>
              <w:tc>
                <w:tcPr>
                  <w:tcW w:w="600" w:type="dxa"/>
                  <w:tcBorders>
                    <w:tl2br w:val="nil"/>
                    <w:tr2bl w:val="nil"/>
                  </w:tcBorders>
                  <w:shd w:val="clear" w:color="auto" w:fill="auto"/>
                  <w:noWrap/>
                  <w:vAlign w:val="center"/>
                </w:tcPr>
                <w:p w14:paraId="2DEAB6C9">
                  <w:pPr>
                    <w:pStyle w:val="40"/>
                    <w:bidi w:val="0"/>
                    <w:rPr>
                      <w:rFonts w:hint="default"/>
                      <w:color w:val="auto"/>
                      <w:spacing w:val="-6"/>
                      <w:highlight w:val="none"/>
                    </w:rPr>
                  </w:pPr>
                  <w:r>
                    <w:rPr>
                      <w:rFonts w:hint="default"/>
                      <w:color w:val="auto"/>
                      <w:spacing w:val="-6"/>
                      <w:highlight w:val="none"/>
                      <w:lang w:val="en-US" w:eastAsia="zh-CN"/>
                    </w:rPr>
                    <w:t>76.0</w:t>
                  </w:r>
                </w:p>
              </w:tc>
              <w:tc>
                <w:tcPr>
                  <w:tcW w:w="611" w:type="dxa"/>
                  <w:vMerge w:val="continue"/>
                  <w:tcBorders>
                    <w:tl2br w:val="nil"/>
                    <w:tr2bl w:val="nil"/>
                  </w:tcBorders>
                  <w:shd w:val="clear" w:color="auto" w:fill="auto"/>
                  <w:noWrap/>
                  <w:vAlign w:val="center"/>
                </w:tcPr>
                <w:p w14:paraId="08AD34AC">
                  <w:pPr>
                    <w:pStyle w:val="40"/>
                    <w:bidi w:val="0"/>
                    <w:rPr>
                      <w:rFonts w:hint="default"/>
                      <w:color w:val="auto"/>
                      <w:spacing w:val="-6"/>
                      <w:highlight w:val="none"/>
                    </w:rPr>
                  </w:pPr>
                </w:p>
              </w:tc>
            </w:tr>
            <w:tr w14:paraId="113AA9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2542DCED">
                  <w:pPr>
                    <w:pStyle w:val="40"/>
                    <w:bidi w:val="0"/>
                    <w:rPr>
                      <w:rFonts w:hint="default"/>
                      <w:color w:val="auto"/>
                      <w:spacing w:val="-6"/>
                      <w:highlight w:val="none"/>
                    </w:rPr>
                  </w:pPr>
                </w:p>
              </w:tc>
              <w:tc>
                <w:tcPr>
                  <w:tcW w:w="1218" w:type="dxa"/>
                  <w:vMerge w:val="restart"/>
                  <w:tcBorders>
                    <w:tl2br w:val="nil"/>
                    <w:tr2bl w:val="nil"/>
                  </w:tcBorders>
                  <w:shd w:val="clear" w:color="auto" w:fill="auto"/>
                  <w:vAlign w:val="center"/>
                </w:tcPr>
                <w:p w14:paraId="4123CC8E">
                  <w:pPr>
                    <w:pStyle w:val="40"/>
                    <w:bidi w:val="0"/>
                    <w:rPr>
                      <w:rFonts w:hint="default"/>
                      <w:color w:val="auto"/>
                      <w:spacing w:val="-6"/>
                      <w:highlight w:val="none"/>
                    </w:rPr>
                  </w:pPr>
                  <w:r>
                    <w:rPr>
                      <w:rFonts w:hint="eastAsia"/>
                      <w:color w:val="auto"/>
                      <w:spacing w:val="-6"/>
                      <w:highlight w:val="none"/>
                      <w:lang w:val="en-US" w:eastAsia="zh-CN"/>
                    </w:rPr>
                    <w:t>搅拌系统</w:t>
                  </w:r>
                </w:p>
              </w:tc>
              <w:tc>
                <w:tcPr>
                  <w:tcW w:w="1562" w:type="dxa"/>
                  <w:tcBorders>
                    <w:tl2br w:val="nil"/>
                    <w:tr2bl w:val="nil"/>
                  </w:tcBorders>
                  <w:shd w:val="clear" w:color="auto" w:fill="auto"/>
                  <w:noWrap/>
                  <w:vAlign w:val="center"/>
                </w:tcPr>
                <w:p w14:paraId="30B55F58">
                  <w:pPr>
                    <w:pStyle w:val="40"/>
                    <w:bidi w:val="0"/>
                    <w:rPr>
                      <w:rFonts w:hint="default"/>
                      <w:color w:val="auto"/>
                      <w:spacing w:val="-6"/>
                      <w:highlight w:val="none"/>
                    </w:rPr>
                  </w:pPr>
                  <w:r>
                    <w:rPr>
                      <w:rFonts w:hint="default"/>
                      <w:color w:val="auto"/>
                      <w:spacing w:val="-6"/>
                      <w:highlight w:val="none"/>
                      <w:lang w:val="en-US" w:eastAsia="zh-CN"/>
                    </w:rPr>
                    <w:t>1#</w:t>
                  </w:r>
                  <w:r>
                    <w:rPr>
                      <w:rFonts w:hint="eastAsia"/>
                      <w:color w:val="auto"/>
                      <w:spacing w:val="-6"/>
                      <w:highlight w:val="none"/>
                      <w:lang w:val="en-US" w:eastAsia="zh-CN"/>
                    </w:rPr>
                    <w:t>搅拌机</w:t>
                  </w:r>
                </w:p>
              </w:tc>
              <w:tc>
                <w:tcPr>
                  <w:tcW w:w="1062" w:type="dxa"/>
                  <w:tcBorders>
                    <w:tl2br w:val="nil"/>
                    <w:tr2bl w:val="nil"/>
                  </w:tcBorders>
                  <w:shd w:val="clear" w:color="auto" w:fill="auto"/>
                  <w:noWrap/>
                  <w:vAlign w:val="center"/>
                </w:tcPr>
                <w:p w14:paraId="706DA667">
                  <w:pPr>
                    <w:pStyle w:val="40"/>
                    <w:bidi w:val="0"/>
                    <w:rPr>
                      <w:rFonts w:hint="default"/>
                      <w:color w:val="auto"/>
                      <w:spacing w:val="-6"/>
                      <w:highlight w:val="none"/>
                    </w:rPr>
                  </w:pPr>
                  <w:r>
                    <w:rPr>
                      <w:rFonts w:hint="default"/>
                      <w:color w:val="auto"/>
                      <w:spacing w:val="-6"/>
                      <w:highlight w:val="none"/>
                      <w:lang w:val="en-US" w:eastAsia="zh-CN"/>
                    </w:rPr>
                    <w:t>80</w:t>
                  </w:r>
                </w:p>
              </w:tc>
              <w:tc>
                <w:tcPr>
                  <w:tcW w:w="600" w:type="dxa"/>
                  <w:tcBorders>
                    <w:tl2br w:val="nil"/>
                    <w:tr2bl w:val="nil"/>
                  </w:tcBorders>
                  <w:shd w:val="clear" w:color="auto" w:fill="auto"/>
                  <w:noWrap/>
                  <w:vAlign w:val="center"/>
                </w:tcPr>
                <w:p w14:paraId="5070551B">
                  <w:pPr>
                    <w:pStyle w:val="40"/>
                    <w:bidi w:val="0"/>
                    <w:rPr>
                      <w:rFonts w:hint="default"/>
                      <w:color w:val="auto"/>
                      <w:spacing w:val="-6"/>
                      <w:highlight w:val="none"/>
                    </w:rPr>
                  </w:pPr>
                  <w:r>
                    <w:rPr>
                      <w:rFonts w:hint="default"/>
                      <w:color w:val="auto"/>
                      <w:spacing w:val="-6"/>
                      <w:highlight w:val="none"/>
                      <w:lang w:val="en-US" w:eastAsia="zh-CN"/>
                    </w:rPr>
                    <w:t>40</w:t>
                  </w:r>
                </w:p>
              </w:tc>
              <w:tc>
                <w:tcPr>
                  <w:tcW w:w="588" w:type="dxa"/>
                  <w:tcBorders>
                    <w:tl2br w:val="nil"/>
                    <w:tr2bl w:val="nil"/>
                  </w:tcBorders>
                  <w:shd w:val="clear" w:color="auto" w:fill="auto"/>
                  <w:noWrap/>
                  <w:vAlign w:val="center"/>
                </w:tcPr>
                <w:p w14:paraId="21321C2D">
                  <w:pPr>
                    <w:pStyle w:val="40"/>
                    <w:bidi w:val="0"/>
                    <w:rPr>
                      <w:rFonts w:hint="default"/>
                      <w:color w:val="auto"/>
                      <w:spacing w:val="-6"/>
                      <w:highlight w:val="none"/>
                    </w:rPr>
                  </w:pPr>
                  <w:r>
                    <w:rPr>
                      <w:rFonts w:hint="default"/>
                      <w:color w:val="auto"/>
                      <w:spacing w:val="-6"/>
                      <w:highlight w:val="none"/>
                      <w:lang w:val="en-US" w:eastAsia="zh-CN"/>
                    </w:rPr>
                    <w:t>159</w:t>
                  </w:r>
                </w:p>
              </w:tc>
              <w:tc>
                <w:tcPr>
                  <w:tcW w:w="565" w:type="dxa"/>
                  <w:tcBorders>
                    <w:tl2br w:val="nil"/>
                    <w:tr2bl w:val="nil"/>
                  </w:tcBorders>
                  <w:shd w:val="clear" w:color="auto" w:fill="auto"/>
                  <w:noWrap/>
                  <w:vAlign w:val="center"/>
                </w:tcPr>
                <w:p w14:paraId="7EDAE9A6">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3EC40FB0">
                  <w:pPr>
                    <w:pStyle w:val="40"/>
                    <w:bidi w:val="0"/>
                    <w:rPr>
                      <w:rFonts w:hint="default"/>
                      <w:color w:val="auto"/>
                      <w:spacing w:val="-6"/>
                      <w:highlight w:val="none"/>
                    </w:rPr>
                  </w:pPr>
                  <w:r>
                    <w:rPr>
                      <w:rFonts w:hint="default"/>
                      <w:color w:val="auto"/>
                      <w:spacing w:val="-6"/>
                      <w:highlight w:val="none"/>
                      <w:lang w:val="en-US" w:eastAsia="zh-CN"/>
                    </w:rPr>
                    <w:t>14</w:t>
                  </w:r>
                </w:p>
              </w:tc>
              <w:tc>
                <w:tcPr>
                  <w:tcW w:w="600" w:type="dxa"/>
                  <w:tcBorders>
                    <w:tl2br w:val="nil"/>
                    <w:tr2bl w:val="nil"/>
                  </w:tcBorders>
                  <w:shd w:val="clear" w:color="auto" w:fill="auto"/>
                  <w:noWrap/>
                  <w:vAlign w:val="center"/>
                </w:tcPr>
                <w:p w14:paraId="4F712C2D">
                  <w:pPr>
                    <w:pStyle w:val="40"/>
                    <w:bidi w:val="0"/>
                    <w:rPr>
                      <w:rFonts w:hint="default"/>
                      <w:color w:val="auto"/>
                      <w:spacing w:val="-6"/>
                      <w:highlight w:val="none"/>
                    </w:rPr>
                  </w:pPr>
                  <w:r>
                    <w:rPr>
                      <w:rFonts w:hint="default"/>
                      <w:color w:val="auto"/>
                      <w:spacing w:val="-6"/>
                      <w:highlight w:val="none"/>
                      <w:lang w:val="en-US" w:eastAsia="zh-CN"/>
                    </w:rPr>
                    <w:t>71.0</w:t>
                  </w:r>
                </w:p>
              </w:tc>
              <w:tc>
                <w:tcPr>
                  <w:tcW w:w="611" w:type="dxa"/>
                  <w:vMerge w:val="continue"/>
                  <w:tcBorders>
                    <w:tl2br w:val="nil"/>
                    <w:tr2bl w:val="nil"/>
                  </w:tcBorders>
                  <w:shd w:val="clear" w:color="auto" w:fill="auto"/>
                  <w:noWrap/>
                  <w:vAlign w:val="center"/>
                </w:tcPr>
                <w:p w14:paraId="6F79C7FA">
                  <w:pPr>
                    <w:pStyle w:val="40"/>
                    <w:bidi w:val="0"/>
                    <w:rPr>
                      <w:rFonts w:hint="default"/>
                      <w:color w:val="auto"/>
                      <w:spacing w:val="-6"/>
                      <w:highlight w:val="none"/>
                    </w:rPr>
                  </w:pPr>
                </w:p>
              </w:tc>
            </w:tr>
            <w:tr w14:paraId="5009AD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7CC143DD">
                  <w:pPr>
                    <w:pStyle w:val="40"/>
                    <w:bidi w:val="0"/>
                    <w:rPr>
                      <w:rFonts w:hint="default"/>
                      <w:color w:val="auto"/>
                      <w:spacing w:val="-6"/>
                      <w:highlight w:val="none"/>
                    </w:rPr>
                  </w:pPr>
                </w:p>
              </w:tc>
              <w:tc>
                <w:tcPr>
                  <w:tcW w:w="1218" w:type="dxa"/>
                  <w:vMerge w:val="continue"/>
                  <w:tcBorders>
                    <w:tl2br w:val="nil"/>
                    <w:tr2bl w:val="nil"/>
                  </w:tcBorders>
                  <w:shd w:val="clear" w:color="auto" w:fill="auto"/>
                  <w:vAlign w:val="center"/>
                </w:tcPr>
                <w:p w14:paraId="401F6EAD">
                  <w:pPr>
                    <w:pStyle w:val="40"/>
                    <w:bidi w:val="0"/>
                    <w:rPr>
                      <w:rFonts w:hint="default"/>
                      <w:color w:val="auto"/>
                      <w:spacing w:val="-6"/>
                      <w:highlight w:val="none"/>
                    </w:rPr>
                  </w:pPr>
                </w:p>
              </w:tc>
              <w:tc>
                <w:tcPr>
                  <w:tcW w:w="1562" w:type="dxa"/>
                  <w:tcBorders>
                    <w:tl2br w:val="nil"/>
                    <w:tr2bl w:val="nil"/>
                  </w:tcBorders>
                  <w:shd w:val="clear" w:color="auto" w:fill="auto"/>
                  <w:noWrap/>
                  <w:vAlign w:val="center"/>
                </w:tcPr>
                <w:p w14:paraId="30AE35B0">
                  <w:pPr>
                    <w:pStyle w:val="40"/>
                    <w:bidi w:val="0"/>
                    <w:rPr>
                      <w:rFonts w:hint="default"/>
                      <w:color w:val="auto"/>
                      <w:spacing w:val="-6"/>
                      <w:highlight w:val="none"/>
                    </w:rPr>
                  </w:pPr>
                  <w:r>
                    <w:rPr>
                      <w:rFonts w:hint="default"/>
                      <w:color w:val="auto"/>
                      <w:spacing w:val="-6"/>
                      <w:highlight w:val="none"/>
                      <w:lang w:val="en-US" w:eastAsia="zh-CN"/>
                    </w:rPr>
                    <w:t>2#</w:t>
                  </w:r>
                  <w:r>
                    <w:rPr>
                      <w:rFonts w:hint="eastAsia"/>
                      <w:color w:val="auto"/>
                      <w:spacing w:val="-6"/>
                      <w:highlight w:val="none"/>
                      <w:lang w:val="en-US" w:eastAsia="zh-CN"/>
                    </w:rPr>
                    <w:t>搅拌机</w:t>
                  </w:r>
                </w:p>
              </w:tc>
              <w:tc>
                <w:tcPr>
                  <w:tcW w:w="1062" w:type="dxa"/>
                  <w:tcBorders>
                    <w:tl2br w:val="nil"/>
                    <w:tr2bl w:val="nil"/>
                  </w:tcBorders>
                  <w:shd w:val="clear" w:color="auto" w:fill="auto"/>
                  <w:noWrap/>
                  <w:vAlign w:val="center"/>
                </w:tcPr>
                <w:p w14:paraId="6574594C">
                  <w:pPr>
                    <w:pStyle w:val="40"/>
                    <w:bidi w:val="0"/>
                    <w:rPr>
                      <w:rFonts w:hint="default"/>
                      <w:color w:val="auto"/>
                      <w:spacing w:val="-6"/>
                      <w:highlight w:val="none"/>
                    </w:rPr>
                  </w:pPr>
                  <w:r>
                    <w:rPr>
                      <w:rFonts w:hint="default"/>
                      <w:color w:val="auto"/>
                      <w:spacing w:val="-6"/>
                      <w:highlight w:val="none"/>
                      <w:lang w:val="en-US" w:eastAsia="zh-CN"/>
                    </w:rPr>
                    <w:t>80</w:t>
                  </w:r>
                </w:p>
              </w:tc>
              <w:tc>
                <w:tcPr>
                  <w:tcW w:w="600" w:type="dxa"/>
                  <w:tcBorders>
                    <w:tl2br w:val="nil"/>
                    <w:tr2bl w:val="nil"/>
                  </w:tcBorders>
                  <w:shd w:val="clear" w:color="auto" w:fill="auto"/>
                  <w:noWrap/>
                  <w:vAlign w:val="center"/>
                </w:tcPr>
                <w:p w14:paraId="4246C95B">
                  <w:pPr>
                    <w:pStyle w:val="40"/>
                    <w:bidi w:val="0"/>
                    <w:rPr>
                      <w:rFonts w:hint="default"/>
                      <w:color w:val="auto"/>
                      <w:spacing w:val="-6"/>
                      <w:highlight w:val="none"/>
                    </w:rPr>
                  </w:pPr>
                  <w:r>
                    <w:rPr>
                      <w:rFonts w:hint="default"/>
                      <w:color w:val="auto"/>
                      <w:spacing w:val="-6"/>
                      <w:highlight w:val="none"/>
                      <w:lang w:val="en-US" w:eastAsia="zh-CN"/>
                    </w:rPr>
                    <w:t>50</w:t>
                  </w:r>
                </w:p>
              </w:tc>
              <w:tc>
                <w:tcPr>
                  <w:tcW w:w="588" w:type="dxa"/>
                  <w:tcBorders>
                    <w:tl2br w:val="nil"/>
                    <w:tr2bl w:val="nil"/>
                  </w:tcBorders>
                  <w:shd w:val="clear" w:color="auto" w:fill="auto"/>
                  <w:noWrap/>
                  <w:vAlign w:val="center"/>
                </w:tcPr>
                <w:p w14:paraId="75ADBAE9">
                  <w:pPr>
                    <w:pStyle w:val="40"/>
                    <w:bidi w:val="0"/>
                    <w:rPr>
                      <w:rFonts w:hint="default"/>
                      <w:color w:val="auto"/>
                      <w:spacing w:val="-6"/>
                      <w:highlight w:val="none"/>
                    </w:rPr>
                  </w:pPr>
                  <w:r>
                    <w:rPr>
                      <w:rFonts w:hint="default"/>
                      <w:color w:val="auto"/>
                      <w:spacing w:val="-6"/>
                      <w:highlight w:val="none"/>
                      <w:lang w:val="en-US" w:eastAsia="zh-CN"/>
                    </w:rPr>
                    <w:t>160</w:t>
                  </w:r>
                </w:p>
              </w:tc>
              <w:tc>
                <w:tcPr>
                  <w:tcW w:w="565" w:type="dxa"/>
                  <w:tcBorders>
                    <w:tl2br w:val="nil"/>
                    <w:tr2bl w:val="nil"/>
                  </w:tcBorders>
                  <w:shd w:val="clear" w:color="auto" w:fill="auto"/>
                  <w:noWrap/>
                  <w:vAlign w:val="center"/>
                </w:tcPr>
                <w:p w14:paraId="4E26AEE5">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0977E144">
                  <w:pPr>
                    <w:pStyle w:val="40"/>
                    <w:bidi w:val="0"/>
                    <w:rPr>
                      <w:rFonts w:hint="default"/>
                      <w:color w:val="auto"/>
                      <w:spacing w:val="-6"/>
                      <w:highlight w:val="none"/>
                    </w:rPr>
                  </w:pPr>
                  <w:r>
                    <w:rPr>
                      <w:rFonts w:hint="default"/>
                      <w:color w:val="auto"/>
                      <w:spacing w:val="-6"/>
                      <w:highlight w:val="none"/>
                      <w:lang w:val="en-US" w:eastAsia="zh-CN"/>
                    </w:rPr>
                    <w:t>14</w:t>
                  </w:r>
                </w:p>
              </w:tc>
              <w:tc>
                <w:tcPr>
                  <w:tcW w:w="600" w:type="dxa"/>
                  <w:tcBorders>
                    <w:tl2br w:val="nil"/>
                    <w:tr2bl w:val="nil"/>
                  </w:tcBorders>
                  <w:shd w:val="clear" w:color="auto" w:fill="auto"/>
                  <w:noWrap/>
                  <w:vAlign w:val="center"/>
                </w:tcPr>
                <w:p w14:paraId="1EEB5096">
                  <w:pPr>
                    <w:pStyle w:val="40"/>
                    <w:bidi w:val="0"/>
                    <w:rPr>
                      <w:rFonts w:hint="default"/>
                      <w:color w:val="auto"/>
                      <w:spacing w:val="-6"/>
                      <w:highlight w:val="none"/>
                    </w:rPr>
                  </w:pPr>
                  <w:r>
                    <w:rPr>
                      <w:rFonts w:hint="default"/>
                      <w:color w:val="auto"/>
                      <w:spacing w:val="-6"/>
                      <w:highlight w:val="none"/>
                      <w:lang w:val="en-US" w:eastAsia="zh-CN"/>
                    </w:rPr>
                    <w:t>71.0</w:t>
                  </w:r>
                </w:p>
              </w:tc>
              <w:tc>
                <w:tcPr>
                  <w:tcW w:w="611" w:type="dxa"/>
                  <w:vMerge w:val="continue"/>
                  <w:tcBorders>
                    <w:tl2br w:val="nil"/>
                    <w:tr2bl w:val="nil"/>
                  </w:tcBorders>
                  <w:shd w:val="clear" w:color="auto" w:fill="auto"/>
                  <w:noWrap/>
                  <w:vAlign w:val="center"/>
                </w:tcPr>
                <w:p w14:paraId="47B73187">
                  <w:pPr>
                    <w:pStyle w:val="40"/>
                    <w:bidi w:val="0"/>
                    <w:rPr>
                      <w:rFonts w:hint="default"/>
                      <w:color w:val="auto"/>
                      <w:spacing w:val="-6"/>
                      <w:highlight w:val="none"/>
                    </w:rPr>
                  </w:pPr>
                </w:p>
              </w:tc>
            </w:tr>
            <w:tr w14:paraId="5EAC23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104A3900">
                  <w:pPr>
                    <w:pStyle w:val="40"/>
                    <w:bidi w:val="0"/>
                    <w:rPr>
                      <w:rFonts w:hint="default"/>
                      <w:color w:val="auto"/>
                      <w:spacing w:val="-6"/>
                      <w:highlight w:val="none"/>
                    </w:rPr>
                  </w:pPr>
                </w:p>
              </w:tc>
              <w:tc>
                <w:tcPr>
                  <w:tcW w:w="1218" w:type="dxa"/>
                  <w:vMerge w:val="continue"/>
                  <w:tcBorders>
                    <w:tl2br w:val="nil"/>
                    <w:tr2bl w:val="nil"/>
                  </w:tcBorders>
                  <w:shd w:val="clear" w:color="auto" w:fill="auto"/>
                  <w:vAlign w:val="center"/>
                </w:tcPr>
                <w:p w14:paraId="1ECD0CB2">
                  <w:pPr>
                    <w:pStyle w:val="40"/>
                    <w:bidi w:val="0"/>
                    <w:rPr>
                      <w:rFonts w:hint="default"/>
                      <w:color w:val="auto"/>
                      <w:spacing w:val="-6"/>
                      <w:highlight w:val="none"/>
                    </w:rPr>
                  </w:pPr>
                </w:p>
              </w:tc>
              <w:tc>
                <w:tcPr>
                  <w:tcW w:w="1562" w:type="dxa"/>
                  <w:tcBorders>
                    <w:tl2br w:val="nil"/>
                    <w:tr2bl w:val="nil"/>
                  </w:tcBorders>
                  <w:shd w:val="clear" w:color="auto" w:fill="auto"/>
                  <w:noWrap/>
                  <w:vAlign w:val="center"/>
                </w:tcPr>
                <w:p w14:paraId="77499959">
                  <w:pPr>
                    <w:pStyle w:val="40"/>
                    <w:bidi w:val="0"/>
                    <w:rPr>
                      <w:rFonts w:hint="eastAsia"/>
                      <w:color w:val="auto"/>
                      <w:spacing w:val="-6"/>
                      <w:highlight w:val="none"/>
                    </w:rPr>
                  </w:pPr>
                  <w:r>
                    <w:rPr>
                      <w:rFonts w:hint="eastAsia"/>
                      <w:color w:val="auto"/>
                      <w:spacing w:val="-6"/>
                      <w:highlight w:val="none"/>
                      <w:lang w:val="en-US" w:eastAsia="zh-CN"/>
                    </w:rPr>
                    <w:t>风机</w:t>
                  </w:r>
                </w:p>
              </w:tc>
              <w:tc>
                <w:tcPr>
                  <w:tcW w:w="1062" w:type="dxa"/>
                  <w:tcBorders>
                    <w:tl2br w:val="nil"/>
                    <w:tr2bl w:val="nil"/>
                  </w:tcBorders>
                  <w:shd w:val="clear" w:color="auto" w:fill="auto"/>
                  <w:noWrap/>
                  <w:vAlign w:val="center"/>
                </w:tcPr>
                <w:p w14:paraId="0212AA67">
                  <w:pPr>
                    <w:pStyle w:val="40"/>
                    <w:bidi w:val="0"/>
                    <w:rPr>
                      <w:rFonts w:hint="default"/>
                      <w:color w:val="auto"/>
                      <w:spacing w:val="-6"/>
                      <w:highlight w:val="none"/>
                    </w:rPr>
                  </w:pPr>
                  <w:r>
                    <w:rPr>
                      <w:rFonts w:hint="default"/>
                      <w:color w:val="auto"/>
                      <w:spacing w:val="-6"/>
                      <w:highlight w:val="none"/>
                      <w:lang w:val="en-US" w:eastAsia="zh-CN"/>
                    </w:rPr>
                    <w:t>90</w:t>
                  </w:r>
                </w:p>
              </w:tc>
              <w:tc>
                <w:tcPr>
                  <w:tcW w:w="600" w:type="dxa"/>
                  <w:tcBorders>
                    <w:tl2br w:val="nil"/>
                    <w:tr2bl w:val="nil"/>
                  </w:tcBorders>
                  <w:shd w:val="clear" w:color="auto" w:fill="auto"/>
                  <w:noWrap/>
                  <w:vAlign w:val="center"/>
                </w:tcPr>
                <w:p w14:paraId="25A09F8D">
                  <w:pPr>
                    <w:pStyle w:val="40"/>
                    <w:bidi w:val="0"/>
                    <w:rPr>
                      <w:rFonts w:hint="default"/>
                      <w:color w:val="auto"/>
                      <w:spacing w:val="-6"/>
                      <w:highlight w:val="none"/>
                    </w:rPr>
                  </w:pPr>
                  <w:r>
                    <w:rPr>
                      <w:rFonts w:hint="default"/>
                      <w:color w:val="auto"/>
                      <w:spacing w:val="-6"/>
                      <w:highlight w:val="none"/>
                      <w:lang w:val="en-US" w:eastAsia="zh-CN"/>
                    </w:rPr>
                    <w:t>42</w:t>
                  </w:r>
                </w:p>
              </w:tc>
              <w:tc>
                <w:tcPr>
                  <w:tcW w:w="588" w:type="dxa"/>
                  <w:tcBorders>
                    <w:tl2br w:val="nil"/>
                    <w:tr2bl w:val="nil"/>
                  </w:tcBorders>
                  <w:shd w:val="clear" w:color="auto" w:fill="auto"/>
                  <w:noWrap/>
                  <w:vAlign w:val="center"/>
                </w:tcPr>
                <w:p w14:paraId="4F161310">
                  <w:pPr>
                    <w:pStyle w:val="40"/>
                    <w:bidi w:val="0"/>
                    <w:rPr>
                      <w:rFonts w:hint="default"/>
                      <w:color w:val="auto"/>
                      <w:spacing w:val="-6"/>
                      <w:highlight w:val="none"/>
                    </w:rPr>
                  </w:pPr>
                  <w:r>
                    <w:rPr>
                      <w:rFonts w:hint="default"/>
                      <w:color w:val="auto"/>
                      <w:spacing w:val="-6"/>
                      <w:highlight w:val="none"/>
                      <w:lang w:val="en-US" w:eastAsia="zh-CN"/>
                    </w:rPr>
                    <w:t>154</w:t>
                  </w:r>
                </w:p>
              </w:tc>
              <w:tc>
                <w:tcPr>
                  <w:tcW w:w="565" w:type="dxa"/>
                  <w:tcBorders>
                    <w:tl2br w:val="nil"/>
                    <w:tr2bl w:val="nil"/>
                  </w:tcBorders>
                  <w:shd w:val="clear" w:color="auto" w:fill="auto"/>
                  <w:noWrap/>
                  <w:vAlign w:val="center"/>
                </w:tcPr>
                <w:p w14:paraId="7C7D5310">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2303F521">
                  <w:pPr>
                    <w:pStyle w:val="40"/>
                    <w:bidi w:val="0"/>
                    <w:rPr>
                      <w:rFonts w:hint="default"/>
                      <w:color w:val="auto"/>
                      <w:spacing w:val="-6"/>
                      <w:highlight w:val="none"/>
                    </w:rPr>
                  </w:pPr>
                  <w:r>
                    <w:rPr>
                      <w:rFonts w:hint="default"/>
                      <w:color w:val="auto"/>
                      <w:spacing w:val="-6"/>
                      <w:highlight w:val="none"/>
                      <w:lang w:val="en-US" w:eastAsia="zh-CN"/>
                    </w:rPr>
                    <w:t>12</w:t>
                  </w:r>
                </w:p>
              </w:tc>
              <w:tc>
                <w:tcPr>
                  <w:tcW w:w="600" w:type="dxa"/>
                  <w:tcBorders>
                    <w:tl2br w:val="nil"/>
                    <w:tr2bl w:val="nil"/>
                  </w:tcBorders>
                  <w:shd w:val="clear" w:color="auto" w:fill="auto"/>
                  <w:noWrap/>
                  <w:vAlign w:val="center"/>
                </w:tcPr>
                <w:p w14:paraId="262FE36D">
                  <w:pPr>
                    <w:pStyle w:val="40"/>
                    <w:bidi w:val="0"/>
                    <w:rPr>
                      <w:rFonts w:hint="default"/>
                      <w:color w:val="auto"/>
                      <w:spacing w:val="-6"/>
                      <w:highlight w:val="none"/>
                    </w:rPr>
                  </w:pPr>
                  <w:r>
                    <w:rPr>
                      <w:rFonts w:hint="default"/>
                      <w:color w:val="auto"/>
                      <w:spacing w:val="-6"/>
                      <w:highlight w:val="none"/>
                      <w:lang w:val="en-US" w:eastAsia="zh-CN"/>
                    </w:rPr>
                    <w:t>81.0</w:t>
                  </w:r>
                </w:p>
              </w:tc>
              <w:tc>
                <w:tcPr>
                  <w:tcW w:w="611" w:type="dxa"/>
                  <w:vMerge w:val="continue"/>
                  <w:tcBorders>
                    <w:tl2br w:val="nil"/>
                    <w:tr2bl w:val="nil"/>
                  </w:tcBorders>
                  <w:shd w:val="clear" w:color="auto" w:fill="auto"/>
                  <w:noWrap/>
                  <w:vAlign w:val="center"/>
                </w:tcPr>
                <w:p w14:paraId="657AA7BB">
                  <w:pPr>
                    <w:pStyle w:val="40"/>
                    <w:bidi w:val="0"/>
                    <w:rPr>
                      <w:rFonts w:hint="default"/>
                      <w:color w:val="auto"/>
                      <w:spacing w:val="-6"/>
                      <w:highlight w:val="none"/>
                    </w:rPr>
                  </w:pPr>
                </w:p>
              </w:tc>
            </w:tr>
            <w:tr w14:paraId="06A9B4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74" w:type="dxa"/>
                  <w:vMerge w:val="continue"/>
                  <w:tcBorders>
                    <w:tl2br w:val="nil"/>
                    <w:tr2bl w:val="nil"/>
                  </w:tcBorders>
                  <w:shd w:val="clear" w:color="auto" w:fill="auto"/>
                  <w:vAlign w:val="center"/>
                </w:tcPr>
                <w:p w14:paraId="08A073BA">
                  <w:pPr>
                    <w:pStyle w:val="40"/>
                    <w:bidi w:val="0"/>
                    <w:rPr>
                      <w:rFonts w:hint="default"/>
                      <w:color w:val="auto"/>
                      <w:spacing w:val="-6"/>
                      <w:highlight w:val="none"/>
                    </w:rPr>
                  </w:pPr>
                </w:p>
              </w:tc>
              <w:tc>
                <w:tcPr>
                  <w:tcW w:w="1218" w:type="dxa"/>
                  <w:tcBorders>
                    <w:tl2br w:val="nil"/>
                    <w:tr2bl w:val="nil"/>
                  </w:tcBorders>
                  <w:shd w:val="clear" w:color="auto" w:fill="auto"/>
                  <w:vAlign w:val="center"/>
                </w:tcPr>
                <w:p w14:paraId="13EA2A78">
                  <w:pPr>
                    <w:pStyle w:val="40"/>
                    <w:bidi w:val="0"/>
                    <w:rPr>
                      <w:rFonts w:hint="default"/>
                      <w:color w:val="auto"/>
                      <w:spacing w:val="-6"/>
                      <w:highlight w:val="none"/>
                    </w:rPr>
                  </w:pPr>
                  <w:r>
                    <w:rPr>
                      <w:rFonts w:hint="eastAsia"/>
                      <w:color w:val="auto"/>
                      <w:spacing w:val="-6"/>
                      <w:highlight w:val="none"/>
                      <w:lang w:val="en-US" w:eastAsia="zh-CN"/>
                    </w:rPr>
                    <w:t>辅助系统</w:t>
                  </w:r>
                </w:p>
              </w:tc>
              <w:tc>
                <w:tcPr>
                  <w:tcW w:w="1562" w:type="dxa"/>
                  <w:tcBorders>
                    <w:tl2br w:val="nil"/>
                    <w:tr2bl w:val="nil"/>
                  </w:tcBorders>
                  <w:shd w:val="clear" w:color="auto" w:fill="auto"/>
                  <w:noWrap/>
                  <w:vAlign w:val="center"/>
                </w:tcPr>
                <w:p w14:paraId="2F67F826">
                  <w:pPr>
                    <w:pStyle w:val="40"/>
                    <w:bidi w:val="0"/>
                    <w:rPr>
                      <w:rFonts w:hint="eastAsia"/>
                      <w:color w:val="auto"/>
                      <w:spacing w:val="-6"/>
                      <w:highlight w:val="none"/>
                    </w:rPr>
                  </w:pPr>
                  <w:r>
                    <w:rPr>
                      <w:rFonts w:hint="eastAsia"/>
                      <w:color w:val="auto"/>
                      <w:spacing w:val="-6"/>
                      <w:highlight w:val="none"/>
                      <w:lang w:val="en-US" w:eastAsia="zh-CN"/>
                    </w:rPr>
                    <w:t>空压机</w:t>
                  </w:r>
                </w:p>
              </w:tc>
              <w:tc>
                <w:tcPr>
                  <w:tcW w:w="1062" w:type="dxa"/>
                  <w:tcBorders>
                    <w:tl2br w:val="nil"/>
                    <w:tr2bl w:val="nil"/>
                  </w:tcBorders>
                  <w:shd w:val="clear" w:color="auto" w:fill="auto"/>
                  <w:noWrap/>
                  <w:vAlign w:val="center"/>
                </w:tcPr>
                <w:p w14:paraId="01F9544B">
                  <w:pPr>
                    <w:pStyle w:val="40"/>
                    <w:bidi w:val="0"/>
                    <w:rPr>
                      <w:rFonts w:hint="default"/>
                      <w:color w:val="auto"/>
                      <w:spacing w:val="-6"/>
                      <w:highlight w:val="none"/>
                    </w:rPr>
                  </w:pPr>
                  <w:r>
                    <w:rPr>
                      <w:rFonts w:hint="default"/>
                      <w:color w:val="auto"/>
                      <w:spacing w:val="-6"/>
                      <w:highlight w:val="none"/>
                      <w:lang w:val="en-US" w:eastAsia="zh-CN"/>
                    </w:rPr>
                    <w:t>80</w:t>
                  </w:r>
                </w:p>
              </w:tc>
              <w:tc>
                <w:tcPr>
                  <w:tcW w:w="600" w:type="dxa"/>
                  <w:tcBorders>
                    <w:tl2br w:val="nil"/>
                    <w:tr2bl w:val="nil"/>
                  </w:tcBorders>
                  <w:shd w:val="clear" w:color="auto" w:fill="auto"/>
                  <w:noWrap/>
                  <w:vAlign w:val="center"/>
                </w:tcPr>
                <w:p w14:paraId="708BE3C9">
                  <w:pPr>
                    <w:pStyle w:val="40"/>
                    <w:bidi w:val="0"/>
                    <w:rPr>
                      <w:rFonts w:hint="default"/>
                      <w:color w:val="auto"/>
                      <w:spacing w:val="-6"/>
                      <w:highlight w:val="none"/>
                    </w:rPr>
                  </w:pPr>
                  <w:r>
                    <w:rPr>
                      <w:rFonts w:hint="default"/>
                      <w:color w:val="auto"/>
                      <w:spacing w:val="-6"/>
                      <w:highlight w:val="none"/>
                      <w:lang w:val="en-US" w:eastAsia="zh-CN"/>
                    </w:rPr>
                    <w:t>62</w:t>
                  </w:r>
                </w:p>
              </w:tc>
              <w:tc>
                <w:tcPr>
                  <w:tcW w:w="588" w:type="dxa"/>
                  <w:tcBorders>
                    <w:tl2br w:val="nil"/>
                    <w:tr2bl w:val="nil"/>
                  </w:tcBorders>
                  <w:shd w:val="clear" w:color="auto" w:fill="auto"/>
                  <w:noWrap/>
                  <w:vAlign w:val="center"/>
                </w:tcPr>
                <w:p w14:paraId="1DC9AAE6">
                  <w:pPr>
                    <w:pStyle w:val="40"/>
                    <w:bidi w:val="0"/>
                    <w:rPr>
                      <w:rFonts w:hint="default"/>
                      <w:color w:val="auto"/>
                      <w:spacing w:val="-6"/>
                      <w:highlight w:val="none"/>
                    </w:rPr>
                  </w:pPr>
                  <w:r>
                    <w:rPr>
                      <w:rFonts w:hint="default"/>
                      <w:color w:val="auto"/>
                      <w:spacing w:val="-6"/>
                      <w:highlight w:val="none"/>
                      <w:lang w:val="en-US" w:eastAsia="zh-CN"/>
                    </w:rPr>
                    <w:t>153</w:t>
                  </w:r>
                </w:p>
              </w:tc>
              <w:tc>
                <w:tcPr>
                  <w:tcW w:w="565" w:type="dxa"/>
                  <w:tcBorders>
                    <w:tl2br w:val="nil"/>
                    <w:tr2bl w:val="nil"/>
                  </w:tcBorders>
                  <w:shd w:val="clear" w:color="auto" w:fill="auto"/>
                  <w:noWrap/>
                  <w:vAlign w:val="center"/>
                </w:tcPr>
                <w:p w14:paraId="67CF1F0A">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0D6B60F9">
                  <w:pPr>
                    <w:pStyle w:val="40"/>
                    <w:bidi w:val="0"/>
                    <w:rPr>
                      <w:rFonts w:hint="default"/>
                      <w:color w:val="auto"/>
                      <w:spacing w:val="-6"/>
                      <w:highlight w:val="none"/>
                    </w:rPr>
                  </w:pPr>
                  <w:r>
                    <w:rPr>
                      <w:rFonts w:hint="default"/>
                      <w:color w:val="auto"/>
                      <w:spacing w:val="-6"/>
                      <w:highlight w:val="none"/>
                      <w:lang w:val="en-US" w:eastAsia="zh-CN"/>
                    </w:rPr>
                    <w:t>16</w:t>
                  </w:r>
                </w:p>
              </w:tc>
              <w:tc>
                <w:tcPr>
                  <w:tcW w:w="600" w:type="dxa"/>
                  <w:tcBorders>
                    <w:tl2br w:val="nil"/>
                    <w:tr2bl w:val="nil"/>
                  </w:tcBorders>
                  <w:shd w:val="clear" w:color="auto" w:fill="auto"/>
                  <w:noWrap/>
                  <w:vAlign w:val="center"/>
                </w:tcPr>
                <w:p w14:paraId="14342857">
                  <w:pPr>
                    <w:pStyle w:val="40"/>
                    <w:bidi w:val="0"/>
                    <w:rPr>
                      <w:rFonts w:hint="default"/>
                      <w:color w:val="auto"/>
                      <w:spacing w:val="-6"/>
                      <w:highlight w:val="none"/>
                    </w:rPr>
                  </w:pPr>
                  <w:r>
                    <w:rPr>
                      <w:rFonts w:hint="default"/>
                      <w:color w:val="auto"/>
                      <w:spacing w:val="-6"/>
                      <w:highlight w:val="none"/>
                      <w:lang w:val="en-US" w:eastAsia="zh-CN"/>
                    </w:rPr>
                    <w:t>71.0</w:t>
                  </w:r>
                </w:p>
              </w:tc>
              <w:tc>
                <w:tcPr>
                  <w:tcW w:w="611" w:type="dxa"/>
                  <w:vMerge w:val="continue"/>
                  <w:tcBorders>
                    <w:tl2br w:val="nil"/>
                    <w:tr2bl w:val="nil"/>
                  </w:tcBorders>
                  <w:shd w:val="clear" w:color="auto" w:fill="auto"/>
                  <w:noWrap/>
                  <w:vAlign w:val="center"/>
                </w:tcPr>
                <w:p w14:paraId="0964A309">
                  <w:pPr>
                    <w:pStyle w:val="40"/>
                    <w:bidi w:val="0"/>
                    <w:rPr>
                      <w:rFonts w:hint="default"/>
                      <w:color w:val="auto"/>
                      <w:spacing w:val="-6"/>
                      <w:highlight w:val="none"/>
                    </w:rPr>
                  </w:pPr>
                </w:p>
              </w:tc>
            </w:tr>
            <w:tr w14:paraId="08C6D4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1592" w:type="dxa"/>
                  <w:gridSpan w:val="2"/>
                  <w:vMerge w:val="restart"/>
                  <w:tcBorders>
                    <w:tl2br w:val="nil"/>
                    <w:tr2bl w:val="nil"/>
                  </w:tcBorders>
                  <w:shd w:val="clear" w:color="auto" w:fill="auto"/>
                  <w:noWrap/>
                  <w:vAlign w:val="center"/>
                </w:tcPr>
                <w:p w14:paraId="78F335CC">
                  <w:pPr>
                    <w:pStyle w:val="40"/>
                    <w:bidi w:val="0"/>
                    <w:rPr>
                      <w:rFonts w:hint="eastAsia"/>
                      <w:color w:val="auto"/>
                      <w:spacing w:val="-6"/>
                      <w:highlight w:val="none"/>
                    </w:rPr>
                  </w:pPr>
                  <w:r>
                    <w:rPr>
                      <w:rFonts w:hint="eastAsia"/>
                      <w:color w:val="auto"/>
                      <w:spacing w:val="-6"/>
                      <w:highlight w:val="none"/>
                      <w:lang w:val="en-US" w:eastAsia="zh-CN"/>
                    </w:rPr>
                    <w:t>锅炉</w:t>
                  </w:r>
                </w:p>
              </w:tc>
              <w:tc>
                <w:tcPr>
                  <w:tcW w:w="1562" w:type="dxa"/>
                  <w:tcBorders>
                    <w:tl2br w:val="nil"/>
                    <w:tr2bl w:val="nil"/>
                  </w:tcBorders>
                  <w:shd w:val="clear" w:color="auto" w:fill="auto"/>
                  <w:noWrap/>
                  <w:vAlign w:val="center"/>
                </w:tcPr>
                <w:p w14:paraId="14ED7C18">
                  <w:pPr>
                    <w:pStyle w:val="40"/>
                    <w:bidi w:val="0"/>
                    <w:rPr>
                      <w:rFonts w:hint="eastAsia"/>
                      <w:color w:val="auto"/>
                      <w:spacing w:val="-6"/>
                      <w:highlight w:val="none"/>
                    </w:rPr>
                  </w:pPr>
                  <w:r>
                    <w:rPr>
                      <w:rFonts w:hint="eastAsia"/>
                      <w:color w:val="auto"/>
                      <w:spacing w:val="-6"/>
                      <w:highlight w:val="none"/>
                      <w:lang w:val="en-US" w:eastAsia="zh-CN"/>
                    </w:rPr>
                    <w:t>锅炉给水泵</w:t>
                  </w:r>
                </w:p>
              </w:tc>
              <w:tc>
                <w:tcPr>
                  <w:tcW w:w="1062" w:type="dxa"/>
                  <w:tcBorders>
                    <w:tl2br w:val="nil"/>
                    <w:tr2bl w:val="nil"/>
                  </w:tcBorders>
                  <w:shd w:val="clear" w:color="auto" w:fill="auto"/>
                  <w:noWrap/>
                  <w:vAlign w:val="center"/>
                </w:tcPr>
                <w:p w14:paraId="22E8ECAD">
                  <w:pPr>
                    <w:pStyle w:val="40"/>
                    <w:bidi w:val="0"/>
                    <w:rPr>
                      <w:rFonts w:hint="default"/>
                      <w:color w:val="auto"/>
                      <w:spacing w:val="-6"/>
                      <w:highlight w:val="none"/>
                    </w:rPr>
                  </w:pPr>
                  <w:r>
                    <w:rPr>
                      <w:rFonts w:hint="default"/>
                      <w:color w:val="auto"/>
                      <w:spacing w:val="-6"/>
                      <w:highlight w:val="none"/>
                      <w:lang w:val="en-US" w:eastAsia="zh-CN"/>
                    </w:rPr>
                    <w:t>80</w:t>
                  </w:r>
                </w:p>
              </w:tc>
              <w:tc>
                <w:tcPr>
                  <w:tcW w:w="600" w:type="dxa"/>
                  <w:tcBorders>
                    <w:tl2br w:val="nil"/>
                    <w:tr2bl w:val="nil"/>
                  </w:tcBorders>
                  <w:shd w:val="clear" w:color="auto" w:fill="auto"/>
                  <w:noWrap/>
                  <w:vAlign w:val="center"/>
                </w:tcPr>
                <w:p w14:paraId="6FC1A972">
                  <w:pPr>
                    <w:pStyle w:val="40"/>
                    <w:bidi w:val="0"/>
                    <w:rPr>
                      <w:rFonts w:hint="default"/>
                      <w:color w:val="auto"/>
                      <w:spacing w:val="-6"/>
                      <w:highlight w:val="none"/>
                    </w:rPr>
                  </w:pPr>
                  <w:r>
                    <w:rPr>
                      <w:rFonts w:hint="default"/>
                      <w:color w:val="auto"/>
                      <w:spacing w:val="-6"/>
                      <w:highlight w:val="none"/>
                      <w:lang w:val="en-US" w:eastAsia="zh-CN"/>
                    </w:rPr>
                    <w:t>59</w:t>
                  </w:r>
                </w:p>
              </w:tc>
              <w:tc>
                <w:tcPr>
                  <w:tcW w:w="588" w:type="dxa"/>
                  <w:tcBorders>
                    <w:tl2br w:val="nil"/>
                    <w:tr2bl w:val="nil"/>
                  </w:tcBorders>
                  <w:shd w:val="clear" w:color="auto" w:fill="auto"/>
                  <w:noWrap/>
                  <w:vAlign w:val="center"/>
                </w:tcPr>
                <w:p w14:paraId="679E70B3">
                  <w:pPr>
                    <w:pStyle w:val="40"/>
                    <w:bidi w:val="0"/>
                    <w:rPr>
                      <w:rFonts w:hint="default"/>
                      <w:color w:val="auto"/>
                      <w:spacing w:val="-6"/>
                      <w:highlight w:val="none"/>
                    </w:rPr>
                  </w:pPr>
                  <w:r>
                    <w:rPr>
                      <w:rFonts w:hint="default"/>
                      <w:color w:val="auto"/>
                      <w:spacing w:val="-6"/>
                      <w:highlight w:val="none"/>
                      <w:lang w:val="en-US" w:eastAsia="zh-CN"/>
                    </w:rPr>
                    <w:t>96</w:t>
                  </w:r>
                </w:p>
              </w:tc>
              <w:tc>
                <w:tcPr>
                  <w:tcW w:w="565" w:type="dxa"/>
                  <w:tcBorders>
                    <w:tl2br w:val="nil"/>
                    <w:tr2bl w:val="nil"/>
                  </w:tcBorders>
                  <w:shd w:val="clear" w:color="auto" w:fill="auto"/>
                  <w:noWrap/>
                  <w:vAlign w:val="center"/>
                </w:tcPr>
                <w:p w14:paraId="3ACA0EA3">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41F2026B">
                  <w:pPr>
                    <w:pStyle w:val="40"/>
                    <w:bidi w:val="0"/>
                    <w:rPr>
                      <w:rFonts w:hint="default"/>
                      <w:color w:val="auto"/>
                      <w:spacing w:val="-6"/>
                      <w:highlight w:val="none"/>
                    </w:rPr>
                  </w:pPr>
                  <w:r>
                    <w:rPr>
                      <w:rFonts w:hint="default"/>
                      <w:color w:val="auto"/>
                      <w:spacing w:val="-6"/>
                      <w:highlight w:val="none"/>
                      <w:lang w:val="en-US" w:eastAsia="zh-CN"/>
                    </w:rPr>
                    <w:t>5</w:t>
                  </w:r>
                </w:p>
              </w:tc>
              <w:tc>
                <w:tcPr>
                  <w:tcW w:w="600" w:type="dxa"/>
                  <w:tcBorders>
                    <w:tl2br w:val="nil"/>
                    <w:tr2bl w:val="nil"/>
                  </w:tcBorders>
                  <w:shd w:val="clear" w:color="auto" w:fill="auto"/>
                  <w:noWrap/>
                  <w:vAlign w:val="center"/>
                </w:tcPr>
                <w:p w14:paraId="68BCF9AD">
                  <w:pPr>
                    <w:pStyle w:val="40"/>
                    <w:bidi w:val="0"/>
                    <w:rPr>
                      <w:rFonts w:hint="default"/>
                      <w:color w:val="auto"/>
                      <w:spacing w:val="-6"/>
                      <w:highlight w:val="none"/>
                    </w:rPr>
                  </w:pPr>
                  <w:r>
                    <w:rPr>
                      <w:rFonts w:hint="default"/>
                      <w:color w:val="auto"/>
                      <w:spacing w:val="-6"/>
                      <w:highlight w:val="none"/>
                      <w:lang w:val="en-US" w:eastAsia="zh-CN"/>
                    </w:rPr>
                    <w:t>82.1</w:t>
                  </w:r>
                </w:p>
              </w:tc>
              <w:tc>
                <w:tcPr>
                  <w:tcW w:w="611" w:type="dxa"/>
                  <w:vMerge w:val="restart"/>
                  <w:tcBorders>
                    <w:tl2br w:val="nil"/>
                    <w:tr2bl w:val="nil"/>
                  </w:tcBorders>
                  <w:shd w:val="clear" w:color="auto" w:fill="auto"/>
                  <w:noWrap/>
                  <w:vAlign w:val="center"/>
                </w:tcPr>
                <w:p w14:paraId="53383E05">
                  <w:pPr>
                    <w:pStyle w:val="40"/>
                    <w:bidi w:val="0"/>
                    <w:rPr>
                      <w:rFonts w:hint="default"/>
                      <w:color w:val="auto"/>
                      <w:spacing w:val="-6"/>
                      <w:highlight w:val="none"/>
                    </w:rPr>
                  </w:pPr>
                  <w:r>
                    <w:rPr>
                      <w:rFonts w:hint="default"/>
                      <w:color w:val="auto"/>
                      <w:spacing w:val="-6"/>
                      <w:highlight w:val="none"/>
                      <w:lang w:val="en-US" w:eastAsia="zh-CN"/>
                    </w:rPr>
                    <w:t>91.3</w:t>
                  </w:r>
                </w:p>
              </w:tc>
            </w:tr>
            <w:tr w14:paraId="0B9E80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1592" w:type="dxa"/>
                  <w:gridSpan w:val="2"/>
                  <w:vMerge w:val="continue"/>
                  <w:tcBorders>
                    <w:tl2br w:val="nil"/>
                    <w:tr2bl w:val="nil"/>
                  </w:tcBorders>
                  <w:shd w:val="clear" w:color="auto" w:fill="auto"/>
                  <w:noWrap/>
                  <w:vAlign w:val="center"/>
                </w:tcPr>
                <w:p w14:paraId="081ACE4E">
                  <w:pPr>
                    <w:pStyle w:val="40"/>
                    <w:bidi w:val="0"/>
                    <w:rPr>
                      <w:rFonts w:hint="eastAsia"/>
                      <w:color w:val="auto"/>
                      <w:spacing w:val="-6"/>
                      <w:highlight w:val="none"/>
                    </w:rPr>
                  </w:pPr>
                </w:p>
              </w:tc>
              <w:tc>
                <w:tcPr>
                  <w:tcW w:w="1562" w:type="dxa"/>
                  <w:tcBorders>
                    <w:tl2br w:val="nil"/>
                    <w:tr2bl w:val="nil"/>
                  </w:tcBorders>
                  <w:shd w:val="clear" w:color="auto" w:fill="auto"/>
                  <w:noWrap/>
                  <w:vAlign w:val="center"/>
                </w:tcPr>
                <w:p w14:paraId="66B61965">
                  <w:pPr>
                    <w:pStyle w:val="40"/>
                    <w:bidi w:val="0"/>
                    <w:rPr>
                      <w:rFonts w:hint="eastAsia"/>
                      <w:color w:val="auto"/>
                      <w:spacing w:val="-6"/>
                      <w:highlight w:val="none"/>
                    </w:rPr>
                  </w:pPr>
                  <w:r>
                    <w:rPr>
                      <w:rFonts w:hint="eastAsia"/>
                      <w:color w:val="auto"/>
                      <w:spacing w:val="-6"/>
                      <w:highlight w:val="none"/>
                      <w:lang w:val="en-US" w:eastAsia="zh-CN"/>
                    </w:rPr>
                    <w:t>锅炉</w:t>
                  </w:r>
                </w:p>
              </w:tc>
              <w:tc>
                <w:tcPr>
                  <w:tcW w:w="1062" w:type="dxa"/>
                  <w:tcBorders>
                    <w:tl2br w:val="nil"/>
                    <w:tr2bl w:val="nil"/>
                  </w:tcBorders>
                  <w:shd w:val="clear" w:color="auto" w:fill="auto"/>
                  <w:noWrap/>
                  <w:vAlign w:val="center"/>
                </w:tcPr>
                <w:p w14:paraId="1E6575FE">
                  <w:pPr>
                    <w:pStyle w:val="40"/>
                    <w:bidi w:val="0"/>
                    <w:rPr>
                      <w:rFonts w:hint="default"/>
                      <w:color w:val="auto"/>
                      <w:spacing w:val="-6"/>
                      <w:highlight w:val="none"/>
                    </w:rPr>
                  </w:pPr>
                  <w:r>
                    <w:rPr>
                      <w:rFonts w:hint="default"/>
                      <w:color w:val="auto"/>
                      <w:spacing w:val="-6"/>
                      <w:highlight w:val="none"/>
                      <w:lang w:val="en-US" w:eastAsia="zh-CN"/>
                    </w:rPr>
                    <w:t>80</w:t>
                  </w:r>
                </w:p>
              </w:tc>
              <w:tc>
                <w:tcPr>
                  <w:tcW w:w="600" w:type="dxa"/>
                  <w:tcBorders>
                    <w:tl2br w:val="nil"/>
                    <w:tr2bl w:val="nil"/>
                  </w:tcBorders>
                  <w:shd w:val="clear" w:color="auto" w:fill="auto"/>
                  <w:noWrap/>
                  <w:vAlign w:val="center"/>
                </w:tcPr>
                <w:p w14:paraId="1F8E4731">
                  <w:pPr>
                    <w:pStyle w:val="40"/>
                    <w:bidi w:val="0"/>
                    <w:rPr>
                      <w:rFonts w:hint="default"/>
                      <w:color w:val="auto"/>
                      <w:spacing w:val="-6"/>
                      <w:highlight w:val="none"/>
                    </w:rPr>
                  </w:pPr>
                  <w:r>
                    <w:rPr>
                      <w:rFonts w:hint="default"/>
                      <w:color w:val="auto"/>
                      <w:spacing w:val="-6"/>
                      <w:highlight w:val="none"/>
                      <w:lang w:val="en-US" w:eastAsia="zh-CN"/>
                    </w:rPr>
                    <w:t>62</w:t>
                  </w:r>
                </w:p>
              </w:tc>
              <w:tc>
                <w:tcPr>
                  <w:tcW w:w="588" w:type="dxa"/>
                  <w:tcBorders>
                    <w:tl2br w:val="nil"/>
                    <w:tr2bl w:val="nil"/>
                  </w:tcBorders>
                  <w:shd w:val="clear" w:color="auto" w:fill="auto"/>
                  <w:noWrap/>
                  <w:vAlign w:val="center"/>
                </w:tcPr>
                <w:p w14:paraId="39294B28">
                  <w:pPr>
                    <w:pStyle w:val="40"/>
                    <w:bidi w:val="0"/>
                    <w:rPr>
                      <w:rFonts w:hint="default"/>
                      <w:color w:val="auto"/>
                      <w:spacing w:val="-6"/>
                      <w:highlight w:val="none"/>
                    </w:rPr>
                  </w:pPr>
                  <w:r>
                    <w:rPr>
                      <w:rFonts w:hint="default"/>
                      <w:color w:val="auto"/>
                      <w:spacing w:val="-6"/>
                      <w:highlight w:val="none"/>
                      <w:lang w:val="en-US" w:eastAsia="zh-CN"/>
                    </w:rPr>
                    <w:t>95</w:t>
                  </w:r>
                </w:p>
              </w:tc>
              <w:tc>
                <w:tcPr>
                  <w:tcW w:w="565" w:type="dxa"/>
                  <w:tcBorders>
                    <w:tl2br w:val="nil"/>
                    <w:tr2bl w:val="nil"/>
                  </w:tcBorders>
                  <w:shd w:val="clear" w:color="auto" w:fill="auto"/>
                  <w:noWrap/>
                  <w:vAlign w:val="center"/>
                </w:tcPr>
                <w:p w14:paraId="37A7778F">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67904C98">
                  <w:pPr>
                    <w:pStyle w:val="40"/>
                    <w:bidi w:val="0"/>
                    <w:rPr>
                      <w:rFonts w:hint="default"/>
                      <w:color w:val="auto"/>
                      <w:spacing w:val="-6"/>
                      <w:highlight w:val="none"/>
                    </w:rPr>
                  </w:pPr>
                  <w:r>
                    <w:rPr>
                      <w:rFonts w:hint="default"/>
                      <w:color w:val="auto"/>
                      <w:spacing w:val="-6"/>
                      <w:highlight w:val="none"/>
                      <w:lang w:val="en-US" w:eastAsia="zh-CN"/>
                    </w:rPr>
                    <w:t>5</w:t>
                  </w:r>
                </w:p>
              </w:tc>
              <w:tc>
                <w:tcPr>
                  <w:tcW w:w="600" w:type="dxa"/>
                  <w:tcBorders>
                    <w:tl2br w:val="nil"/>
                    <w:tr2bl w:val="nil"/>
                  </w:tcBorders>
                  <w:shd w:val="clear" w:color="auto" w:fill="auto"/>
                  <w:noWrap/>
                  <w:vAlign w:val="center"/>
                </w:tcPr>
                <w:p w14:paraId="48F8821E">
                  <w:pPr>
                    <w:pStyle w:val="40"/>
                    <w:bidi w:val="0"/>
                    <w:rPr>
                      <w:rFonts w:hint="default"/>
                      <w:color w:val="auto"/>
                      <w:spacing w:val="-6"/>
                      <w:highlight w:val="none"/>
                    </w:rPr>
                  </w:pPr>
                  <w:r>
                    <w:rPr>
                      <w:rFonts w:hint="default"/>
                      <w:color w:val="auto"/>
                      <w:spacing w:val="-6"/>
                      <w:highlight w:val="none"/>
                      <w:lang w:val="en-US" w:eastAsia="zh-CN"/>
                    </w:rPr>
                    <w:t>82.1</w:t>
                  </w:r>
                </w:p>
              </w:tc>
              <w:tc>
                <w:tcPr>
                  <w:tcW w:w="611" w:type="dxa"/>
                  <w:vMerge w:val="continue"/>
                  <w:tcBorders>
                    <w:tl2br w:val="nil"/>
                    <w:tr2bl w:val="nil"/>
                  </w:tcBorders>
                  <w:shd w:val="clear" w:color="auto" w:fill="auto"/>
                  <w:noWrap/>
                  <w:vAlign w:val="center"/>
                </w:tcPr>
                <w:p w14:paraId="7B4F19CD">
                  <w:pPr>
                    <w:pStyle w:val="40"/>
                    <w:bidi w:val="0"/>
                    <w:rPr>
                      <w:rFonts w:hint="default"/>
                      <w:color w:val="auto"/>
                      <w:spacing w:val="-6"/>
                      <w:highlight w:val="none"/>
                    </w:rPr>
                  </w:pPr>
                </w:p>
              </w:tc>
            </w:tr>
            <w:tr w14:paraId="599F93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trPr>
              <w:tc>
                <w:tcPr>
                  <w:tcW w:w="1592" w:type="dxa"/>
                  <w:gridSpan w:val="2"/>
                  <w:vMerge w:val="continue"/>
                  <w:tcBorders>
                    <w:tl2br w:val="nil"/>
                    <w:tr2bl w:val="nil"/>
                  </w:tcBorders>
                  <w:shd w:val="clear" w:color="auto" w:fill="auto"/>
                  <w:noWrap/>
                  <w:vAlign w:val="center"/>
                </w:tcPr>
                <w:p w14:paraId="695F283C">
                  <w:pPr>
                    <w:pStyle w:val="40"/>
                    <w:bidi w:val="0"/>
                    <w:rPr>
                      <w:rFonts w:hint="eastAsia"/>
                      <w:color w:val="auto"/>
                      <w:spacing w:val="-6"/>
                      <w:highlight w:val="none"/>
                    </w:rPr>
                  </w:pPr>
                </w:p>
              </w:tc>
              <w:tc>
                <w:tcPr>
                  <w:tcW w:w="1562" w:type="dxa"/>
                  <w:tcBorders>
                    <w:tl2br w:val="nil"/>
                    <w:tr2bl w:val="nil"/>
                  </w:tcBorders>
                  <w:shd w:val="clear" w:color="auto" w:fill="auto"/>
                  <w:noWrap/>
                  <w:vAlign w:val="center"/>
                </w:tcPr>
                <w:p w14:paraId="14282A3D">
                  <w:pPr>
                    <w:pStyle w:val="40"/>
                    <w:bidi w:val="0"/>
                    <w:rPr>
                      <w:rFonts w:hint="eastAsia"/>
                      <w:color w:val="auto"/>
                      <w:spacing w:val="-6"/>
                      <w:highlight w:val="none"/>
                    </w:rPr>
                  </w:pPr>
                  <w:r>
                    <w:rPr>
                      <w:rFonts w:hint="eastAsia"/>
                      <w:color w:val="auto"/>
                      <w:spacing w:val="-6"/>
                      <w:highlight w:val="none"/>
                      <w:lang w:val="en-US" w:eastAsia="zh-CN"/>
                    </w:rPr>
                    <w:t>鼓风机</w:t>
                  </w:r>
                </w:p>
              </w:tc>
              <w:tc>
                <w:tcPr>
                  <w:tcW w:w="1062" w:type="dxa"/>
                  <w:tcBorders>
                    <w:tl2br w:val="nil"/>
                    <w:tr2bl w:val="nil"/>
                  </w:tcBorders>
                  <w:shd w:val="clear" w:color="auto" w:fill="auto"/>
                  <w:noWrap/>
                  <w:vAlign w:val="center"/>
                </w:tcPr>
                <w:p w14:paraId="5D8D03D2">
                  <w:pPr>
                    <w:pStyle w:val="40"/>
                    <w:bidi w:val="0"/>
                    <w:rPr>
                      <w:rFonts w:hint="default"/>
                      <w:color w:val="auto"/>
                      <w:spacing w:val="-6"/>
                      <w:highlight w:val="none"/>
                    </w:rPr>
                  </w:pPr>
                  <w:r>
                    <w:rPr>
                      <w:rFonts w:hint="default"/>
                      <w:color w:val="auto"/>
                      <w:spacing w:val="-6"/>
                      <w:highlight w:val="none"/>
                      <w:lang w:val="en-US" w:eastAsia="zh-CN"/>
                    </w:rPr>
                    <w:t>85</w:t>
                  </w:r>
                </w:p>
              </w:tc>
              <w:tc>
                <w:tcPr>
                  <w:tcW w:w="600" w:type="dxa"/>
                  <w:tcBorders>
                    <w:tl2br w:val="nil"/>
                    <w:tr2bl w:val="nil"/>
                  </w:tcBorders>
                  <w:shd w:val="clear" w:color="auto" w:fill="auto"/>
                  <w:noWrap/>
                  <w:vAlign w:val="center"/>
                </w:tcPr>
                <w:p w14:paraId="0DCEAB14">
                  <w:pPr>
                    <w:pStyle w:val="40"/>
                    <w:bidi w:val="0"/>
                    <w:rPr>
                      <w:rFonts w:hint="default"/>
                      <w:color w:val="auto"/>
                      <w:spacing w:val="-6"/>
                      <w:highlight w:val="none"/>
                    </w:rPr>
                  </w:pPr>
                  <w:r>
                    <w:rPr>
                      <w:rFonts w:hint="default"/>
                      <w:color w:val="auto"/>
                      <w:spacing w:val="-6"/>
                      <w:highlight w:val="none"/>
                      <w:lang w:val="en-US" w:eastAsia="zh-CN"/>
                    </w:rPr>
                    <w:t>64</w:t>
                  </w:r>
                </w:p>
              </w:tc>
              <w:tc>
                <w:tcPr>
                  <w:tcW w:w="588" w:type="dxa"/>
                  <w:tcBorders>
                    <w:tl2br w:val="nil"/>
                    <w:tr2bl w:val="nil"/>
                  </w:tcBorders>
                  <w:shd w:val="clear" w:color="auto" w:fill="auto"/>
                  <w:noWrap/>
                  <w:vAlign w:val="center"/>
                </w:tcPr>
                <w:p w14:paraId="46BA181A">
                  <w:pPr>
                    <w:pStyle w:val="40"/>
                    <w:bidi w:val="0"/>
                    <w:rPr>
                      <w:rFonts w:hint="default"/>
                      <w:color w:val="auto"/>
                      <w:spacing w:val="-6"/>
                      <w:highlight w:val="none"/>
                    </w:rPr>
                  </w:pPr>
                  <w:r>
                    <w:rPr>
                      <w:rFonts w:hint="default"/>
                      <w:color w:val="auto"/>
                      <w:spacing w:val="-6"/>
                      <w:highlight w:val="none"/>
                      <w:lang w:val="en-US" w:eastAsia="zh-CN"/>
                    </w:rPr>
                    <w:t>96</w:t>
                  </w:r>
                </w:p>
              </w:tc>
              <w:tc>
                <w:tcPr>
                  <w:tcW w:w="565" w:type="dxa"/>
                  <w:tcBorders>
                    <w:tl2br w:val="nil"/>
                    <w:tr2bl w:val="nil"/>
                  </w:tcBorders>
                  <w:shd w:val="clear" w:color="auto" w:fill="auto"/>
                  <w:noWrap/>
                  <w:vAlign w:val="center"/>
                </w:tcPr>
                <w:p w14:paraId="3FD1CE4F">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6091C2D5">
                  <w:pPr>
                    <w:pStyle w:val="40"/>
                    <w:bidi w:val="0"/>
                    <w:rPr>
                      <w:rFonts w:hint="default"/>
                      <w:color w:val="auto"/>
                      <w:spacing w:val="-6"/>
                      <w:highlight w:val="none"/>
                    </w:rPr>
                  </w:pPr>
                  <w:r>
                    <w:rPr>
                      <w:rFonts w:hint="default"/>
                      <w:color w:val="auto"/>
                      <w:spacing w:val="-6"/>
                      <w:highlight w:val="none"/>
                      <w:lang w:val="en-US" w:eastAsia="zh-CN"/>
                    </w:rPr>
                    <w:t>9</w:t>
                  </w:r>
                </w:p>
              </w:tc>
              <w:tc>
                <w:tcPr>
                  <w:tcW w:w="600" w:type="dxa"/>
                  <w:tcBorders>
                    <w:tl2br w:val="nil"/>
                    <w:tr2bl w:val="nil"/>
                  </w:tcBorders>
                  <w:shd w:val="clear" w:color="auto" w:fill="auto"/>
                  <w:noWrap/>
                  <w:vAlign w:val="center"/>
                </w:tcPr>
                <w:p w14:paraId="53D10619">
                  <w:pPr>
                    <w:pStyle w:val="40"/>
                    <w:bidi w:val="0"/>
                    <w:rPr>
                      <w:rFonts w:hint="default"/>
                      <w:color w:val="auto"/>
                      <w:spacing w:val="-6"/>
                      <w:highlight w:val="none"/>
                    </w:rPr>
                  </w:pPr>
                  <w:r>
                    <w:rPr>
                      <w:rFonts w:hint="default"/>
                      <w:color w:val="auto"/>
                      <w:spacing w:val="-6"/>
                      <w:highlight w:val="none"/>
                      <w:lang w:val="en-US" w:eastAsia="zh-CN"/>
                    </w:rPr>
                    <w:t>87.1</w:t>
                  </w:r>
                </w:p>
              </w:tc>
              <w:tc>
                <w:tcPr>
                  <w:tcW w:w="611" w:type="dxa"/>
                  <w:vMerge w:val="continue"/>
                  <w:tcBorders>
                    <w:tl2br w:val="nil"/>
                    <w:tr2bl w:val="nil"/>
                  </w:tcBorders>
                  <w:shd w:val="clear" w:color="auto" w:fill="auto"/>
                  <w:noWrap/>
                  <w:vAlign w:val="center"/>
                </w:tcPr>
                <w:p w14:paraId="61205EEB">
                  <w:pPr>
                    <w:pStyle w:val="40"/>
                    <w:bidi w:val="0"/>
                    <w:rPr>
                      <w:rFonts w:hint="default"/>
                      <w:color w:val="auto"/>
                      <w:spacing w:val="-6"/>
                      <w:highlight w:val="none"/>
                    </w:rPr>
                  </w:pPr>
                </w:p>
              </w:tc>
            </w:tr>
            <w:tr w14:paraId="2D551E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1592" w:type="dxa"/>
                  <w:gridSpan w:val="2"/>
                  <w:vMerge w:val="continue"/>
                  <w:tcBorders>
                    <w:tl2br w:val="nil"/>
                    <w:tr2bl w:val="nil"/>
                  </w:tcBorders>
                  <w:shd w:val="clear" w:color="auto" w:fill="auto"/>
                  <w:noWrap/>
                  <w:vAlign w:val="center"/>
                </w:tcPr>
                <w:p w14:paraId="782A07BA">
                  <w:pPr>
                    <w:pStyle w:val="40"/>
                    <w:bidi w:val="0"/>
                    <w:rPr>
                      <w:rFonts w:hint="eastAsia"/>
                      <w:color w:val="auto"/>
                      <w:spacing w:val="-6"/>
                      <w:highlight w:val="none"/>
                    </w:rPr>
                  </w:pPr>
                </w:p>
              </w:tc>
              <w:tc>
                <w:tcPr>
                  <w:tcW w:w="1562" w:type="dxa"/>
                  <w:tcBorders>
                    <w:tl2br w:val="nil"/>
                    <w:tr2bl w:val="nil"/>
                  </w:tcBorders>
                  <w:shd w:val="clear" w:color="auto" w:fill="auto"/>
                  <w:noWrap/>
                  <w:vAlign w:val="center"/>
                </w:tcPr>
                <w:p w14:paraId="764B3CF7">
                  <w:pPr>
                    <w:pStyle w:val="40"/>
                    <w:bidi w:val="0"/>
                    <w:rPr>
                      <w:rFonts w:hint="eastAsia"/>
                      <w:color w:val="auto"/>
                      <w:spacing w:val="-6"/>
                      <w:highlight w:val="none"/>
                    </w:rPr>
                  </w:pPr>
                  <w:r>
                    <w:rPr>
                      <w:rFonts w:hint="eastAsia"/>
                      <w:color w:val="auto"/>
                      <w:spacing w:val="-6"/>
                      <w:highlight w:val="none"/>
                      <w:lang w:val="en-US" w:eastAsia="zh-CN"/>
                    </w:rPr>
                    <w:t>引风机</w:t>
                  </w:r>
                </w:p>
              </w:tc>
              <w:tc>
                <w:tcPr>
                  <w:tcW w:w="1062" w:type="dxa"/>
                  <w:tcBorders>
                    <w:tl2br w:val="nil"/>
                    <w:tr2bl w:val="nil"/>
                  </w:tcBorders>
                  <w:shd w:val="clear" w:color="auto" w:fill="auto"/>
                  <w:noWrap/>
                  <w:vAlign w:val="center"/>
                </w:tcPr>
                <w:p w14:paraId="75D9EC5E">
                  <w:pPr>
                    <w:pStyle w:val="40"/>
                    <w:bidi w:val="0"/>
                    <w:rPr>
                      <w:rFonts w:hint="default"/>
                      <w:color w:val="auto"/>
                      <w:spacing w:val="-6"/>
                      <w:highlight w:val="none"/>
                    </w:rPr>
                  </w:pPr>
                  <w:r>
                    <w:rPr>
                      <w:rFonts w:hint="default"/>
                      <w:color w:val="auto"/>
                      <w:spacing w:val="-6"/>
                      <w:highlight w:val="none"/>
                      <w:lang w:val="en-US" w:eastAsia="zh-CN"/>
                    </w:rPr>
                    <w:t>85</w:t>
                  </w:r>
                </w:p>
              </w:tc>
              <w:tc>
                <w:tcPr>
                  <w:tcW w:w="600" w:type="dxa"/>
                  <w:tcBorders>
                    <w:tl2br w:val="nil"/>
                    <w:tr2bl w:val="nil"/>
                  </w:tcBorders>
                  <w:shd w:val="clear" w:color="auto" w:fill="auto"/>
                  <w:noWrap/>
                  <w:vAlign w:val="center"/>
                </w:tcPr>
                <w:p w14:paraId="2172C54C">
                  <w:pPr>
                    <w:pStyle w:val="40"/>
                    <w:bidi w:val="0"/>
                    <w:rPr>
                      <w:rFonts w:hint="default"/>
                      <w:color w:val="auto"/>
                      <w:spacing w:val="-6"/>
                      <w:highlight w:val="none"/>
                    </w:rPr>
                  </w:pPr>
                  <w:r>
                    <w:rPr>
                      <w:rFonts w:hint="default"/>
                      <w:color w:val="auto"/>
                      <w:spacing w:val="-6"/>
                      <w:highlight w:val="none"/>
                      <w:lang w:val="en-US" w:eastAsia="zh-CN"/>
                    </w:rPr>
                    <w:t>60</w:t>
                  </w:r>
                </w:p>
              </w:tc>
              <w:tc>
                <w:tcPr>
                  <w:tcW w:w="588" w:type="dxa"/>
                  <w:tcBorders>
                    <w:tl2br w:val="nil"/>
                    <w:tr2bl w:val="nil"/>
                  </w:tcBorders>
                  <w:shd w:val="clear" w:color="auto" w:fill="auto"/>
                  <w:noWrap/>
                  <w:vAlign w:val="center"/>
                </w:tcPr>
                <w:p w14:paraId="28C7F50B">
                  <w:pPr>
                    <w:pStyle w:val="40"/>
                    <w:bidi w:val="0"/>
                    <w:rPr>
                      <w:rFonts w:hint="default"/>
                      <w:color w:val="auto"/>
                      <w:spacing w:val="-6"/>
                      <w:highlight w:val="none"/>
                    </w:rPr>
                  </w:pPr>
                  <w:r>
                    <w:rPr>
                      <w:rFonts w:hint="default"/>
                      <w:color w:val="auto"/>
                      <w:spacing w:val="-6"/>
                      <w:highlight w:val="none"/>
                      <w:lang w:val="en-US" w:eastAsia="zh-CN"/>
                    </w:rPr>
                    <w:t>94</w:t>
                  </w:r>
                </w:p>
              </w:tc>
              <w:tc>
                <w:tcPr>
                  <w:tcW w:w="565" w:type="dxa"/>
                  <w:tcBorders>
                    <w:tl2br w:val="nil"/>
                    <w:tr2bl w:val="nil"/>
                  </w:tcBorders>
                  <w:shd w:val="clear" w:color="auto" w:fill="auto"/>
                  <w:noWrap/>
                  <w:vAlign w:val="center"/>
                </w:tcPr>
                <w:p w14:paraId="2F187505">
                  <w:pPr>
                    <w:pStyle w:val="40"/>
                    <w:bidi w:val="0"/>
                    <w:rPr>
                      <w:rFonts w:hint="default"/>
                      <w:color w:val="auto"/>
                      <w:spacing w:val="-6"/>
                      <w:highlight w:val="none"/>
                    </w:rPr>
                  </w:pPr>
                  <w:r>
                    <w:rPr>
                      <w:rFonts w:hint="default"/>
                      <w:color w:val="auto"/>
                      <w:spacing w:val="-6"/>
                      <w:highlight w:val="none"/>
                      <w:lang w:val="en-US" w:eastAsia="zh-CN"/>
                    </w:rPr>
                    <w:t>1.2</w:t>
                  </w:r>
                </w:p>
              </w:tc>
              <w:tc>
                <w:tcPr>
                  <w:tcW w:w="866" w:type="dxa"/>
                  <w:tcBorders>
                    <w:tl2br w:val="nil"/>
                    <w:tr2bl w:val="nil"/>
                  </w:tcBorders>
                  <w:shd w:val="clear" w:color="auto" w:fill="auto"/>
                  <w:noWrap/>
                  <w:vAlign w:val="center"/>
                </w:tcPr>
                <w:p w14:paraId="5C4D6256">
                  <w:pPr>
                    <w:pStyle w:val="40"/>
                    <w:bidi w:val="0"/>
                    <w:rPr>
                      <w:rFonts w:hint="default"/>
                      <w:color w:val="auto"/>
                      <w:spacing w:val="-6"/>
                      <w:highlight w:val="none"/>
                    </w:rPr>
                  </w:pPr>
                  <w:r>
                    <w:rPr>
                      <w:rFonts w:hint="default"/>
                      <w:color w:val="auto"/>
                      <w:spacing w:val="-6"/>
                      <w:highlight w:val="none"/>
                      <w:lang w:val="en-US" w:eastAsia="zh-CN"/>
                    </w:rPr>
                    <w:t>9</w:t>
                  </w:r>
                </w:p>
              </w:tc>
              <w:tc>
                <w:tcPr>
                  <w:tcW w:w="600" w:type="dxa"/>
                  <w:tcBorders>
                    <w:tl2br w:val="nil"/>
                    <w:tr2bl w:val="nil"/>
                  </w:tcBorders>
                  <w:shd w:val="clear" w:color="auto" w:fill="auto"/>
                  <w:noWrap/>
                  <w:vAlign w:val="center"/>
                </w:tcPr>
                <w:p w14:paraId="007018F3">
                  <w:pPr>
                    <w:pStyle w:val="40"/>
                    <w:bidi w:val="0"/>
                    <w:rPr>
                      <w:rFonts w:hint="default"/>
                      <w:color w:val="auto"/>
                      <w:spacing w:val="-6"/>
                      <w:highlight w:val="none"/>
                    </w:rPr>
                  </w:pPr>
                  <w:r>
                    <w:rPr>
                      <w:rFonts w:hint="default"/>
                      <w:color w:val="auto"/>
                      <w:spacing w:val="-6"/>
                      <w:highlight w:val="none"/>
                      <w:lang w:val="en-US" w:eastAsia="zh-CN"/>
                    </w:rPr>
                    <w:t>87.1</w:t>
                  </w:r>
                </w:p>
              </w:tc>
              <w:tc>
                <w:tcPr>
                  <w:tcW w:w="611" w:type="dxa"/>
                  <w:vMerge w:val="continue"/>
                  <w:tcBorders>
                    <w:tl2br w:val="nil"/>
                    <w:tr2bl w:val="nil"/>
                  </w:tcBorders>
                  <w:shd w:val="clear" w:color="auto" w:fill="auto"/>
                  <w:noWrap/>
                  <w:vAlign w:val="center"/>
                </w:tcPr>
                <w:p w14:paraId="1144B2B0">
                  <w:pPr>
                    <w:pStyle w:val="40"/>
                    <w:bidi w:val="0"/>
                    <w:rPr>
                      <w:rFonts w:hint="default"/>
                      <w:color w:val="auto"/>
                      <w:spacing w:val="-6"/>
                      <w:highlight w:val="none"/>
                    </w:rPr>
                  </w:pPr>
                </w:p>
              </w:tc>
            </w:tr>
          </w:tbl>
          <w:p w14:paraId="2C6A3CD6">
            <w:pPr>
              <w:pStyle w:val="7"/>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color w:val="auto"/>
                <w:highlight w:val="none"/>
                <w:lang w:val="en-US" w:eastAsia="zh-CN"/>
              </w:rPr>
            </w:pPr>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9</w:t>
            </w:r>
            <w:r>
              <w:rPr>
                <w:color w:val="auto"/>
                <w:highlight w:val="none"/>
              </w:rPr>
              <w:fldChar w:fldCharType="end"/>
            </w:r>
            <w:bookmarkEnd w:id="61"/>
            <w:bookmarkEnd w:id="62"/>
            <w:r>
              <w:rPr>
                <w:rFonts w:hint="eastAsia"/>
                <w:color w:val="auto"/>
                <w:highlight w:val="none"/>
                <w:lang w:val="en-US" w:eastAsia="zh-CN"/>
              </w:rPr>
              <w:t xml:space="preserve">  主要噪声源强调查清单统计表-2</w:t>
            </w:r>
          </w:p>
          <w:tbl>
            <w:tblPr>
              <w:tblStyle w:val="25"/>
              <w:tblW w:w="8140"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46"/>
              <w:gridCol w:w="1477"/>
              <w:gridCol w:w="750"/>
              <w:gridCol w:w="1188"/>
              <w:gridCol w:w="924"/>
              <w:gridCol w:w="1026"/>
              <w:gridCol w:w="1029"/>
            </w:tblGrid>
            <w:tr w14:paraId="4AF292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746" w:type="dxa"/>
                  <w:vMerge w:val="restart"/>
                  <w:tcBorders>
                    <w:tl2br w:val="nil"/>
                    <w:tr2bl w:val="nil"/>
                  </w:tcBorders>
                  <w:vAlign w:val="center"/>
                </w:tcPr>
                <w:p w14:paraId="27787F6C">
                  <w:pPr>
                    <w:pStyle w:val="40"/>
                    <w:bidi w:val="0"/>
                    <w:jc w:val="center"/>
                    <w:rPr>
                      <w:rFonts w:hint="eastAsia" w:eastAsia="宋体"/>
                      <w:color w:val="auto"/>
                      <w:spacing w:val="-6"/>
                      <w:highlight w:val="none"/>
                      <w:lang w:val="en-US" w:eastAsia="zh-CN"/>
                    </w:rPr>
                  </w:pPr>
                  <w:r>
                    <w:rPr>
                      <w:rFonts w:hint="eastAsia"/>
                      <w:color w:val="auto"/>
                      <w:spacing w:val="-6"/>
                      <w:highlight w:val="none"/>
                      <w:lang w:val="en-US" w:eastAsia="zh-CN"/>
                    </w:rPr>
                    <w:t>车间名称</w:t>
                  </w:r>
                </w:p>
              </w:tc>
              <w:tc>
                <w:tcPr>
                  <w:tcW w:w="1477" w:type="dxa"/>
                  <w:vMerge w:val="restart"/>
                  <w:tcBorders>
                    <w:tl2br w:val="nil"/>
                    <w:tr2bl w:val="nil"/>
                  </w:tcBorders>
                  <w:vAlign w:val="center"/>
                </w:tcPr>
                <w:p w14:paraId="04616727">
                  <w:pPr>
                    <w:pStyle w:val="40"/>
                    <w:bidi w:val="0"/>
                    <w:jc w:val="center"/>
                    <w:rPr>
                      <w:rFonts w:hint="default"/>
                      <w:color w:val="auto"/>
                      <w:spacing w:val="-6"/>
                      <w:highlight w:val="none"/>
                      <w:lang w:val="en-US"/>
                    </w:rPr>
                  </w:pPr>
                  <w:r>
                    <w:rPr>
                      <w:color w:val="auto"/>
                      <w:spacing w:val="-6"/>
                      <w:highlight w:val="none"/>
                      <w:lang w:val="en-US" w:eastAsia="zh-CN"/>
                    </w:rPr>
                    <w:t>室内边界</w:t>
                  </w:r>
                  <w:r>
                    <w:rPr>
                      <w:rFonts w:hint="eastAsia"/>
                      <w:color w:val="auto"/>
                      <w:spacing w:val="-6"/>
                      <w:highlight w:val="none"/>
                      <w:lang w:val="en-US" w:eastAsia="zh-CN"/>
                    </w:rPr>
                    <w:t>叠加</w:t>
                  </w:r>
                  <w:r>
                    <w:rPr>
                      <w:color w:val="auto"/>
                      <w:spacing w:val="-6"/>
                      <w:highlight w:val="none"/>
                      <w:lang w:val="en-US" w:eastAsia="zh-CN"/>
                    </w:rPr>
                    <w:t>声级/dB</w:t>
                  </w:r>
                  <w:r>
                    <w:rPr>
                      <w:rFonts w:hint="eastAsia"/>
                      <w:color w:val="auto"/>
                      <w:spacing w:val="-6"/>
                      <w:highlight w:val="none"/>
                      <w:lang w:val="en-US" w:eastAsia="zh-CN"/>
                    </w:rPr>
                    <w:t>（A）</w:t>
                  </w:r>
                </w:p>
              </w:tc>
              <w:tc>
                <w:tcPr>
                  <w:tcW w:w="750" w:type="dxa"/>
                  <w:vMerge w:val="restart"/>
                  <w:tcBorders>
                    <w:tl2br w:val="nil"/>
                    <w:tr2bl w:val="nil"/>
                  </w:tcBorders>
                  <w:vAlign w:val="center"/>
                </w:tcPr>
                <w:p w14:paraId="3BFA900D">
                  <w:pPr>
                    <w:pStyle w:val="40"/>
                    <w:bidi w:val="0"/>
                    <w:jc w:val="center"/>
                    <w:rPr>
                      <w:rFonts w:hint="eastAsia" w:eastAsia="宋体"/>
                      <w:color w:val="auto"/>
                      <w:spacing w:val="-6"/>
                      <w:highlight w:val="none"/>
                      <w:lang w:val="en-US" w:eastAsia="zh-CN"/>
                    </w:rPr>
                  </w:pPr>
                  <w:r>
                    <w:rPr>
                      <w:rFonts w:hint="eastAsia"/>
                      <w:color w:val="auto"/>
                      <w:spacing w:val="-6"/>
                      <w:highlight w:val="none"/>
                      <w:lang w:val="en-US" w:eastAsia="zh-CN"/>
                    </w:rPr>
                    <w:t>运行时段（</w:t>
                  </w:r>
                  <w:r>
                    <w:rPr>
                      <w:rFonts w:hint="eastAsia"/>
                      <w:color w:val="auto"/>
                      <w:highlight w:val="none"/>
                      <w:lang w:val="en-US" w:eastAsia="zh-CN"/>
                    </w:rPr>
                    <w:t>h）</w:t>
                  </w:r>
                </w:p>
              </w:tc>
              <w:tc>
                <w:tcPr>
                  <w:tcW w:w="1188" w:type="dxa"/>
                  <w:vMerge w:val="restart"/>
                  <w:tcBorders>
                    <w:tl2br w:val="nil"/>
                    <w:tr2bl w:val="nil"/>
                  </w:tcBorders>
                  <w:vAlign w:val="center"/>
                </w:tcPr>
                <w:p w14:paraId="5206C078">
                  <w:pPr>
                    <w:pStyle w:val="40"/>
                    <w:bidi w:val="0"/>
                    <w:jc w:val="center"/>
                    <w:rPr>
                      <w:rFonts w:hint="default" w:eastAsia="宋体"/>
                      <w:color w:val="auto"/>
                      <w:spacing w:val="-6"/>
                      <w:highlight w:val="none"/>
                      <w:lang w:val="en-US" w:eastAsia="zh-CN"/>
                    </w:rPr>
                  </w:pPr>
                  <w:r>
                    <w:rPr>
                      <w:rFonts w:hint="eastAsia"/>
                      <w:color w:val="auto"/>
                      <w:spacing w:val="-6"/>
                      <w:highlight w:val="none"/>
                      <w:lang w:val="en-US" w:eastAsia="zh-CN"/>
                    </w:rPr>
                    <w:t>建筑物插入损失</w:t>
                  </w:r>
                </w:p>
              </w:tc>
              <w:tc>
                <w:tcPr>
                  <w:tcW w:w="2979" w:type="dxa"/>
                  <w:gridSpan w:val="3"/>
                  <w:tcBorders>
                    <w:tl2br w:val="nil"/>
                    <w:tr2bl w:val="nil"/>
                  </w:tcBorders>
                  <w:vAlign w:val="center"/>
                </w:tcPr>
                <w:p w14:paraId="5EB640A1">
                  <w:pPr>
                    <w:pStyle w:val="40"/>
                    <w:bidi w:val="0"/>
                    <w:jc w:val="center"/>
                    <w:rPr>
                      <w:rFonts w:hint="default" w:eastAsia="宋体"/>
                      <w:color w:val="auto"/>
                      <w:spacing w:val="-6"/>
                      <w:highlight w:val="none"/>
                      <w:lang w:val="en-US" w:eastAsia="zh-CN"/>
                    </w:rPr>
                  </w:pPr>
                  <w:r>
                    <w:rPr>
                      <w:rFonts w:hint="eastAsia"/>
                      <w:color w:val="auto"/>
                      <w:spacing w:val="-6"/>
                      <w:highlight w:val="none"/>
                      <w:lang w:val="en-US" w:eastAsia="zh-CN"/>
                    </w:rPr>
                    <w:t>建筑物外噪声</w:t>
                  </w:r>
                </w:p>
              </w:tc>
            </w:tr>
            <w:tr w14:paraId="7089B1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746" w:type="dxa"/>
                  <w:vMerge w:val="continue"/>
                  <w:tcBorders>
                    <w:tl2br w:val="nil"/>
                    <w:tr2bl w:val="nil"/>
                  </w:tcBorders>
                  <w:vAlign w:val="center"/>
                </w:tcPr>
                <w:p w14:paraId="669A4BA6">
                  <w:pPr>
                    <w:pStyle w:val="40"/>
                    <w:bidi w:val="0"/>
                    <w:jc w:val="center"/>
                    <w:rPr>
                      <w:color w:val="auto"/>
                      <w:spacing w:val="-6"/>
                      <w:highlight w:val="none"/>
                    </w:rPr>
                  </w:pPr>
                </w:p>
              </w:tc>
              <w:tc>
                <w:tcPr>
                  <w:tcW w:w="1477" w:type="dxa"/>
                  <w:vMerge w:val="continue"/>
                  <w:tcBorders>
                    <w:tl2br w:val="nil"/>
                    <w:tr2bl w:val="nil"/>
                  </w:tcBorders>
                  <w:vAlign w:val="center"/>
                </w:tcPr>
                <w:p w14:paraId="54354E93">
                  <w:pPr>
                    <w:pStyle w:val="40"/>
                    <w:bidi w:val="0"/>
                    <w:jc w:val="center"/>
                    <w:rPr>
                      <w:color w:val="auto"/>
                      <w:spacing w:val="-6"/>
                      <w:highlight w:val="none"/>
                    </w:rPr>
                  </w:pPr>
                </w:p>
              </w:tc>
              <w:tc>
                <w:tcPr>
                  <w:tcW w:w="750" w:type="dxa"/>
                  <w:vMerge w:val="continue"/>
                  <w:tcBorders>
                    <w:tl2br w:val="nil"/>
                    <w:tr2bl w:val="nil"/>
                  </w:tcBorders>
                  <w:vAlign w:val="center"/>
                </w:tcPr>
                <w:p w14:paraId="5839447D">
                  <w:pPr>
                    <w:pStyle w:val="40"/>
                    <w:bidi w:val="0"/>
                    <w:jc w:val="center"/>
                    <w:rPr>
                      <w:color w:val="auto"/>
                      <w:spacing w:val="-6"/>
                      <w:highlight w:val="none"/>
                    </w:rPr>
                  </w:pPr>
                </w:p>
              </w:tc>
              <w:tc>
                <w:tcPr>
                  <w:tcW w:w="1188" w:type="dxa"/>
                  <w:vMerge w:val="continue"/>
                  <w:tcBorders>
                    <w:tl2br w:val="nil"/>
                    <w:tr2bl w:val="nil"/>
                  </w:tcBorders>
                  <w:vAlign w:val="center"/>
                </w:tcPr>
                <w:p w14:paraId="285BE891">
                  <w:pPr>
                    <w:pStyle w:val="40"/>
                    <w:bidi w:val="0"/>
                    <w:jc w:val="center"/>
                    <w:rPr>
                      <w:color w:val="auto"/>
                      <w:spacing w:val="-6"/>
                      <w:highlight w:val="none"/>
                    </w:rPr>
                  </w:pPr>
                </w:p>
              </w:tc>
              <w:tc>
                <w:tcPr>
                  <w:tcW w:w="924" w:type="dxa"/>
                  <w:tcBorders>
                    <w:tl2br w:val="nil"/>
                    <w:tr2bl w:val="nil"/>
                  </w:tcBorders>
                  <w:vAlign w:val="center"/>
                </w:tcPr>
                <w:p w14:paraId="76A0261D">
                  <w:pPr>
                    <w:pStyle w:val="40"/>
                    <w:bidi w:val="0"/>
                    <w:jc w:val="center"/>
                    <w:rPr>
                      <w:rFonts w:hint="eastAsia"/>
                      <w:color w:val="auto"/>
                      <w:spacing w:val="-6"/>
                      <w:highlight w:val="none"/>
                      <w:lang w:val="en-US" w:eastAsia="zh-CN"/>
                    </w:rPr>
                  </w:pPr>
                  <w:r>
                    <w:rPr>
                      <w:rFonts w:hint="eastAsia"/>
                      <w:color w:val="auto"/>
                      <w:spacing w:val="-6"/>
                      <w:highlight w:val="none"/>
                      <w:lang w:val="en-US" w:eastAsia="zh-CN"/>
                    </w:rPr>
                    <w:t>声压级</w:t>
                  </w:r>
                </w:p>
                <w:p w14:paraId="7215E680">
                  <w:pPr>
                    <w:pStyle w:val="40"/>
                    <w:bidi w:val="0"/>
                    <w:jc w:val="center"/>
                    <w:rPr>
                      <w:rFonts w:hint="default" w:eastAsia="宋体"/>
                      <w:color w:val="auto"/>
                      <w:spacing w:val="-6"/>
                      <w:highlight w:val="none"/>
                      <w:lang w:val="en-US" w:eastAsia="zh-CN"/>
                    </w:rPr>
                  </w:pPr>
                  <w:r>
                    <w:rPr>
                      <w:rFonts w:hint="eastAsia"/>
                      <w:color w:val="auto"/>
                      <w:spacing w:val="-6"/>
                      <w:highlight w:val="none"/>
                      <w:lang w:val="en-US" w:eastAsia="zh-CN"/>
                    </w:rPr>
                    <w:t>/</w:t>
                  </w:r>
                  <w:r>
                    <w:rPr>
                      <w:color w:val="auto"/>
                      <w:spacing w:val="-6"/>
                      <w:highlight w:val="none"/>
                      <w:lang w:val="en-US" w:eastAsia="zh-CN"/>
                    </w:rPr>
                    <w:t>dB</w:t>
                  </w:r>
                  <w:r>
                    <w:rPr>
                      <w:rFonts w:hint="eastAsia"/>
                      <w:color w:val="auto"/>
                      <w:spacing w:val="-6"/>
                      <w:highlight w:val="none"/>
                      <w:lang w:val="en-US" w:eastAsia="zh-CN"/>
                    </w:rPr>
                    <w:t>（A）</w:t>
                  </w:r>
                </w:p>
              </w:tc>
              <w:tc>
                <w:tcPr>
                  <w:tcW w:w="1026" w:type="dxa"/>
                  <w:tcBorders>
                    <w:tl2br w:val="nil"/>
                    <w:tr2bl w:val="nil"/>
                  </w:tcBorders>
                  <w:vAlign w:val="center"/>
                </w:tcPr>
                <w:p w14:paraId="1F0AEC2E">
                  <w:pPr>
                    <w:pStyle w:val="40"/>
                    <w:bidi w:val="0"/>
                    <w:jc w:val="center"/>
                    <w:rPr>
                      <w:rFonts w:hint="default" w:eastAsia="宋体"/>
                      <w:color w:val="auto"/>
                      <w:spacing w:val="-6"/>
                      <w:highlight w:val="none"/>
                      <w:lang w:val="en-US" w:eastAsia="zh-CN"/>
                    </w:rPr>
                  </w:pPr>
                  <w:r>
                    <w:rPr>
                      <w:rFonts w:hint="eastAsia"/>
                      <w:color w:val="auto"/>
                      <w:spacing w:val="-6"/>
                      <w:highlight w:val="none"/>
                      <w:lang w:val="en-US" w:eastAsia="zh-CN"/>
                    </w:rPr>
                    <w:t>建筑物外距离/m</w:t>
                  </w:r>
                </w:p>
              </w:tc>
              <w:tc>
                <w:tcPr>
                  <w:tcW w:w="1029" w:type="dxa"/>
                  <w:tcBorders>
                    <w:tl2br w:val="nil"/>
                    <w:tr2bl w:val="nil"/>
                  </w:tcBorders>
                  <w:vAlign w:val="center"/>
                </w:tcPr>
                <w:p w14:paraId="2758E28B">
                  <w:pPr>
                    <w:pStyle w:val="40"/>
                    <w:bidi w:val="0"/>
                    <w:jc w:val="center"/>
                    <w:rPr>
                      <w:color w:val="auto"/>
                      <w:spacing w:val="-6"/>
                      <w:highlight w:val="none"/>
                    </w:rPr>
                  </w:pPr>
                  <w:r>
                    <w:rPr>
                      <w:rFonts w:hint="eastAsia"/>
                      <w:color w:val="auto"/>
                      <w:spacing w:val="-6"/>
                      <w:highlight w:val="none"/>
                      <w:lang w:val="en-US" w:eastAsia="zh-CN"/>
                    </w:rPr>
                    <w:t>声功率级/</w:t>
                  </w:r>
                  <w:r>
                    <w:rPr>
                      <w:color w:val="auto"/>
                      <w:spacing w:val="-6"/>
                      <w:highlight w:val="none"/>
                      <w:lang w:val="en-US" w:eastAsia="zh-CN"/>
                    </w:rPr>
                    <w:t>dB</w:t>
                  </w:r>
                  <w:r>
                    <w:rPr>
                      <w:rFonts w:hint="eastAsia"/>
                      <w:color w:val="auto"/>
                      <w:spacing w:val="-6"/>
                      <w:highlight w:val="none"/>
                      <w:lang w:val="en-US" w:eastAsia="zh-CN"/>
                    </w:rPr>
                    <w:t>（A）</w:t>
                  </w:r>
                </w:p>
              </w:tc>
            </w:tr>
            <w:tr w14:paraId="07C7CC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746" w:type="dxa"/>
                  <w:tcBorders>
                    <w:tl2br w:val="nil"/>
                    <w:tr2bl w:val="nil"/>
                  </w:tcBorders>
                  <w:vAlign w:val="center"/>
                </w:tcPr>
                <w:p w14:paraId="528041B2">
                  <w:pPr>
                    <w:pStyle w:val="40"/>
                    <w:bidi w:val="0"/>
                    <w:jc w:val="center"/>
                    <w:rPr>
                      <w:rFonts w:hint="default" w:eastAsia="宋体"/>
                      <w:color w:val="auto"/>
                      <w:highlight w:val="none"/>
                      <w:lang w:val="en-US" w:eastAsia="zh-CN"/>
                    </w:rPr>
                  </w:pPr>
                  <w:r>
                    <w:rPr>
                      <w:rFonts w:hint="eastAsia"/>
                      <w:color w:val="auto"/>
                      <w:highlight w:val="none"/>
                      <w:lang w:val="en-US" w:eastAsia="zh-CN"/>
                    </w:rPr>
                    <w:t>蒸压硅酸盐功能骨料生产车间</w:t>
                  </w:r>
                </w:p>
              </w:tc>
              <w:tc>
                <w:tcPr>
                  <w:tcW w:w="1477" w:type="dxa"/>
                  <w:tcBorders>
                    <w:tl2br w:val="nil"/>
                    <w:tr2bl w:val="nil"/>
                  </w:tcBorders>
                  <w:vAlign w:val="center"/>
                </w:tcPr>
                <w:p w14:paraId="534F8E6D">
                  <w:pPr>
                    <w:pStyle w:val="40"/>
                    <w:bidi w:val="0"/>
                    <w:jc w:val="center"/>
                    <w:rPr>
                      <w:rFonts w:hint="default" w:eastAsia="宋体"/>
                      <w:color w:val="auto"/>
                      <w:highlight w:val="none"/>
                      <w:lang w:val="en-US" w:eastAsia="zh-CN"/>
                    </w:rPr>
                  </w:pPr>
                  <w:r>
                    <w:rPr>
                      <w:rFonts w:hint="eastAsia"/>
                      <w:color w:val="auto"/>
                      <w:highlight w:val="none"/>
                      <w:lang w:val="en-US" w:eastAsia="zh-CN"/>
                    </w:rPr>
                    <w:t>88.2</w:t>
                  </w:r>
                </w:p>
              </w:tc>
              <w:tc>
                <w:tcPr>
                  <w:tcW w:w="750" w:type="dxa"/>
                  <w:tcBorders>
                    <w:tl2br w:val="nil"/>
                    <w:tr2bl w:val="nil"/>
                  </w:tcBorders>
                  <w:vAlign w:val="center"/>
                </w:tcPr>
                <w:p w14:paraId="4A9ECC32">
                  <w:pPr>
                    <w:pStyle w:val="40"/>
                    <w:bidi w:val="0"/>
                    <w:jc w:val="center"/>
                    <w:rPr>
                      <w:rFonts w:hint="default" w:eastAsia="宋体"/>
                      <w:color w:val="auto"/>
                      <w:highlight w:val="none"/>
                      <w:lang w:val="en-US" w:eastAsia="zh-CN"/>
                    </w:rPr>
                  </w:pPr>
                  <w:r>
                    <w:rPr>
                      <w:rFonts w:hint="eastAsia"/>
                      <w:color w:val="auto"/>
                      <w:highlight w:val="none"/>
                      <w:lang w:val="en-US" w:eastAsia="zh-CN"/>
                    </w:rPr>
                    <w:t>24</w:t>
                  </w:r>
                </w:p>
              </w:tc>
              <w:tc>
                <w:tcPr>
                  <w:tcW w:w="1188" w:type="dxa"/>
                  <w:tcBorders>
                    <w:tl2br w:val="nil"/>
                    <w:tr2bl w:val="nil"/>
                  </w:tcBorders>
                  <w:vAlign w:val="center"/>
                </w:tcPr>
                <w:p w14:paraId="10A071C4">
                  <w:pPr>
                    <w:pStyle w:val="40"/>
                    <w:bidi w:val="0"/>
                    <w:jc w:val="center"/>
                    <w:rPr>
                      <w:rFonts w:hint="default" w:eastAsia="宋体"/>
                      <w:color w:val="auto"/>
                      <w:highlight w:val="none"/>
                      <w:lang w:val="en-US" w:eastAsia="zh-CN"/>
                    </w:rPr>
                  </w:pPr>
                  <w:r>
                    <w:rPr>
                      <w:rFonts w:hint="eastAsia"/>
                      <w:color w:val="auto"/>
                      <w:highlight w:val="none"/>
                      <w:lang w:val="en-US" w:eastAsia="zh-CN"/>
                    </w:rPr>
                    <w:t>25</w:t>
                  </w:r>
                </w:p>
              </w:tc>
              <w:tc>
                <w:tcPr>
                  <w:tcW w:w="924" w:type="dxa"/>
                  <w:tcBorders>
                    <w:tl2br w:val="nil"/>
                    <w:tr2bl w:val="nil"/>
                  </w:tcBorders>
                  <w:vAlign w:val="center"/>
                </w:tcPr>
                <w:p w14:paraId="0E50580C">
                  <w:pPr>
                    <w:pStyle w:val="40"/>
                    <w:bidi w:val="0"/>
                    <w:jc w:val="center"/>
                    <w:rPr>
                      <w:rFonts w:hint="default" w:eastAsia="宋体"/>
                      <w:color w:val="auto"/>
                      <w:highlight w:val="none"/>
                      <w:lang w:val="en-US" w:eastAsia="zh-CN"/>
                    </w:rPr>
                  </w:pPr>
                  <w:r>
                    <w:rPr>
                      <w:rFonts w:hint="eastAsia"/>
                      <w:color w:val="auto"/>
                      <w:highlight w:val="none"/>
                      <w:lang w:val="en-US" w:eastAsia="zh-CN"/>
                    </w:rPr>
                    <w:t>63.2</w:t>
                  </w:r>
                </w:p>
              </w:tc>
              <w:tc>
                <w:tcPr>
                  <w:tcW w:w="1026" w:type="dxa"/>
                  <w:tcBorders>
                    <w:tl2br w:val="nil"/>
                    <w:tr2bl w:val="nil"/>
                  </w:tcBorders>
                  <w:vAlign w:val="center"/>
                </w:tcPr>
                <w:p w14:paraId="53EFF813">
                  <w:pPr>
                    <w:pStyle w:val="40"/>
                    <w:bidi w:val="0"/>
                    <w:jc w:val="center"/>
                    <w:rPr>
                      <w:rFonts w:hint="default" w:eastAsia="宋体"/>
                      <w:color w:val="auto"/>
                      <w:highlight w:val="none"/>
                      <w:lang w:val="en-US" w:eastAsia="zh-CN"/>
                    </w:rPr>
                  </w:pPr>
                  <w:r>
                    <w:rPr>
                      <w:rFonts w:hint="eastAsia"/>
                      <w:color w:val="auto"/>
                      <w:highlight w:val="none"/>
                      <w:lang w:val="en-US" w:eastAsia="zh-CN"/>
                    </w:rPr>
                    <w:t>1.0</w:t>
                  </w:r>
                </w:p>
              </w:tc>
              <w:tc>
                <w:tcPr>
                  <w:tcW w:w="1029" w:type="dxa"/>
                  <w:tcBorders>
                    <w:tl2br w:val="nil"/>
                    <w:tr2bl w:val="nil"/>
                  </w:tcBorders>
                  <w:vAlign w:val="center"/>
                </w:tcPr>
                <w:p w14:paraId="3CE2694E">
                  <w:pPr>
                    <w:pStyle w:val="40"/>
                    <w:bidi w:val="0"/>
                    <w:jc w:val="center"/>
                    <w:rPr>
                      <w:rFonts w:hint="default" w:eastAsia="宋体"/>
                      <w:color w:val="auto"/>
                      <w:highlight w:val="none"/>
                      <w:lang w:val="en-US" w:eastAsia="zh-CN"/>
                    </w:rPr>
                  </w:pPr>
                  <w:r>
                    <w:rPr>
                      <w:rFonts w:hint="eastAsia"/>
                      <w:color w:val="auto"/>
                      <w:highlight w:val="none"/>
                      <w:lang w:val="en-US" w:eastAsia="zh-CN"/>
                    </w:rPr>
                    <w:t>77.0</w:t>
                  </w:r>
                </w:p>
              </w:tc>
            </w:tr>
            <w:tr w14:paraId="671D57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746" w:type="dxa"/>
                  <w:tcBorders>
                    <w:tl2br w:val="nil"/>
                    <w:tr2bl w:val="nil"/>
                  </w:tcBorders>
                  <w:vAlign w:val="center"/>
                </w:tcPr>
                <w:p w14:paraId="30E1E35F">
                  <w:pPr>
                    <w:pStyle w:val="40"/>
                    <w:bidi w:val="0"/>
                    <w:jc w:val="center"/>
                    <w:rPr>
                      <w:rFonts w:hint="default" w:eastAsia="宋体"/>
                      <w:color w:val="auto"/>
                      <w:highlight w:val="none"/>
                      <w:lang w:val="en-US" w:eastAsia="zh-CN"/>
                    </w:rPr>
                  </w:pPr>
                  <w:r>
                    <w:rPr>
                      <w:rFonts w:hint="eastAsia"/>
                      <w:color w:val="auto"/>
                      <w:highlight w:val="none"/>
                      <w:lang w:val="en-US" w:eastAsia="zh-CN"/>
                    </w:rPr>
                    <w:t>混凝土生产线</w:t>
                  </w:r>
                </w:p>
              </w:tc>
              <w:tc>
                <w:tcPr>
                  <w:tcW w:w="1477" w:type="dxa"/>
                  <w:tcBorders>
                    <w:tl2br w:val="nil"/>
                    <w:tr2bl w:val="nil"/>
                  </w:tcBorders>
                  <w:vAlign w:val="center"/>
                </w:tcPr>
                <w:p w14:paraId="5550FF2E">
                  <w:pPr>
                    <w:pStyle w:val="40"/>
                    <w:bidi w:val="0"/>
                    <w:jc w:val="center"/>
                    <w:rPr>
                      <w:rFonts w:hint="default" w:eastAsia="宋体"/>
                      <w:color w:val="auto"/>
                      <w:highlight w:val="none"/>
                      <w:lang w:val="en-US" w:eastAsia="zh-CN"/>
                    </w:rPr>
                  </w:pPr>
                  <w:r>
                    <w:rPr>
                      <w:rFonts w:hint="eastAsia"/>
                      <w:color w:val="auto"/>
                      <w:highlight w:val="none"/>
                      <w:lang w:val="en-US" w:eastAsia="zh-CN"/>
                    </w:rPr>
                    <w:t>87.6</w:t>
                  </w:r>
                </w:p>
              </w:tc>
              <w:tc>
                <w:tcPr>
                  <w:tcW w:w="750" w:type="dxa"/>
                  <w:tcBorders>
                    <w:tl2br w:val="nil"/>
                    <w:tr2bl w:val="nil"/>
                  </w:tcBorders>
                  <w:vAlign w:val="center"/>
                </w:tcPr>
                <w:p w14:paraId="4BEB5B0F">
                  <w:pPr>
                    <w:pStyle w:val="40"/>
                    <w:bidi w:val="0"/>
                    <w:jc w:val="center"/>
                    <w:rPr>
                      <w:rFonts w:hint="default" w:eastAsia="宋体"/>
                      <w:color w:val="auto"/>
                      <w:highlight w:val="none"/>
                      <w:lang w:val="en-US" w:eastAsia="zh-CN"/>
                    </w:rPr>
                  </w:pPr>
                  <w:r>
                    <w:rPr>
                      <w:rFonts w:hint="eastAsia"/>
                      <w:color w:val="auto"/>
                      <w:highlight w:val="none"/>
                      <w:lang w:val="en-US" w:eastAsia="zh-CN"/>
                    </w:rPr>
                    <w:t>8</w:t>
                  </w:r>
                </w:p>
              </w:tc>
              <w:tc>
                <w:tcPr>
                  <w:tcW w:w="1188" w:type="dxa"/>
                  <w:tcBorders>
                    <w:tl2br w:val="nil"/>
                    <w:tr2bl w:val="nil"/>
                  </w:tcBorders>
                  <w:vAlign w:val="center"/>
                </w:tcPr>
                <w:p w14:paraId="4A8C3408">
                  <w:pPr>
                    <w:pStyle w:val="40"/>
                    <w:bidi w:val="0"/>
                    <w:jc w:val="center"/>
                    <w:rPr>
                      <w:color w:val="auto"/>
                      <w:highlight w:val="none"/>
                    </w:rPr>
                  </w:pPr>
                  <w:r>
                    <w:rPr>
                      <w:rFonts w:hint="eastAsia"/>
                      <w:color w:val="auto"/>
                      <w:highlight w:val="none"/>
                      <w:lang w:val="en-US" w:eastAsia="zh-CN"/>
                    </w:rPr>
                    <w:t>25</w:t>
                  </w:r>
                </w:p>
              </w:tc>
              <w:tc>
                <w:tcPr>
                  <w:tcW w:w="924" w:type="dxa"/>
                  <w:tcBorders>
                    <w:tl2br w:val="nil"/>
                    <w:tr2bl w:val="nil"/>
                  </w:tcBorders>
                  <w:vAlign w:val="center"/>
                </w:tcPr>
                <w:p w14:paraId="51C9D920">
                  <w:pPr>
                    <w:pStyle w:val="40"/>
                    <w:bidi w:val="0"/>
                    <w:jc w:val="center"/>
                    <w:rPr>
                      <w:rFonts w:hint="default" w:eastAsia="宋体"/>
                      <w:color w:val="auto"/>
                      <w:highlight w:val="none"/>
                      <w:lang w:val="en-US" w:eastAsia="zh-CN"/>
                    </w:rPr>
                  </w:pPr>
                  <w:r>
                    <w:rPr>
                      <w:rFonts w:hint="eastAsia"/>
                      <w:color w:val="auto"/>
                      <w:highlight w:val="none"/>
                      <w:lang w:val="en-US" w:eastAsia="zh-CN"/>
                    </w:rPr>
                    <w:t>62.6</w:t>
                  </w:r>
                </w:p>
              </w:tc>
              <w:tc>
                <w:tcPr>
                  <w:tcW w:w="1026" w:type="dxa"/>
                  <w:tcBorders>
                    <w:tl2br w:val="nil"/>
                    <w:tr2bl w:val="nil"/>
                  </w:tcBorders>
                  <w:vAlign w:val="center"/>
                </w:tcPr>
                <w:p w14:paraId="31DC6FEE">
                  <w:pPr>
                    <w:pStyle w:val="40"/>
                    <w:bidi w:val="0"/>
                    <w:jc w:val="center"/>
                    <w:rPr>
                      <w:rFonts w:hint="default" w:eastAsia="宋体"/>
                      <w:color w:val="auto"/>
                      <w:highlight w:val="none"/>
                      <w:lang w:val="en-US" w:eastAsia="zh-CN"/>
                    </w:rPr>
                  </w:pPr>
                  <w:r>
                    <w:rPr>
                      <w:rFonts w:hint="eastAsia"/>
                      <w:color w:val="auto"/>
                      <w:highlight w:val="none"/>
                      <w:lang w:val="en-US" w:eastAsia="zh-CN"/>
                    </w:rPr>
                    <w:t>1.0</w:t>
                  </w:r>
                </w:p>
              </w:tc>
              <w:tc>
                <w:tcPr>
                  <w:tcW w:w="1029" w:type="dxa"/>
                  <w:tcBorders>
                    <w:tl2br w:val="nil"/>
                    <w:tr2bl w:val="nil"/>
                  </w:tcBorders>
                  <w:vAlign w:val="center"/>
                </w:tcPr>
                <w:p w14:paraId="0EFE164C">
                  <w:pPr>
                    <w:pStyle w:val="40"/>
                    <w:bidi w:val="0"/>
                    <w:jc w:val="center"/>
                    <w:rPr>
                      <w:rFonts w:hint="default" w:eastAsia="宋体"/>
                      <w:color w:val="auto"/>
                      <w:highlight w:val="none"/>
                      <w:lang w:val="en-US" w:eastAsia="zh-CN"/>
                    </w:rPr>
                  </w:pPr>
                  <w:r>
                    <w:rPr>
                      <w:rFonts w:hint="eastAsia"/>
                      <w:color w:val="auto"/>
                      <w:highlight w:val="none"/>
                      <w:lang w:val="en-US" w:eastAsia="zh-CN"/>
                    </w:rPr>
                    <w:t>76.4</w:t>
                  </w:r>
                </w:p>
              </w:tc>
            </w:tr>
            <w:tr w14:paraId="2F5CB1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746" w:type="dxa"/>
                  <w:tcBorders>
                    <w:tl2br w:val="nil"/>
                    <w:tr2bl w:val="nil"/>
                  </w:tcBorders>
                  <w:vAlign w:val="center"/>
                </w:tcPr>
                <w:p w14:paraId="63323215">
                  <w:pPr>
                    <w:pStyle w:val="40"/>
                    <w:bidi w:val="0"/>
                    <w:jc w:val="center"/>
                    <w:rPr>
                      <w:rFonts w:hint="default" w:eastAsia="宋体"/>
                      <w:color w:val="auto"/>
                      <w:highlight w:val="none"/>
                      <w:lang w:val="en-US" w:eastAsia="zh-CN"/>
                    </w:rPr>
                  </w:pPr>
                  <w:r>
                    <w:rPr>
                      <w:rFonts w:hint="eastAsia"/>
                      <w:color w:val="auto"/>
                      <w:highlight w:val="none"/>
                      <w:lang w:val="en-US" w:eastAsia="zh-CN"/>
                    </w:rPr>
                    <w:t>锅炉房</w:t>
                  </w:r>
                </w:p>
              </w:tc>
              <w:tc>
                <w:tcPr>
                  <w:tcW w:w="1477" w:type="dxa"/>
                  <w:tcBorders>
                    <w:tl2br w:val="nil"/>
                    <w:tr2bl w:val="nil"/>
                  </w:tcBorders>
                  <w:vAlign w:val="center"/>
                </w:tcPr>
                <w:p w14:paraId="6CDD823F">
                  <w:pPr>
                    <w:pStyle w:val="40"/>
                    <w:bidi w:val="0"/>
                    <w:jc w:val="center"/>
                    <w:rPr>
                      <w:rFonts w:hint="default" w:eastAsia="宋体"/>
                      <w:color w:val="auto"/>
                      <w:highlight w:val="none"/>
                      <w:lang w:val="en-US" w:eastAsia="zh-CN"/>
                    </w:rPr>
                  </w:pPr>
                  <w:r>
                    <w:rPr>
                      <w:rFonts w:hint="eastAsia"/>
                      <w:color w:val="auto"/>
                      <w:highlight w:val="none"/>
                      <w:lang w:val="en-US" w:eastAsia="zh-CN"/>
                    </w:rPr>
                    <w:t>91.3</w:t>
                  </w:r>
                </w:p>
              </w:tc>
              <w:tc>
                <w:tcPr>
                  <w:tcW w:w="750" w:type="dxa"/>
                  <w:tcBorders>
                    <w:tl2br w:val="nil"/>
                    <w:tr2bl w:val="nil"/>
                  </w:tcBorders>
                  <w:vAlign w:val="center"/>
                </w:tcPr>
                <w:p w14:paraId="0A1ED236">
                  <w:pPr>
                    <w:pStyle w:val="40"/>
                    <w:bidi w:val="0"/>
                    <w:jc w:val="center"/>
                    <w:rPr>
                      <w:rFonts w:hint="default" w:eastAsia="宋体"/>
                      <w:color w:val="auto"/>
                      <w:highlight w:val="none"/>
                      <w:lang w:val="en-US" w:eastAsia="zh-CN"/>
                    </w:rPr>
                  </w:pPr>
                  <w:r>
                    <w:rPr>
                      <w:rFonts w:hint="eastAsia"/>
                      <w:color w:val="auto"/>
                      <w:highlight w:val="none"/>
                      <w:lang w:val="en-US" w:eastAsia="zh-CN"/>
                    </w:rPr>
                    <w:t>24</w:t>
                  </w:r>
                </w:p>
              </w:tc>
              <w:tc>
                <w:tcPr>
                  <w:tcW w:w="1188" w:type="dxa"/>
                  <w:tcBorders>
                    <w:tl2br w:val="nil"/>
                    <w:tr2bl w:val="nil"/>
                  </w:tcBorders>
                  <w:vAlign w:val="center"/>
                </w:tcPr>
                <w:p w14:paraId="447E0402">
                  <w:pPr>
                    <w:pStyle w:val="40"/>
                    <w:bidi w:val="0"/>
                    <w:jc w:val="center"/>
                    <w:rPr>
                      <w:rFonts w:hint="default" w:eastAsia="宋体"/>
                      <w:color w:val="auto"/>
                      <w:highlight w:val="none"/>
                      <w:lang w:val="en-US" w:eastAsia="zh-CN"/>
                    </w:rPr>
                  </w:pPr>
                  <w:r>
                    <w:rPr>
                      <w:rFonts w:hint="eastAsia"/>
                      <w:color w:val="auto"/>
                      <w:highlight w:val="none"/>
                      <w:lang w:val="en-US" w:eastAsia="zh-CN"/>
                    </w:rPr>
                    <w:t>25</w:t>
                  </w:r>
                </w:p>
              </w:tc>
              <w:tc>
                <w:tcPr>
                  <w:tcW w:w="924" w:type="dxa"/>
                  <w:tcBorders>
                    <w:tl2br w:val="nil"/>
                    <w:tr2bl w:val="nil"/>
                  </w:tcBorders>
                  <w:vAlign w:val="center"/>
                </w:tcPr>
                <w:p w14:paraId="68ECF395">
                  <w:pPr>
                    <w:pStyle w:val="40"/>
                    <w:bidi w:val="0"/>
                    <w:jc w:val="center"/>
                    <w:rPr>
                      <w:rFonts w:hint="default" w:eastAsia="宋体"/>
                      <w:color w:val="auto"/>
                      <w:highlight w:val="none"/>
                      <w:lang w:val="en-US" w:eastAsia="zh-CN"/>
                    </w:rPr>
                  </w:pPr>
                  <w:r>
                    <w:rPr>
                      <w:rFonts w:hint="eastAsia"/>
                      <w:color w:val="auto"/>
                      <w:highlight w:val="none"/>
                      <w:lang w:val="en-US" w:eastAsia="zh-CN"/>
                    </w:rPr>
                    <w:t>66.3</w:t>
                  </w:r>
                </w:p>
              </w:tc>
              <w:tc>
                <w:tcPr>
                  <w:tcW w:w="1026" w:type="dxa"/>
                  <w:tcBorders>
                    <w:tl2br w:val="nil"/>
                    <w:tr2bl w:val="nil"/>
                  </w:tcBorders>
                  <w:vAlign w:val="center"/>
                </w:tcPr>
                <w:p w14:paraId="71D74018">
                  <w:pPr>
                    <w:pStyle w:val="40"/>
                    <w:bidi w:val="0"/>
                    <w:jc w:val="center"/>
                    <w:rPr>
                      <w:rFonts w:hint="default" w:eastAsia="宋体"/>
                      <w:color w:val="auto"/>
                      <w:highlight w:val="none"/>
                      <w:lang w:val="en-US" w:eastAsia="zh-CN"/>
                    </w:rPr>
                  </w:pPr>
                  <w:r>
                    <w:rPr>
                      <w:rFonts w:hint="eastAsia"/>
                      <w:color w:val="auto"/>
                      <w:highlight w:val="none"/>
                      <w:lang w:val="en-US" w:eastAsia="zh-CN"/>
                    </w:rPr>
                    <w:t>1.0</w:t>
                  </w:r>
                </w:p>
              </w:tc>
              <w:tc>
                <w:tcPr>
                  <w:tcW w:w="1029" w:type="dxa"/>
                  <w:tcBorders>
                    <w:tl2br w:val="nil"/>
                    <w:tr2bl w:val="nil"/>
                  </w:tcBorders>
                  <w:vAlign w:val="center"/>
                </w:tcPr>
                <w:p w14:paraId="038B0145">
                  <w:pPr>
                    <w:pStyle w:val="40"/>
                    <w:bidi w:val="0"/>
                    <w:jc w:val="center"/>
                    <w:rPr>
                      <w:rFonts w:hint="default" w:eastAsia="宋体"/>
                      <w:color w:val="auto"/>
                      <w:highlight w:val="none"/>
                      <w:lang w:val="en-US" w:eastAsia="zh-CN"/>
                    </w:rPr>
                  </w:pPr>
                  <w:r>
                    <w:rPr>
                      <w:rFonts w:hint="eastAsia"/>
                      <w:color w:val="auto"/>
                      <w:highlight w:val="none"/>
                      <w:lang w:val="en-US" w:eastAsia="zh-CN"/>
                    </w:rPr>
                    <w:t>80.1</w:t>
                  </w:r>
                </w:p>
              </w:tc>
            </w:tr>
          </w:tbl>
          <w:p w14:paraId="1C0F25D4">
            <w:pPr>
              <w:pStyle w:val="7"/>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color w:val="auto"/>
                <w:highlight w:val="none"/>
                <w:lang w:val="en-US" w:eastAsia="zh-CN"/>
              </w:rPr>
            </w:pPr>
            <w:bookmarkStart w:id="63" w:name="_Ref24630"/>
            <w:bookmarkStart w:id="64" w:name="_Ref21439"/>
            <w:bookmarkStart w:id="65" w:name="_Ref7181"/>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10</w:t>
            </w:r>
            <w:r>
              <w:rPr>
                <w:color w:val="auto"/>
                <w:highlight w:val="none"/>
              </w:rPr>
              <w:fldChar w:fldCharType="end"/>
            </w:r>
            <w:bookmarkEnd w:id="63"/>
            <w:bookmarkEnd w:id="64"/>
            <w:bookmarkEnd w:id="65"/>
            <w:r>
              <w:rPr>
                <w:rFonts w:hint="eastAsia"/>
                <w:color w:val="auto"/>
                <w:highlight w:val="none"/>
                <w:lang w:val="en-US" w:eastAsia="zh-CN"/>
              </w:rPr>
              <w:t xml:space="preserve">  项目噪声预测参数</w:t>
            </w:r>
          </w:p>
          <w:tbl>
            <w:tblPr>
              <w:tblStyle w:val="25"/>
              <w:tblW w:w="8141"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46"/>
              <w:gridCol w:w="1598"/>
              <w:gridCol w:w="1598"/>
              <w:gridCol w:w="1598"/>
              <w:gridCol w:w="1601"/>
            </w:tblGrid>
            <w:tr w14:paraId="0AA028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746" w:type="dxa"/>
                  <w:vMerge w:val="restart"/>
                  <w:tcBorders>
                    <w:tl2br w:val="nil"/>
                    <w:tr2bl w:val="nil"/>
                  </w:tcBorders>
                  <w:vAlign w:val="center"/>
                </w:tcPr>
                <w:p w14:paraId="39E21FDC">
                  <w:pPr>
                    <w:pStyle w:val="40"/>
                    <w:bidi w:val="0"/>
                    <w:rPr>
                      <w:rFonts w:hint="default"/>
                      <w:color w:val="auto"/>
                      <w:highlight w:val="none"/>
                      <w:lang w:val="en-US" w:eastAsia="zh-CN"/>
                    </w:rPr>
                  </w:pPr>
                  <w:r>
                    <w:rPr>
                      <w:rFonts w:hint="eastAsia"/>
                      <w:color w:val="auto"/>
                      <w:highlight w:val="none"/>
                      <w:lang w:val="en-US" w:eastAsia="zh-CN"/>
                    </w:rPr>
                    <w:t>噪声源位置</w:t>
                  </w:r>
                </w:p>
              </w:tc>
              <w:tc>
                <w:tcPr>
                  <w:tcW w:w="6395" w:type="dxa"/>
                  <w:gridSpan w:val="4"/>
                  <w:tcBorders>
                    <w:tl2br w:val="nil"/>
                    <w:tr2bl w:val="nil"/>
                  </w:tcBorders>
                  <w:vAlign w:val="center"/>
                </w:tcPr>
                <w:p w14:paraId="0479DAB0">
                  <w:pPr>
                    <w:pStyle w:val="40"/>
                    <w:bidi w:val="0"/>
                    <w:rPr>
                      <w:rFonts w:hint="default"/>
                      <w:color w:val="auto"/>
                      <w:highlight w:val="none"/>
                      <w:lang w:val="en-US" w:eastAsia="zh-CN"/>
                    </w:rPr>
                  </w:pPr>
                  <w:r>
                    <w:rPr>
                      <w:rFonts w:hint="eastAsia"/>
                      <w:color w:val="auto"/>
                      <w:highlight w:val="none"/>
                      <w:lang w:val="en-US" w:eastAsia="zh-CN"/>
                    </w:rPr>
                    <w:t>噪声源距各厂界最近点距离（m）</w:t>
                  </w:r>
                </w:p>
              </w:tc>
            </w:tr>
            <w:tr w14:paraId="61C108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746" w:type="dxa"/>
                  <w:vMerge w:val="continue"/>
                  <w:tcBorders>
                    <w:tl2br w:val="nil"/>
                    <w:tr2bl w:val="nil"/>
                  </w:tcBorders>
                  <w:vAlign w:val="center"/>
                </w:tcPr>
                <w:p w14:paraId="7BE45247">
                  <w:pPr>
                    <w:pStyle w:val="40"/>
                    <w:bidi w:val="0"/>
                    <w:rPr>
                      <w:rFonts w:hint="default"/>
                      <w:color w:val="auto"/>
                      <w:highlight w:val="none"/>
                      <w:lang w:val="en-US" w:eastAsia="zh-CN"/>
                    </w:rPr>
                  </w:pPr>
                </w:p>
              </w:tc>
              <w:tc>
                <w:tcPr>
                  <w:tcW w:w="1598" w:type="dxa"/>
                  <w:tcBorders>
                    <w:tl2br w:val="nil"/>
                    <w:tr2bl w:val="nil"/>
                  </w:tcBorders>
                  <w:shd w:val="clear" w:color="auto" w:fill="auto"/>
                  <w:vAlign w:val="center"/>
                </w:tcPr>
                <w:p w14:paraId="18CB1C29">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东厂界</w:t>
                  </w:r>
                </w:p>
              </w:tc>
              <w:tc>
                <w:tcPr>
                  <w:tcW w:w="1598" w:type="dxa"/>
                  <w:tcBorders>
                    <w:tl2br w:val="nil"/>
                    <w:tr2bl w:val="nil"/>
                  </w:tcBorders>
                  <w:shd w:val="clear" w:color="auto" w:fill="auto"/>
                  <w:vAlign w:val="center"/>
                </w:tcPr>
                <w:p w14:paraId="71C364D3">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南厂界</w:t>
                  </w:r>
                </w:p>
              </w:tc>
              <w:tc>
                <w:tcPr>
                  <w:tcW w:w="1598" w:type="dxa"/>
                  <w:tcBorders>
                    <w:tl2br w:val="nil"/>
                    <w:tr2bl w:val="nil"/>
                  </w:tcBorders>
                  <w:vAlign w:val="center"/>
                </w:tcPr>
                <w:p w14:paraId="17CAFCD3">
                  <w:pPr>
                    <w:pStyle w:val="40"/>
                    <w:bidi w:val="0"/>
                    <w:rPr>
                      <w:rFonts w:hint="default"/>
                      <w:color w:val="auto"/>
                      <w:highlight w:val="none"/>
                      <w:lang w:val="en-US" w:eastAsia="zh-CN"/>
                    </w:rPr>
                  </w:pPr>
                  <w:r>
                    <w:rPr>
                      <w:rFonts w:hint="eastAsia"/>
                      <w:color w:val="auto"/>
                      <w:highlight w:val="none"/>
                      <w:lang w:val="en-US" w:eastAsia="zh-CN"/>
                    </w:rPr>
                    <w:t>西厂界</w:t>
                  </w:r>
                </w:p>
              </w:tc>
              <w:tc>
                <w:tcPr>
                  <w:tcW w:w="1601" w:type="dxa"/>
                  <w:tcBorders>
                    <w:tl2br w:val="nil"/>
                    <w:tr2bl w:val="nil"/>
                  </w:tcBorders>
                  <w:vAlign w:val="center"/>
                </w:tcPr>
                <w:p w14:paraId="6FE54012">
                  <w:pPr>
                    <w:pStyle w:val="40"/>
                    <w:bidi w:val="0"/>
                    <w:rPr>
                      <w:rFonts w:hint="default"/>
                      <w:color w:val="auto"/>
                      <w:highlight w:val="none"/>
                      <w:lang w:val="en-US" w:eastAsia="zh-CN"/>
                    </w:rPr>
                  </w:pPr>
                  <w:r>
                    <w:rPr>
                      <w:rFonts w:hint="eastAsia"/>
                      <w:color w:val="auto"/>
                      <w:highlight w:val="none"/>
                      <w:lang w:val="en-US" w:eastAsia="zh-CN"/>
                    </w:rPr>
                    <w:t>北厂界</w:t>
                  </w:r>
                </w:p>
              </w:tc>
            </w:tr>
            <w:tr w14:paraId="01A5E7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746" w:type="dxa"/>
                  <w:tcBorders>
                    <w:tl2br w:val="nil"/>
                    <w:tr2bl w:val="nil"/>
                  </w:tcBorders>
                  <w:shd w:val="clear" w:color="auto" w:fill="auto"/>
                  <w:vAlign w:val="center"/>
                </w:tcPr>
                <w:p w14:paraId="67F3ACA3">
                  <w:pPr>
                    <w:pStyle w:val="40"/>
                    <w:bidi w:val="0"/>
                    <w:ind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蒸压硅酸盐功能骨料生产车间</w:t>
                  </w:r>
                </w:p>
              </w:tc>
              <w:tc>
                <w:tcPr>
                  <w:tcW w:w="1598" w:type="dxa"/>
                  <w:tcBorders>
                    <w:tl2br w:val="nil"/>
                    <w:tr2bl w:val="nil"/>
                  </w:tcBorders>
                  <w:vAlign w:val="center"/>
                </w:tcPr>
                <w:p w14:paraId="1538640C">
                  <w:pPr>
                    <w:pStyle w:val="40"/>
                    <w:bidi w:val="0"/>
                    <w:rPr>
                      <w:rFonts w:hint="default"/>
                      <w:color w:val="auto"/>
                      <w:highlight w:val="none"/>
                      <w:lang w:val="en-US" w:eastAsia="zh-CN"/>
                    </w:rPr>
                  </w:pPr>
                  <w:r>
                    <w:rPr>
                      <w:rFonts w:hint="eastAsia"/>
                      <w:color w:val="auto"/>
                      <w:highlight w:val="none"/>
                      <w:lang w:val="en-US" w:eastAsia="zh-CN"/>
                    </w:rPr>
                    <w:t>40</w:t>
                  </w:r>
                </w:p>
              </w:tc>
              <w:tc>
                <w:tcPr>
                  <w:tcW w:w="1598" w:type="dxa"/>
                  <w:tcBorders>
                    <w:tl2br w:val="nil"/>
                    <w:tr2bl w:val="nil"/>
                  </w:tcBorders>
                  <w:vAlign w:val="center"/>
                </w:tcPr>
                <w:p w14:paraId="0DF79792">
                  <w:pPr>
                    <w:pStyle w:val="40"/>
                    <w:bidi w:val="0"/>
                    <w:rPr>
                      <w:rFonts w:hint="default"/>
                      <w:color w:val="auto"/>
                      <w:highlight w:val="none"/>
                      <w:lang w:val="en-US" w:eastAsia="zh-CN"/>
                    </w:rPr>
                  </w:pPr>
                  <w:r>
                    <w:rPr>
                      <w:rFonts w:hint="eastAsia"/>
                      <w:color w:val="auto"/>
                      <w:highlight w:val="none"/>
                      <w:lang w:val="en-US" w:eastAsia="zh-CN"/>
                    </w:rPr>
                    <w:t>175</w:t>
                  </w:r>
                </w:p>
              </w:tc>
              <w:tc>
                <w:tcPr>
                  <w:tcW w:w="1598" w:type="dxa"/>
                  <w:tcBorders>
                    <w:tl2br w:val="nil"/>
                    <w:tr2bl w:val="nil"/>
                  </w:tcBorders>
                  <w:vAlign w:val="center"/>
                </w:tcPr>
                <w:p w14:paraId="796DEC94">
                  <w:pPr>
                    <w:pStyle w:val="40"/>
                    <w:bidi w:val="0"/>
                    <w:rPr>
                      <w:rFonts w:hint="default"/>
                      <w:color w:val="auto"/>
                      <w:highlight w:val="none"/>
                      <w:lang w:val="en-US" w:eastAsia="zh-CN"/>
                    </w:rPr>
                  </w:pPr>
                  <w:r>
                    <w:rPr>
                      <w:rFonts w:hint="eastAsia"/>
                      <w:color w:val="auto"/>
                      <w:highlight w:val="none"/>
                      <w:lang w:val="en-US" w:eastAsia="zh-CN"/>
                    </w:rPr>
                    <w:t>134</w:t>
                  </w:r>
                </w:p>
              </w:tc>
              <w:tc>
                <w:tcPr>
                  <w:tcW w:w="1601" w:type="dxa"/>
                  <w:tcBorders>
                    <w:tl2br w:val="nil"/>
                    <w:tr2bl w:val="nil"/>
                  </w:tcBorders>
                  <w:vAlign w:val="center"/>
                </w:tcPr>
                <w:p w14:paraId="3231A6CF">
                  <w:pPr>
                    <w:pStyle w:val="40"/>
                    <w:bidi w:val="0"/>
                    <w:rPr>
                      <w:rFonts w:hint="default"/>
                      <w:color w:val="auto"/>
                      <w:highlight w:val="none"/>
                      <w:lang w:val="en-US" w:eastAsia="zh-CN"/>
                    </w:rPr>
                  </w:pPr>
                  <w:r>
                    <w:rPr>
                      <w:rFonts w:hint="eastAsia"/>
                      <w:color w:val="auto"/>
                      <w:highlight w:val="none"/>
                      <w:lang w:val="en-US" w:eastAsia="zh-CN"/>
                    </w:rPr>
                    <w:t>10</w:t>
                  </w:r>
                </w:p>
              </w:tc>
            </w:tr>
            <w:tr w14:paraId="147665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746" w:type="dxa"/>
                  <w:tcBorders>
                    <w:tl2br w:val="nil"/>
                    <w:tr2bl w:val="nil"/>
                  </w:tcBorders>
                  <w:shd w:val="clear" w:color="auto" w:fill="auto"/>
                  <w:vAlign w:val="center"/>
                </w:tcPr>
                <w:p w14:paraId="119EEC71">
                  <w:pPr>
                    <w:pStyle w:val="40"/>
                    <w:bidi w:val="0"/>
                    <w:ind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混凝土生产线</w:t>
                  </w:r>
                </w:p>
              </w:tc>
              <w:tc>
                <w:tcPr>
                  <w:tcW w:w="1598" w:type="dxa"/>
                  <w:tcBorders>
                    <w:tl2br w:val="nil"/>
                    <w:tr2bl w:val="nil"/>
                  </w:tcBorders>
                  <w:vAlign w:val="center"/>
                </w:tcPr>
                <w:p w14:paraId="2D065E0B">
                  <w:pPr>
                    <w:pStyle w:val="40"/>
                    <w:bidi w:val="0"/>
                    <w:rPr>
                      <w:rFonts w:hint="default"/>
                      <w:color w:val="auto"/>
                      <w:highlight w:val="none"/>
                      <w:lang w:val="en-US" w:eastAsia="zh-CN"/>
                    </w:rPr>
                  </w:pPr>
                  <w:r>
                    <w:rPr>
                      <w:rFonts w:hint="eastAsia"/>
                      <w:color w:val="auto"/>
                      <w:highlight w:val="none"/>
                      <w:lang w:val="en-US" w:eastAsia="zh-CN"/>
                    </w:rPr>
                    <w:t>121</w:t>
                  </w:r>
                </w:p>
              </w:tc>
              <w:tc>
                <w:tcPr>
                  <w:tcW w:w="1598" w:type="dxa"/>
                  <w:tcBorders>
                    <w:tl2br w:val="nil"/>
                    <w:tr2bl w:val="nil"/>
                  </w:tcBorders>
                  <w:vAlign w:val="center"/>
                </w:tcPr>
                <w:p w14:paraId="1A5C959C">
                  <w:pPr>
                    <w:pStyle w:val="40"/>
                    <w:bidi w:val="0"/>
                    <w:rPr>
                      <w:rFonts w:hint="default"/>
                      <w:color w:val="auto"/>
                      <w:highlight w:val="none"/>
                      <w:lang w:val="en-US" w:eastAsia="zh-CN"/>
                    </w:rPr>
                  </w:pPr>
                  <w:r>
                    <w:rPr>
                      <w:rFonts w:hint="eastAsia"/>
                      <w:color w:val="auto"/>
                      <w:highlight w:val="none"/>
                      <w:lang w:val="en-US" w:eastAsia="zh-CN"/>
                    </w:rPr>
                    <w:t>126</w:t>
                  </w:r>
                </w:p>
              </w:tc>
              <w:tc>
                <w:tcPr>
                  <w:tcW w:w="1598" w:type="dxa"/>
                  <w:tcBorders>
                    <w:tl2br w:val="nil"/>
                    <w:tr2bl w:val="nil"/>
                  </w:tcBorders>
                  <w:vAlign w:val="center"/>
                </w:tcPr>
                <w:p w14:paraId="430BF4C2">
                  <w:pPr>
                    <w:pStyle w:val="40"/>
                    <w:bidi w:val="0"/>
                    <w:rPr>
                      <w:rFonts w:hint="default"/>
                      <w:color w:val="auto"/>
                      <w:highlight w:val="none"/>
                      <w:lang w:val="en-US" w:eastAsia="zh-CN"/>
                    </w:rPr>
                  </w:pPr>
                  <w:r>
                    <w:rPr>
                      <w:rFonts w:hint="eastAsia"/>
                      <w:color w:val="auto"/>
                      <w:highlight w:val="none"/>
                      <w:lang w:val="en-US" w:eastAsia="zh-CN"/>
                    </w:rPr>
                    <w:t>63</w:t>
                  </w:r>
                </w:p>
              </w:tc>
              <w:tc>
                <w:tcPr>
                  <w:tcW w:w="1601" w:type="dxa"/>
                  <w:tcBorders>
                    <w:tl2br w:val="nil"/>
                    <w:tr2bl w:val="nil"/>
                  </w:tcBorders>
                  <w:vAlign w:val="center"/>
                </w:tcPr>
                <w:p w14:paraId="008AABA5">
                  <w:pPr>
                    <w:pStyle w:val="40"/>
                    <w:bidi w:val="0"/>
                    <w:rPr>
                      <w:rFonts w:hint="default"/>
                      <w:color w:val="auto"/>
                      <w:highlight w:val="none"/>
                      <w:lang w:val="en-US" w:eastAsia="zh-CN"/>
                    </w:rPr>
                  </w:pPr>
                  <w:r>
                    <w:rPr>
                      <w:rFonts w:hint="eastAsia"/>
                      <w:color w:val="auto"/>
                      <w:highlight w:val="none"/>
                      <w:lang w:val="en-US" w:eastAsia="zh-CN"/>
                    </w:rPr>
                    <w:t>75</w:t>
                  </w:r>
                </w:p>
              </w:tc>
            </w:tr>
            <w:tr w14:paraId="505EFF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746" w:type="dxa"/>
                  <w:tcBorders>
                    <w:tl2br w:val="nil"/>
                    <w:tr2bl w:val="nil"/>
                  </w:tcBorders>
                  <w:shd w:val="clear" w:color="auto" w:fill="auto"/>
                  <w:vAlign w:val="center"/>
                </w:tcPr>
                <w:p w14:paraId="2AF2A86B">
                  <w:pPr>
                    <w:pStyle w:val="40"/>
                    <w:bidi w:val="0"/>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锅炉房</w:t>
                  </w:r>
                </w:p>
              </w:tc>
              <w:tc>
                <w:tcPr>
                  <w:tcW w:w="1598" w:type="dxa"/>
                  <w:tcBorders>
                    <w:tl2br w:val="nil"/>
                    <w:tr2bl w:val="nil"/>
                  </w:tcBorders>
                  <w:vAlign w:val="center"/>
                </w:tcPr>
                <w:p w14:paraId="76AF9AAA">
                  <w:pPr>
                    <w:pStyle w:val="40"/>
                    <w:bidi w:val="0"/>
                    <w:rPr>
                      <w:rFonts w:hint="default"/>
                      <w:color w:val="auto"/>
                      <w:highlight w:val="none"/>
                      <w:lang w:val="en-US" w:eastAsia="zh-CN"/>
                    </w:rPr>
                  </w:pPr>
                  <w:r>
                    <w:rPr>
                      <w:rFonts w:hint="eastAsia"/>
                      <w:color w:val="auto"/>
                      <w:highlight w:val="none"/>
                      <w:lang w:val="en-US" w:eastAsia="zh-CN"/>
                    </w:rPr>
                    <w:t>98</w:t>
                  </w:r>
                </w:p>
              </w:tc>
              <w:tc>
                <w:tcPr>
                  <w:tcW w:w="1598" w:type="dxa"/>
                  <w:tcBorders>
                    <w:tl2br w:val="nil"/>
                    <w:tr2bl w:val="nil"/>
                  </w:tcBorders>
                  <w:vAlign w:val="center"/>
                </w:tcPr>
                <w:p w14:paraId="2750BBC2">
                  <w:pPr>
                    <w:pStyle w:val="40"/>
                    <w:bidi w:val="0"/>
                    <w:rPr>
                      <w:rFonts w:hint="default"/>
                      <w:color w:val="auto"/>
                      <w:highlight w:val="none"/>
                      <w:lang w:val="en-US" w:eastAsia="zh-CN"/>
                    </w:rPr>
                  </w:pPr>
                  <w:r>
                    <w:rPr>
                      <w:rFonts w:hint="eastAsia"/>
                      <w:color w:val="auto"/>
                      <w:highlight w:val="none"/>
                      <w:lang w:val="en-US" w:eastAsia="zh-CN"/>
                    </w:rPr>
                    <w:t>68</w:t>
                  </w:r>
                </w:p>
              </w:tc>
              <w:tc>
                <w:tcPr>
                  <w:tcW w:w="1598" w:type="dxa"/>
                  <w:tcBorders>
                    <w:tl2br w:val="nil"/>
                    <w:tr2bl w:val="nil"/>
                  </w:tcBorders>
                  <w:vAlign w:val="center"/>
                </w:tcPr>
                <w:p w14:paraId="7D21E42A">
                  <w:pPr>
                    <w:pStyle w:val="40"/>
                    <w:bidi w:val="0"/>
                    <w:rPr>
                      <w:rFonts w:hint="default"/>
                      <w:color w:val="auto"/>
                      <w:highlight w:val="none"/>
                      <w:lang w:val="en-US" w:eastAsia="zh-CN"/>
                    </w:rPr>
                  </w:pPr>
                  <w:r>
                    <w:rPr>
                      <w:rFonts w:hint="eastAsia"/>
                      <w:color w:val="auto"/>
                      <w:highlight w:val="none"/>
                      <w:lang w:val="en-US" w:eastAsia="zh-CN"/>
                    </w:rPr>
                    <w:t>150</w:t>
                  </w:r>
                </w:p>
              </w:tc>
              <w:tc>
                <w:tcPr>
                  <w:tcW w:w="1601" w:type="dxa"/>
                  <w:tcBorders>
                    <w:tl2br w:val="nil"/>
                    <w:tr2bl w:val="nil"/>
                  </w:tcBorders>
                  <w:vAlign w:val="center"/>
                </w:tcPr>
                <w:p w14:paraId="07DA1AD5">
                  <w:pPr>
                    <w:pStyle w:val="40"/>
                    <w:bidi w:val="0"/>
                    <w:rPr>
                      <w:rFonts w:hint="default"/>
                      <w:color w:val="auto"/>
                      <w:highlight w:val="none"/>
                      <w:lang w:val="en-US" w:eastAsia="zh-CN"/>
                    </w:rPr>
                  </w:pPr>
                  <w:r>
                    <w:rPr>
                      <w:rFonts w:hint="eastAsia"/>
                      <w:color w:val="auto"/>
                      <w:highlight w:val="none"/>
                      <w:lang w:val="en-US" w:eastAsia="zh-CN"/>
                    </w:rPr>
                    <w:t>126</w:t>
                  </w:r>
                </w:p>
              </w:tc>
            </w:tr>
          </w:tbl>
          <w:p w14:paraId="0D744BC7">
            <w:pPr>
              <w:pStyle w:val="41"/>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color w:val="auto"/>
                <w:highlight w:val="none"/>
                <w:lang w:val="en-US" w:eastAsia="zh-CN"/>
              </w:rPr>
            </w:pPr>
            <w:r>
              <w:rPr>
                <w:rFonts w:hint="eastAsia"/>
                <w:color w:val="auto"/>
                <w:highlight w:val="none"/>
                <w:lang w:val="en-US" w:eastAsia="zh-CN"/>
              </w:rPr>
              <w:t>（3）预测结果</w:t>
            </w:r>
          </w:p>
          <w:p w14:paraId="53A00DEE">
            <w:pPr>
              <w:bidi w:val="0"/>
              <w:rPr>
                <w:rFonts w:hint="eastAsia"/>
                <w:color w:val="auto"/>
                <w:highlight w:val="none"/>
                <w:lang w:val="en-US" w:eastAsia="zh-CN"/>
              </w:rPr>
            </w:pPr>
            <w:r>
              <w:rPr>
                <w:rFonts w:hint="eastAsia"/>
                <w:color w:val="auto"/>
                <w:highlight w:val="none"/>
                <w:lang w:val="en-US" w:eastAsia="zh-CN"/>
              </w:rPr>
              <w:t>本项目建设完成后噪声预测结果见</w:t>
            </w:r>
            <w:r>
              <w:rPr>
                <w:rFonts w:hint="eastAsia"/>
                <w:color w:val="auto"/>
                <w:highlight w:val="none"/>
                <w:lang w:val="en-US" w:eastAsia="zh-CN"/>
              </w:rPr>
              <w:fldChar w:fldCharType="begin"/>
            </w:r>
            <w:r>
              <w:rPr>
                <w:rFonts w:hint="eastAsia"/>
                <w:color w:val="auto"/>
                <w:highlight w:val="none"/>
                <w:lang w:val="en-US" w:eastAsia="zh-CN"/>
              </w:rPr>
              <w:instrText xml:space="preserve"> REF _Ref24953 \h </w:instrText>
            </w:r>
            <w:r>
              <w:rPr>
                <w:rFonts w:hint="eastAsia"/>
                <w:color w:val="auto"/>
                <w:highlight w:val="none"/>
                <w:lang w:val="en-US" w:eastAsia="zh-CN"/>
              </w:rPr>
              <w:fldChar w:fldCharType="separate"/>
            </w:r>
            <w:r>
              <w:rPr>
                <w:color w:val="auto"/>
                <w:highlight w:val="none"/>
              </w:rPr>
              <w:t>表4-11</w:t>
            </w:r>
            <w:r>
              <w:rPr>
                <w:rFonts w:hint="eastAsia"/>
                <w:color w:val="auto"/>
                <w:highlight w:val="none"/>
                <w:lang w:val="en-US" w:eastAsia="zh-CN"/>
              </w:rPr>
              <w:fldChar w:fldCharType="end"/>
            </w:r>
            <w:r>
              <w:rPr>
                <w:rFonts w:hint="eastAsia"/>
                <w:color w:val="auto"/>
                <w:highlight w:val="none"/>
                <w:lang w:val="en-US" w:eastAsia="zh-CN"/>
              </w:rPr>
              <w:t>。</w:t>
            </w:r>
            <w:bookmarkStart w:id="66" w:name="_Ref27575"/>
          </w:p>
          <w:p w14:paraId="72C5BC3A">
            <w:pPr>
              <w:pStyle w:val="7"/>
              <w:rPr>
                <w:rFonts w:hint="default"/>
                <w:color w:val="auto"/>
                <w:highlight w:val="none"/>
                <w:lang w:val="en-US" w:eastAsia="zh-CN"/>
              </w:rPr>
            </w:pPr>
            <w:bookmarkStart w:id="67" w:name="_Ref24953"/>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11</w:t>
            </w:r>
            <w:r>
              <w:rPr>
                <w:color w:val="auto"/>
                <w:highlight w:val="none"/>
              </w:rPr>
              <w:fldChar w:fldCharType="end"/>
            </w:r>
            <w:bookmarkEnd w:id="66"/>
            <w:bookmarkEnd w:id="67"/>
            <w:r>
              <w:rPr>
                <w:rFonts w:hint="eastAsia"/>
                <w:color w:val="auto"/>
                <w:highlight w:val="none"/>
                <w:lang w:val="en-US" w:eastAsia="zh-CN"/>
              </w:rPr>
              <w:t xml:space="preserve">  噪声预测结果表</w:t>
            </w:r>
          </w:p>
          <w:tbl>
            <w:tblPr>
              <w:tblStyle w:val="24"/>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2"/>
              <w:gridCol w:w="2013"/>
              <w:gridCol w:w="2013"/>
              <w:gridCol w:w="1655"/>
              <w:gridCol w:w="1656"/>
            </w:tblGrid>
            <w:tr w14:paraId="29FBE7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76" w:type="pct"/>
                  <w:vMerge w:val="restart"/>
                  <w:tcBorders>
                    <w:tl2br w:val="nil"/>
                    <w:tr2bl w:val="nil"/>
                  </w:tcBorders>
                  <w:noWrap w:val="0"/>
                  <w:vAlign w:val="center"/>
                </w:tcPr>
                <w:p w14:paraId="59603E60">
                  <w:pPr>
                    <w:pStyle w:val="40"/>
                    <w:bidi w:val="0"/>
                    <w:rPr>
                      <w:color w:val="auto"/>
                      <w:highlight w:val="none"/>
                    </w:rPr>
                  </w:pPr>
                  <w:r>
                    <w:rPr>
                      <w:color w:val="auto"/>
                      <w:highlight w:val="none"/>
                    </w:rPr>
                    <w:t>序号</w:t>
                  </w:r>
                </w:p>
              </w:tc>
              <w:tc>
                <w:tcPr>
                  <w:tcW w:w="1241" w:type="pct"/>
                  <w:vMerge w:val="restart"/>
                  <w:tcBorders>
                    <w:tl2br w:val="nil"/>
                    <w:tr2bl w:val="nil"/>
                  </w:tcBorders>
                  <w:noWrap w:val="0"/>
                  <w:vAlign w:val="center"/>
                </w:tcPr>
                <w:p w14:paraId="4F693E99">
                  <w:pPr>
                    <w:pStyle w:val="40"/>
                    <w:bidi w:val="0"/>
                    <w:rPr>
                      <w:color w:val="auto"/>
                      <w:highlight w:val="none"/>
                    </w:rPr>
                  </w:pPr>
                  <w:r>
                    <w:rPr>
                      <w:rFonts w:hint="eastAsia"/>
                      <w:color w:val="auto"/>
                      <w:highlight w:val="none"/>
                    </w:rPr>
                    <w:t>预测</w:t>
                  </w:r>
                  <w:r>
                    <w:rPr>
                      <w:color w:val="auto"/>
                      <w:highlight w:val="none"/>
                    </w:rPr>
                    <w:t>点位置</w:t>
                  </w:r>
                </w:p>
              </w:tc>
              <w:tc>
                <w:tcPr>
                  <w:tcW w:w="1241" w:type="pct"/>
                  <w:vMerge w:val="restart"/>
                  <w:tcBorders>
                    <w:tl2br w:val="nil"/>
                    <w:tr2bl w:val="nil"/>
                  </w:tcBorders>
                  <w:noWrap w:val="0"/>
                  <w:vAlign w:val="center"/>
                </w:tcPr>
                <w:p w14:paraId="077FF873">
                  <w:pPr>
                    <w:pStyle w:val="40"/>
                    <w:bidi w:val="0"/>
                    <w:rPr>
                      <w:color w:val="auto"/>
                      <w:highlight w:val="none"/>
                    </w:rPr>
                  </w:pPr>
                  <w:r>
                    <w:rPr>
                      <w:color w:val="auto"/>
                      <w:highlight w:val="none"/>
                    </w:rPr>
                    <w:t>贡献值</w:t>
                  </w:r>
                  <w:r>
                    <w:rPr>
                      <w:color w:val="auto"/>
                      <w:highlight w:val="none"/>
                      <w:lang w:val="en-US" w:eastAsia="zh-CN"/>
                    </w:rPr>
                    <w:t>dB</w:t>
                  </w:r>
                  <w:r>
                    <w:rPr>
                      <w:rFonts w:hint="eastAsia"/>
                      <w:color w:val="auto"/>
                      <w:highlight w:val="none"/>
                      <w:lang w:val="en-US" w:eastAsia="zh-CN"/>
                    </w:rPr>
                    <w:t>（A）</w:t>
                  </w:r>
                </w:p>
              </w:tc>
              <w:tc>
                <w:tcPr>
                  <w:tcW w:w="2041" w:type="pct"/>
                  <w:gridSpan w:val="2"/>
                  <w:tcBorders>
                    <w:tl2br w:val="nil"/>
                    <w:tr2bl w:val="nil"/>
                  </w:tcBorders>
                  <w:noWrap w:val="0"/>
                  <w:vAlign w:val="center"/>
                </w:tcPr>
                <w:p w14:paraId="0F49BE8A">
                  <w:pPr>
                    <w:pStyle w:val="40"/>
                    <w:bidi w:val="0"/>
                    <w:rPr>
                      <w:color w:val="auto"/>
                      <w:highlight w:val="none"/>
                    </w:rPr>
                  </w:pPr>
                  <w:r>
                    <w:rPr>
                      <w:rFonts w:hint="eastAsia"/>
                      <w:color w:val="auto"/>
                      <w:highlight w:val="none"/>
                    </w:rPr>
                    <w:t>标准限值</w:t>
                  </w:r>
                  <w:r>
                    <w:rPr>
                      <w:color w:val="auto"/>
                      <w:highlight w:val="none"/>
                      <w:lang w:val="en-US" w:eastAsia="zh-CN"/>
                    </w:rPr>
                    <w:t>dB</w:t>
                  </w:r>
                  <w:r>
                    <w:rPr>
                      <w:rFonts w:hint="eastAsia"/>
                      <w:color w:val="auto"/>
                      <w:highlight w:val="none"/>
                      <w:lang w:val="en-US" w:eastAsia="zh-CN"/>
                    </w:rPr>
                    <w:t>（A）</w:t>
                  </w:r>
                </w:p>
              </w:tc>
            </w:tr>
            <w:tr w14:paraId="2DC688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76" w:type="pct"/>
                  <w:vMerge w:val="continue"/>
                  <w:tcBorders>
                    <w:tl2br w:val="nil"/>
                    <w:tr2bl w:val="nil"/>
                  </w:tcBorders>
                  <w:noWrap w:val="0"/>
                  <w:vAlign w:val="center"/>
                </w:tcPr>
                <w:p w14:paraId="634064AE">
                  <w:pPr>
                    <w:pStyle w:val="40"/>
                    <w:bidi w:val="0"/>
                    <w:rPr>
                      <w:color w:val="auto"/>
                      <w:highlight w:val="none"/>
                    </w:rPr>
                  </w:pPr>
                </w:p>
              </w:tc>
              <w:tc>
                <w:tcPr>
                  <w:tcW w:w="1241" w:type="pct"/>
                  <w:vMerge w:val="continue"/>
                  <w:tcBorders>
                    <w:tl2br w:val="nil"/>
                    <w:tr2bl w:val="nil"/>
                  </w:tcBorders>
                  <w:noWrap w:val="0"/>
                  <w:vAlign w:val="center"/>
                </w:tcPr>
                <w:p w14:paraId="085F0670">
                  <w:pPr>
                    <w:pStyle w:val="40"/>
                    <w:bidi w:val="0"/>
                    <w:rPr>
                      <w:color w:val="auto"/>
                      <w:highlight w:val="none"/>
                    </w:rPr>
                  </w:pPr>
                </w:p>
              </w:tc>
              <w:tc>
                <w:tcPr>
                  <w:tcW w:w="1241" w:type="pct"/>
                  <w:vMerge w:val="continue"/>
                  <w:tcBorders>
                    <w:tl2br w:val="nil"/>
                    <w:tr2bl w:val="nil"/>
                  </w:tcBorders>
                  <w:noWrap w:val="0"/>
                  <w:vAlign w:val="center"/>
                </w:tcPr>
                <w:p w14:paraId="09FBE9EA">
                  <w:pPr>
                    <w:pStyle w:val="40"/>
                    <w:bidi w:val="0"/>
                    <w:rPr>
                      <w:color w:val="auto"/>
                      <w:highlight w:val="none"/>
                    </w:rPr>
                  </w:pPr>
                </w:p>
              </w:tc>
              <w:tc>
                <w:tcPr>
                  <w:tcW w:w="1020" w:type="pct"/>
                  <w:tcBorders>
                    <w:tl2br w:val="nil"/>
                    <w:tr2bl w:val="nil"/>
                  </w:tcBorders>
                  <w:noWrap w:val="0"/>
                  <w:vAlign w:val="center"/>
                </w:tcPr>
                <w:p w14:paraId="476E049D">
                  <w:pPr>
                    <w:pStyle w:val="40"/>
                    <w:bidi w:val="0"/>
                    <w:rPr>
                      <w:color w:val="auto"/>
                      <w:highlight w:val="none"/>
                    </w:rPr>
                  </w:pPr>
                  <w:r>
                    <w:rPr>
                      <w:color w:val="auto"/>
                      <w:highlight w:val="none"/>
                    </w:rPr>
                    <w:t>昼间</w:t>
                  </w:r>
                </w:p>
              </w:tc>
              <w:tc>
                <w:tcPr>
                  <w:tcW w:w="1021" w:type="pct"/>
                  <w:tcBorders>
                    <w:tl2br w:val="nil"/>
                    <w:tr2bl w:val="nil"/>
                  </w:tcBorders>
                  <w:noWrap w:val="0"/>
                  <w:vAlign w:val="center"/>
                </w:tcPr>
                <w:p w14:paraId="6AD7EF3A">
                  <w:pPr>
                    <w:pStyle w:val="40"/>
                    <w:bidi w:val="0"/>
                    <w:rPr>
                      <w:color w:val="auto"/>
                      <w:highlight w:val="none"/>
                    </w:rPr>
                  </w:pPr>
                  <w:r>
                    <w:rPr>
                      <w:color w:val="auto"/>
                      <w:highlight w:val="none"/>
                    </w:rPr>
                    <w:t>夜间</w:t>
                  </w:r>
                </w:p>
              </w:tc>
            </w:tr>
            <w:tr w14:paraId="587EE2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76" w:type="pct"/>
                  <w:tcBorders>
                    <w:tl2br w:val="nil"/>
                    <w:tr2bl w:val="nil"/>
                  </w:tcBorders>
                  <w:noWrap w:val="0"/>
                  <w:vAlign w:val="center"/>
                </w:tcPr>
                <w:p w14:paraId="4B62DF22">
                  <w:pPr>
                    <w:pStyle w:val="40"/>
                    <w:bidi w:val="0"/>
                    <w:rPr>
                      <w:color w:val="auto"/>
                      <w:highlight w:val="none"/>
                    </w:rPr>
                  </w:pPr>
                  <w:r>
                    <w:rPr>
                      <w:color w:val="auto"/>
                      <w:highlight w:val="none"/>
                    </w:rPr>
                    <w:t>1</w:t>
                  </w:r>
                </w:p>
              </w:tc>
              <w:tc>
                <w:tcPr>
                  <w:tcW w:w="1241" w:type="pct"/>
                  <w:tcBorders>
                    <w:tl2br w:val="nil"/>
                    <w:tr2bl w:val="nil"/>
                  </w:tcBorders>
                  <w:noWrap w:val="0"/>
                  <w:vAlign w:val="center"/>
                </w:tcPr>
                <w:p w14:paraId="2B27A72C">
                  <w:pPr>
                    <w:pStyle w:val="40"/>
                    <w:bidi w:val="0"/>
                    <w:rPr>
                      <w:rFonts w:hint="eastAsia" w:eastAsia="宋体"/>
                      <w:color w:val="auto"/>
                      <w:highlight w:val="none"/>
                      <w:lang w:val="en-US" w:eastAsia="zh-CN"/>
                    </w:rPr>
                  </w:pPr>
                  <w:r>
                    <w:rPr>
                      <w:color w:val="auto"/>
                      <w:highlight w:val="none"/>
                    </w:rPr>
                    <w:t>东</w:t>
                  </w:r>
                  <w:r>
                    <w:rPr>
                      <w:rFonts w:hint="eastAsia"/>
                      <w:color w:val="auto"/>
                      <w:highlight w:val="none"/>
                      <w:lang w:val="en-US" w:eastAsia="zh-CN"/>
                    </w:rPr>
                    <w:t>厂界</w:t>
                  </w:r>
                </w:p>
              </w:tc>
              <w:tc>
                <w:tcPr>
                  <w:tcW w:w="1241" w:type="pct"/>
                  <w:tcBorders>
                    <w:tl2br w:val="nil"/>
                    <w:tr2bl w:val="nil"/>
                  </w:tcBorders>
                  <w:noWrap w:val="0"/>
                  <w:vAlign w:val="center"/>
                </w:tcPr>
                <w:p w14:paraId="10DC73B3">
                  <w:pPr>
                    <w:pStyle w:val="40"/>
                    <w:bidi w:val="0"/>
                    <w:rPr>
                      <w:rFonts w:hint="default"/>
                      <w:color w:val="auto"/>
                      <w:highlight w:val="none"/>
                      <w:lang w:val="en-US" w:eastAsia="zh-CN"/>
                    </w:rPr>
                  </w:pPr>
                  <w:r>
                    <w:rPr>
                      <w:rFonts w:hint="eastAsia"/>
                      <w:color w:val="auto"/>
                      <w:highlight w:val="none"/>
                      <w:lang w:val="en-US" w:eastAsia="zh-CN"/>
                    </w:rPr>
                    <w:t>38.2</w:t>
                  </w:r>
                </w:p>
              </w:tc>
              <w:tc>
                <w:tcPr>
                  <w:tcW w:w="1020" w:type="pct"/>
                  <w:vMerge w:val="restart"/>
                  <w:tcBorders>
                    <w:tl2br w:val="nil"/>
                    <w:tr2bl w:val="nil"/>
                  </w:tcBorders>
                  <w:noWrap w:val="0"/>
                  <w:vAlign w:val="center"/>
                </w:tcPr>
                <w:p w14:paraId="04297CF1">
                  <w:pPr>
                    <w:pStyle w:val="40"/>
                    <w:bidi w:val="0"/>
                    <w:rPr>
                      <w:rFonts w:hint="eastAsia"/>
                      <w:color w:val="auto"/>
                      <w:highlight w:val="none"/>
                      <w:lang w:val="en-US" w:eastAsia="zh-CN"/>
                    </w:rPr>
                  </w:pPr>
                  <w:r>
                    <w:rPr>
                      <w:rFonts w:hint="eastAsia"/>
                      <w:color w:val="auto"/>
                      <w:highlight w:val="none"/>
                      <w:lang w:val="en-US" w:eastAsia="zh-CN"/>
                    </w:rPr>
                    <w:t>65</w:t>
                  </w:r>
                </w:p>
              </w:tc>
              <w:tc>
                <w:tcPr>
                  <w:tcW w:w="1021" w:type="pct"/>
                  <w:vMerge w:val="restart"/>
                  <w:tcBorders>
                    <w:tl2br w:val="nil"/>
                    <w:tr2bl w:val="nil"/>
                  </w:tcBorders>
                  <w:noWrap w:val="0"/>
                  <w:vAlign w:val="center"/>
                </w:tcPr>
                <w:p w14:paraId="5CA042F9">
                  <w:pPr>
                    <w:pStyle w:val="40"/>
                    <w:bidi w:val="0"/>
                    <w:rPr>
                      <w:rFonts w:hint="eastAsia"/>
                      <w:color w:val="auto"/>
                      <w:highlight w:val="none"/>
                      <w:lang w:val="en-US" w:eastAsia="zh-CN"/>
                    </w:rPr>
                  </w:pPr>
                  <w:r>
                    <w:rPr>
                      <w:color w:val="auto"/>
                      <w:highlight w:val="none"/>
                    </w:rPr>
                    <w:t>5</w:t>
                  </w:r>
                  <w:r>
                    <w:rPr>
                      <w:rFonts w:hint="eastAsia"/>
                      <w:color w:val="auto"/>
                      <w:highlight w:val="none"/>
                      <w:lang w:val="en-US" w:eastAsia="zh-CN"/>
                    </w:rPr>
                    <w:t>5</w:t>
                  </w:r>
                </w:p>
              </w:tc>
            </w:tr>
            <w:tr w14:paraId="0E8666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76" w:type="pct"/>
                  <w:tcBorders>
                    <w:tl2br w:val="nil"/>
                    <w:tr2bl w:val="nil"/>
                  </w:tcBorders>
                  <w:noWrap w:val="0"/>
                  <w:vAlign w:val="center"/>
                </w:tcPr>
                <w:p w14:paraId="2CE3F9B0">
                  <w:pPr>
                    <w:pStyle w:val="40"/>
                    <w:bidi w:val="0"/>
                    <w:rPr>
                      <w:color w:val="auto"/>
                      <w:highlight w:val="none"/>
                    </w:rPr>
                  </w:pPr>
                  <w:r>
                    <w:rPr>
                      <w:color w:val="auto"/>
                      <w:highlight w:val="none"/>
                    </w:rPr>
                    <w:t>2</w:t>
                  </w:r>
                </w:p>
              </w:tc>
              <w:tc>
                <w:tcPr>
                  <w:tcW w:w="1241" w:type="pct"/>
                  <w:tcBorders>
                    <w:tl2br w:val="nil"/>
                    <w:tr2bl w:val="nil"/>
                  </w:tcBorders>
                  <w:noWrap w:val="0"/>
                  <w:vAlign w:val="center"/>
                </w:tcPr>
                <w:p w14:paraId="726447CB">
                  <w:pPr>
                    <w:pStyle w:val="40"/>
                    <w:bidi w:val="0"/>
                    <w:rPr>
                      <w:color w:val="auto"/>
                      <w:highlight w:val="none"/>
                    </w:rPr>
                  </w:pPr>
                  <w:r>
                    <w:rPr>
                      <w:rFonts w:hint="eastAsia"/>
                      <w:color w:val="auto"/>
                      <w:highlight w:val="none"/>
                    </w:rPr>
                    <w:t>南</w:t>
                  </w:r>
                  <w:r>
                    <w:rPr>
                      <w:rFonts w:hint="eastAsia"/>
                      <w:color w:val="auto"/>
                      <w:highlight w:val="none"/>
                      <w:lang w:val="en-US" w:eastAsia="zh-CN"/>
                    </w:rPr>
                    <w:t>厂界</w:t>
                  </w:r>
                </w:p>
              </w:tc>
              <w:tc>
                <w:tcPr>
                  <w:tcW w:w="1241" w:type="pct"/>
                  <w:tcBorders>
                    <w:tl2br w:val="nil"/>
                    <w:tr2bl w:val="nil"/>
                  </w:tcBorders>
                  <w:noWrap w:val="0"/>
                  <w:vAlign w:val="center"/>
                </w:tcPr>
                <w:p w14:paraId="6562C0B4">
                  <w:pPr>
                    <w:pStyle w:val="40"/>
                    <w:bidi w:val="0"/>
                    <w:rPr>
                      <w:rFonts w:hint="default"/>
                      <w:color w:val="auto"/>
                      <w:highlight w:val="none"/>
                      <w:lang w:val="en-US" w:eastAsia="zh-CN"/>
                    </w:rPr>
                  </w:pPr>
                  <w:r>
                    <w:rPr>
                      <w:rFonts w:hint="eastAsia"/>
                      <w:color w:val="auto"/>
                      <w:highlight w:val="none"/>
                      <w:lang w:val="en-US" w:eastAsia="zh-CN"/>
                    </w:rPr>
                    <w:t>35.9</w:t>
                  </w:r>
                </w:p>
              </w:tc>
              <w:tc>
                <w:tcPr>
                  <w:tcW w:w="1020" w:type="pct"/>
                  <w:vMerge w:val="continue"/>
                  <w:tcBorders>
                    <w:tl2br w:val="nil"/>
                    <w:tr2bl w:val="nil"/>
                  </w:tcBorders>
                  <w:noWrap w:val="0"/>
                  <w:vAlign w:val="center"/>
                </w:tcPr>
                <w:p w14:paraId="3E1FBB72">
                  <w:pPr>
                    <w:pStyle w:val="40"/>
                    <w:bidi w:val="0"/>
                    <w:ind w:firstLine="0" w:firstLineChars="0"/>
                    <w:rPr>
                      <w:rFonts w:hint="default"/>
                      <w:color w:val="auto"/>
                      <w:highlight w:val="none"/>
                      <w:lang w:val="en-US" w:eastAsia="zh-CN"/>
                    </w:rPr>
                  </w:pPr>
                </w:p>
              </w:tc>
              <w:tc>
                <w:tcPr>
                  <w:tcW w:w="1021" w:type="pct"/>
                  <w:vMerge w:val="continue"/>
                  <w:tcBorders>
                    <w:tl2br w:val="nil"/>
                    <w:tr2bl w:val="nil"/>
                  </w:tcBorders>
                  <w:noWrap w:val="0"/>
                  <w:vAlign w:val="center"/>
                </w:tcPr>
                <w:p w14:paraId="09C13616">
                  <w:pPr>
                    <w:pStyle w:val="40"/>
                    <w:bidi w:val="0"/>
                    <w:ind w:firstLine="0" w:firstLineChars="0"/>
                    <w:rPr>
                      <w:rFonts w:hint="default"/>
                      <w:color w:val="auto"/>
                      <w:highlight w:val="none"/>
                      <w:lang w:val="en-US" w:eastAsia="zh-CN"/>
                    </w:rPr>
                  </w:pPr>
                </w:p>
              </w:tc>
            </w:tr>
            <w:tr w14:paraId="0A68B7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76" w:type="pct"/>
                  <w:tcBorders>
                    <w:tl2br w:val="nil"/>
                    <w:tr2bl w:val="nil"/>
                  </w:tcBorders>
                  <w:noWrap w:val="0"/>
                  <w:vAlign w:val="center"/>
                </w:tcPr>
                <w:p w14:paraId="67C3D397">
                  <w:pPr>
                    <w:pStyle w:val="40"/>
                    <w:bidi w:val="0"/>
                    <w:rPr>
                      <w:color w:val="auto"/>
                      <w:highlight w:val="none"/>
                    </w:rPr>
                  </w:pPr>
                  <w:r>
                    <w:rPr>
                      <w:color w:val="auto"/>
                      <w:highlight w:val="none"/>
                    </w:rPr>
                    <w:t>3</w:t>
                  </w:r>
                </w:p>
              </w:tc>
              <w:tc>
                <w:tcPr>
                  <w:tcW w:w="1241" w:type="pct"/>
                  <w:tcBorders>
                    <w:tl2br w:val="nil"/>
                    <w:tr2bl w:val="nil"/>
                  </w:tcBorders>
                  <w:noWrap w:val="0"/>
                  <w:vAlign w:val="center"/>
                </w:tcPr>
                <w:p w14:paraId="42FAAF4E">
                  <w:pPr>
                    <w:pStyle w:val="40"/>
                    <w:bidi w:val="0"/>
                    <w:rPr>
                      <w:color w:val="auto"/>
                      <w:highlight w:val="none"/>
                    </w:rPr>
                  </w:pPr>
                  <w:r>
                    <w:rPr>
                      <w:rFonts w:hint="eastAsia"/>
                      <w:color w:val="auto"/>
                      <w:highlight w:val="none"/>
                    </w:rPr>
                    <w:t>西</w:t>
                  </w:r>
                  <w:r>
                    <w:rPr>
                      <w:rFonts w:hint="eastAsia"/>
                      <w:color w:val="auto"/>
                      <w:highlight w:val="none"/>
                      <w:lang w:val="en-US" w:eastAsia="zh-CN"/>
                    </w:rPr>
                    <w:t>厂界</w:t>
                  </w:r>
                </w:p>
              </w:tc>
              <w:tc>
                <w:tcPr>
                  <w:tcW w:w="1241" w:type="pct"/>
                  <w:tcBorders>
                    <w:tl2br w:val="nil"/>
                    <w:tr2bl w:val="nil"/>
                  </w:tcBorders>
                  <w:noWrap w:val="0"/>
                  <w:vAlign w:val="center"/>
                </w:tcPr>
                <w:p w14:paraId="2184E753">
                  <w:pPr>
                    <w:pStyle w:val="40"/>
                    <w:bidi w:val="0"/>
                    <w:rPr>
                      <w:rFonts w:hint="default"/>
                      <w:color w:val="auto"/>
                      <w:highlight w:val="none"/>
                      <w:lang w:val="en-US" w:eastAsia="zh-CN"/>
                    </w:rPr>
                  </w:pPr>
                  <w:r>
                    <w:rPr>
                      <w:rFonts w:hint="eastAsia"/>
                      <w:color w:val="auto"/>
                      <w:highlight w:val="none"/>
                      <w:lang w:val="en-US" w:eastAsia="zh-CN"/>
                    </w:rPr>
                    <w:t>32.4</w:t>
                  </w:r>
                </w:p>
              </w:tc>
              <w:tc>
                <w:tcPr>
                  <w:tcW w:w="1020" w:type="pct"/>
                  <w:vMerge w:val="continue"/>
                  <w:tcBorders>
                    <w:tl2br w:val="nil"/>
                    <w:tr2bl w:val="nil"/>
                  </w:tcBorders>
                  <w:noWrap w:val="0"/>
                  <w:vAlign w:val="center"/>
                </w:tcPr>
                <w:p w14:paraId="6D44547F">
                  <w:pPr>
                    <w:pStyle w:val="40"/>
                    <w:bidi w:val="0"/>
                    <w:rPr>
                      <w:rFonts w:hint="default"/>
                      <w:color w:val="auto"/>
                      <w:highlight w:val="none"/>
                      <w:lang w:val="en-US" w:eastAsia="zh-CN"/>
                    </w:rPr>
                  </w:pPr>
                </w:p>
              </w:tc>
              <w:tc>
                <w:tcPr>
                  <w:tcW w:w="1021" w:type="pct"/>
                  <w:vMerge w:val="continue"/>
                  <w:tcBorders>
                    <w:tl2br w:val="nil"/>
                    <w:tr2bl w:val="nil"/>
                  </w:tcBorders>
                  <w:noWrap w:val="0"/>
                  <w:vAlign w:val="center"/>
                </w:tcPr>
                <w:p w14:paraId="159A910A">
                  <w:pPr>
                    <w:pStyle w:val="40"/>
                    <w:bidi w:val="0"/>
                    <w:rPr>
                      <w:rFonts w:hint="default"/>
                      <w:color w:val="auto"/>
                      <w:highlight w:val="none"/>
                      <w:lang w:val="en-US" w:eastAsia="zh-CN"/>
                    </w:rPr>
                  </w:pPr>
                </w:p>
              </w:tc>
            </w:tr>
            <w:tr w14:paraId="1589E6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76" w:type="pct"/>
                  <w:tcBorders>
                    <w:tl2br w:val="nil"/>
                    <w:tr2bl w:val="nil"/>
                  </w:tcBorders>
                  <w:noWrap w:val="0"/>
                  <w:vAlign w:val="center"/>
                </w:tcPr>
                <w:p w14:paraId="1CE01975">
                  <w:pPr>
                    <w:pStyle w:val="40"/>
                    <w:bidi w:val="0"/>
                    <w:rPr>
                      <w:rFonts w:hint="eastAsia" w:eastAsia="宋体"/>
                      <w:color w:val="auto"/>
                      <w:highlight w:val="none"/>
                      <w:lang w:val="en-US" w:eastAsia="zh-CN"/>
                    </w:rPr>
                  </w:pPr>
                  <w:r>
                    <w:rPr>
                      <w:rFonts w:hint="eastAsia"/>
                      <w:color w:val="auto"/>
                      <w:highlight w:val="none"/>
                      <w:lang w:val="en-US" w:eastAsia="zh-CN"/>
                    </w:rPr>
                    <w:t>4</w:t>
                  </w:r>
                </w:p>
              </w:tc>
              <w:tc>
                <w:tcPr>
                  <w:tcW w:w="1241" w:type="pct"/>
                  <w:tcBorders>
                    <w:tl2br w:val="nil"/>
                    <w:tr2bl w:val="nil"/>
                  </w:tcBorders>
                  <w:noWrap w:val="0"/>
                  <w:vAlign w:val="center"/>
                </w:tcPr>
                <w:p w14:paraId="295975E5">
                  <w:pPr>
                    <w:pStyle w:val="40"/>
                    <w:bidi w:val="0"/>
                    <w:rPr>
                      <w:rFonts w:hint="default"/>
                      <w:color w:val="auto"/>
                      <w:highlight w:val="none"/>
                      <w:lang w:val="en-US" w:eastAsia="zh-CN"/>
                    </w:rPr>
                  </w:pPr>
                  <w:r>
                    <w:rPr>
                      <w:rFonts w:hint="eastAsia"/>
                      <w:color w:val="auto"/>
                      <w:highlight w:val="none"/>
                      <w:lang w:val="en-US" w:eastAsia="zh-CN"/>
                    </w:rPr>
                    <w:t>北厂界</w:t>
                  </w:r>
                </w:p>
              </w:tc>
              <w:tc>
                <w:tcPr>
                  <w:tcW w:w="1241" w:type="pct"/>
                  <w:tcBorders>
                    <w:tl2br w:val="nil"/>
                    <w:tr2bl w:val="nil"/>
                  </w:tcBorders>
                  <w:noWrap w:val="0"/>
                  <w:vAlign w:val="center"/>
                </w:tcPr>
                <w:p w14:paraId="1293F110">
                  <w:pPr>
                    <w:pStyle w:val="40"/>
                    <w:bidi w:val="0"/>
                    <w:rPr>
                      <w:rFonts w:hint="default"/>
                      <w:color w:val="auto"/>
                      <w:highlight w:val="none"/>
                      <w:lang w:val="en-US" w:eastAsia="zh-CN"/>
                    </w:rPr>
                  </w:pPr>
                  <w:r>
                    <w:rPr>
                      <w:rFonts w:hint="eastAsia"/>
                      <w:color w:val="auto"/>
                      <w:highlight w:val="none"/>
                      <w:lang w:val="en-US" w:eastAsia="zh-CN"/>
                    </w:rPr>
                    <w:t>49.1</w:t>
                  </w:r>
                </w:p>
              </w:tc>
              <w:tc>
                <w:tcPr>
                  <w:tcW w:w="1020" w:type="pct"/>
                  <w:vMerge w:val="continue"/>
                  <w:tcBorders>
                    <w:tl2br w:val="nil"/>
                    <w:tr2bl w:val="nil"/>
                  </w:tcBorders>
                  <w:noWrap w:val="0"/>
                  <w:vAlign w:val="center"/>
                </w:tcPr>
                <w:p w14:paraId="1459510B">
                  <w:pPr>
                    <w:pStyle w:val="40"/>
                    <w:bidi w:val="0"/>
                    <w:ind w:firstLine="0" w:firstLineChars="0"/>
                    <w:rPr>
                      <w:rFonts w:hint="eastAsia"/>
                      <w:color w:val="auto"/>
                      <w:highlight w:val="none"/>
                      <w:lang w:val="en-US" w:eastAsia="zh-CN"/>
                    </w:rPr>
                  </w:pPr>
                </w:p>
              </w:tc>
              <w:tc>
                <w:tcPr>
                  <w:tcW w:w="1021" w:type="pct"/>
                  <w:vMerge w:val="continue"/>
                  <w:tcBorders>
                    <w:tl2br w:val="nil"/>
                    <w:tr2bl w:val="nil"/>
                  </w:tcBorders>
                  <w:noWrap w:val="0"/>
                  <w:vAlign w:val="center"/>
                </w:tcPr>
                <w:p w14:paraId="4E3B5DA8">
                  <w:pPr>
                    <w:pStyle w:val="40"/>
                    <w:bidi w:val="0"/>
                    <w:ind w:firstLine="0" w:firstLineChars="0"/>
                    <w:rPr>
                      <w:rFonts w:hint="eastAsia"/>
                      <w:color w:val="auto"/>
                      <w:highlight w:val="none"/>
                      <w:lang w:val="en-US" w:eastAsia="zh-CN"/>
                    </w:rPr>
                  </w:pPr>
                </w:p>
              </w:tc>
            </w:tr>
          </w:tbl>
          <w:p w14:paraId="0AC673FC">
            <w:pPr>
              <w:keepNext w:val="0"/>
              <w:keepLines w:val="0"/>
              <w:pageBreakBefore w:val="0"/>
              <w:widowControl w:val="0"/>
              <w:kinsoku/>
              <w:wordWrap/>
              <w:overflowPunct/>
              <w:topLinePunct w:val="0"/>
              <w:autoSpaceDE/>
              <w:autoSpaceDN/>
              <w:bidi w:val="0"/>
              <w:adjustRightInd/>
              <w:snapToGrid/>
              <w:spacing w:before="157" w:beforeLines="50"/>
              <w:textAlignment w:val="auto"/>
              <w:rPr>
                <w:color w:val="auto"/>
                <w:highlight w:val="none"/>
              </w:rPr>
            </w:pPr>
            <w:r>
              <w:rPr>
                <w:rFonts w:hint="eastAsia"/>
                <w:color w:val="auto"/>
                <w:highlight w:val="none"/>
              </w:rPr>
              <w:t>预测结果表明，本</w:t>
            </w:r>
            <w:r>
              <w:rPr>
                <w:rFonts w:hint="eastAsia"/>
                <w:color w:val="auto"/>
                <w:highlight w:val="none"/>
                <w:lang w:val="en-US" w:eastAsia="zh-CN"/>
              </w:rPr>
              <w:t>项目</w:t>
            </w:r>
            <w:r>
              <w:rPr>
                <w:rFonts w:hint="eastAsia"/>
                <w:color w:val="auto"/>
                <w:highlight w:val="none"/>
              </w:rPr>
              <w:t>建设完成后，项目厂界噪声</w:t>
            </w:r>
            <w:r>
              <w:rPr>
                <w:rFonts w:hint="eastAsia"/>
                <w:color w:val="auto"/>
                <w:highlight w:val="none"/>
                <w:lang w:val="en-US" w:eastAsia="zh-CN"/>
              </w:rPr>
              <w:t>贡献值</w:t>
            </w:r>
            <w:r>
              <w:rPr>
                <w:color w:val="auto"/>
                <w:highlight w:val="none"/>
              </w:rPr>
              <w:t>满足《工业企业厂界环境噪声排放标准》（GB</w:t>
            </w:r>
            <w:r>
              <w:rPr>
                <w:rFonts w:hint="eastAsia"/>
                <w:color w:val="auto"/>
                <w:highlight w:val="none"/>
                <w:lang w:val="en-US" w:eastAsia="zh-CN"/>
              </w:rPr>
              <w:t xml:space="preserve"> </w:t>
            </w:r>
            <w:r>
              <w:rPr>
                <w:color w:val="auto"/>
                <w:highlight w:val="none"/>
              </w:rPr>
              <w:t>12348-2008）中</w:t>
            </w:r>
            <w:r>
              <w:rPr>
                <w:rFonts w:hint="eastAsia"/>
                <w:color w:val="auto"/>
                <w:highlight w:val="none"/>
                <w:lang w:val="en-US" w:eastAsia="zh-CN"/>
              </w:rPr>
              <w:t>3</w:t>
            </w:r>
            <w:r>
              <w:rPr>
                <w:color w:val="auto"/>
                <w:highlight w:val="none"/>
              </w:rPr>
              <w:t>类标准</w:t>
            </w:r>
            <w:r>
              <w:rPr>
                <w:rFonts w:hint="eastAsia"/>
                <w:color w:val="auto"/>
                <w:highlight w:val="none"/>
              </w:rPr>
              <w:t>，因此，本项目</w:t>
            </w:r>
            <w:r>
              <w:rPr>
                <w:color w:val="auto"/>
                <w:highlight w:val="none"/>
              </w:rPr>
              <w:t>对周边声环境</w:t>
            </w:r>
            <w:r>
              <w:rPr>
                <w:rFonts w:hint="eastAsia"/>
                <w:color w:val="auto"/>
                <w:highlight w:val="none"/>
                <w:lang w:val="en-US" w:eastAsia="zh-CN"/>
              </w:rPr>
              <w:t>影响较小</w:t>
            </w:r>
            <w:r>
              <w:rPr>
                <w:color w:val="auto"/>
                <w:highlight w:val="none"/>
              </w:rPr>
              <w:t>。</w:t>
            </w:r>
          </w:p>
          <w:p w14:paraId="60E60875">
            <w:pPr>
              <w:pStyle w:val="41"/>
              <w:bidi w:val="0"/>
              <w:rPr>
                <w:rFonts w:hint="default"/>
                <w:color w:val="auto"/>
                <w:highlight w:val="none"/>
                <w:lang w:val="en-US" w:eastAsia="zh-CN"/>
              </w:rPr>
            </w:pPr>
            <w:r>
              <w:rPr>
                <w:rFonts w:hint="eastAsia"/>
                <w:color w:val="auto"/>
                <w:highlight w:val="none"/>
                <w:lang w:val="en-US" w:eastAsia="zh-CN"/>
              </w:rPr>
              <w:t>（4）监测要求</w:t>
            </w:r>
          </w:p>
          <w:p w14:paraId="384075CC">
            <w:pPr>
              <w:bidi w:val="0"/>
              <w:rPr>
                <w:color w:val="auto"/>
                <w:highlight w:val="none"/>
              </w:rPr>
            </w:pPr>
            <w:r>
              <w:rPr>
                <w:rFonts w:hint="eastAsia"/>
                <w:color w:val="auto"/>
                <w:highlight w:val="none"/>
                <w:lang w:val="en-US" w:eastAsia="zh-CN"/>
              </w:rPr>
              <w:t>参照</w:t>
            </w:r>
            <w:r>
              <w:rPr>
                <w:color w:val="auto"/>
                <w:highlight w:val="none"/>
              </w:rPr>
              <w:t>《排污单位自行监测技术指南 总则》</w:t>
            </w:r>
            <w:r>
              <w:rPr>
                <w:rFonts w:hint="eastAsia"/>
                <w:color w:val="auto"/>
                <w:highlight w:val="none"/>
              </w:rPr>
              <w:t>（HJ</w:t>
            </w:r>
            <w:r>
              <w:rPr>
                <w:rFonts w:hint="eastAsia"/>
                <w:color w:val="auto"/>
                <w:highlight w:val="none"/>
                <w:lang w:val="en-US" w:eastAsia="zh-CN"/>
              </w:rPr>
              <w:t xml:space="preserve"> </w:t>
            </w:r>
            <w:r>
              <w:rPr>
                <w:rFonts w:hint="eastAsia"/>
                <w:color w:val="auto"/>
                <w:highlight w:val="none"/>
              </w:rPr>
              <w:t>819-2017），按照</w:t>
            </w:r>
            <w:r>
              <w:rPr>
                <w:rFonts w:hint="eastAsia"/>
                <w:color w:val="auto"/>
                <w:highlight w:val="none"/>
              </w:rPr>
              <w:fldChar w:fldCharType="begin"/>
            </w:r>
            <w:r>
              <w:rPr>
                <w:rFonts w:hint="eastAsia"/>
                <w:color w:val="auto"/>
                <w:highlight w:val="none"/>
              </w:rPr>
              <w:instrText xml:space="preserve"> REF _Ref30217 \h </w:instrText>
            </w:r>
            <w:r>
              <w:rPr>
                <w:rFonts w:hint="eastAsia"/>
                <w:color w:val="auto"/>
                <w:highlight w:val="none"/>
              </w:rPr>
              <w:fldChar w:fldCharType="separate"/>
            </w:r>
            <w:r>
              <w:rPr>
                <w:color w:val="auto"/>
                <w:highlight w:val="none"/>
              </w:rPr>
              <w:t>表4-12</w:t>
            </w:r>
            <w:r>
              <w:rPr>
                <w:rFonts w:hint="eastAsia"/>
                <w:color w:val="auto"/>
                <w:highlight w:val="none"/>
              </w:rPr>
              <w:fldChar w:fldCharType="end"/>
            </w:r>
            <w:r>
              <w:rPr>
                <w:rFonts w:hint="eastAsia"/>
                <w:color w:val="auto"/>
                <w:highlight w:val="none"/>
              </w:rPr>
              <w:t>进行</w:t>
            </w:r>
            <w:r>
              <w:rPr>
                <w:color w:val="auto"/>
                <w:highlight w:val="none"/>
              </w:rPr>
              <w:t>噪声监测。</w:t>
            </w:r>
          </w:p>
          <w:p w14:paraId="2066AD74">
            <w:pPr>
              <w:pStyle w:val="7"/>
              <w:rPr>
                <w:rFonts w:hint="eastAsia"/>
                <w:color w:val="auto"/>
                <w:highlight w:val="none"/>
                <w:lang w:val="en-US" w:eastAsia="zh-CN"/>
              </w:rPr>
            </w:pPr>
            <w:bookmarkStart w:id="68" w:name="_Ref30217"/>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12</w:t>
            </w:r>
            <w:r>
              <w:rPr>
                <w:color w:val="auto"/>
                <w:highlight w:val="none"/>
              </w:rPr>
              <w:fldChar w:fldCharType="end"/>
            </w:r>
            <w:bookmarkEnd w:id="68"/>
            <w:r>
              <w:rPr>
                <w:rFonts w:hint="eastAsia"/>
                <w:color w:val="auto"/>
                <w:highlight w:val="none"/>
                <w:lang w:val="en-US" w:eastAsia="zh-CN"/>
              </w:rPr>
              <w:t xml:space="preserve">  </w:t>
            </w:r>
            <w:r>
              <w:rPr>
                <w:color w:val="auto"/>
                <w:highlight w:val="none"/>
              </w:rPr>
              <w:t>噪声监测计划表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94"/>
              <w:gridCol w:w="1092"/>
              <w:gridCol w:w="1472"/>
              <w:gridCol w:w="1322"/>
              <w:gridCol w:w="1092"/>
              <w:gridCol w:w="2239"/>
            </w:tblGrid>
            <w:tr w14:paraId="13E587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551" w:type="pct"/>
                  <w:tcBorders>
                    <w:tl2br w:val="nil"/>
                    <w:tr2bl w:val="nil"/>
                  </w:tcBorders>
                  <w:noWrap w:val="0"/>
                  <w:vAlign w:val="center"/>
                </w:tcPr>
                <w:p w14:paraId="5FDE859D">
                  <w:pPr>
                    <w:pStyle w:val="40"/>
                    <w:bidi w:val="0"/>
                    <w:rPr>
                      <w:color w:val="auto"/>
                      <w:highlight w:val="none"/>
                    </w:rPr>
                  </w:pPr>
                  <w:r>
                    <w:rPr>
                      <w:color w:val="auto"/>
                      <w:highlight w:val="none"/>
                    </w:rPr>
                    <w:t>监测期</w:t>
                  </w:r>
                </w:p>
              </w:tc>
              <w:tc>
                <w:tcPr>
                  <w:tcW w:w="673" w:type="pct"/>
                  <w:tcBorders>
                    <w:tl2br w:val="nil"/>
                    <w:tr2bl w:val="nil"/>
                  </w:tcBorders>
                  <w:noWrap w:val="0"/>
                  <w:vAlign w:val="center"/>
                </w:tcPr>
                <w:p w14:paraId="40EC92A6">
                  <w:pPr>
                    <w:pStyle w:val="40"/>
                    <w:bidi w:val="0"/>
                    <w:rPr>
                      <w:color w:val="auto"/>
                      <w:highlight w:val="none"/>
                    </w:rPr>
                  </w:pPr>
                  <w:r>
                    <w:rPr>
                      <w:color w:val="auto"/>
                      <w:highlight w:val="none"/>
                    </w:rPr>
                    <w:t>监测对象</w:t>
                  </w:r>
                </w:p>
              </w:tc>
              <w:tc>
                <w:tcPr>
                  <w:tcW w:w="907" w:type="pct"/>
                  <w:tcBorders>
                    <w:tl2br w:val="nil"/>
                    <w:tr2bl w:val="nil"/>
                  </w:tcBorders>
                  <w:noWrap w:val="0"/>
                  <w:vAlign w:val="center"/>
                </w:tcPr>
                <w:p w14:paraId="694FFE56">
                  <w:pPr>
                    <w:pStyle w:val="40"/>
                    <w:bidi w:val="0"/>
                    <w:rPr>
                      <w:color w:val="auto"/>
                      <w:highlight w:val="none"/>
                    </w:rPr>
                  </w:pPr>
                  <w:r>
                    <w:rPr>
                      <w:color w:val="auto"/>
                      <w:highlight w:val="none"/>
                    </w:rPr>
                    <w:t>监测点位</w:t>
                  </w:r>
                </w:p>
              </w:tc>
              <w:tc>
                <w:tcPr>
                  <w:tcW w:w="815" w:type="pct"/>
                  <w:tcBorders>
                    <w:tl2br w:val="nil"/>
                    <w:tr2bl w:val="nil"/>
                  </w:tcBorders>
                  <w:noWrap w:val="0"/>
                  <w:vAlign w:val="center"/>
                </w:tcPr>
                <w:p w14:paraId="371E12CF">
                  <w:pPr>
                    <w:pStyle w:val="40"/>
                    <w:bidi w:val="0"/>
                    <w:rPr>
                      <w:color w:val="auto"/>
                      <w:highlight w:val="none"/>
                    </w:rPr>
                  </w:pPr>
                  <w:r>
                    <w:rPr>
                      <w:color w:val="auto"/>
                      <w:highlight w:val="none"/>
                    </w:rPr>
                    <w:t>监测因子</w:t>
                  </w:r>
                </w:p>
              </w:tc>
              <w:tc>
                <w:tcPr>
                  <w:tcW w:w="673" w:type="pct"/>
                  <w:tcBorders>
                    <w:tl2br w:val="nil"/>
                    <w:tr2bl w:val="nil"/>
                  </w:tcBorders>
                  <w:noWrap w:val="0"/>
                  <w:vAlign w:val="center"/>
                </w:tcPr>
                <w:p w14:paraId="16FC56BE">
                  <w:pPr>
                    <w:pStyle w:val="40"/>
                    <w:bidi w:val="0"/>
                    <w:rPr>
                      <w:color w:val="auto"/>
                      <w:highlight w:val="none"/>
                    </w:rPr>
                  </w:pPr>
                  <w:r>
                    <w:rPr>
                      <w:color w:val="auto"/>
                      <w:highlight w:val="none"/>
                    </w:rPr>
                    <w:t>监测频率</w:t>
                  </w:r>
                </w:p>
              </w:tc>
              <w:tc>
                <w:tcPr>
                  <w:tcW w:w="1380" w:type="pct"/>
                  <w:tcBorders>
                    <w:tl2br w:val="nil"/>
                    <w:tr2bl w:val="nil"/>
                  </w:tcBorders>
                  <w:noWrap w:val="0"/>
                  <w:vAlign w:val="center"/>
                </w:tcPr>
                <w:p w14:paraId="030D29F3">
                  <w:pPr>
                    <w:pStyle w:val="40"/>
                    <w:bidi w:val="0"/>
                    <w:rPr>
                      <w:color w:val="auto"/>
                      <w:highlight w:val="none"/>
                    </w:rPr>
                  </w:pPr>
                  <w:r>
                    <w:rPr>
                      <w:color w:val="auto"/>
                      <w:highlight w:val="none"/>
                    </w:rPr>
                    <w:t>执行标准</w:t>
                  </w:r>
                </w:p>
              </w:tc>
            </w:tr>
            <w:tr w14:paraId="5971CB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7" w:hRule="atLeast"/>
                <w:jc w:val="center"/>
              </w:trPr>
              <w:tc>
                <w:tcPr>
                  <w:tcW w:w="551" w:type="pct"/>
                  <w:tcBorders>
                    <w:tl2br w:val="nil"/>
                    <w:tr2bl w:val="nil"/>
                  </w:tcBorders>
                  <w:noWrap w:val="0"/>
                  <w:vAlign w:val="center"/>
                </w:tcPr>
                <w:p w14:paraId="2A1E5BDB">
                  <w:pPr>
                    <w:pStyle w:val="40"/>
                    <w:bidi w:val="0"/>
                    <w:rPr>
                      <w:rFonts w:hint="eastAsia" w:eastAsia="宋体"/>
                      <w:color w:val="auto"/>
                      <w:highlight w:val="none"/>
                      <w:lang w:eastAsia="zh-CN"/>
                    </w:rPr>
                  </w:pPr>
                  <w:r>
                    <w:rPr>
                      <w:rFonts w:hint="eastAsia"/>
                      <w:color w:val="auto"/>
                      <w:highlight w:val="none"/>
                      <w:lang w:val="en-US" w:eastAsia="zh-CN"/>
                    </w:rPr>
                    <w:t>运营期</w:t>
                  </w:r>
                </w:p>
              </w:tc>
              <w:tc>
                <w:tcPr>
                  <w:tcW w:w="673" w:type="pct"/>
                  <w:tcBorders>
                    <w:tl2br w:val="nil"/>
                    <w:tr2bl w:val="nil"/>
                  </w:tcBorders>
                  <w:noWrap w:val="0"/>
                  <w:vAlign w:val="center"/>
                </w:tcPr>
                <w:p w14:paraId="66C3A2C6">
                  <w:pPr>
                    <w:pStyle w:val="40"/>
                    <w:bidi w:val="0"/>
                    <w:rPr>
                      <w:color w:val="auto"/>
                      <w:highlight w:val="none"/>
                    </w:rPr>
                  </w:pPr>
                  <w:r>
                    <w:rPr>
                      <w:color w:val="auto"/>
                      <w:highlight w:val="none"/>
                    </w:rPr>
                    <w:t>厂界噪声</w:t>
                  </w:r>
                </w:p>
              </w:tc>
              <w:tc>
                <w:tcPr>
                  <w:tcW w:w="907" w:type="pct"/>
                  <w:tcBorders>
                    <w:tl2br w:val="nil"/>
                    <w:tr2bl w:val="nil"/>
                  </w:tcBorders>
                  <w:noWrap w:val="0"/>
                  <w:vAlign w:val="center"/>
                </w:tcPr>
                <w:p w14:paraId="6F20F78E">
                  <w:pPr>
                    <w:pStyle w:val="40"/>
                    <w:bidi w:val="0"/>
                    <w:rPr>
                      <w:color w:val="auto"/>
                      <w:highlight w:val="none"/>
                    </w:rPr>
                  </w:pPr>
                  <w:r>
                    <w:rPr>
                      <w:color w:val="auto"/>
                      <w:highlight w:val="none"/>
                    </w:rPr>
                    <w:t>厂界东、南、西</w:t>
                  </w:r>
                  <w:r>
                    <w:rPr>
                      <w:rFonts w:hint="eastAsia"/>
                      <w:color w:val="auto"/>
                      <w:highlight w:val="none"/>
                      <w:lang w:val="en-US" w:eastAsia="zh-CN"/>
                    </w:rPr>
                    <w:t>、</w:t>
                  </w:r>
                  <w:r>
                    <w:rPr>
                      <w:color w:val="auto"/>
                      <w:highlight w:val="none"/>
                    </w:rPr>
                    <w:t>北侧各设1个监测点</w:t>
                  </w:r>
                </w:p>
              </w:tc>
              <w:tc>
                <w:tcPr>
                  <w:tcW w:w="815" w:type="pct"/>
                  <w:tcBorders>
                    <w:tl2br w:val="nil"/>
                    <w:tr2bl w:val="nil"/>
                  </w:tcBorders>
                  <w:noWrap w:val="0"/>
                  <w:vAlign w:val="center"/>
                </w:tcPr>
                <w:p w14:paraId="277EF735">
                  <w:pPr>
                    <w:pStyle w:val="40"/>
                    <w:bidi w:val="0"/>
                    <w:rPr>
                      <w:color w:val="auto"/>
                      <w:highlight w:val="none"/>
                    </w:rPr>
                  </w:pPr>
                  <w:r>
                    <w:rPr>
                      <w:color w:val="auto"/>
                      <w:highlight w:val="none"/>
                    </w:rPr>
                    <w:t>昼、夜等效连续A声级</w:t>
                  </w:r>
                </w:p>
              </w:tc>
              <w:tc>
                <w:tcPr>
                  <w:tcW w:w="673" w:type="pct"/>
                  <w:tcBorders>
                    <w:tl2br w:val="nil"/>
                    <w:tr2bl w:val="nil"/>
                  </w:tcBorders>
                  <w:noWrap w:val="0"/>
                  <w:vAlign w:val="center"/>
                </w:tcPr>
                <w:p w14:paraId="66ED3571">
                  <w:pPr>
                    <w:pStyle w:val="40"/>
                    <w:bidi w:val="0"/>
                    <w:rPr>
                      <w:color w:val="auto"/>
                      <w:highlight w:val="none"/>
                    </w:rPr>
                  </w:pPr>
                  <w:r>
                    <w:rPr>
                      <w:color w:val="auto"/>
                      <w:highlight w:val="none"/>
                    </w:rPr>
                    <w:t>1次/季度</w:t>
                  </w:r>
                </w:p>
              </w:tc>
              <w:tc>
                <w:tcPr>
                  <w:tcW w:w="1380" w:type="pct"/>
                  <w:tcBorders>
                    <w:tl2br w:val="nil"/>
                    <w:tr2bl w:val="nil"/>
                  </w:tcBorders>
                  <w:noWrap w:val="0"/>
                  <w:vAlign w:val="center"/>
                </w:tcPr>
                <w:p w14:paraId="3290F0DC">
                  <w:pPr>
                    <w:pStyle w:val="40"/>
                    <w:bidi w:val="0"/>
                    <w:rPr>
                      <w:color w:val="auto"/>
                      <w:highlight w:val="none"/>
                    </w:rPr>
                  </w:pPr>
                  <w:r>
                    <w:rPr>
                      <w:color w:val="auto"/>
                      <w:highlight w:val="none"/>
                    </w:rPr>
                    <w:t>《工业企业厂界环境噪声排放标准》（GB</w:t>
                  </w:r>
                  <w:r>
                    <w:rPr>
                      <w:rFonts w:hint="eastAsia"/>
                      <w:color w:val="auto"/>
                      <w:highlight w:val="none"/>
                      <w:lang w:val="en-US" w:eastAsia="zh-CN"/>
                    </w:rPr>
                    <w:t xml:space="preserve"> </w:t>
                  </w:r>
                  <w:r>
                    <w:rPr>
                      <w:color w:val="auto"/>
                      <w:highlight w:val="none"/>
                    </w:rPr>
                    <w:t>12348-2008）</w:t>
                  </w:r>
                  <w:r>
                    <w:rPr>
                      <w:rFonts w:hint="eastAsia"/>
                      <w:color w:val="auto"/>
                      <w:highlight w:val="none"/>
                      <w:lang w:val="en-US" w:eastAsia="zh-CN"/>
                    </w:rPr>
                    <w:t>3</w:t>
                  </w:r>
                  <w:r>
                    <w:rPr>
                      <w:color w:val="auto"/>
                      <w:highlight w:val="none"/>
                    </w:rPr>
                    <w:t>类标准</w:t>
                  </w:r>
                </w:p>
              </w:tc>
            </w:tr>
          </w:tbl>
          <w:p w14:paraId="6C13A82E">
            <w:pPr>
              <w:pStyle w:val="41"/>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color w:val="auto"/>
                <w:highlight w:val="none"/>
              </w:rPr>
            </w:pPr>
            <w:r>
              <w:rPr>
                <w:rFonts w:hint="eastAsia"/>
                <w:color w:val="auto"/>
                <w:highlight w:val="none"/>
                <w:lang w:val="en-US" w:eastAsia="zh-CN"/>
              </w:rPr>
              <w:t>四、</w:t>
            </w:r>
            <w:r>
              <w:rPr>
                <w:rFonts w:hint="eastAsia"/>
                <w:color w:val="auto"/>
                <w:highlight w:val="none"/>
              </w:rPr>
              <w:t>固体废物</w:t>
            </w:r>
          </w:p>
          <w:p w14:paraId="3D515018">
            <w:pPr>
              <w:pStyle w:val="41"/>
              <w:bidi w:val="0"/>
              <w:rPr>
                <w:color w:val="auto"/>
                <w:highlight w:val="none"/>
              </w:rPr>
            </w:pPr>
            <w:r>
              <w:rPr>
                <w:rFonts w:hint="eastAsia"/>
                <w:color w:val="auto"/>
                <w:highlight w:val="none"/>
                <w:lang w:val="en-US" w:eastAsia="zh-CN"/>
              </w:rPr>
              <w:t>1、</w:t>
            </w:r>
            <w:r>
              <w:rPr>
                <w:rFonts w:hint="eastAsia"/>
                <w:color w:val="auto"/>
                <w:highlight w:val="none"/>
              </w:rPr>
              <w:t>固体废物的产生、贮存与处置</w:t>
            </w:r>
          </w:p>
          <w:p w14:paraId="31C9A9ED">
            <w:pPr>
              <w:bidi w:val="0"/>
              <w:rPr>
                <w:rFonts w:hint="eastAsia"/>
                <w:color w:val="auto"/>
                <w:sz w:val="24"/>
                <w:highlight w:val="none"/>
              </w:rPr>
            </w:pPr>
            <w:r>
              <w:rPr>
                <w:rFonts w:hint="eastAsia"/>
                <w:color w:val="auto"/>
                <w:sz w:val="24"/>
                <w:highlight w:val="none"/>
              </w:rPr>
              <w:t>根据《固体废物鉴别标准 通则》（GB</w:t>
            </w:r>
            <w:r>
              <w:rPr>
                <w:rFonts w:hint="eastAsia"/>
                <w:color w:val="auto"/>
                <w:sz w:val="24"/>
                <w:highlight w:val="none"/>
                <w:lang w:val="en-US" w:eastAsia="zh-CN"/>
              </w:rPr>
              <w:t xml:space="preserve"> </w:t>
            </w:r>
            <w:r>
              <w:rPr>
                <w:rFonts w:hint="eastAsia"/>
                <w:color w:val="auto"/>
                <w:sz w:val="24"/>
                <w:highlight w:val="none"/>
              </w:rPr>
              <w:t>34330-2017）中“6.1</w:t>
            </w:r>
            <w:r>
              <w:rPr>
                <w:rFonts w:hint="eastAsia"/>
                <w:color w:val="auto"/>
                <w:sz w:val="24"/>
                <w:highlight w:val="none"/>
                <w:lang w:val="en-US" w:eastAsia="zh-CN"/>
              </w:rPr>
              <w:t xml:space="preserve"> </w:t>
            </w:r>
            <w:r>
              <w:rPr>
                <w:rFonts w:hint="eastAsia"/>
                <w:color w:val="auto"/>
                <w:sz w:val="24"/>
                <w:highlight w:val="none"/>
              </w:rPr>
              <w:t>以下物质不作为固体废物管理：a）任何不需要修复和加工即可用于其原始用途的物质，或者在产生点经过修复和加工后满足国家、地方制定或行业通行的产品质量标准并且用于其原始用途的物质；b）不经过贮存或堆积过程，而在现场直接返回到原生产过程或返回其产生过程的物质”</w:t>
            </w:r>
            <w:r>
              <w:rPr>
                <w:rFonts w:hint="eastAsia"/>
                <w:color w:val="auto"/>
                <w:sz w:val="24"/>
                <w:highlight w:val="none"/>
                <w:lang w:eastAsia="zh-CN"/>
              </w:rPr>
              <w:t>。</w:t>
            </w:r>
            <w:r>
              <w:rPr>
                <w:rFonts w:hint="eastAsia"/>
                <w:color w:val="auto"/>
                <w:sz w:val="24"/>
                <w:highlight w:val="none"/>
                <w:lang w:val="en-US" w:eastAsia="zh-CN"/>
              </w:rPr>
              <w:t>因此，</w:t>
            </w:r>
            <w:r>
              <w:rPr>
                <w:rFonts w:hint="eastAsia"/>
                <w:color w:val="auto"/>
                <w:sz w:val="24"/>
                <w:highlight w:val="none"/>
              </w:rPr>
              <w:t>本项目</w:t>
            </w:r>
            <w:r>
              <w:rPr>
                <w:rFonts w:hint="eastAsia"/>
                <w:color w:val="auto"/>
                <w:sz w:val="24"/>
                <w:highlight w:val="none"/>
                <w:lang w:val="en-US" w:eastAsia="zh-CN"/>
              </w:rPr>
              <w:t>两条生产线产生的</w:t>
            </w:r>
            <w:r>
              <w:rPr>
                <w:rFonts w:hint="eastAsia"/>
                <w:color w:val="auto"/>
                <w:sz w:val="24"/>
                <w:highlight w:val="none"/>
              </w:rPr>
              <w:t>布袋除尘器除尘灰</w:t>
            </w:r>
            <w:r>
              <w:rPr>
                <w:rFonts w:hint="eastAsia"/>
                <w:color w:val="auto"/>
                <w:sz w:val="24"/>
                <w:highlight w:val="none"/>
                <w:lang w:eastAsia="zh-CN"/>
              </w:rPr>
              <w:t>（</w:t>
            </w:r>
            <w:r>
              <w:rPr>
                <w:rFonts w:hint="eastAsia"/>
                <w:color w:val="auto"/>
                <w:sz w:val="24"/>
                <w:highlight w:val="none"/>
                <w:lang w:val="en-US" w:eastAsia="zh-CN"/>
              </w:rPr>
              <w:t>5520.43t/a）</w:t>
            </w:r>
            <w:r>
              <w:rPr>
                <w:rFonts w:hint="eastAsia"/>
                <w:color w:val="auto"/>
                <w:sz w:val="24"/>
                <w:highlight w:val="none"/>
              </w:rPr>
              <w:t>、车间沉降灰</w:t>
            </w:r>
            <w:r>
              <w:rPr>
                <w:rFonts w:hint="eastAsia"/>
                <w:color w:val="auto"/>
                <w:sz w:val="24"/>
                <w:highlight w:val="none"/>
                <w:lang w:eastAsia="zh-CN"/>
              </w:rPr>
              <w:t>（</w:t>
            </w:r>
            <w:r>
              <w:rPr>
                <w:rFonts w:hint="eastAsia"/>
                <w:color w:val="auto"/>
                <w:sz w:val="24"/>
                <w:highlight w:val="none"/>
                <w:lang w:val="en-US" w:eastAsia="zh-CN"/>
              </w:rPr>
              <w:t>119.06t/a）</w:t>
            </w:r>
            <w:r>
              <w:rPr>
                <w:rFonts w:hint="eastAsia"/>
                <w:color w:val="auto"/>
                <w:spacing w:val="-6"/>
                <w:sz w:val="24"/>
                <w:highlight w:val="none"/>
              </w:rPr>
              <w:t>、砂石分离器分离物、沉淀池沉渣</w:t>
            </w:r>
            <w:r>
              <w:rPr>
                <w:rFonts w:hint="eastAsia"/>
                <w:color w:val="auto"/>
                <w:spacing w:val="-6"/>
                <w:sz w:val="24"/>
                <w:highlight w:val="none"/>
                <w:lang w:val="en-US" w:eastAsia="zh-CN"/>
              </w:rPr>
              <w:t>等经收集后全部</w:t>
            </w:r>
            <w:r>
              <w:rPr>
                <w:rFonts w:hint="eastAsia"/>
                <w:color w:val="auto"/>
                <w:spacing w:val="-6"/>
                <w:sz w:val="24"/>
                <w:highlight w:val="none"/>
              </w:rPr>
              <w:t>回用于</w:t>
            </w:r>
            <w:r>
              <w:rPr>
                <w:rFonts w:hint="eastAsia"/>
                <w:color w:val="auto"/>
                <w:spacing w:val="-6"/>
                <w:sz w:val="24"/>
                <w:highlight w:val="none"/>
                <w:lang w:val="en-US" w:eastAsia="zh-CN"/>
              </w:rPr>
              <w:t>相应生产工序</w:t>
            </w:r>
            <w:r>
              <w:rPr>
                <w:rFonts w:hint="eastAsia"/>
                <w:color w:val="auto"/>
                <w:spacing w:val="-6"/>
                <w:sz w:val="24"/>
                <w:highlight w:val="none"/>
              </w:rPr>
              <w:t>，可以不作为固体废物管理。</w:t>
            </w:r>
          </w:p>
          <w:p w14:paraId="13FB5648">
            <w:pPr>
              <w:bidi w:val="0"/>
              <w:rPr>
                <w:rFonts w:hint="eastAsia"/>
                <w:color w:val="auto"/>
                <w:highlight w:val="none"/>
                <w:lang w:val="en-US" w:eastAsia="zh-CN"/>
              </w:rPr>
            </w:pPr>
            <w:r>
              <w:rPr>
                <w:rFonts w:hint="eastAsia"/>
                <w:color w:val="auto"/>
                <w:highlight w:val="none"/>
                <w:lang w:val="en-US" w:eastAsia="zh-CN"/>
              </w:rPr>
              <w:t>灰渣产生量可根据《污染源源强核算技术指南 锅炉》（HJ 991-2018）中燃生物质锅炉的灰渣平衡公式计算：</w:t>
            </w:r>
          </w:p>
          <w:p w14:paraId="48537077">
            <w:pPr>
              <w:bidi w:val="0"/>
              <w:rPr>
                <w:rFonts w:hint="default"/>
                <w:color w:val="auto"/>
                <w:highlight w:val="none"/>
                <w:lang w:val="en-US" w:eastAsia="zh-CN"/>
              </w:rPr>
            </w:pPr>
            <m:oMathPara>
              <m:oMath>
                <m:sSub>
                  <m:sSubPr>
                    <m:ctrlPr>
                      <w:rPr>
                        <w:rFonts w:hint="default" w:ascii="Cambria Math" w:hAnsi="Cambria Math" w:cs="Times New Roman"/>
                        <w:i w:val="0"/>
                        <w:color w:val="auto"/>
                        <w:kern w:val="2"/>
                        <w:sz w:val="24"/>
                        <w:szCs w:val="24"/>
                        <w:highlight w:val="none"/>
                        <w:lang w:val="en-US" w:eastAsia="zh-CN" w:bidi="ar-SA"/>
                      </w:rPr>
                    </m:ctrlPr>
                  </m:sSubPr>
                  <m:e>
                    <m:r>
                      <m:rPr>
                        <m:sty m:val="p"/>
                      </m:rPr>
                      <w:rPr>
                        <w:rFonts w:hint="default" w:ascii="Cambria Math" w:hAnsi="Cambria Math" w:cs="Times New Roman"/>
                        <w:color w:val="auto"/>
                        <w:kern w:val="2"/>
                        <w:sz w:val="24"/>
                        <w:szCs w:val="24"/>
                        <w:highlight w:val="none"/>
                        <w:lang w:val="en-US" w:eastAsia="zh-CN" w:bidi="ar-SA"/>
                      </w:rPr>
                      <m:t>E</m:t>
                    </m:r>
                    <m:ctrlPr>
                      <w:rPr>
                        <w:rFonts w:hint="default" w:ascii="Cambria Math" w:hAnsi="Cambria Math" w:cs="Times New Roman"/>
                        <w:i w:val="0"/>
                        <w:color w:val="auto"/>
                        <w:kern w:val="2"/>
                        <w:sz w:val="24"/>
                        <w:szCs w:val="24"/>
                        <w:highlight w:val="none"/>
                        <w:lang w:val="en-US" w:eastAsia="zh-CN" w:bidi="ar-SA"/>
                      </w:rPr>
                    </m:ctrlPr>
                  </m:e>
                  <m:sub>
                    <m:r>
                      <m:rPr>
                        <m:sty m:val="p"/>
                      </m:rPr>
                      <w:rPr>
                        <w:rFonts w:hint="eastAsia" w:ascii="Cambria Math" w:hAnsi="Cambria Math" w:cs="Times New Roman"/>
                        <w:color w:val="auto"/>
                        <w:kern w:val="2"/>
                        <w:sz w:val="24"/>
                        <w:szCs w:val="24"/>
                        <w:highlight w:val="none"/>
                        <w:lang w:val="en-US" w:eastAsia="zh-CN" w:bidi="ar-SA"/>
                      </w:rPr>
                      <m:t>hz</m:t>
                    </m:r>
                    <m:ctrlPr>
                      <w:rPr>
                        <w:rFonts w:hint="default" w:ascii="Cambria Math" w:hAnsi="Cambria Math" w:cs="Times New Roman"/>
                        <w:i w:val="0"/>
                        <w:color w:val="auto"/>
                        <w:kern w:val="2"/>
                        <w:sz w:val="24"/>
                        <w:szCs w:val="24"/>
                        <w:highlight w:val="none"/>
                        <w:lang w:val="en-US" w:eastAsia="zh-CN" w:bidi="ar-SA"/>
                      </w:rPr>
                    </m:ctrlPr>
                  </m:sub>
                </m:sSub>
                <m:r>
                  <m:rPr>
                    <m:sty m:val="p"/>
                  </m:rPr>
                  <w:rPr>
                    <w:rFonts w:hint="default" w:ascii="Cambria Math" w:hAnsi="Cambria Math" w:cs="Times New Roman"/>
                    <w:color w:val="auto"/>
                    <w:kern w:val="2"/>
                    <w:sz w:val="24"/>
                    <w:szCs w:val="24"/>
                    <w:highlight w:val="none"/>
                    <w:lang w:val="en-US" w:eastAsia="zh-CN" w:bidi="ar-SA"/>
                  </w:rPr>
                  <m:t>=R</m:t>
                </m:r>
                <m:r>
                  <m:rPr>
                    <m:sty m:val="p"/>
                  </m:rPr>
                  <w:rPr>
                    <w:rFonts w:hint="default" w:ascii="Cambria Math" w:hAnsi="Cambria Math" w:cs="Cambria Math"/>
                    <w:color w:val="auto"/>
                    <w:kern w:val="2"/>
                    <w:sz w:val="24"/>
                    <w:szCs w:val="24"/>
                    <w:highlight w:val="none"/>
                    <w:lang w:val="en-US" w:eastAsia="zh-CN" w:bidi="ar-SA"/>
                  </w:rPr>
                  <m:t>×</m:t>
                </m:r>
                <m:d>
                  <m:dPr>
                    <m:ctrlPr>
                      <w:rPr>
                        <w:rFonts w:hint="default" w:ascii="Cambria Math" w:hAnsi="Cambria Math" w:cs="Cambria Math"/>
                        <w:color w:val="auto"/>
                        <w:kern w:val="2"/>
                        <w:sz w:val="24"/>
                        <w:szCs w:val="24"/>
                        <w:highlight w:val="none"/>
                        <w:lang w:val="en-US" w:eastAsia="zh-CN" w:bidi="ar-SA"/>
                      </w:rPr>
                    </m:ctrlPr>
                  </m:dPr>
                  <m:e>
                    <m:f>
                      <m:fPr>
                        <m:ctrlPr>
                          <w:rPr>
                            <w:rFonts w:hint="default" w:ascii="Cambria Math" w:hAnsi="Cambria Math" w:cs="Cambria Math"/>
                            <w:color w:val="auto"/>
                            <w:kern w:val="2"/>
                            <w:sz w:val="24"/>
                            <w:szCs w:val="24"/>
                            <w:highlight w:val="none"/>
                            <w:lang w:val="en-US" w:eastAsia="zh-CN" w:bidi="ar-SA"/>
                          </w:rPr>
                        </m:ctrlPr>
                      </m:fPr>
                      <m:num>
                        <m:sSub>
                          <m:sSubPr>
                            <m:ctrlPr>
                              <w:rPr>
                                <w:rFonts w:hint="default" w:ascii="Cambria Math" w:hAnsi="Cambria Math" w:cs="Cambria Math"/>
                                <w:color w:val="auto"/>
                                <w:kern w:val="2"/>
                                <w:sz w:val="24"/>
                                <w:szCs w:val="24"/>
                                <w:highlight w:val="none"/>
                                <w:lang w:val="en-US" w:eastAsia="zh-CN" w:bidi="ar-SA"/>
                              </w:rPr>
                            </m:ctrlPr>
                          </m:sSubPr>
                          <m:e>
                            <m:r>
                              <m:rPr>
                                <m:sty m:val="p"/>
                              </m:rPr>
                              <w:rPr>
                                <w:rFonts w:hint="default" w:ascii="Cambria Math" w:hAnsi="Cambria Math" w:cs="Cambria Math"/>
                                <w:color w:val="auto"/>
                                <w:kern w:val="2"/>
                                <w:sz w:val="24"/>
                                <w:szCs w:val="24"/>
                                <w:highlight w:val="none"/>
                                <w:lang w:val="en-US" w:eastAsia="zh-CN" w:bidi="ar-SA"/>
                              </w:rPr>
                              <m:t>A</m:t>
                            </m:r>
                            <m:ctrlPr>
                              <w:rPr>
                                <w:rFonts w:hint="default" w:ascii="Cambria Math" w:hAnsi="Cambria Math" w:cs="Cambria Math"/>
                                <w:color w:val="auto"/>
                                <w:kern w:val="2"/>
                                <w:sz w:val="24"/>
                                <w:szCs w:val="24"/>
                                <w:highlight w:val="none"/>
                                <w:lang w:val="en-US" w:eastAsia="zh-CN" w:bidi="ar-SA"/>
                              </w:rPr>
                            </m:ctrlPr>
                          </m:e>
                          <m:sub>
                            <m:r>
                              <m:rPr>
                                <m:sty m:val="p"/>
                              </m:rPr>
                              <w:rPr>
                                <w:rFonts w:hint="eastAsia" w:ascii="Cambria Math" w:hAnsi="Cambria Math" w:cs="Cambria Math"/>
                                <w:color w:val="auto"/>
                                <w:kern w:val="2"/>
                                <w:sz w:val="24"/>
                                <w:szCs w:val="24"/>
                                <w:highlight w:val="none"/>
                                <w:lang w:val="en-US" w:eastAsia="zh-CN" w:bidi="ar-SA"/>
                              </w:rPr>
                              <m:t>ar</m:t>
                            </m:r>
                            <m:ctrlPr>
                              <w:rPr>
                                <w:rFonts w:hint="default" w:ascii="Cambria Math" w:hAnsi="Cambria Math" w:cs="Cambria Math"/>
                                <w:color w:val="auto"/>
                                <w:kern w:val="2"/>
                                <w:sz w:val="24"/>
                                <w:szCs w:val="24"/>
                                <w:highlight w:val="none"/>
                                <w:lang w:val="en-US" w:eastAsia="zh-CN" w:bidi="ar-SA"/>
                              </w:rPr>
                            </m:ctrlPr>
                          </m:sub>
                        </m:sSub>
                        <m:ctrlPr>
                          <w:rPr>
                            <w:rFonts w:hint="default" w:ascii="Cambria Math" w:hAnsi="Cambria Math" w:cs="Cambria Math"/>
                            <w:color w:val="auto"/>
                            <w:kern w:val="2"/>
                            <w:sz w:val="24"/>
                            <w:szCs w:val="24"/>
                            <w:highlight w:val="none"/>
                            <w:lang w:val="en-US" w:eastAsia="zh-CN" w:bidi="ar-SA"/>
                          </w:rPr>
                        </m:ctrlPr>
                      </m:num>
                      <m:den>
                        <m:r>
                          <m:rPr>
                            <m:sty m:val="p"/>
                          </m:rPr>
                          <w:rPr>
                            <w:rFonts w:hint="default" w:ascii="Cambria Math" w:hAnsi="Cambria Math" w:cs="Cambria Math"/>
                            <w:color w:val="auto"/>
                            <w:kern w:val="2"/>
                            <w:sz w:val="24"/>
                            <w:szCs w:val="24"/>
                            <w:highlight w:val="none"/>
                            <w:lang w:val="en-US" w:eastAsia="zh-CN" w:bidi="ar-SA"/>
                          </w:rPr>
                          <m:t>100</m:t>
                        </m:r>
                        <m:ctrlPr>
                          <w:rPr>
                            <w:rFonts w:hint="default" w:ascii="Cambria Math" w:hAnsi="Cambria Math" w:cs="Cambria Math"/>
                            <w:color w:val="auto"/>
                            <w:kern w:val="2"/>
                            <w:sz w:val="24"/>
                            <w:szCs w:val="24"/>
                            <w:highlight w:val="none"/>
                            <w:lang w:val="en-US" w:eastAsia="zh-CN" w:bidi="ar-SA"/>
                          </w:rPr>
                        </m:ctrlPr>
                      </m:den>
                    </m:f>
                    <m:r>
                      <m:rPr>
                        <m:sty m:val="p"/>
                      </m:rPr>
                      <w:rPr>
                        <w:rFonts w:ascii="Cambria Math" w:hAnsi="Cambria Math" w:cs="Cambria Math"/>
                        <w:color w:val="auto"/>
                        <w:kern w:val="2"/>
                        <w:sz w:val="24"/>
                        <w:szCs w:val="24"/>
                        <w:highlight w:val="none"/>
                        <w:lang w:val="en-US" w:bidi="ar-SA"/>
                      </w:rPr>
                      <m:t>+</m:t>
                    </m:r>
                    <m:f>
                      <m:fPr>
                        <m:ctrlPr>
                          <w:rPr>
                            <w:rFonts w:ascii="Cambria Math" w:hAnsi="Cambria Math" w:cs="Cambria Math"/>
                            <w:color w:val="auto"/>
                            <w:kern w:val="2"/>
                            <w:sz w:val="24"/>
                            <w:szCs w:val="24"/>
                            <w:highlight w:val="none"/>
                            <w:lang w:val="en-US" w:bidi="ar-SA"/>
                          </w:rPr>
                        </m:ctrlPr>
                      </m:fPr>
                      <m:num>
                        <m:sSub>
                          <m:sSubPr>
                            <m:ctrlPr>
                              <w:rPr>
                                <w:rFonts w:ascii="Cambria Math" w:hAnsi="Cambria Math" w:cs="Cambria Math"/>
                                <w:color w:val="auto"/>
                                <w:kern w:val="2"/>
                                <w:sz w:val="24"/>
                                <w:szCs w:val="24"/>
                                <w:highlight w:val="none"/>
                                <w:lang w:val="en-US" w:bidi="ar-SA"/>
                              </w:rPr>
                            </m:ctrlPr>
                          </m:sSubPr>
                          <m:e>
                            <m:r>
                              <m:rPr>
                                <m:sty m:val="p"/>
                              </m:rPr>
                              <w:rPr>
                                <w:rFonts w:hint="eastAsia" w:ascii="Cambria Math" w:hAnsi="Cambria Math" w:cs="Cambria Math"/>
                                <w:color w:val="auto"/>
                                <w:kern w:val="2"/>
                                <w:sz w:val="24"/>
                                <w:szCs w:val="24"/>
                                <w:highlight w:val="none"/>
                                <w:lang w:val="en-US" w:eastAsia="zh-CN" w:bidi="ar-SA"/>
                              </w:rPr>
                              <m:t>q</m:t>
                            </m:r>
                            <m:ctrlPr>
                              <w:rPr>
                                <w:rFonts w:ascii="Cambria Math" w:hAnsi="Cambria Math" w:cs="Cambria Math"/>
                                <w:color w:val="auto"/>
                                <w:kern w:val="2"/>
                                <w:sz w:val="24"/>
                                <w:szCs w:val="24"/>
                                <w:highlight w:val="none"/>
                                <w:lang w:val="en-US" w:bidi="ar-SA"/>
                              </w:rPr>
                            </m:ctrlPr>
                          </m:e>
                          <m:sub>
                            <m:r>
                              <m:rPr>
                                <m:sty m:val="p"/>
                              </m:rPr>
                              <w:rPr>
                                <w:rFonts w:hint="default" w:ascii="Cambria Math" w:hAnsi="Cambria Math" w:cs="Cambria Math"/>
                                <w:color w:val="auto"/>
                                <w:kern w:val="2"/>
                                <w:sz w:val="24"/>
                                <w:szCs w:val="24"/>
                                <w:highlight w:val="none"/>
                                <w:lang w:val="en-US" w:eastAsia="zh-CN" w:bidi="ar-SA"/>
                              </w:rPr>
                              <m:t>4</m:t>
                            </m:r>
                            <m:ctrlPr>
                              <w:rPr>
                                <w:rFonts w:ascii="Cambria Math" w:hAnsi="Cambria Math" w:cs="Cambria Math"/>
                                <w:color w:val="auto"/>
                                <w:kern w:val="2"/>
                                <w:sz w:val="24"/>
                                <w:szCs w:val="24"/>
                                <w:highlight w:val="none"/>
                                <w:lang w:val="en-US" w:bidi="ar-SA"/>
                              </w:rPr>
                            </m:ctrlPr>
                          </m:sub>
                        </m:sSub>
                        <m:r>
                          <m:rPr>
                            <m:sty m:val="p"/>
                          </m:rPr>
                          <w:rPr>
                            <w:rFonts w:ascii="Cambria Math" w:hAnsi="Cambria Math" w:cs="Cambria Math"/>
                            <w:color w:val="auto"/>
                            <w:kern w:val="2"/>
                            <w:sz w:val="24"/>
                            <w:szCs w:val="24"/>
                            <w:highlight w:val="none"/>
                            <w:lang w:val="en-US" w:bidi="ar-SA"/>
                          </w:rPr>
                          <m:t>×</m:t>
                        </m:r>
                        <m:sSub>
                          <m:sSubPr>
                            <m:ctrlPr>
                              <w:rPr>
                                <w:rFonts w:ascii="Cambria Math" w:hAnsi="Cambria Math" w:cs="Cambria Math"/>
                                <w:color w:val="auto"/>
                                <w:kern w:val="2"/>
                                <w:sz w:val="24"/>
                                <w:szCs w:val="24"/>
                                <w:highlight w:val="none"/>
                                <w:lang w:val="en-US" w:bidi="ar-SA"/>
                              </w:rPr>
                            </m:ctrlPr>
                          </m:sSubPr>
                          <m:e>
                            <m:r>
                              <m:rPr>
                                <m:sty m:val="p"/>
                              </m:rPr>
                              <w:rPr>
                                <w:rFonts w:hint="default" w:ascii="Cambria Math" w:hAnsi="Cambria Math" w:cs="Cambria Math"/>
                                <w:color w:val="auto"/>
                                <w:kern w:val="2"/>
                                <w:sz w:val="24"/>
                                <w:szCs w:val="24"/>
                                <w:highlight w:val="none"/>
                                <w:lang w:val="en-US" w:eastAsia="zh-CN" w:bidi="ar-SA"/>
                              </w:rPr>
                              <m:t>Q</m:t>
                            </m:r>
                            <m:ctrlPr>
                              <w:rPr>
                                <w:rFonts w:ascii="Cambria Math" w:hAnsi="Cambria Math" w:cs="Cambria Math"/>
                                <w:color w:val="auto"/>
                                <w:kern w:val="2"/>
                                <w:sz w:val="24"/>
                                <w:szCs w:val="24"/>
                                <w:highlight w:val="none"/>
                                <w:lang w:val="en-US" w:bidi="ar-SA"/>
                              </w:rPr>
                            </m:ctrlPr>
                          </m:e>
                          <m:sub>
                            <m:r>
                              <m:rPr>
                                <m:sty m:val="p"/>
                              </m:rPr>
                              <w:rPr>
                                <w:rFonts w:hint="eastAsia" w:ascii="Cambria Math" w:hAnsi="Cambria Math" w:cs="Cambria Math"/>
                                <w:color w:val="auto"/>
                                <w:kern w:val="2"/>
                                <w:sz w:val="24"/>
                                <w:szCs w:val="24"/>
                                <w:highlight w:val="none"/>
                                <w:lang w:val="en-US" w:eastAsia="zh-CN" w:bidi="ar-SA"/>
                              </w:rPr>
                              <m:t>net</m:t>
                            </m:r>
                            <m:r>
                              <m:rPr>
                                <m:sty m:val="p"/>
                              </m:rPr>
                              <w:rPr>
                                <w:rFonts w:hint="default" w:ascii="Cambria Math" w:hAnsi="Cambria Math" w:cs="Cambria Math"/>
                                <w:color w:val="auto"/>
                                <w:kern w:val="2"/>
                                <w:sz w:val="24"/>
                                <w:szCs w:val="24"/>
                                <w:highlight w:val="none"/>
                                <w:lang w:val="en-US" w:eastAsia="zh-CN" w:bidi="ar-SA"/>
                              </w:rPr>
                              <m:t>,</m:t>
                            </m:r>
                            <m:r>
                              <m:rPr>
                                <m:sty m:val="p"/>
                              </m:rPr>
                              <w:rPr>
                                <w:rFonts w:hint="eastAsia" w:ascii="Cambria Math" w:hAnsi="Cambria Math" w:cs="Cambria Math"/>
                                <w:color w:val="auto"/>
                                <w:kern w:val="2"/>
                                <w:sz w:val="24"/>
                                <w:szCs w:val="24"/>
                                <w:highlight w:val="none"/>
                                <w:lang w:val="en-US" w:eastAsia="zh-CN" w:bidi="ar-SA"/>
                              </w:rPr>
                              <m:t>ar</m:t>
                            </m:r>
                            <m:ctrlPr>
                              <w:rPr>
                                <w:rFonts w:ascii="Cambria Math" w:hAnsi="Cambria Math" w:cs="Cambria Math"/>
                                <w:color w:val="auto"/>
                                <w:kern w:val="2"/>
                                <w:sz w:val="24"/>
                                <w:szCs w:val="24"/>
                                <w:highlight w:val="none"/>
                                <w:lang w:val="en-US" w:bidi="ar-SA"/>
                              </w:rPr>
                            </m:ctrlPr>
                          </m:sub>
                        </m:sSub>
                        <m:ctrlPr>
                          <w:rPr>
                            <w:rFonts w:ascii="Cambria Math" w:hAnsi="Cambria Math" w:cs="Cambria Math"/>
                            <w:color w:val="auto"/>
                            <w:kern w:val="2"/>
                            <w:sz w:val="24"/>
                            <w:szCs w:val="24"/>
                            <w:highlight w:val="none"/>
                            <w:lang w:val="en-US" w:bidi="ar-SA"/>
                          </w:rPr>
                        </m:ctrlPr>
                      </m:num>
                      <m:den>
                        <m:r>
                          <m:rPr>
                            <m:sty m:val="p"/>
                          </m:rPr>
                          <w:rPr>
                            <w:rFonts w:hint="default" w:ascii="Cambria Math" w:hAnsi="Cambria Math" w:cs="Cambria Math"/>
                            <w:color w:val="auto"/>
                            <w:kern w:val="2"/>
                            <w:sz w:val="24"/>
                            <w:szCs w:val="24"/>
                            <w:highlight w:val="none"/>
                            <w:lang w:val="en-US" w:eastAsia="zh-CN" w:bidi="ar-SA"/>
                          </w:rPr>
                          <m:t>100</m:t>
                        </m:r>
                        <m:r>
                          <m:rPr>
                            <m:sty m:val="p"/>
                          </m:rPr>
                          <w:rPr>
                            <w:rFonts w:ascii="Cambria Math" w:hAnsi="Cambria Math" w:cs="Cambria Math"/>
                            <w:color w:val="auto"/>
                            <w:kern w:val="2"/>
                            <w:sz w:val="24"/>
                            <w:szCs w:val="24"/>
                            <w:highlight w:val="none"/>
                            <w:lang w:val="en-US" w:bidi="ar-SA"/>
                          </w:rPr>
                          <m:t>×</m:t>
                        </m:r>
                        <m:r>
                          <m:rPr>
                            <m:sty m:val="p"/>
                          </m:rPr>
                          <w:rPr>
                            <w:rFonts w:hint="default" w:ascii="Cambria Math" w:hAnsi="Cambria Math" w:cs="Cambria Math"/>
                            <w:color w:val="auto"/>
                            <w:kern w:val="2"/>
                            <w:sz w:val="24"/>
                            <w:szCs w:val="24"/>
                            <w:highlight w:val="none"/>
                            <w:lang w:val="en-US" w:eastAsia="zh-CN" w:bidi="ar-SA"/>
                          </w:rPr>
                          <m:t>33870</m:t>
                        </m:r>
                        <m:ctrlPr>
                          <w:rPr>
                            <w:rFonts w:ascii="Cambria Math" w:hAnsi="Cambria Math" w:cs="Cambria Math"/>
                            <w:color w:val="auto"/>
                            <w:kern w:val="2"/>
                            <w:sz w:val="24"/>
                            <w:szCs w:val="24"/>
                            <w:highlight w:val="none"/>
                            <w:lang w:val="en-US" w:bidi="ar-SA"/>
                          </w:rPr>
                        </m:ctrlPr>
                      </m:den>
                    </m:f>
                    <m:ctrlPr>
                      <w:rPr>
                        <w:rFonts w:hint="default" w:ascii="Cambria Math" w:hAnsi="Cambria Math" w:cs="Cambria Math"/>
                        <w:color w:val="auto"/>
                        <w:kern w:val="2"/>
                        <w:sz w:val="24"/>
                        <w:szCs w:val="24"/>
                        <w:highlight w:val="none"/>
                        <w:lang w:val="en-US" w:eastAsia="zh-CN" w:bidi="ar-SA"/>
                      </w:rPr>
                    </m:ctrlPr>
                  </m:e>
                </m:d>
              </m:oMath>
            </m:oMathPara>
          </w:p>
          <w:p w14:paraId="0B779BCB">
            <w:pPr>
              <w:bidi w:val="0"/>
              <w:rPr>
                <w:rFonts w:hint="eastAsia"/>
                <w:color w:val="auto"/>
                <w:highlight w:val="none"/>
                <w:lang w:val="en-US" w:eastAsia="zh-CN"/>
              </w:rPr>
            </w:pPr>
            <w:r>
              <w:rPr>
                <w:rFonts w:hint="eastAsia"/>
                <w:color w:val="auto"/>
                <w:highlight w:val="none"/>
                <w:lang w:val="en-US" w:eastAsia="zh-CN"/>
              </w:rPr>
              <w:t>式中：E</w:t>
            </w:r>
            <w:r>
              <w:rPr>
                <w:rFonts w:hint="eastAsia"/>
                <w:color w:val="auto"/>
                <w:highlight w:val="none"/>
                <w:vertAlign w:val="subscript"/>
                <w:lang w:val="en-US" w:eastAsia="zh-CN"/>
              </w:rPr>
              <w:t>hz</w:t>
            </w:r>
            <w:r>
              <w:rPr>
                <w:rFonts w:hint="eastAsia"/>
                <w:color w:val="auto"/>
                <w:highlight w:val="none"/>
                <w:lang w:val="en-US" w:eastAsia="zh-CN"/>
              </w:rPr>
              <w:t>—核算时段内灰渣产生量，t；</w:t>
            </w:r>
          </w:p>
          <w:p w14:paraId="1BD05A22">
            <w:pPr>
              <w:bidi w:val="0"/>
              <w:ind w:leftChars="300"/>
              <w:rPr>
                <w:rFonts w:hint="eastAsia"/>
                <w:color w:val="auto"/>
                <w:highlight w:val="none"/>
                <w:lang w:val="en-US" w:eastAsia="zh-CN"/>
              </w:rPr>
            </w:pPr>
            <w:r>
              <w:rPr>
                <w:rFonts w:hint="eastAsia"/>
                <w:color w:val="auto"/>
                <w:highlight w:val="none"/>
                <w:lang w:val="en-US" w:eastAsia="zh-CN"/>
              </w:rPr>
              <w:t>R—核算时段内锅炉燃料耗量，t；</w:t>
            </w:r>
          </w:p>
          <w:p w14:paraId="7A103E25">
            <w:pPr>
              <w:bidi w:val="0"/>
              <w:ind w:leftChars="300"/>
              <w:rPr>
                <w:rFonts w:hint="eastAsia"/>
                <w:color w:val="auto"/>
                <w:highlight w:val="none"/>
                <w:lang w:val="en-US" w:eastAsia="zh-CN"/>
              </w:rPr>
            </w:pPr>
            <w:r>
              <w:rPr>
                <w:rFonts w:hint="eastAsia"/>
                <w:color w:val="auto"/>
                <w:highlight w:val="none"/>
                <w:lang w:val="en-US" w:eastAsia="zh-CN"/>
              </w:rPr>
              <w:t>A</w:t>
            </w:r>
            <w:r>
              <w:rPr>
                <w:rFonts w:hint="eastAsia"/>
                <w:color w:val="auto"/>
                <w:highlight w:val="none"/>
                <w:vertAlign w:val="subscript"/>
                <w:lang w:val="en-US" w:eastAsia="zh-CN"/>
              </w:rPr>
              <w:t>ar</w:t>
            </w:r>
            <w:r>
              <w:rPr>
                <w:rFonts w:hint="eastAsia"/>
                <w:color w:val="auto"/>
                <w:highlight w:val="none"/>
                <w:lang w:val="en-US" w:eastAsia="zh-CN"/>
              </w:rPr>
              <w:t>—收到基灰分的质量分数，%；</w:t>
            </w:r>
          </w:p>
          <w:p w14:paraId="5BE60086">
            <w:pPr>
              <w:bidi w:val="0"/>
              <w:ind w:leftChars="300"/>
              <w:rPr>
                <w:rFonts w:hint="eastAsia"/>
                <w:color w:val="auto"/>
                <w:highlight w:val="none"/>
                <w:lang w:val="en-US" w:eastAsia="zh-CN"/>
              </w:rPr>
            </w:pPr>
            <w:r>
              <w:rPr>
                <w:rFonts w:hint="eastAsia"/>
                <w:color w:val="auto"/>
                <w:highlight w:val="none"/>
                <w:lang w:val="en-US" w:eastAsia="zh-CN"/>
              </w:rPr>
              <w:t>q</w:t>
            </w:r>
            <w:r>
              <w:rPr>
                <w:rFonts w:hint="eastAsia"/>
                <w:color w:val="auto"/>
                <w:highlight w:val="none"/>
                <w:vertAlign w:val="subscript"/>
                <w:lang w:val="en-US" w:eastAsia="zh-CN"/>
              </w:rPr>
              <w:t>4</w:t>
            </w:r>
            <w:r>
              <w:rPr>
                <w:rFonts w:hint="eastAsia"/>
                <w:color w:val="auto"/>
                <w:highlight w:val="none"/>
                <w:lang w:val="en-US" w:eastAsia="zh-CN"/>
              </w:rPr>
              <w:t>—锅炉机械不完全燃烧热损失，%；</w:t>
            </w:r>
          </w:p>
          <w:p w14:paraId="40DDED36">
            <w:pPr>
              <w:bidi w:val="0"/>
              <w:ind w:leftChars="300"/>
              <w:rPr>
                <w:rFonts w:hint="default"/>
                <w:color w:val="auto"/>
                <w:highlight w:val="none"/>
                <w:lang w:val="en-US" w:eastAsia="zh-CN"/>
              </w:rPr>
            </w:pPr>
            <w:r>
              <w:rPr>
                <w:rFonts w:hint="eastAsia"/>
                <w:color w:val="auto"/>
                <w:highlight w:val="none"/>
                <w:lang w:val="en-US" w:eastAsia="zh-CN"/>
              </w:rPr>
              <w:t>Q</w:t>
            </w:r>
            <w:r>
              <w:rPr>
                <w:rFonts w:hint="eastAsia"/>
                <w:color w:val="auto"/>
                <w:highlight w:val="none"/>
                <w:vertAlign w:val="subscript"/>
                <w:lang w:val="en-US" w:eastAsia="zh-CN"/>
              </w:rPr>
              <w:t>net,ar</w:t>
            </w:r>
            <w:r>
              <w:rPr>
                <w:rFonts w:hint="eastAsia"/>
                <w:color w:val="auto"/>
                <w:highlight w:val="none"/>
                <w:lang w:val="en-US" w:eastAsia="zh-CN"/>
              </w:rPr>
              <w:t>—收到基低位发热量，kJ/kg。</w:t>
            </w:r>
          </w:p>
          <w:p w14:paraId="734A8501">
            <w:pPr>
              <w:bidi w:val="0"/>
              <w:rPr>
                <w:rFonts w:hint="default"/>
                <w:color w:val="auto"/>
                <w:highlight w:val="none"/>
                <w:lang w:val="en-US" w:eastAsia="zh-CN"/>
              </w:rPr>
            </w:pPr>
            <w:r>
              <w:rPr>
                <w:rFonts w:hint="eastAsia"/>
                <w:color w:val="auto"/>
                <w:highlight w:val="none"/>
                <w:lang w:val="en-US" w:eastAsia="zh-CN"/>
              </w:rPr>
              <w:t>其中，锅炉燃料生物质颗粒耗量为18272.6758t/a，由附件7可知，收到基灰分的质量分数为3.29%，锅炉机械不完全燃烧热损失为14%，收到基低位发热量为4118Kcal/kg，换算单位后为17229.7MJ/kg，代入上式可得灰渣产生量为1902.5t/a。</w:t>
            </w:r>
          </w:p>
          <w:p w14:paraId="201FD1AF">
            <w:pPr>
              <w:bidi w:val="0"/>
              <w:rPr>
                <w:rFonts w:hint="eastAsia"/>
                <w:color w:val="auto"/>
                <w:highlight w:val="none"/>
              </w:rPr>
            </w:pPr>
            <w:r>
              <w:rPr>
                <w:rFonts w:hint="eastAsia"/>
                <w:color w:val="auto"/>
                <w:highlight w:val="none"/>
              </w:rPr>
              <w:t>固体废物产生环节、属性及危险特性等见</w:t>
            </w:r>
            <w:r>
              <w:rPr>
                <w:rFonts w:hint="eastAsia"/>
                <w:color w:val="auto"/>
                <w:highlight w:val="none"/>
              </w:rPr>
              <w:fldChar w:fldCharType="begin"/>
            </w:r>
            <w:r>
              <w:rPr>
                <w:rFonts w:hint="eastAsia"/>
                <w:color w:val="auto"/>
                <w:highlight w:val="none"/>
              </w:rPr>
              <w:instrText xml:space="preserve"> REF _Ref16194 \h </w:instrText>
            </w:r>
            <w:r>
              <w:rPr>
                <w:rFonts w:hint="eastAsia"/>
                <w:color w:val="auto"/>
                <w:highlight w:val="none"/>
              </w:rPr>
              <w:fldChar w:fldCharType="separate"/>
            </w:r>
            <w:r>
              <w:rPr>
                <w:color w:val="auto"/>
                <w:highlight w:val="none"/>
              </w:rPr>
              <w:t>表4-13</w:t>
            </w:r>
            <w:r>
              <w:rPr>
                <w:rFonts w:hint="eastAsia"/>
                <w:color w:val="auto"/>
                <w:highlight w:val="none"/>
              </w:rPr>
              <w:fldChar w:fldCharType="end"/>
            </w:r>
            <w:r>
              <w:rPr>
                <w:rFonts w:hint="eastAsia"/>
                <w:color w:val="auto"/>
                <w:highlight w:val="none"/>
              </w:rPr>
              <w:t>，排放量、贮存方式、利用处置方式及环境管理要求见</w:t>
            </w:r>
            <w:r>
              <w:rPr>
                <w:rFonts w:hint="eastAsia"/>
                <w:color w:val="auto"/>
                <w:highlight w:val="none"/>
                <w:lang w:eastAsia="zh-CN"/>
              </w:rPr>
              <w:fldChar w:fldCharType="begin"/>
            </w:r>
            <w:r>
              <w:rPr>
                <w:rFonts w:hint="eastAsia"/>
                <w:color w:val="auto"/>
                <w:highlight w:val="none"/>
                <w:lang w:eastAsia="zh-CN"/>
              </w:rPr>
              <w:instrText xml:space="preserve"> REF _Ref25221 \h </w:instrText>
            </w:r>
            <w:r>
              <w:rPr>
                <w:rFonts w:hint="eastAsia"/>
                <w:color w:val="auto"/>
                <w:highlight w:val="none"/>
                <w:lang w:eastAsia="zh-CN"/>
              </w:rPr>
              <w:fldChar w:fldCharType="separate"/>
            </w:r>
            <w:r>
              <w:rPr>
                <w:color w:val="auto"/>
                <w:highlight w:val="none"/>
              </w:rPr>
              <w:t>表4-14</w:t>
            </w:r>
            <w:r>
              <w:rPr>
                <w:rFonts w:hint="eastAsia"/>
                <w:color w:val="auto"/>
                <w:highlight w:val="none"/>
                <w:lang w:eastAsia="zh-CN"/>
              </w:rPr>
              <w:fldChar w:fldCharType="end"/>
            </w:r>
            <w:r>
              <w:rPr>
                <w:rFonts w:hint="eastAsia"/>
                <w:color w:val="auto"/>
                <w:highlight w:val="none"/>
              </w:rPr>
              <w:t>。</w:t>
            </w:r>
          </w:p>
          <w:p w14:paraId="5D9FF11A">
            <w:pPr>
              <w:pStyle w:val="7"/>
              <w:rPr>
                <w:color w:val="auto"/>
                <w:highlight w:val="none"/>
              </w:rPr>
            </w:pPr>
            <w:bookmarkStart w:id="69" w:name="_Ref16194"/>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13</w:t>
            </w:r>
            <w:r>
              <w:rPr>
                <w:color w:val="auto"/>
                <w:highlight w:val="none"/>
              </w:rPr>
              <w:fldChar w:fldCharType="end"/>
            </w:r>
            <w:bookmarkEnd w:id="69"/>
            <w:r>
              <w:rPr>
                <w:rFonts w:hint="eastAsia"/>
                <w:color w:val="auto"/>
                <w:highlight w:val="none"/>
                <w:lang w:val="en-US" w:eastAsia="zh-CN"/>
              </w:rPr>
              <w:t xml:space="preserve"> </w:t>
            </w:r>
            <w:r>
              <w:rPr>
                <w:rFonts w:hint="eastAsia"/>
                <w:color w:val="auto"/>
                <w:highlight w:val="none"/>
              </w:rPr>
              <w:t xml:space="preserve"> 固体废物产生环节、属性及危险特性一览表</w:t>
            </w:r>
          </w:p>
          <w:tbl>
            <w:tblPr>
              <w:tblStyle w:val="24"/>
              <w:tblW w:w="499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28"/>
              <w:gridCol w:w="2528"/>
              <w:gridCol w:w="1059"/>
              <w:gridCol w:w="1224"/>
              <w:gridCol w:w="715"/>
              <w:gridCol w:w="950"/>
            </w:tblGrid>
            <w:tr w14:paraId="1D6360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004" w:type="pct"/>
                  <w:tcBorders>
                    <w:tl2br w:val="nil"/>
                    <w:tr2bl w:val="nil"/>
                  </w:tcBorders>
                  <w:vAlign w:val="center"/>
                </w:tcPr>
                <w:p w14:paraId="202C1BFB">
                  <w:pPr>
                    <w:pStyle w:val="40"/>
                    <w:rPr>
                      <w:b w:val="0"/>
                      <w:bCs w:val="0"/>
                      <w:color w:val="auto"/>
                      <w:highlight w:val="none"/>
                    </w:rPr>
                  </w:pPr>
                  <w:r>
                    <w:rPr>
                      <w:rFonts w:hint="eastAsia"/>
                      <w:b w:val="0"/>
                      <w:bCs w:val="0"/>
                      <w:color w:val="auto"/>
                      <w:highlight w:val="none"/>
                    </w:rPr>
                    <w:t>产生环节</w:t>
                  </w:r>
                </w:p>
              </w:tc>
              <w:tc>
                <w:tcPr>
                  <w:tcW w:w="1559" w:type="pct"/>
                  <w:tcBorders>
                    <w:tl2br w:val="nil"/>
                    <w:tr2bl w:val="nil"/>
                  </w:tcBorders>
                  <w:vAlign w:val="center"/>
                </w:tcPr>
                <w:p w14:paraId="1A532B80">
                  <w:pPr>
                    <w:pStyle w:val="40"/>
                    <w:rPr>
                      <w:b w:val="0"/>
                      <w:bCs w:val="0"/>
                      <w:color w:val="auto"/>
                      <w:highlight w:val="none"/>
                    </w:rPr>
                  </w:pPr>
                  <w:r>
                    <w:rPr>
                      <w:rFonts w:hint="eastAsia"/>
                      <w:b w:val="0"/>
                      <w:bCs w:val="0"/>
                      <w:color w:val="auto"/>
                      <w:highlight w:val="none"/>
                    </w:rPr>
                    <w:t>名称</w:t>
                  </w:r>
                </w:p>
              </w:tc>
              <w:tc>
                <w:tcPr>
                  <w:tcW w:w="653" w:type="pct"/>
                  <w:tcBorders>
                    <w:tl2br w:val="nil"/>
                    <w:tr2bl w:val="nil"/>
                  </w:tcBorders>
                  <w:vAlign w:val="center"/>
                </w:tcPr>
                <w:p w14:paraId="022CD222">
                  <w:pPr>
                    <w:pStyle w:val="40"/>
                    <w:rPr>
                      <w:b w:val="0"/>
                      <w:bCs w:val="0"/>
                      <w:color w:val="auto"/>
                      <w:highlight w:val="none"/>
                    </w:rPr>
                  </w:pPr>
                  <w:r>
                    <w:rPr>
                      <w:rFonts w:hint="eastAsia"/>
                      <w:b w:val="0"/>
                      <w:bCs w:val="0"/>
                      <w:color w:val="auto"/>
                      <w:highlight w:val="none"/>
                    </w:rPr>
                    <w:t>属性</w:t>
                  </w:r>
                </w:p>
              </w:tc>
              <w:tc>
                <w:tcPr>
                  <w:tcW w:w="755" w:type="pct"/>
                  <w:tcBorders>
                    <w:tl2br w:val="nil"/>
                    <w:tr2bl w:val="nil"/>
                  </w:tcBorders>
                  <w:vAlign w:val="center"/>
                </w:tcPr>
                <w:p w14:paraId="351B4C83">
                  <w:pPr>
                    <w:pStyle w:val="40"/>
                    <w:rPr>
                      <w:b w:val="0"/>
                      <w:bCs w:val="0"/>
                      <w:color w:val="auto"/>
                      <w:highlight w:val="none"/>
                    </w:rPr>
                  </w:pPr>
                  <w:r>
                    <w:rPr>
                      <w:rFonts w:hint="eastAsia"/>
                      <w:b w:val="0"/>
                      <w:bCs w:val="0"/>
                      <w:color w:val="auto"/>
                      <w:highlight w:val="none"/>
                    </w:rPr>
                    <w:t>废物代码</w:t>
                  </w:r>
                </w:p>
              </w:tc>
              <w:tc>
                <w:tcPr>
                  <w:tcW w:w="441" w:type="pct"/>
                  <w:tcBorders>
                    <w:tl2br w:val="nil"/>
                    <w:tr2bl w:val="nil"/>
                  </w:tcBorders>
                  <w:vAlign w:val="center"/>
                </w:tcPr>
                <w:p w14:paraId="35233640">
                  <w:pPr>
                    <w:pStyle w:val="40"/>
                    <w:rPr>
                      <w:b w:val="0"/>
                      <w:bCs w:val="0"/>
                      <w:color w:val="auto"/>
                      <w:highlight w:val="none"/>
                    </w:rPr>
                  </w:pPr>
                  <w:r>
                    <w:rPr>
                      <w:rFonts w:hint="eastAsia"/>
                      <w:b w:val="0"/>
                      <w:bCs w:val="0"/>
                      <w:color w:val="auto"/>
                      <w:highlight w:val="none"/>
                    </w:rPr>
                    <w:t>物理性状</w:t>
                  </w:r>
                </w:p>
              </w:tc>
              <w:tc>
                <w:tcPr>
                  <w:tcW w:w="586" w:type="pct"/>
                  <w:tcBorders>
                    <w:tl2br w:val="nil"/>
                    <w:tr2bl w:val="nil"/>
                  </w:tcBorders>
                  <w:vAlign w:val="center"/>
                </w:tcPr>
                <w:p w14:paraId="2F66E932">
                  <w:pPr>
                    <w:pStyle w:val="40"/>
                    <w:rPr>
                      <w:b w:val="0"/>
                      <w:bCs w:val="0"/>
                      <w:color w:val="auto"/>
                      <w:highlight w:val="none"/>
                    </w:rPr>
                  </w:pPr>
                  <w:r>
                    <w:rPr>
                      <w:rFonts w:hint="eastAsia"/>
                      <w:b w:val="0"/>
                      <w:bCs w:val="0"/>
                      <w:color w:val="auto"/>
                      <w:spacing w:val="-6"/>
                      <w:sz w:val="21"/>
                      <w:highlight w:val="none"/>
                    </w:rPr>
                    <w:t>环境危险特性</w:t>
                  </w:r>
                </w:p>
              </w:tc>
            </w:tr>
            <w:tr w14:paraId="7BEAF6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004" w:type="pct"/>
                  <w:tcBorders>
                    <w:tl2br w:val="nil"/>
                    <w:tr2bl w:val="nil"/>
                  </w:tcBorders>
                  <w:vAlign w:val="center"/>
                </w:tcPr>
                <w:p w14:paraId="6163CDE6">
                  <w:pPr>
                    <w:pStyle w:val="40"/>
                    <w:rPr>
                      <w:b w:val="0"/>
                      <w:bCs w:val="0"/>
                      <w:color w:val="auto"/>
                      <w:highlight w:val="none"/>
                    </w:rPr>
                  </w:pPr>
                  <w:r>
                    <w:rPr>
                      <w:rFonts w:hint="eastAsia"/>
                      <w:b w:val="0"/>
                      <w:bCs w:val="0"/>
                      <w:color w:val="auto"/>
                      <w:highlight w:val="none"/>
                    </w:rPr>
                    <w:t>办公生活</w:t>
                  </w:r>
                </w:p>
              </w:tc>
              <w:tc>
                <w:tcPr>
                  <w:tcW w:w="1559" w:type="pct"/>
                  <w:tcBorders>
                    <w:tl2br w:val="nil"/>
                    <w:tr2bl w:val="nil"/>
                  </w:tcBorders>
                  <w:vAlign w:val="center"/>
                </w:tcPr>
                <w:p w14:paraId="4B0A462E">
                  <w:pPr>
                    <w:pStyle w:val="40"/>
                    <w:rPr>
                      <w:b w:val="0"/>
                      <w:bCs w:val="0"/>
                      <w:color w:val="auto"/>
                      <w:highlight w:val="none"/>
                    </w:rPr>
                  </w:pPr>
                  <w:r>
                    <w:rPr>
                      <w:rFonts w:hint="eastAsia"/>
                      <w:b w:val="0"/>
                      <w:bCs w:val="0"/>
                      <w:color w:val="auto"/>
                      <w:highlight w:val="none"/>
                    </w:rPr>
                    <w:t>生活垃圾</w:t>
                  </w:r>
                </w:p>
              </w:tc>
              <w:tc>
                <w:tcPr>
                  <w:tcW w:w="653" w:type="pct"/>
                  <w:tcBorders>
                    <w:tl2br w:val="nil"/>
                    <w:tr2bl w:val="nil"/>
                  </w:tcBorders>
                  <w:vAlign w:val="center"/>
                </w:tcPr>
                <w:p w14:paraId="4D0E5CBA">
                  <w:pPr>
                    <w:pStyle w:val="40"/>
                    <w:rPr>
                      <w:rFonts w:hint="eastAsia" w:eastAsia="宋体"/>
                      <w:b w:val="0"/>
                      <w:bCs w:val="0"/>
                      <w:color w:val="auto"/>
                      <w:highlight w:val="none"/>
                      <w:lang w:eastAsia="zh-CN"/>
                    </w:rPr>
                  </w:pPr>
                  <w:r>
                    <w:rPr>
                      <w:rFonts w:hint="eastAsia"/>
                      <w:b w:val="0"/>
                      <w:bCs w:val="0"/>
                      <w:color w:val="auto"/>
                      <w:highlight w:val="none"/>
                      <w:lang w:val="en-US" w:eastAsia="zh-CN"/>
                    </w:rPr>
                    <w:t>一般固废</w:t>
                  </w:r>
                </w:p>
              </w:tc>
              <w:tc>
                <w:tcPr>
                  <w:tcW w:w="755" w:type="pct"/>
                  <w:tcBorders>
                    <w:tl2br w:val="nil"/>
                    <w:tr2bl w:val="nil"/>
                  </w:tcBorders>
                  <w:vAlign w:val="center"/>
                </w:tcPr>
                <w:p w14:paraId="3FEBD10B">
                  <w:pPr>
                    <w:pStyle w:val="40"/>
                    <w:rPr>
                      <w:b w:val="0"/>
                      <w:bCs w:val="0"/>
                      <w:color w:val="auto"/>
                      <w:highlight w:val="none"/>
                    </w:rPr>
                  </w:pPr>
                  <w:r>
                    <w:rPr>
                      <w:rFonts w:hint="eastAsia"/>
                      <w:b w:val="0"/>
                      <w:bCs w:val="0"/>
                      <w:color w:val="auto"/>
                      <w:highlight w:val="none"/>
                    </w:rPr>
                    <w:t>/</w:t>
                  </w:r>
                </w:p>
              </w:tc>
              <w:tc>
                <w:tcPr>
                  <w:tcW w:w="441" w:type="pct"/>
                  <w:tcBorders>
                    <w:tl2br w:val="nil"/>
                    <w:tr2bl w:val="nil"/>
                  </w:tcBorders>
                  <w:vAlign w:val="center"/>
                </w:tcPr>
                <w:p w14:paraId="13A7B734">
                  <w:pPr>
                    <w:pStyle w:val="40"/>
                    <w:rPr>
                      <w:b w:val="0"/>
                      <w:bCs w:val="0"/>
                      <w:color w:val="auto"/>
                      <w:highlight w:val="none"/>
                    </w:rPr>
                  </w:pPr>
                  <w:r>
                    <w:rPr>
                      <w:rFonts w:hint="eastAsia"/>
                      <w:b w:val="0"/>
                      <w:bCs w:val="0"/>
                      <w:color w:val="auto"/>
                      <w:highlight w:val="none"/>
                    </w:rPr>
                    <w:t>固态</w:t>
                  </w:r>
                </w:p>
              </w:tc>
              <w:tc>
                <w:tcPr>
                  <w:tcW w:w="586" w:type="pct"/>
                  <w:tcBorders>
                    <w:tl2br w:val="nil"/>
                    <w:tr2bl w:val="nil"/>
                  </w:tcBorders>
                  <w:vAlign w:val="center"/>
                </w:tcPr>
                <w:p w14:paraId="1403EBF4">
                  <w:pPr>
                    <w:pStyle w:val="40"/>
                    <w:rPr>
                      <w:b w:val="0"/>
                      <w:bCs w:val="0"/>
                      <w:color w:val="auto"/>
                      <w:highlight w:val="none"/>
                    </w:rPr>
                  </w:pPr>
                  <w:r>
                    <w:rPr>
                      <w:rFonts w:hint="eastAsia"/>
                      <w:b w:val="0"/>
                      <w:bCs w:val="0"/>
                      <w:color w:val="auto"/>
                      <w:highlight w:val="none"/>
                    </w:rPr>
                    <w:t>/</w:t>
                  </w:r>
                </w:p>
              </w:tc>
            </w:tr>
            <w:tr w14:paraId="362F4C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004" w:type="pct"/>
                  <w:tcBorders>
                    <w:tl2br w:val="nil"/>
                    <w:tr2bl w:val="nil"/>
                  </w:tcBorders>
                  <w:vAlign w:val="center"/>
                </w:tcPr>
                <w:p w14:paraId="45E42AFA">
                  <w:pPr>
                    <w:pStyle w:val="40"/>
                    <w:rPr>
                      <w:b w:val="0"/>
                      <w:bCs w:val="0"/>
                      <w:color w:val="auto"/>
                      <w:highlight w:val="none"/>
                    </w:rPr>
                  </w:pPr>
                  <w:r>
                    <w:rPr>
                      <w:rFonts w:hint="eastAsia"/>
                      <w:b w:val="0"/>
                      <w:bCs w:val="0"/>
                      <w:color w:val="auto"/>
                      <w:highlight w:val="none"/>
                    </w:rPr>
                    <w:t>设备保养、维修</w:t>
                  </w:r>
                </w:p>
              </w:tc>
              <w:tc>
                <w:tcPr>
                  <w:tcW w:w="1559" w:type="pct"/>
                  <w:tcBorders>
                    <w:tl2br w:val="nil"/>
                    <w:tr2bl w:val="nil"/>
                  </w:tcBorders>
                  <w:vAlign w:val="center"/>
                </w:tcPr>
                <w:p w14:paraId="6F0C6FB1">
                  <w:pPr>
                    <w:pStyle w:val="40"/>
                    <w:rPr>
                      <w:b w:val="0"/>
                      <w:bCs w:val="0"/>
                      <w:color w:val="auto"/>
                      <w:highlight w:val="none"/>
                    </w:rPr>
                  </w:pPr>
                  <w:r>
                    <w:rPr>
                      <w:rFonts w:hint="eastAsia"/>
                      <w:b w:val="0"/>
                      <w:bCs w:val="0"/>
                      <w:color w:val="auto"/>
                      <w:highlight w:val="none"/>
                    </w:rPr>
                    <w:t>废</w:t>
                  </w:r>
                  <w:r>
                    <w:rPr>
                      <w:rFonts w:hint="eastAsia"/>
                      <w:b w:val="0"/>
                      <w:bCs w:val="0"/>
                      <w:color w:val="auto"/>
                      <w:highlight w:val="none"/>
                      <w:lang w:val="en-US" w:eastAsia="zh-CN"/>
                    </w:rPr>
                    <w:t>机</w:t>
                  </w:r>
                  <w:r>
                    <w:rPr>
                      <w:rFonts w:hint="eastAsia"/>
                      <w:b w:val="0"/>
                      <w:bCs w:val="0"/>
                      <w:color w:val="auto"/>
                      <w:highlight w:val="none"/>
                    </w:rPr>
                    <w:t>油</w:t>
                  </w:r>
                </w:p>
              </w:tc>
              <w:tc>
                <w:tcPr>
                  <w:tcW w:w="653" w:type="pct"/>
                  <w:tcBorders>
                    <w:tl2br w:val="nil"/>
                    <w:tr2bl w:val="nil"/>
                  </w:tcBorders>
                  <w:vAlign w:val="center"/>
                </w:tcPr>
                <w:p w14:paraId="32F57888">
                  <w:pPr>
                    <w:pStyle w:val="40"/>
                    <w:rPr>
                      <w:b w:val="0"/>
                      <w:bCs w:val="0"/>
                      <w:color w:val="auto"/>
                      <w:highlight w:val="none"/>
                    </w:rPr>
                  </w:pPr>
                  <w:r>
                    <w:rPr>
                      <w:rFonts w:hint="eastAsia"/>
                      <w:b w:val="0"/>
                      <w:bCs w:val="0"/>
                      <w:color w:val="auto"/>
                      <w:highlight w:val="none"/>
                    </w:rPr>
                    <w:t>危险废物</w:t>
                  </w:r>
                </w:p>
              </w:tc>
              <w:tc>
                <w:tcPr>
                  <w:tcW w:w="755" w:type="pct"/>
                  <w:tcBorders>
                    <w:tl2br w:val="nil"/>
                    <w:tr2bl w:val="nil"/>
                  </w:tcBorders>
                  <w:vAlign w:val="center"/>
                </w:tcPr>
                <w:p w14:paraId="5A2D91FE">
                  <w:pPr>
                    <w:pStyle w:val="40"/>
                    <w:rPr>
                      <w:b w:val="0"/>
                      <w:bCs w:val="0"/>
                      <w:color w:val="auto"/>
                      <w:highlight w:val="none"/>
                    </w:rPr>
                  </w:pPr>
                  <w:r>
                    <w:rPr>
                      <w:rFonts w:hint="eastAsia"/>
                      <w:b w:val="0"/>
                      <w:bCs w:val="0"/>
                      <w:color w:val="auto"/>
                      <w:highlight w:val="none"/>
                    </w:rPr>
                    <w:t>900-249-08</w:t>
                  </w:r>
                </w:p>
              </w:tc>
              <w:tc>
                <w:tcPr>
                  <w:tcW w:w="441" w:type="pct"/>
                  <w:tcBorders>
                    <w:tl2br w:val="nil"/>
                    <w:tr2bl w:val="nil"/>
                  </w:tcBorders>
                  <w:vAlign w:val="center"/>
                </w:tcPr>
                <w:p w14:paraId="64EFAF2E">
                  <w:pPr>
                    <w:pStyle w:val="40"/>
                    <w:rPr>
                      <w:b w:val="0"/>
                      <w:bCs w:val="0"/>
                      <w:color w:val="auto"/>
                      <w:highlight w:val="none"/>
                    </w:rPr>
                  </w:pPr>
                  <w:r>
                    <w:rPr>
                      <w:rFonts w:hint="eastAsia"/>
                      <w:b w:val="0"/>
                      <w:bCs w:val="0"/>
                      <w:color w:val="auto"/>
                      <w:highlight w:val="none"/>
                    </w:rPr>
                    <w:t>固态</w:t>
                  </w:r>
                </w:p>
              </w:tc>
              <w:tc>
                <w:tcPr>
                  <w:tcW w:w="586" w:type="pct"/>
                  <w:tcBorders>
                    <w:tl2br w:val="nil"/>
                    <w:tr2bl w:val="nil"/>
                  </w:tcBorders>
                  <w:vAlign w:val="center"/>
                </w:tcPr>
                <w:p w14:paraId="05E152DA">
                  <w:pPr>
                    <w:pStyle w:val="40"/>
                    <w:rPr>
                      <w:b w:val="0"/>
                      <w:bCs w:val="0"/>
                      <w:color w:val="auto"/>
                      <w:highlight w:val="none"/>
                    </w:rPr>
                  </w:pPr>
                  <w:r>
                    <w:rPr>
                      <w:rFonts w:hint="eastAsia"/>
                      <w:b w:val="0"/>
                      <w:bCs w:val="0"/>
                      <w:color w:val="auto"/>
                      <w:highlight w:val="none"/>
                    </w:rPr>
                    <w:t>T/I</w:t>
                  </w:r>
                </w:p>
              </w:tc>
            </w:tr>
            <w:tr w14:paraId="4B697E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004" w:type="pct"/>
                  <w:vMerge w:val="restart"/>
                  <w:tcBorders>
                    <w:tl2br w:val="nil"/>
                    <w:tr2bl w:val="nil"/>
                  </w:tcBorders>
                  <w:vAlign w:val="center"/>
                </w:tcPr>
                <w:p w14:paraId="2BA15F17">
                  <w:pPr>
                    <w:pStyle w:val="40"/>
                    <w:rPr>
                      <w:rFonts w:hint="eastAsia" w:eastAsia="宋体"/>
                      <w:b w:val="0"/>
                      <w:bCs w:val="0"/>
                      <w:color w:val="auto"/>
                      <w:highlight w:val="none"/>
                      <w:lang w:val="en-US" w:eastAsia="zh-CN"/>
                    </w:rPr>
                  </w:pPr>
                  <w:bookmarkStart w:id="70" w:name="_Ref16256"/>
                  <w:r>
                    <w:rPr>
                      <w:rFonts w:hint="eastAsia"/>
                      <w:b w:val="0"/>
                      <w:bCs w:val="0"/>
                      <w:color w:val="auto"/>
                      <w:highlight w:val="none"/>
                      <w:lang w:val="en-US" w:eastAsia="zh-CN"/>
                    </w:rPr>
                    <w:t>锅炉</w:t>
                  </w:r>
                </w:p>
              </w:tc>
              <w:tc>
                <w:tcPr>
                  <w:tcW w:w="1559" w:type="pct"/>
                  <w:tcBorders>
                    <w:tl2br w:val="nil"/>
                    <w:tr2bl w:val="nil"/>
                  </w:tcBorders>
                  <w:vAlign w:val="center"/>
                </w:tcPr>
                <w:p w14:paraId="5746650D">
                  <w:pPr>
                    <w:pStyle w:val="40"/>
                    <w:rPr>
                      <w:rFonts w:hint="eastAsia" w:eastAsia="宋体"/>
                      <w:b w:val="0"/>
                      <w:bCs w:val="0"/>
                      <w:color w:val="auto"/>
                      <w:highlight w:val="none"/>
                      <w:lang w:val="en-US" w:eastAsia="zh-CN"/>
                    </w:rPr>
                  </w:pPr>
                  <w:r>
                    <w:rPr>
                      <w:rFonts w:hint="eastAsia"/>
                      <w:b w:val="0"/>
                      <w:bCs w:val="0"/>
                      <w:color w:val="auto"/>
                      <w:highlight w:val="none"/>
                      <w:lang w:val="en-US" w:eastAsia="zh-CN"/>
                    </w:rPr>
                    <w:t>灰渣</w:t>
                  </w:r>
                </w:p>
              </w:tc>
              <w:tc>
                <w:tcPr>
                  <w:tcW w:w="653" w:type="pct"/>
                  <w:tcBorders>
                    <w:tl2br w:val="nil"/>
                    <w:tr2bl w:val="nil"/>
                  </w:tcBorders>
                  <w:vAlign w:val="center"/>
                </w:tcPr>
                <w:p w14:paraId="71F148A5">
                  <w:pPr>
                    <w:pStyle w:val="40"/>
                    <w:rPr>
                      <w:rFonts w:hint="eastAsia"/>
                      <w:b w:val="0"/>
                      <w:bCs w:val="0"/>
                      <w:color w:val="auto"/>
                      <w:highlight w:val="none"/>
                    </w:rPr>
                  </w:pPr>
                  <w:r>
                    <w:rPr>
                      <w:rFonts w:hint="eastAsia"/>
                      <w:b w:val="0"/>
                      <w:bCs w:val="0"/>
                      <w:color w:val="auto"/>
                      <w:highlight w:val="none"/>
                      <w:lang w:val="en-US" w:eastAsia="zh-CN"/>
                    </w:rPr>
                    <w:t>一般固废</w:t>
                  </w:r>
                </w:p>
              </w:tc>
              <w:tc>
                <w:tcPr>
                  <w:tcW w:w="755" w:type="pct"/>
                  <w:tcBorders>
                    <w:tl2br w:val="nil"/>
                    <w:tr2bl w:val="nil"/>
                  </w:tcBorders>
                  <w:shd w:val="clear" w:color="auto" w:fill="auto"/>
                  <w:vAlign w:val="center"/>
                </w:tcPr>
                <w:p w14:paraId="63B906C3">
                  <w:pPr>
                    <w:pStyle w:val="40"/>
                    <w:bidi w:val="0"/>
                    <w:rPr>
                      <w:rFonts w:hint="eastAsia"/>
                      <w:color w:val="auto"/>
                      <w:highlight w:val="none"/>
                      <w:lang w:val="en-US" w:eastAsia="zh-CN"/>
                    </w:rPr>
                  </w:pPr>
                  <w:r>
                    <w:rPr>
                      <w:rFonts w:hint="eastAsia"/>
                      <w:color w:val="auto"/>
                      <w:highlight w:val="none"/>
                    </w:rPr>
                    <w:t>900-999-6</w:t>
                  </w:r>
                  <w:r>
                    <w:rPr>
                      <w:color w:val="auto"/>
                      <w:highlight w:val="none"/>
                    </w:rPr>
                    <w:t>4</w:t>
                  </w:r>
                </w:p>
              </w:tc>
              <w:tc>
                <w:tcPr>
                  <w:tcW w:w="441" w:type="pct"/>
                  <w:tcBorders>
                    <w:tl2br w:val="nil"/>
                    <w:tr2bl w:val="nil"/>
                  </w:tcBorders>
                  <w:vAlign w:val="center"/>
                </w:tcPr>
                <w:p w14:paraId="798FD900">
                  <w:pPr>
                    <w:pStyle w:val="40"/>
                    <w:rPr>
                      <w:rFonts w:hint="eastAsia" w:eastAsia="宋体"/>
                      <w:b w:val="0"/>
                      <w:bCs w:val="0"/>
                      <w:color w:val="auto"/>
                      <w:highlight w:val="none"/>
                      <w:lang w:val="en-US" w:eastAsia="zh-CN"/>
                    </w:rPr>
                  </w:pPr>
                  <w:r>
                    <w:rPr>
                      <w:rFonts w:hint="eastAsia"/>
                      <w:b w:val="0"/>
                      <w:bCs w:val="0"/>
                      <w:color w:val="auto"/>
                      <w:highlight w:val="none"/>
                      <w:lang w:val="en-US" w:eastAsia="zh-CN"/>
                    </w:rPr>
                    <w:t>固态</w:t>
                  </w:r>
                </w:p>
              </w:tc>
              <w:tc>
                <w:tcPr>
                  <w:tcW w:w="586" w:type="pct"/>
                  <w:tcBorders>
                    <w:tl2br w:val="nil"/>
                    <w:tr2bl w:val="nil"/>
                  </w:tcBorders>
                  <w:vAlign w:val="center"/>
                </w:tcPr>
                <w:p w14:paraId="4F40A776">
                  <w:pPr>
                    <w:pStyle w:val="40"/>
                    <w:rPr>
                      <w:rFonts w:hint="eastAsia"/>
                      <w:b w:val="0"/>
                      <w:bCs w:val="0"/>
                      <w:color w:val="auto"/>
                      <w:highlight w:val="none"/>
                    </w:rPr>
                  </w:pPr>
                  <w:r>
                    <w:rPr>
                      <w:rFonts w:hint="eastAsia"/>
                      <w:b w:val="0"/>
                      <w:bCs w:val="0"/>
                      <w:color w:val="auto"/>
                      <w:highlight w:val="none"/>
                    </w:rPr>
                    <w:t>/</w:t>
                  </w:r>
                </w:p>
              </w:tc>
            </w:tr>
            <w:tr w14:paraId="1415B0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004" w:type="pct"/>
                  <w:vMerge w:val="continue"/>
                  <w:tcBorders>
                    <w:tl2br w:val="nil"/>
                    <w:tr2bl w:val="nil"/>
                  </w:tcBorders>
                  <w:vAlign w:val="center"/>
                </w:tcPr>
                <w:p w14:paraId="06890DA5">
                  <w:pPr>
                    <w:pStyle w:val="40"/>
                    <w:rPr>
                      <w:rFonts w:hint="eastAsia"/>
                      <w:b w:val="0"/>
                      <w:bCs w:val="0"/>
                      <w:color w:val="auto"/>
                      <w:highlight w:val="none"/>
                    </w:rPr>
                  </w:pPr>
                </w:p>
              </w:tc>
              <w:tc>
                <w:tcPr>
                  <w:tcW w:w="1559" w:type="pct"/>
                  <w:tcBorders>
                    <w:tl2br w:val="nil"/>
                    <w:tr2bl w:val="nil"/>
                  </w:tcBorders>
                  <w:vAlign w:val="center"/>
                </w:tcPr>
                <w:p w14:paraId="2CD1DF10">
                  <w:pPr>
                    <w:pStyle w:val="40"/>
                    <w:rPr>
                      <w:rFonts w:hint="default" w:eastAsia="宋体"/>
                      <w:b w:val="0"/>
                      <w:bCs w:val="0"/>
                      <w:color w:val="auto"/>
                      <w:highlight w:val="none"/>
                      <w:lang w:val="en-US" w:eastAsia="zh-CN"/>
                    </w:rPr>
                  </w:pPr>
                  <w:r>
                    <w:rPr>
                      <w:rFonts w:hint="eastAsia"/>
                      <w:b w:val="0"/>
                      <w:bCs w:val="0"/>
                      <w:color w:val="auto"/>
                      <w:highlight w:val="none"/>
                      <w:lang w:val="en-US" w:eastAsia="zh-CN"/>
                    </w:rPr>
                    <w:t>烟气除尘灰</w:t>
                  </w:r>
                </w:p>
              </w:tc>
              <w:tc>
                <w:tcPr>
                  <w:tcW w:w="653" w:type="pct"/>
                  <w:tcBorders>
                    <w:tl2br w:val="nil"/>
                    <w:tr2bl w:val="nil"/>
                  </w:tcBorders>
                  <w:vAlign w:val="center"/>
                </w:tcPr>
                <w:p w14:paraId="7FCD090D">
                  <w:pPr>
                    <w:pStyle w:val="40"/>
                    <w:rPr>
                      <w:rFonts w:hint="eastAsia"/>
                      <w:b w:val="0"/>
                      <w:bCs w:val="0"/>
                      <w:color w:val="auto"/>
                      <w:highlight w:val="none"/>
                    </w:rPr>
                  </w:pPr>
                  <w:r>
                    <w:rPr>
                      <w:rFonts w:hint="eastAsia"/>
                      <w:b w:val="0"/>
                      <w:bCs w:val="0"/>
                      <w:color w:val="auto"/>
                      <w:highlight w:val="none"/>
                      <w:lang w:val="en-US" w:eastAsia="zh-CN"/>
                    </w:rPr>
                    <w:t>一般固废</w:t>
                  </w:r>
                </w:p>
              </w:tc>
              <w:tc>
                <w:tcPr>
                  <w:tcW w:w="755" w:type="pct"/>
                  <w:tcBorders>
                    <w:tl2br w:val="nil"/>
                    <w:tr2bl w:val="nil"/>
                  </w:tcBorders>
                  <w:shd w:val="clear" w:color="auto" w:fill="auto"/>
                  <w:vAlign w:val="center"/>
                </w:tcPr>
                <w:p w14:paraId="05FC3F02">
                  <w:pPr>
                    <w:pStyle w:val="40"/>
                    <w:bidi w:val="0"/>
                    <w:rPr>
                      <w:rFonts w:hint="eastAsia"/>
                      <w:color w:val="auto"/>
                      <w:highlight w:val="none"/>
                      <w:lang w:val="en-US" w:eastAsia="zh-CN"/>
                    </w:rPr>
                  </w:pPr>
                  <w:r>
                    <w:rPr>
                      <w:rFonts w:hint="eastAsia"/>
                      <w:color w:val="auto"/>
                      <w:highlight w:val="none"/>
                    </w:rPr>
                    <w:t>900-999-6</w:t>
                  </w:r>
                  <w:r>
                    <w:rPr>
                      <w:color w:val="auto"/>
                      <w:highlight w:val="none"/>
                    </w:rPr>
                    <w:t>6</w:t>
                  </w:r>
                </w:p>
              </w:tc>
              <w:tc>
                <w:tcPr>
                  <w:tcW w:w="441" w:type="pct"/>
                  <w:tcBorders>
                    <w:tl2br w:val="nil"/>
                    <w:tr2bl w:val="nil"/>
                  </w:tcBorders>
                  <w:vAlign w:val="center"/>
                </w:tcPr>
                <w:p w14:paraId="6B7D404A">
                  <w:pPr>
                    <w:pStyle w:val="40"/>
                    <w:rPr>
                      <w:rFonts w:hint="eastAsia"/>
                      <w:b w:val="0"/>
                      <w:bCs w:val="0"/>
                      <w:color w:val="auto"/>
                      <w:highlight w:val="none"/>
                    </w:rPr>
                  </w:pPr>
                  <w:r>
                    <w:rPr>
                      <w:rFonts w:hint="eastAsia"/>
                      <w:b w:val="0"/>
                      <w:bCs w:val="0"/>
                      <w:color w:val="auto"/>
                      <w:highlight w:val="none"/>
                      <w:lang w:val="en-US" w:eastAsia="zh-CN"/>
                    </w:rPr>
                    <w:t>固态</w:t>
                  </w:r>
                </w:p>
              </w:tc>
              <w:tc>
                <w:tcPr>
                  <w:tcW w:w="586" w:type="pct"/>
                  <w:tcBorders>
                    <w:tl2br w:val="nil"/>
                    <w:tr2bl w:val="nil"/>
                  </w:tcBorders>
                  <w:vAlign w:val="center"/>
                </w:tcPr>
                <w:p w14:paraId="0F6604E6">
                  <w:pPr>
                    <w:pStyle w:val="40"/>
                    <w:rPr>
                      <w:rFonts w:hint="eastAsia"/>
                      <w:b w:val="0"/>
                      <w:bCs w:val="0"/>
                      <w:color w:val="auto"/>
                      <w:highlight w:val="none"/>
                    </w:rPr>
                  </w:pPr>
                  <w:r>
                    <w:rPr>
                      <w:rFonts w:hint="eastAsia"/>
                      <w:b w:val="0"/>
                      <w:bCs w:val="0"/>
                      <w:color w:val="auto"/>
                      <w:highlight w:val="none"/>
                    </w:rPr>
                    <w:t>/</w:t>
                  </w:r>
                </w:p>
              </w:tc>
            </w:tr>
            <w:tr w14:paraId="0A83B4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004" w:type="pct"/>
                  <w:vMerge w:val="continue"/>
                  <w:tcBorders>
                    <w:tl2br w:val="nil"/>
                    <w:tr2bl w:val="nil"/>
                  </w:tcBorders>
                  <w:vAlign w:val="center"/>
                </w:tcPr>
                <w:p w14:paraId="0DB648DF">
                  <w:pPr>
                    <w:pStyle w:val="40"/>
                    <w:rPr>
                      <w:rFonts w:hint="eastAsia"/>
                      <w:b w:val="0"/>
                      <w:bCs w:val="0"/>
                      <w:color w:val="auto"/>
                      <w:highlight w:val="none"/>
                    </w:rPr>
                  </w:pPr>
                </w:p>
              </w:tc>
              <w:tc>
                <w:tcPr>
                  <w:tcW w:w="1559" w:type="pct"/>
                  <w:tcBorders>
                    <w:tl2br w:val="nil"/>
                    <w:tr2bl w:val="nil"/>
                  </w:tcBorders>
                  <w:vAlign w:val="center"/>
                </w:tcPr>
                <w:p w14:paraId="59B89AD3">
                  <w:pPr>
                    <w:pStyle w:val="40"/>
                    <w:rPr>
                      <w:rFonts w:hint="default" w:eastAsia="宋体"/>
                      <w:b w:val="0"/>
                      <w:bCs w:val="0"/>
                      <w:color w:val="auto"/>
                      <w:highlight w:val="none"/>
                      <w:lang w:val="en-US" w:eastAsia="zh-CN"/>
                    </w:rPr>
                  </w:pPr>
                  <w:r>
                    <w:rPr>
                      <w:rFonts w:hint="eastAsia"/>
                      <w:b w:val="0"/>
                      <w:bCs w:val="0"/>
                      <w:color w:val="auto"/>
                      <w:spacing w:val="-6"/>
                      <w:sz w:val="21"/>
                      <w:highlight w:val="none"/>
                      <w:lang w:val="en-US" w:eastAsia="zh-CN"/>
                    </w:rPr>
                    <w:t>废离子交换树脂</w:t>
                  </w:r>
                </w:p>
              </w:tc>
              <w:tc>
                <w:tcPr>
                  <w:tcW w:w="653" w:type="pct"/>
                  <w:tcBorders>
                    <w:tl2br w:val="nil"/>
                    <w:tr2bl w:val="nil"/>
                  </w:tcBorders>
                  <w:vAlign w:val="center"/>
                </w:tcPr>
                <w:p w14:paraId="271879FD">
                  <w:pPr>
                    <w:pStyle w:val="40"/>
                    <w:rPr>
                      <w:rFonts w:hint="eastAsia"/>
                      <w:b w:val="0"/>
                      <w:bCs w:val="0"/>
                      <w:color w:val="auto"/>
                      <w:highlight w:val="none"/>
                    </w:rPr>
                  </w:pPr>
                  <w:r>
                    <w:rPr>
                      <w:rFonts w:hint="eastAsia"/>
                      <w:b w:val="0"/>
                      <w:bCs w:val="0"/>
                      <w:color w:val="auto"/>
                      <w:highlight w:val="none"/>
                      <w:lang w:val="en-US" w:eastAsia="zh-CN"/>
                    </w:rPr>
                    <w:t>一般固废</w:t>
                  </w:r>
                </w:p>
              </w:tc>
              <w:tc>
                <w:tcPr>
                  <w:tcW w:w="755" w:type="pct"/>
                  <w:tcBorders>
                    <w:tl2br w:val="nil"/>
                    <w:tr2bl w:val="nil"/>
                  </w:tcBorders>
                  <w:shd w:val="clear" w:color="auto" w:fill="auto"/>
                  <w:vAlign w:val="center"/>
                </w:tcPr>
                <w:p w14:paraId="77D9D056">
                  <w:pPr>
                    <w:pStyle w:val="40"/>
                    <w:bidi w:val="0"/>
                    <w:rPr>
                      <w:rFonts w:hint="eastAsia"/>
                      <w:color w:val="auto"/>
                      <w:highlight w:val="none"/>
                      <w:lang w:val="en-US" w:eastAsia="zh-CN"/>
                    </w:rPr>
                  </w:pPr>
                  <w:r>
                    <w:rPr>
                      <w:rFonts w:hint="eastAsia"/>
                      <w:color w:val="auto"/>
                      <w:highlight w:val="none"/>
                    </w:rPr>
                    <w:t>900-999-</w:t>
                  </w:r>
                  <w:r>
                    <w:rPr>
                      <w:color w:val="auto"/>
                      <w:highlight w:val="none"/>
                    </w:rPr>
                    <w:t>99</w:t>
                  </w:r>
                </w:p>
              </w:tc>
              <w:tc>
                <w:tcPr>
                  <w:tcW w:w="441" w:type="pct"/>
                  <w:tcBorders>
                    <w:tl2br w:val="nil"/>
                    <w:tr2bl w:val="nil"/>
                  </w:tcBorders>
                  <w:vAlign w:val="center"/>
                </w:tcPr>
                <w:p w14:paraId="15E0953D">
                  <w:pPr>
                    <w:pStyle w:val="40"/>
                    <w:rPr>
                      <w:rFonts w:hint="eastAsia"/>
                      <w:b w:val="0"/>
                      <w:bCs w:val="0"/>
                      <w:color w:val="auto"/>
                      <w:highlight w:val="none"/>
                    </w:rPr>
                  </w:pPr>
                  <w:r>
                    <w:rPr>
                      <w:rFonts w:hint="eastAsia"/>
                      <w:b w:val="0"/>
                      <w:bCs w:val="0"/>
                      <w:color w:val="auto"/>
                      <w:highlight w:val="none"/>
                      <w:lang w:val="en-US" w:eastAsia="zh-CN"/>
                    </w:rPr>
                    <w:t>固态</w:t>
                  </w:r>
                </w:p>
              </w:tc>
              <w:tc>
                <w:tcPr>
                  <w:tcW w:w="586" w:type="pct"/>
                  <w:tcBorders>
                    <w:tl2br w:val="nil"/>
                    <w:tr2bl w:val="nil"/>
                  </w:tcBorders>
                  <w:vAlign w:val="center"/>
                </w:tcPr>
                <w:p w14:paraId="2302B6C6">
                  <w:pPr>
                    <w:pStyle w:val="40"/>
                    <w:rPr>
                      <w:rFonts w:hint="eastAsia"/>
                      <w:b w:val="0"/>
                      <w:bCs w:val="0"/>
                      <w:color w:val="auto"/>
                      <w:highlight w:val="none"/>
                    </w:rPr>
                  </w:pPr>
                  <w:r>
                    <w:rPr>
                      <w:rFonts w:hint="eastAsia"/>
                      <w:b w:val="0"/>
                      <w:bCs w:val="0"/>
                      <w:color w:val="auto"/>
                      <w:highlight w:val="none"/>
                    </w:rPr>
                    <w:t>/</w:t>
                  </w:r>
                </w:p>
              </w:tc>
            </w:tr>
          </w:tbl>
          <w:p w14:paraId="5CB865AC">
            <w:pPr>
              <w:pStyle w:val="7"/>
              <w:keepNext w:val="0"/>
              <w:keepLines w:val="0"/>
              <w:pageBreakBefore w:val="0"/>
              <w:widowControl w:val="0"/>
              <w:kinsoku/>
              <w:wordWrap/>
              <w:overflowPunct/>
              <w:topLinePunct w:val="0"/>
              <w:autoSpaceDE/>
              <w:autoSpaceDN/>
              <w:bidi w:val="0"/>
              <w:adjustRightInd/>
              <w:snapToGrid/>
              <w:spacing w:before="157" w:beforeLines="50"/>
              <w:textAlignment w:val="auto"/>
              <w:rPr>
                <w:color w:val="auto"/>
                <w:highlight w:val="none"/>
              </w:rPr>
            </w:pPr>
            <w:bookmarkStart w:id="71" w:name="_Ref25221"/>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14</w:t>
            </w:r>
            <w:r>
              <w:rPr>
                <w:color w:val="auto"/>
                <w:highlight w:val="none"/>
              </w:rPr>
              <w:fldChar w:fldCharType="end"/>
            </w:r>
            <w:bookmarkEnd w:id="70"/>
            <w:bookmarkEnd w:id="71"/>
            <w:r>
              <w:rPr>
                <w:rFonts w:hint="eastAsia"/>
                <w:color w:val="auto"/>
                <w:highlight w:val="none"/>
              </w:rPr>
              <w:t xml:space="preserve">  固体废物排放量、贮存方式、利用处置方式及环境管理要求一览表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02"/>
              <w:gridCol w:w="804"/>
              <w:gridCol w:w="1037"/>
              <w:gridCol w:w="2045"/>
              <w:gridCol w:w="770"/>
              <w:gridCol w:w="1853"/>
            </w:tblGrid>
            <w:tr w14:paraId="2CAAE4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7" w:hRule="atLeast"/>
                <w:jc w:val="center"/>
              </w:trPr>
              <w:tc>
                <w:tcPr>
                  <w:tcW w:w="987" w:type="pct"/>
                  <w:tcBorders>
                    <w:tl2br w:val="nil"/>
                    <w:tr2bl w:val="nil"/>
                  </w:tcBorders>
                  <w:vAlign w:val="center"/>
                </w:tcPr>
                <w:p w14:paraId="344D0320">
                  <w:pPr>
                    <w:pStyle w:val="40"/>
                    <w:bidi w:val="0"/>
                    <w:rPr>
                      <w:color w:val="auto"/>
                      <w:spacing w:val="-6"/>
                      <w:sz w:val="21"/>
                      <w:highlight w:val="none"/>
                    </w:rPr>
                  </w:pPr>
                  <w:r>
                    <w:rPr>
                      <w:rFonts w:hint="eastAsia"/>
                      <w:color w:val="auto"/>
                      <w:spacing w:val="-6"/>
                      <w:sz w:val="21"/>
                      <w:highlight w:val="none"/>
                    </w:rPr>
                    <w:t>污染物名称</w:t>
                  </w:r>
                </w:p>
              </w:tc>
              <w:tc>
                <w:tcPr>
                  <w:tcW w:w="495" w:type="pct"/>
                  <w:tcBorders>
                    <w:tl2br w:val="nil"/>
                    <w:tr2bl w:val="nil"/>
                  </w:tcBorders>
                  <w:vAlign w:val="center"/>
                </w:tcPr>
                <w:p w14:paraId="35C6E9A0">
                  <w:pPr>
                    <w:pStyle w:val="40"/>
                    <w:bidi w:val="0"/>
                    <w:rPr>
                      <w:color w:val="auto"/>
                      <w:spacing w:val="-6"/>
                      <w:sz w:val="21"/>
                      <w:highlight w:val="none"/>
                    </w:rPr>
                  </w:pPr>
                  <w:r>
                    <w:rPr>
                      <w:rFonts w:hint="eastAsia"/>
                      <w:color w:val="auto"/>
                      <w:spacing w:val="-6"/>
                      <w:sz w:val="21"/>
                      <w:highlight w:val="none"/>
                    </w:rPr>
                    <w:t>产生量（t/a）</w:t>
                  </w:r>
                </w:p>
              </w:tc>
              <w:tc>
                <w:tcPr>
                  <w:tcW w:w="639" w:type="pct"/>
                  <w:tcBorders>
                    <w:tl2br w:val="nil"/>
                    <w:tr2bl w:val="nil"/>
                  </w:tcBorders>
                  <w:vAlign w:val="center"/>
                </w:tcPr>
                <w:p w14:paraId="56D241A2">
                  <w:pPr>
                    <w:pStyle w:val="40"/>
                    <w:bidi w:val="0"/>
                    <w:rPr>
                      <w:color w:val="auto"/>
                      <w:spacing w:val="-6"/>
                      <w:sz w:val="21"/>
                      <w:highlight w:val="none"/>
                    </w:rPr>
                  </w:pPr>
                  <w:r>
                    <w:rPr>
                      <w:rFonts w:hint="eastAsia"/>
                      <w:color w:val="auto"/>
                      <w:spacing w:val="-6"/>
                      <w:sz w:val="21"/>
                      <w:highlight w:val="none"/>
                    </w:rPr>
                    <w:t>贮存方式</w:t>
                  </w:r>
                </w:p>
              </w:tc>
              <w:tc>
                <w:tcPr>
                  <w:tcW w:w="1260" w:type="pct"/>
                  <w:tcBorders>
                    <w:tl2br w:val="nil"/>
                    <w:tr2bl w:val="nil"/>
                  </w:tcBorders>
                  <w:vAlign w:val="center"/>
                </w:tcPr>
                <w:p w14:paraId="25E70228">
                  <w:pPr>
                    <w:pStyle w:val="40"/>
                    <w:bidi w:val="0"/>
                    <w:rPr>
                      <w:color w:val="auto"/>
                      <w:spacing w:val="-6"/>
                      <w:sz w:val="21"/>
                      <w:highlight w:val="none"/>
                    </w:rPr>
                  </w:pPr>
                  <w:r>
                    <w:rPr>
                      <w:rFonts w:hint="eastAsia"/>
                      <w:color w:val="auto"/>
                      <w:spacing w:val="-6"/>
                      <w:sz w:val="21"/>
                      <w:highlight w:val="none"/>
                    </w:rPr>
                    <w:t>处置方式和去向</w:t>
                  </w:r>
                </w:p>
              </w:tc>
              <w:tc>
                <w:tcPr>
                  <w:tcW w:w="474" w:type="pct"/>
                  <w:tcBorders>
                    <w:tl2br w:val="nil"/>
                    <w:tr2bl w:val="nil"/>
                  </w:tcBorders>
                  <w:vAlign w:val="center"/>
                </w:tcPr>
                <w:p w14:paraId="09BD8F3D">
                  <w:pPr>
                    <w:pStyle w:val="40"/>
                    <w:bidi w:val="0"/>
                    <w:rPr>
                      <w:rFonts w:hint="eastAsia"/>
                      <w:color w:val="auto"/>
                      <w:spacing w:val="-6"/>
                      <w:sz w:val="21"/>
                      <w:highlight w:val="none"/>
                      <w:lang w:val="en-US" w:eastAsia="zh-CN"/>
                    </w:rPr>
                  </w:pPr>
                  <w:r>
                    <w:rPr>
                      <w:rFonts w:hint="eastAsia"/>
                      <w:color w:val="auto"/>
                      <w:spacing w:val="-11"/>
                      <w:sz w:val="21"/>
                      <w:highlight w:val="none"/>
                    </w:rPr>
                    <w:t>处置量（t/a）</w:t>
                  </w:r>
                </w:p>
              </w:tc>
              <w:tc>
                <w:tcPr>
                  <w:tcW w:w="1142" w:type="pct"/>
                  <w:tcBorders>
                    <w:tl2br w:val="nil"/>
                    <w:tr2bl w:val="nil"/>
                  </w:tcBorders>
                  <w:vAlign w:val="center"/>
                </w:tcPr>
                <w:p w14:paraId="1963D1E7">
                  <w:pPr>
                    <w:pStyle w:val="40"/>
                    <w:bidi w:val="0"/>
                    <w:rPr>
                      <w:color w:val="auto"/>
                      <w:spacing w:val="-6"/>
                      <w:sz w:val="21"/>
                      <w:highlight w:val="none"/>
                    </w:rPr>
                  </w:pPr>
                  <w:r>
                    <w:rPr>
                      <w:rFonts w:hint="eastAsia"/>
                      <w:color w:val="auto"/>
                      <w:spacing w:val="-6"/>
                      <w:sz w:val="21"/>
                      <w:highlight w:val="none"/>
                    </w:rPr>
                    <w:t>环境管理要求</w:t>
                  </w:r>
                </w:p>
              </w:tc>
            </w:tr>
            <w:tr w14:paraId="215759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987" w:type="pct"/>
                  <w:tcBorders>
                    <w:tl2br w:val="nil"/>
                    <w:tr2bl w:val="nil"/>
                  </w:tcBorders>
                  <w:vAlign w:val="center"/>
                </w:tcPr>
                <w:p w14:paraId="6050801F">
                  <w:pPr>
                    <w:pStyle w:val="40"/>
                    <w:bidi w:val="0"/>
                    <w:rPr>
                      <w:color w:val="auto"/>
                      <w:spacing w:val="-6"/>
                      <w:highlight w:val="none"/>
                    </w:rPr>
                  </w:pPr>
                  <w:r>
                    <w:rPr>
                      <w:rFonts w:hint="eastAsia"/>
                      <w:color w:val="auto"/>
                      <w:spacing w:val="-6"/>
                      <w:highlight w:val="none"/>
                    </w:rPr>
                    <w:t>生活垃圾</w:t>
                  </w:r>
                </w:p>
              </w:tc>
              <w:tc>
                <w:tcPr>
                  <w:tcW w:w="495" w:type="pct"/>
                  <w:tcBorders>
                    <w:tl2br w:val="nil"/>
                    <w:tr2bl w:val="nil"/>
                  </w:tcBorders>
                  <w:vAlign w:val="center"/>
                </w:tcPr>
                <w:p w14:paraId="36B912B3">
                  <w:pPr>
                    <w:pStyle w:val="40"/>
                    <w:bidi w:val="0"/>
                    <w:rPr>
                      <w:rFonts w:hint="default"/>
                      <w:color w:val="auto"/>
                      <w:spacing w:val="-6"/>
                      <w:highlight w:val="none"/>
                      <w:lang w:val="en-US" w:eastAsia="zh-CN"/>
                    </w:rPr>
                  </w:pPr>
                  <w:r>
                    <w:rPr>
                      <w:rFonts w:hint="eastAsia"/>
                      <w:color w:val="auto"/>
                      <w:spacing w:val="-6"/>
                      <w:highlight w:val="none"/>
                      <w:lang w:val="en-US" w:eastAsia="zh-CN"/>
                    </w:rPr>
                    <w:t>5.6</w:t>
                  </w:r>
                </w:p>
              </w:tc>
              <w:tc>
                <w:tcPr>
                  <w:tcW w:w="639" w:type="pct"/>
                  <w:tcBorders>
                    <w:tl2br w:val="nil"/>
                    <w:tr2bl w:val="nil"/>
                  </w:tcBorders>
                  <w:vAlign w:val="center"/>
                </w:tcPr>
                <w:p w14:paraId="07E90F2B">
                  <w:pPr>
                    <w:pStyle w:val="40"/>
                    <w:bidi w:val="0"/>
                    <w:rPr>
                      <w:color w:val="auto"/>
                      <w:spacing w:val="-6"/>
                      <w:highlight w:val="none"/>
                    </w:rPr>
                  </w:pPr>
                  <w:r>
                    <w:rPr>
                      <w:rFonts w:hint="eastAsia"/>
                      <w:color w:val="auto"/>
                      <w:spacing w:val="-6"/>
                      <w:highlight w:val="none"/>
                    </w:rPr>
                    <w:t>垃圾桶</w:t>
                  </w:r>
                </w:p>
              </w:tc>
              <w:tc>
                <w:tcPr>
                  <w:tcW w:w="1260" w:type="pct"/>
                  <w:tcBorders>
                    <w:tl2br w:val="nil"/>
                    <w:tr2bl w:val="nil"/>
                  </w:tcBorders>
                  <w:vAlign w:val="center"/>
                </w:tcPr>
                <w:p w14:paraId="6D0693CF">
                  <w:pPr>
                    <w:pStyle w:val="40"/>
                    <w:bidi w:val="0"/>
                    <w:rPr>
                      <w:rFonts w:hint="default"/>
                      <w:color w:val="auto"/>
                      <w:spacing w:val="-6"/>
                      <w:sz w:val="21"/>
                      <w:highlight w:val="none"/>
                      <w:lang w:val="en-US" w:eastAsia="zh-CN"/>
                    </w:rPr>
                  </w:pPr>
                  <w:r>
                    <w:rPr>
                      <w:rFonts w:hint="eastAsia"/>
                      <w:color w:val="auto"/>
                      <w:spacing w:val="-6"/>
                      <w:sz w:val="21"/>
                      <w:highlight w:val="none"/>
                      <w:lang w:val="en-US" w:eastAsia="zh-CN"/>
                    </w:rPr>
                    <w:t>分类</w:t>
                  </w:r>
                  <w:r>
                    <w:rPr>
                      <w:color w:val="auto"/>
                      <w:spacing w:val="-6"/>
                      <w:sz w:val="21"/>
                      <w:highlight w:val="none"/>
                    </w:rPr>
                    <w:t>收集后</w:t>
                  </w:r>
                  <w:r>
                    <w:rPr>
                      <w:rFonts w:hint="eastAsia"/>
                      <w:color w:val="auto"/>
                      <w:spacing w:val="-6"/>
                      <w:sz w:val="21"/>
                      <w:highlight w:val="none"/>
                      <w:lang w:val="en-US" w:eastAsia="zh-CN"/>
                    </w:rPr>
                    <w:t>交由环卫部门处置</w:t>
                  </w:r>
                </w:p>
              </w:tc>
              <w:tc>
                <w:tcPr>
                  <w:tcW w:w="474" w:type="pct"/>
                  <w:tcBorders>
                    <w:tl2br w:val="nil"/>
                    <w:tr2bl w:val="nil"/>
                  </w:tcBorders>
                  <w:vAlign w:val="center"/>
                </w:tcPr>
                <w:p w14:paraId="2223E5E3">
                  <w:pPr>
                    <w:pStyle w:val="40"/>
                    <w:bidi w:val="0"/>
                    <w:rPr>
                      <w:rFonts w:hint="default"/>
                      <w:color w:val="auto"/>
                      <w:spacing w:val="-6"/>
                      <w:highlight w:val="none"/>
                      <w:lang w:val="en-US" w:eastAsia="zh-CN"/>
                    </w:rPr>
                  </w:pPr>
                  <w:r>
                    <w:rPr>
                      <w:rFonts w:hint="eastAsia"/>
                      <w:color w:val="auto"/>
                      <w:spacing w:val="-6"/>
                      <w:highlight w:val="none"/>
                      <w:lang w:val="en-US" w:eastAsia="zh-CN"/>
                    </w:rPr>
                    <w:t>5.6</w:t>
                  </w:r>
                </w:p>
              </w:tc>
              <w:tc>
                <w:tcPr>
                  <w:tcW w:w="1142" w:type="pct"/>
                  <w:tcBorders>
                    <w:tl2br w:val="nil"/>
                    <w:tr2bl w:val="nil"/>
                  </w:tcBorders>
                  <w:vAlign w:val="center"/>
                </w:tcPr>
                <w:p w14:paraId="45F458CE">
                  <w:pPr>
                    <w:pStyle w:val="40"/>
                    <w:bidi w:val="0"/>
                    <w:rPr>
                      <w:rFonts w:hint="default" w:eastAsia="宋体"/>
                      <w:color w:val="auto"/>
                      <w:spacing w:val="-6"/>
                      <w:highlight w:val="none"/>
                      <w:lang w:val="en-US" w:eastAsia="zh-CN"/>
                    </w:rPr>
                  </w:pPr>
                  <w:r>
                    <w:rPr>
                      <w:rFonts w:hint="eastAsia"/>
                      <w:color w:val="auto"/>
                      <w:spacing w:val="-6"/>
                      <w:highlight w:val="none"/>
                      <w:lang w:val="en-US" w:eastAsia="zh-CN"/>
                    </w:rPr>
                    <w:t>/</w:t>
                  </w:r>
                </w:p>
              </w:tc>
            </w:tr>
            <w:tr w14:paraId="219504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987" w:type="pct"/>
                  <w:tcBorders>
                    <w:tl2br w:val="nil"/>
                    <w:tr2bl w:val="nil"/>
                  </w:tcBorders>
                  <w:vAlign w:val="center"/>
                </w:tcPr>
                <w:p w14:paraId="62D94EA5">
                  <w:pPr>
                    <w:pStyle w:val="40"/>
                    <w:bidi w:val="0"/>
                    <w:rPr>
                      <w:color w:val="auto"/>
                      <w:spacing w:val="-6"/>
                      <w:highlight w:val="none"/>
                    </w:rPr>
                  </w:pPr>
                  <w:r>
                    <w:rPr>
                      <w:rFonts w:hint="eastAsia"/>
                      <w:color w:val="auto"/>
                      <w:spacing w:val="-6"/>
                      <w:highlight w:val="none"/>
                    </w:rPr>
                    <w:t>废</w:t>
                  </w:r>
                  <w:r>
                    <w:rPr>
                      <w:rFonts w:hint="eastAsia"/>
                      <w:color w:val="auto"/>
                      <w:spacing w:val="-6"/>
                      <w:highlight w:val="none"/>
                      <w:lang w:val="en-US" w:eastAsia="zh-CN"/>
                    </w:rPr>
                    <w:t>机</w:t>
                  </w:r>
                  <w:r>
                    <w:rPr>
                      <w:rFonts w:hint="eastAsia"/>
                      <w:color w:val="auto"/>
                      <w:spacing w:val="-6"/>
                      <w:highlight w:val="none"/>
                    </w:rPr>
                    <w:t>油</w:t>
                  </w:r>
                </w:p>
              </w:tc>
              <w:tc>
                <w:tcPr>
                  <w:tcW w:w="495" w:type="pct"/>
                  <w:tcBorders>
                    <w:tl2br w:val="nil"/>
                    <w:tr2bl w:val="nil"/>
                  </w:tcBorders>
                  <w:vAlign w:val="center"/>
                </w:tcPr>
                <w:p w14:paraId="00321A6B">
                  <w:pPr>
                    <w:pStyle w:val="40"/>
                    <w:bidi w:val="0"/>
                    <w:rPr>
                      <w:rFonts w:hint="default" w:eastAsia="宋体"/>
                      <w:color w:val="auto"/>
                      <w:spacing w:val="-6"/>
                      <w:highlight w:val="none"/>
                      <w:lang w:val="en-US" w:eastAsia="zh-CN"/>
                    </w:rPr>
                  </w:pPr>
                  <w:r>
                    <w:rPr>
                      <w:rFonts w:hint="eastAsia"/>
                      <w:color w:val="auto"/>
                      <w:spacing w:val="-6"/>
                      <w:highlight w:val="none"/>
                      <w:lang w:val="en-US" w:eastAsia="zh-CN"/>
                    </w:rPr>
                    <w:t>0.5</w:t>
                  </w:r>
                </w:p>
              </w:tc>
              <w:tc>
                <w:tcPr>
                  <w:tcW w:w="639" w:type="pct"/>
                  <w:tcBorders>
                    <w:tl2br w:val="nil"/>
                    <w:tr2bl w:val="nil"/>
                  </w:tcBorders>
                  <w:vAlign w:val="center"/>
                </w:tcPr>
                <w:p w14:paraId="15174F76">
                  <w:pPr>
                    <w:pStyle w:val="40"/>
                    <w:bidi w:val="0"/>
                    <w:rPr>
                      <w:rFonts w:hint="eastAsia"/>
                      <w:color w:val="auto"/>
                      <w:spacing w:val="-6"/>
                      <w:highlight w:val="none"/>
                    </w:rPr>
                  </w:pPr>
                  <w:r>
                    <w:rPr>
                      <w:rFonts w:hint="eastAsia"/>
                      <w:color w:val="auto"/>
                      <w:spacing w:val="-6"/>
                      <w:highlight w:val="none"/>
                    </w:rPr>
                    <w:t>危废</w:t>
                  </w:r>
                </w:p>
                <w:p w14:paraId="0DE78D07">
                  <w:pPr>
                    <w:pStyle w:val="40"/>
                    <w:bidi w:val="0"/>
                    <w:rPr>
                      <w:color w:val="auto"/>
                      <w:spacing w:val="-6"/>
                      <w:highlight w:val="none"/>
                    </w:rPr>
                  </w:pPr>
                  <w:r>
                    <w:rPr>
                      <w:rFonts w:hint="eastAsia"/>
                      <w:color w:val="auto"/>
                      <w:spacing w:val="-6"/>
                      <w:highlight w:val="none"/>
                    </w:rPr>
                    <w:t>贮存点</w:t>
                  </w:r>
                </w:p>
              </w:tc>
              <w:tc>
                <w:tcPr>
                  <w:tcW w:w="1260" w:type="pct"/>
                  <w:tcBorders>
                    <w:tl2br w:val="nil"/>
                    <w:tr2bl w:val="nil"/>
                  </w:tcBorders>
                  <w:vAlign w:val="center"/>
                </w:tcPr>
                <w:p w14:paraId="274703AE">
                  <w:pPr>
                    <w:pStyle w:val="40"/>
                    <w:bidi w:val="0"/>
                    <w:rPr>
                      <w:color w:val="auto"/>
                      <w:spacing w:val="-6"/>
                      <w:sz w:val="21"/>
                      <w:highlight w:val="none"/>
                    </w:rPr>
                  </w:pPr>
                  <w:r>
                    <w:rPr>
                      <w:rFonts w:hint="eastAsia"/>
                      <w:color w:val="auto"/>
                      <w:spacing w:val="-6"/>
                      <w:sz w:val="21"/>
                      <w:highlight w:val="none"/>
                    </w:rPr>
                    <w:t>委托有资质单位处理</w:t>
                  </w:r>
                </w:p>
              </w:tc>
              <w:tc>
                <w:tcPr>
                  <w:tcW w:w="474" w:type="pct"/>
                  <w:tcBorders>
                    <w:tl2br w:val="nil"/>
                    <w:tr2bl w:val="nil"/>
                  </w:tcBorders>
                  <w:vAlign w:val="center"/>
                </w:tcPr>
                <w:p w14:paraId="6AB9AF81">
                  <w:pPr>
                    <w:pStyle w:val="40"/>
                    <w:bidi w:val="0"/>
                    <w:rPr>
                      <w:rFonts w:hint="default" w:eastAsia="宋体"/>
                      <w:color w:val="auto"/>
                      <w:spacing w:val="-6"/>
                      <w:highlight w:val="none"/>
                      <w:lang w:val="en-US" w:eastAsia="zh-CN"/>
                    </w:rPr>
                  </w:pPr>
                  <w:r>
                    <w:rPr>
                      <w:rFonts w:hint="eastAsia"/>
                      <w:color w:val="auto"/>
                      <w:spacing w:val="-6"/>
                      <w:highlight w:val="none"/>
                      <w:lang w:val="en-US" w:eastAsia="zh-CN"/>
                    </w:rPr>
                    <w:t>0.5</w:t>
                  </w:r>
                </w:p>
              </w:tc>
              <w:tc>
                <w:tcPr>
                  <w:tcW w:w="1142" w:type="pct"/>
                  <w:tcBorders>
                    <w:tl2br w:val="nil"/>
                    <w:tr2bl w:val="nil"/>
                  </w:tcBorders>
                  <w:vAlign w:val="center"/>
                </w:tcPr>
                <w:p w14:paraId="256AACEC">
                  <w:pPr>
                    <w:pStyle w:val="40"/>
                    <w:bidi w:val="0"/>
                    <w:rPr>
                      <w:color w:val="auto"/>
                      <w:spacing w:val="-6"/>
                      <w:highlight w:val="none"/>
                    </w:rPr>
                  </w:pPr>
                  <w:r>
                    <w:rPr>
                      <w:rFonts w:hint="eastAsia"/>
                      <w:color w:val="auto"/>
                      <w:spacing w:val="-6"/>
                      <w:highlight w:val="none"/>
                    </w:rPr>
                    <w:t>《危险废物贮存污染控制标准》（GB</w:t>
                  </w:r>
                  <w:r>
                    <w:rPr>
                      <w:rFonts w:hint="eastAsia"/>
                      <w:color w:val="auto"/>
                      <w:spacing w:val="-6"/>
                      <w:highlight w:val="none"/>
                      <w:lang w:val="en-US" w:eastAsia="zh-CN"/>
                    </w:rPr>
                    <w:t xml:space="preserve"> </w:t>
                  </w:r>
                  <w:r>
                    <w:rPr>
                      <w:rFonts w:hint="eastAsia"/>
                      <w:color w:val="auto"/>
                      <w:spacing w:val="-6"/>
                      <w:highlight w:val="none"/>
                    </w:rPr>
                    <w:t>18597-2023）</w:t>
                  </w:r>
                </w:p>
              </w:tc>
            </w:tr>
            <w:tr w14:paraId="2A951F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987" w:type="pct"/>
                  <w:tcBorders>
                    <w:tl2br w:val="nil"/>
                    <w:tr2bl w:val="nil"/>
                  </w:tcBorders>
                  <w:shd w:val="clear" w:color="auto" w:fill="auto"/>
                  <w:vAlign w:val="center"/>
                </w:tcPr>
                <w:p w14:paraId="4E38C92E">
                  <w:pPr>
                    <w:pStyle w:val="40"/>
                    <w:bidi w:val="0"/>
                    <w:rPr>
                      <w:rFonts w:hint="eastAsia"/>
                      <w:color w:val="auto"/>
                      <w:spacing w:val="-6"/>
                      <w:sz w:val="21"/>
                      <w:highlight w:val="none"/>
                      <w:lang w:val="en-US" w:eastAsia="zh-CN"/>
                    </w:rPr>
                  </w:pPr>
                  <w:r>
                    <w:rPr>
                      <w:rFonts w:hint="eastAsia"/>
                      <w:color w:val="auto"/>
                      <w:spacing w:val="-6"/>
                      <w:sz w:val="21"/>
                      <w:highlight w:val="none"/>
                      <w:lang w:val="en-US" w:eastAsia="zh-CN"/>
                    </w:rPr>
                    <w:t>灰渣</w:t>
                  </w:r>
                </w:p>
              </w:tc>
              <w:tc>
                <w:tcPr>
                  <w:tcW w:w="495" w:type="pct"/>
                  <w:tcBorders>
                    <w:tl2br w:val="nil"/>
                    <w:tr2bl w:val="nil"/>
                  </w:tcBorders>
                  <w:vAlign w:val="center"/>
                </w:tcPr>
                <w:p w14:paraId="222EF9F8">
                  <w:pPr>
                    <w:pStyle w:val="40"/>
                    <w:bidi w:val="0"/>
                    <w:rPr>
                      <w:rFonts w:hint="default" w:eastAsia="宋体"/>
                      <w:color w:val="auto"/>
                      <w:spacing w:val="-6"/>
                      <w:highlight w:val="none"/>
                      <w:lang w:val="en-US" w:eastAsia="zh-CN"/>
                    </w:rPr>
                  </w:pPr>
                  <w:r>
                    <w:rPr>
                      <w:rFonts w:hint="eastAsia"/>
                      <w:color w:val="auto"/>
                      <w:spacing w:val="-6"/>
                      <w:highlight w:val="none"/>
                      <w:lang w:val="en-US" w:eastAsia="zh-CN"/>
                    </w:rPr>
                    <w:t>1902.5</w:t>
                  </w:r>
                </w:p>
              </w:tc>
              <w:tc>
                <w:tcPr>
                  <w:tcW w:w="639" w:type="pct"/>
                  <w:tcBorders>
                    <w:tl2br w:val="nil"/>
                    <w:tr2bl w:val="nil"/>
                  </w:tcBorders>
                  <w:vAlign w:val="center"/>
                </w:tcPr>
                <w:p w14:paraId="044412E2">
                  <w:pPr>
                    <w:pStyle w:val="40"/>
                    <w:bidi w:val="0"/>
                    <w:rPr>
                      <w:rFonts w:hint="eastAsia"/>
                      <w:color w:val="auto"/>
                      <w:spacing w:val="-6"/>
                      <w:highlight w:val="none"/>
                    </w:rPr>
                  </w:pPr>
                  <w:r>
                    <w:rPr>
                      <w:rFonts w:hint="eastAsia"/>
                      <w:color w:val="auto"/>
                      <w:spacing w:val="-6"/>
                      <w:highlight w:val="none"/>
                      <w:lang w:val="en-US" w:eastAsia="zh-CN"/>
                    </w:rPr>
                    <w:t>灰渣储库</w:t>
                  </w:r>
                </w:p>
              </w:tc>
              <w:tc>
                <w:tcPr>
                  <w:tcW w:w="1260" w:type="pct"/>
                  <w:vMerge w:val="restart"/>
                  <w:tcBorders>
                    <w:tl2br w:val="nil"/>
                    <w:tr2bl w:val="nil"/>
                  </w:tcBorders>
                  <w:vAlign w:val="center"/>
                </w:tcPr>
                <w:p w14:paraId="31241D6A">
                  <w:pPr>
                    <w:pStyle w:val="40"/>
                    <w:bidi w:val="0"/>
                    <w:rPr>
                      <w:rFonts w:hint="eastAsia"/>
                      <w:color w:val="auto"/>
                      <w:spacing w:val="-6"/>
                      <w:sz w:val="21"/>
                      <w:highlight w:val="none"/>
                    </w:rPr>
                  </w:pPr>
                  <w:r>
                    <w:rPr>
                      <w:rFonts w:hint="eastAsia"/>
                      <w:bCs/>
                      <w:color w:val="auto"/>
                      <w:sz w:val="21"/>
                      <w:szCs w:val="21"/>
                      <w:highlight w:val="none"/>
                      <w:lang w:val="en-US" w:eastAsia="zh-CN"/>
                    </w:rPr>
                    <w:t>交由当地农业合作社用作</w:t>
                  </w:r>
                  <w:r>
                    <w:rPr>
                      <w:rFonts w:hint="eastAsia"/>
                      <w:color w:val="auto"/>
                      <w:highlight w:val="none"/>
                      <w:lang w:val="en-US" w:eastAsia="zh-CN"/>
                    </w:rPr>
                    <w:t>农家肥</w:t>
                  </w:r>
                </w:p>
              </w:tc>
              <w:tc>
                <w:tcPr>
                  <w:tcW w:w="474" w:type="pct"/>
                  <w:tcBorders>
                    <w:tl2br w:val="nil"/>
                    <w:tr2bl w:val="nil"/>
                  </w:tcBorders>
                  <w:vAlign w:val="center"/>
                </w:tcPr>
                <w:p w14:paraId="341DD770">
                  <w:pPr>
                    <w:pStyle w:val="40"/>
                    <w:bidi w:val="0"/>
                    <w:rPr>
                      <w:rFonts w:hint="default"/>
                      <w:color w:val="auto"/>
                      <w:spacing w:val="-6"/>
                      <w:highlight w:val="none"/>
                      <w:lang w:val="en-US"/>
                    </w:rPr>
                  </w:pPr>
                  <w:r>
                    <w:rPr>
                      <w:rFonts w:hint="eastAsia"/>
                      <w:color w:val="auto"/>
                      <w:spacing w:val="-6"/>
                      <w:highlight w:val="none"/>
                      <w:lang w:val="en-US" w:eastAsia="zh-CN"/>
                    </w:rPr>
                    <w:t>1902.5</w:t>
                  </w:r>
                </w:p>
              </w:tc>
              <w:tc>
                <w:tcPr>
                  <w:tcW w:w="1142" w:type="pct"/>
                  <w:vMerge w:val="restart"/>
                  <w:tcBorders>
                    <w:tl2br w:val="nil"/>
                    <w:tr2bl w:val="nil"/>
                  </w:tcBorders>
                  <w:vAlign w:val="center"/>
                </w:tcPr>
                <w:p w14:paraId="3C44FE68">
                  <w:pPr>
                    <w:pStyle w:val="40"/>
                    <w:bidi w:val="0"/>
                    <w:rPr>
                      <w:rFonts w:hint="eastAsia" w:eastAsia="宋体"/>
                      <w:color w:val="auto"/>
                      <w:spacing w:val="-6"/>
                      <w:highlight w:val="none"/>
                      <w:lang w:val="en-US" w:eastAsia="zh-CN"/>
                    </w:rPr>
                  </w:pPr>
                  <w:r>
                    <w:rPr>
                      <w:rFonts w:hint="eastAsia" w:eastAsia="宋体"/>
                      <w:color w:val="auto"/>
                      <w:spacing w:val="-6"/>
                      <w:highlight w:val="none"/>
                      <w:lang w:val="en-US" w:eastAsia="zh-CN"/>
                    </w:rPr>
                    <w:t>灰渣储库全封闭，地面进行简单硬化</w:t>
                  </w:r>
                </w:p>
              </w:tc>
            </w:tr>
            <w:tr w14:paraId="3C2503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987" w:type="pct"/>
                  <w:tcBorders>
                    <w:tl2br w:val="nil"/>
                    <w:tr2bl w:val="nil"/>
                  </w:tcBorders>
                  <w:shd w:val="clear" w:color="auto" w:fill="auto"/>
                  <w:vAlign w:val="center"/>
                </w:tcPr>
                <w:p w14:paraId="70B5929C">
                  <w:pPr>
                    <w:pStyle w:val="40"/>
                    <w:bidi w:val="0"/>
                    <w:rPr>
                      <w:rFonts w:hint="eastAsia"/>
                      <w:color w:val="auto"/>
                      <w:spacing w:val="-6"/>
                      <w:sz w:val="21"/>
                      <w:highlight w:val="none"/>
                      <w:lang w:val="en-US" w:eastAsia="zh-CN"/>
                    </w:rPr>
                  </w:pPr>
                  <w:r>
                    <w:rPr>
                      <w:rFonts w:hint="eastAsia"/>
                      <w:color w:val="auto"/>
                      <w:spacing w:val="-6"/>
                      <w:sz w:val="21"/>
                      <w:highlight w:val="none"/>
                      <w:lang w:val="en-US" w:eastAsia="zh-CN"/>
                    </w:rPr>
                    <w:t>烟气除尘灰</w:t>
                  </w:r>
                </w:p>
              </w:tc>
              <w:tc>
                <w:tcPr>
                  <w:tcW w:w="495" w:type="pct"/>
                  <w:tcBorders>
                    <w:tl2br w:val="nil"/>
                    <w:tr2bl w:val="nil"/>
                  </w:tcBorders>
                  <w:vAlign w:val="center"/>
                </w:tcPr>
                <w:p w14:paraId="74186B52">
                  <w:pPr>
                    <w:pStyle w:val="40"/>
                    <w:bidi w:val="0"/>
                    <w:rPr>
                      <w:rFonts w:hint="default" w:eastAsia="宋体"/>
                      <w:color w:val="auto"/>
                      <w:spacing w:val="-6"/>
                      <w:highlight w:val="none"/>
                      <w:lang w:val="en-US" w:eastAsia="zh-CN"/>
                    </w:rPr>
                  </w:pPr>
                  <w:r>
                    <w:rPr>
                      <w:rFonts w:hint="eastAsia"/>
                      <w:color w:val="auto"/>
                      <w:spacing w:val="-6"/>
                      <w:highlight w:val="none"/>
                      <w:lang w:val="en-US" w:eastAsia="zh-CN"/>
                    </w:rPr>
                    <w:t>8.22</w:t>
                  </w:r>
                </w:p>
              </w:tc>
              <w:tc>
                <w:tcPr>
                  <w:tcW w:w="639" w:type="pct"/>
                  <w:tcBorders>
                    <w:tl2br w:val="nil"/>
                    <w:tr2bl w:val="nil"/>
                  </w:tcBorders>
                  <w:vAlign w:val="center"/>
                </w:tcPr>
                <w:p w14:paraId="4DC22A61">
                  <w:pPr>
                    <w:pStyle w:val="40"/>
                    <w:bidi w:val="0"/>
                    <w:rPr>
                      <w:rFonts w:hint="default" w:eastAsia="宋体"/>
                      <w:color w:val="auto"/>
                      <w:spacing w:val="-6"/>
                      <w:highlight w:val="none"/>
                      <w:lang w:val="en-US" w:eastAsia="zh-CN"/>
                    </w:rPr>
                  </w:pPr>
                  <w:r>
                    <w:rPr>
                      <w:rFonts w:hint="eastAsia"/>
                      <w:color w:val="auto"/>
                      <w:spacing w:val="-6"/>
                      <w:highlight w:val="none"/>
                      <w:lang w:val="en-US" w:eastAsia="zh-CN"/>
                    </w:rPr>
                    <w:t>烟气除尘灰筒仓</w:t>
                  </w:r>
                </w:p>
              </w:tc>
              <w:tc>
                <w:tcPr>
                  <w:tcW w:w="1260" w:type="pct"/>
                  <w:vMerge w:val="continue"/>
                  <w:tcBorders>
                    <w:tl2br w:val="nil"/>
                    <w:tr2bl w:val="nil"/>
                  </w:tcBorders>
                  <w:vAlign w:val="center"/>
                </w:tcPr>
                <w:p w14:paraId="7F7B77EB">
                  <w:pPr>
                    <w:pStyle w:val="40"/>
                    <w:bidi w:val="0"/>
                    <w:rPr>
                      <w:rFonts w:hint="eastAsia"/>
                      <w:color w:val="auto"/>
                      <w:spacing w:val="-6"/>
                      <w:sz w:val="21"/>
                      <w:highlight w:val="none"/>
                    </w:rPr>
                  </w:pPr>
                </w:p>
              </w:tc>
              <w:tc>
                <w:tcPr>
                  <w:tcW w:w="474" w:type="pct"/>
                  <w:tcBorders>
                    <w:tl2br w:val="nil"/>
                    <w:tr2bl w:val="nil"/>
                  </w:tcBorders>
                  <w:vAlign w:val="center"/>
                </w:tcPr>
                <w:p w14:paraId="46BA4988">
                  <w:pPr>
                    <w:pStyle w:val="40"/>
                    <w:bidi w:val="0"/>
                    <w:rPr>
                      <w:rFonts w:hint="default" w:eastAsia="宋体"/>
                      <w:color w:val="auto"/>
                      <w:spacing w:val="-6"/>
                      <w:highlight w:val="none"/>
                      <w:lang w:val="en-US" w:eastAsia="zh-CN"/>
                    </w:rPr>
                  </w:pPr>
                  <w:r>
                    <w:rPr>
                      <w:rFonts w:hint="eastAsia"/>
                      <w:color w:val="auto"/>
                      <w:spacing w:val="-6"/>
                      <w:highlight w:val="none"/>
                      <w:lang w:val="en-US" w:eastAsia="zh-CN"/>
                    </w:rPr>
                    <w:t>8.22</w:t>
                  </w:r>
                </w:p>
              </w:tc>
              <w:tc>
                <w:tcPr>
                  <w:tcW w:w="1142" w:type="pct"/>
                  <w:vMerge w:val="continue"/>
                  <w:tcBorders>
                    <w:tl2br w:val="nil"/>
                    <w:tr2bl w:val="nil"/>
                  </w:tcBorders>
                  <w:vAlign w:val="center"/>
                </w:tcPr>
                <w:p w14:paraId="01398BC0">
                  <w:pPr>
                    <w:pStyle w:val="40"/>
                    <w:bidi w:val="0"/>
                    <w:rPr>
                      <w:rFonts w:hint="eastAsia" w:eastAsia="宋体"/>
                      <w:color w:val="auto"/>
                      <w:spacing w:val="-6"/>
                      <w:highlight w:val="none"/>
                      <w:lang w:val="en-US" w:eastAsia="zh-CN"/>
                    </w:rPr>
                  </w:pPr>
                </w:p>
              </w:tc>
            </w:tr>
            <w:tr w14:paraId="3A8CD5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987" w:type="pct"/>
                  <w:tcBorders>
                    <w:tl2br w:val="nil"/>
                    <w:tr2bl w:val="nil"/>
                  </w:tcBorders>
                  <w:shd w:val="clear" w:color="auto" w:fill="auto"/>
                  <w:vAlign w:val="center"/>
                </w:tcPr>
                <w:p w14:paraId="70E02FB4">
                  <w:pPr>
                    <w:pStyle w:val="40"/>
                    <w:bidi w:val="0"/>
                    <w:rPr>
                      <w:rFonts w:hint="eastAsia"/>
                      <w:color w:val="auto"/>
                      <w:spacing w:val="-6"/>
                      <w:sz w:val="21"/>
                      <w:highlight w:val="none"/>
                      <w:lang w:val="en-US" w:eastAsia="zh-CN"/>
                    </w:rPr>
                  </w:pPr>
                  <w:r>
                    <w:rPr>
                      <w:rFonts w:hint="eastAsia"/>
                      <w:color w:val="auto"/>
                      <w:spacing w:val="-6"/>
                      <w:sz w:val="21"/>
                      <w:highlight w:val="none"/>
                      <w:lang w:val="en-US" w:eastAsia="zh-CN"/>
                    </w:rPr>
                    <w:t>废离子交换树脂</w:t>
                  </w:r>
                </w:p>
              </w:tc>
              <w:tc>
                <w:tcPr>
                  <w:tcW w:w="495" w:type="pct"/>
                  <w:tcBorders>
                    <w:tl2br w:val="nil"/>
                    <w:tr2bl w:val="nil"/>
                  </w:tcBorders>
                  <w:vAlign w:val="center"/>
                </w:tcPr>
                <w:p w14:paraId="6482EF0C">
                  <w:pPr>
                    <w:pStyle w:val="40"/>
                    <w:bidi w:val="0"/>
                    <w:rPr>
                      <w:rFonts w:hint="default" w:eastAsia="宋体"/>
                      <w:color w:val="auto"/>
                      <w:spacing w:val="-6"/>
                      <w:highlight w:val="none"/>
                      <w:lang w:val="en-US" w:eastAsia="zh-CN"/>
                    </w:rPr>
                  </w:pPr>
                  <w:r>
                    <w:rPr>
                      <w:rFonts w:hint="eastAsia"/>
                      <w:color w:val="auto"/>
                      <w:spacing w:val="-6"/>
                      <w:highlight w:val="none"/>
                      <w:lang w:val="en-US" w:eastAsia="zh-CN"/>
                    </w:rPr>
                    <w:t>0.58</w:t>
                  </w:r>
                </w:p>
              </w:tc>
              <w:tc>
                <w:tcPr>
                  <w:tcW w:w="639" w:type="pct"/>
                  <w:tcBorders>
                    <w:tl2br w:val="nil"/>
                    <w:tr2bl w:val="nil"/>
                  </w:tcBorders>
                  <w:vAlign w:val="center"/>
                </w:tcPr>
                <w:p w14:paraId="3E86E784">
                  <w:pPr>
                    <w:pStyle w:val="40"/>
                    <w:bidi w:val="0"/>
                    <w:rPr>
                      <w:rFonts w:hint="eastAsia"/>
                      <w:color w:val="auto"/>
                      <w:spacing w:val="-6"/>
                      <w:highlight w:val="none"/>
                    </w:rPr>
                  </w:pPr>
                  <w:r>
                    <w:rPr>
                      <w:rFonts w:hint="eastAsia"/>
                      <w:color w:val="auto"/>
                      <w:spacing w:val="-6"/>
                      <w:highlight w:val="none"/>
                      <w:lang w:val="en-US" w:eastAsia="zh-CN"/>
                    </w:rPr>
                    <w:t>灰渣储库</w:t>
                  </w:r>
                </w:p>
              </w:tc>
              <w:tc>
                <w:tcPr>
                  <w:tcW w:w="1260" w:type="pct"/>
                  <w:tcBorders>
                    <w:tl2br w:val="nil"/>
                    <w:tr2bl w:val="nil"/>
                  </w:tcBorders>
                  <w:shd w:val="clear" w:color="auto" w:fill="auto"/>
                  <w:vAlign w:val="center"/>
                </w:tcPr>
                <w:p w14:paraId="275FBF2E">
                  <w:pPr>
                    <w:pStyle w:val="40"/>
                    <w:bidi w:val="0"/>
                    <w:rPr>
                      <w:rFonts w:hint="eastAsia"/>
                      <w:color w:val="auto"/>
                      <w:spacing w:val="-6"/>
                      <w:sz w:val="21"/>
                      <w:highlight w:val="none"/>
                      <w:lang w:val="en-US" w:eastAsia="zh-CN"/>
                    </w:rPr>
                  </w:pPr>
                  <w:r>
                    <w:rPr>
                      <w:rFonts w:hint="eastAsia"/>
                      <w:color w:val="auto"/>
                      <w:spacing w:val="-6"/>
                      <w:sz w:val="21"/>
                      <w:highlight w:val="none"/>
                    </w:rPr>
                    <w:t>交由厂家</w:t>
                  </w:r>
                  <w:r>
                    <w:rPr>
                      <w:color w:val="auto"/>
                      <w:spacing w:val="-6"/>
                      <w:sz w:val="21"/>
                      <w:highlight w:val="none"/>
                    </w:rPr>
                    <w:t>回收</w:t>
                  </w:r>
                </w:p>
              </w:tc>
              <w:tc>
                <w:tcPr>
                  <w:tcW w:w="474" w:type="pct"/>
                  <w:tcBorders>
                    <w:tl2br w:val="nil"/>
                    <w:tr2bl w:val="nil"/>
                  </w:tcBorders>
                  <w:vAlign w:val="center"/>
                </w:tcPr>
                <w:p w14:paraId="4A191EBD">
                  <w:pPr>
                    <w:pStyle w:val="40"/>
                    <w:bidi w:val="0"/>
                    <w:rPr>
                      <w:rFonts w:hint="default" w:eastAsia="宋体"/>
                      <w:color w:val="auto"/>
                      <w:spacing w:val="-6"/>
                      <w:highlight w:val="none"/>
                      <w:lang w:val="en-US" w:eastAsia="zh-CN"/>
                    </w:rPr>
                  </w:pPr>
                  <w:r>
                    <w:rPr>
                      <w:rFonts w:hint="eastAsia"/>
                      <w:color w:val="auto"/>
                      <w:spacing w:val="-6"/>
                      <w:highlight w:val="none"/>
                      <w:lang w:val="en-US" w:eastAsia="zh-CN"/>
                    </w:rPr>
                    <w:t>0.58</w:t>
                  </w:r>
                </w:p>
              </w:tc>
              <w:tc>
                <w:tcPr>
                  <w:tcW w:w="1142" w:type="pct"/>
                  <w:vMerge w:val="continue"/>
                  <w:tcBorders>
                    <w:tl2br w:val="nil"/>
                    <w:tr2bl w:val="nil"/>
                  </w:tcBorders>
                  <w:vAlign w:val="center"/>
                </w:tcPr>
                <w:p w14:paraId="4885BCFE">
                  <w:pPr>
                    <w:pStyle w:val="40"/>
                    <w:bidi w:val="0"/>
                    <w:rPr>
                      <w:rFonts w:hint="eastAsia" w:eastAsia="宋体"/>
                      <w:color w:val="auto"/>
                      <w:spacing w:val="-6"/>
                      <w:highlight w:val="none"/>
                      <w:lang w:val="en-US" w:eastAsia="zh-CN"/>
                    </w:rPr>
                  </w:pPr>
                </w:p>
              </w:tc>
            </w:tr>
          </w:tbl>
          <w:p w14:paraId="2F3D3D96">
            <w:pPr>
              <w:pStyle w:val="41"/>
              <w:keepNext w:val="0"/>
              <w:keepLines w:val="0"/>
              <w:pageBreakBefore w:val="0"/>
              <w:widowControl w:val="0"/>
              <w:kinsoku/>
              <w:wordWrap/>
              <w:overflowPunct/>
              <w:topLinePunct w:val="0"/>
              <w:autoSpaceDE/>
              <w:autoSpaceDN/>
              <w:bidi w:val="0"/>
              <w:adjustRightInd/>
              <w:snapToGrid/>
              <w:spacing w:before="157" w:beforeLines="50"/>
              <w:textAlignment w:val="auto"/>
              <w:rPr>
                <w:color w:val="auto"/>
                <w:highlight w:val="none"/>
              </w:rPr>
            </w:pPr>
            <w:r>
              <w:rPr>
                <w:rFonts w:hint="eastAsia"/>
                <w:color w:val="auto"/>
                <w:highlight w:val="none"/>
              </w:rPr>
              <w:t>2、锅炉灰渣</w:t>
            </w:r>
            <w:r>
              <w:rPr>
                <w:rFonts w:hint="eastAsia"/>
                <w:color w:val="auto"/>
                <w:highlight w:val="none"/>
                <w:lang w:val="en-US" w:eastAsia="zh-CN"/>
              </w:rPr>
              <w:t>用作农家肥</w:t>
            </w:r>
            <w:r>
              <w:rPr>
                <w:rFonts w:hint="eastAsia"/>
                <w:color w:val="auto"/>
                <w:highlight w:val="none"/>
              </w:rPr>
              <w:t>的可行性</w:t>
            </w:r>
          </w:p>
          <w:p w14:paraId="3A1E777A">
            <w:pPr>
              <w:bidi w:val="0"/>
              <w:rPr>
                <w:rFonts w:hint="default"/>
                <w:color w:val="auto"/>
                <w:highlight w:val="none"/>
                <w:lang w:val="en-US" w:eastAsia="zh-CN"/>
              </w:rPr>
            </w:pPr>
            <w:r>
              <w:rPr>
                <w:rFonts w:hint="eastAsia"/>
                <w:color w:val="auto"/>
                <w:highlight w:val="none"/>
                <w:lang w:val="en-US" w:eastAsia="zh-CN"/>
              </w:rPr>
              <w:t>目前国家未发布农家肥相关质量标准，</w:t>
            </w:r>
            <w:r>
              <w:rPr>
                <w:rFonts w:hint="eastAsia"/>
                <w:color w:val="auto"/>
                <w:highlight w:val="none"/>
                <w:lang w:val="en-US" w:eastAsia="zh-CN"/>
              </w:rPr>
              <w:t>锅炉灰渣交由当地农业合作社用作农家肥产品时</w:t>
            </w:r>
            <w:r>
              <w:rPr>
                <w:rFonts w:hint="eastAsia"/>
                <w:color w:val="auto"/>
                <w:highlight w:val="none"/>
                <w:lang w:val="en-US" w:eastAsia="zh-CN"/>
              </w:rPr>
              <w:t>可参照执行《有机肥料》（NY/T 525-2021）中表2 有机肥料限量指标要求以及《有机无机复混肥料》（GB/T 18877-2020）中表1 有机无机复混肥料的技术指标要求，具体指标要求见</w:t>
            </w:r>
            <w:r>
              <w:rPr>
                <w:rFonts w:hint="eastAsia"/>
                <w:color w:val="auto"/>
                <w:highlight w:val="none"/>
                <w:lang w:val="en-US" w:eastAsia="zh-CN"/>
              </w:rPr>
              <w:fldChar w:fldCharType="begin"/>
            </w:r>
            <w:r>
              <w:rPr>
                <w:rFonts w:hint="eastAsia"/>
                <w:color w:val="auto"/>
                <w:highlight w:val="none"/>
                <w:lang w:val="en-US" w:eastAsia="zh-CN"/>
              </w:rPr>
              <w:instrText xml:space="preserve"> REF _Ref20655 \h </w:instrText>
            </w:r>
            <w:r>
              <w:rPr>
                <w:rFonts w:hint="eastAsia"/>
                <w:color w:val="auto"/>
                <w:highlight w:val="none"/>
                <w:lang w:val="en-US" w:eastAsia="zh-CN"/>
              </w:rPr>
              <w:fldChar w:fldCharType="separate"/>
            </w:r>
            <w:r>
              <w:rPr>
                <w:color w:val="auto"/>
                <w:highlight w:val="none"/>
              </w:rPr>
              <w:t>表4-15</w:t>
            </w:r>
            <w:r>
              <w:rPr>
                <w:rFonts w:hint="eastAsia"/>
                <w:color w:val="auto"/>
                <w:highlight w:val="none"/>
                <w:lang w:val="en-US" w:eastAsia="zh-CN"/>
              </w:rPr>
              <w:fldChar w:fldCharType="end"/>
            </w:r>
            <w:r>
              <w:rPr>
                <w:rFonts w:hint="eastAsia"/>
                <w:color w:val="auto"/>
                <w:highlight w:val="none"/>
                <w:lang w:val="en-US" w:eastAsia="zh-CN"/>
              </w:rPr>
              <w:t>。</w:t>
            </w:r>
          </w:p>
          <w:p w14:paraId="5DA85666">
            <w:pPr>
              <w:pStyle w:val="7"/>
              <w:rPr>
                <w:rFonts w:hint="eastAsia"/>
                <w:color w:val="auto"/>
                <w:highlight w:val="none"/>
                <w:lang w:val="en-US" w:eastAsia="zh-CN"/>
              </w:rPr>
            </w:pPr>
            <w:bookmarkStart w:id="72" w:name="_Ref20655"/>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15</w:t>
            </w:r>
            <w:r>
              <w:rPr>
                <w:color w:val="auto"/>
                <w:highlight w:val="none"/>
              </w:rPr>
              <w:fldChar w:fldCharType="end"/>
            </w:r>
            <w:bookmarkEnd w:id="72"/>
            <w:r>
              <w:rPr>
                <w:rFonts w:hint="eastAsia"/>
                <w:color w:val="auto"/>
                <w:highlight w:val="none"/>
                <w:lang w:val="en-US" w:eastAsia="zh-CN"/>
              </w:rPr>
              <w:t xml:space="preserve">  锅炉灰渣用作农家肥的限量指标要求</w:t>
            </w:r>
          </w:p>
          <w:tbl>
            <w:tblPr>
              <w:tblStyle w:val="25"/>
              <w:tblW w:w="0" w:type="auto"/>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072"/>
              <w:gridCol w:w="4072"/>
            </w:tblGrid>
            <w:tr w14:paraId="4CF57E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72" w:type="dxa"/>
                  <w:tcBorders>
                    <w:tl2br w:val="nil"/>
                    <w:tr2bl w:val="nil"/>
                  </w:tcBorders>
                  <w:vAlign w:val="center"/>
                </w:tcPr>
                <w:p w14:paraId="1F998E3A">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项目</w:t>
                  </w:r>
                </w:p>
              </w:tc>
              <w:tc>
                <w:tcPr>
                  <w:tcW w:w="4072" w:type="dxa"/>
                  <w:tcBorders>
                    <w:tl2br w:val="nil"/>
                    <w:tr2bl w:val="nil"/>
                  </w:tcBorders>
                  <w:vAlign w:val="center"/>
                </w:tcPr>
                <w:p w14:paraId="2B70FB7C">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指标</w:t>
                  </w:r>
                </w:p>
              </w:tc>
            </w:tr>
            <w:tr w14:paraId="46DA9B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72" w:type="dxa"/>
                  <w:tcBorders>
                    <w:tl2br w:val="nil"/>
                    <w:tr2bl w:val="nil"/>
                  </w:tcBorders>
                  <w:vAlign w:val="center"/>
                </w:tcPr>
                <w:p w14:paraId="374EB144">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总砷（As)，mg/kg</w:t>
                  </w:r>
                </w:p>
              </w:tc>
              <w:tc>
                <w:tcPr>
                  <w:tcW w:w="4072" w:type="dxa"/>
                  <w:tcBorders>
                    <w:tl2br w:val="nil"/>
                    <w:tr2bl w:val="nil"/>
                  </w:tcBorders>
                  <w:vAlign w:val="center"/>
                </w:tcPr>
                <w:p w14:paraId="5732CD79">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≤15</w:t>
                  </w:r>
                </w:p>
              </w:tc>
            </w:tr>
            <w:tr w14:paraId="57B358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72" w:type="dxa"/>
                  <w:tcBorders>
                    <w:tl2br w:val="nil"/>
                    <w:tr2bl w:val="nil"/>
                  </w:tcBorders>
                  <w:vAlign w:val="center"/>
                </w:tcPr>
                <w:p w14:paraId="5A8FBB73">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总汞（Hg)，mg/kg</w:t>
                  </w:r>
                </w:p>
              </w:tc>
              <w:tc>
                <w:tcPr>
                  <w:tcW w:w="4072" w:type="dxa"/>
                  <w:tcBorders>
                    <w:tl2br w:val="nil"/>
                    <w:tr2bl w:val="nil"/>
                  </w:tcBorders>
                  <w:vAlign w:val="center"/>
                </w:tcPr>
                <w:p w14:paraId="1F1E283D">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w:t>
                  </w:r>
                </w:p>
              </w:tc>
            </w:tr>
            <w:tr w14:paraId="28CCBB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72" w:type="dxa"/>
                  <w:tcBorders>
                    <w:tl2br w:val="nil"/>
                    <w:tr2bl w:val="nil"/>
                  </w:tcBorders>
                  <w:vAlign w:val="center"/>
                </w:tcPr>
                <w:p w14:paraId="57E3F8A9">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总铅（Pb)，mg/kg</w:t>
                  </w:r>
                </w:p>
              </w:tc>
              <w:tc>
                <w:tcPr>
                  <w:tcW w:w="4072" w:type="dxa"/>
                  <w:tcBorders>
                    <w:tl2br w:val="nil"/>
                    <w:tr2bl w:val="nil"/>
                  </w:tcBorders>
                  <w:vAlign w:val="center"/>
                </w:tcPr>
                <w:p w14:paraId="7736952B">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≤50</w:t>
                  </w:r>
                </w:p>
              </w:tc>
            </w:tr>
            <w:tr w14:paraId="56A5AF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72" w:type="dxa"/>
                  <w:tcBorders>
                    <w:tl2br w:val="nil"/>
                    <w:tr2bl w:val="nil"/>
                  </w:tcBorders>
                  <w:vAlign w:val="center"/>
                </w:tcPr>
                <w:p w14:paraId="17180C4A">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总镉（Cd)，mg/kg</w:t>
                  </w:r>
                </w:p>
              </w:tc>
              <w:tc>
                <w:tcPr>
                  <w:tcW w:w="4072" w:type="dxa"/>
                  <w:tcBorders>
                    <w:tl2br w:val="nil"/>
                    <w:tr2bl w:val="nil"/>
                  </w:tcBorders>
                  <w:vAlign w:val="center"/>
                </w:tcPr>
                <w:p w14:paraId="2674EC9B">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w:t>
                  </w:r>
                </w:p>
              </w:tc>
            </w:tr>
            <w:tr w14:paraId="15D8C7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72" w:type="dxa"/>
                  <w:tcBorders>
                    <w:tl2br w:val="nil"/>
                    <w:tr2bl w:val="nil"/>
                  </w:tcBorders>
                  <w:vAlign w:val="center"/>
                </w:tcPr>
                <w:p w14:paraId="2E462F48">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总铬（Cr)，mg/kg</w:t>
                  </w:r>
                </w:p>
              </w:tc>
              <w:tc>
                <w:tcPr>
                  <w:tcW w:w="4072" w:type="dxa"/>
                  <w:tcBorders>
                    <w:tl2br w:val="nil"/>
                    <w:tr2bl w:val="nil"/>
                  </w:tcBorders>
                  <w:vAlign w:val="center"/>
                </w:tcPr>
                <w:p w14:paraId="7A33C574">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≤150</w:t>
                  </w:r>
                </w:p>
              </w:tc>
            </w:tr>
            <w:tr w14:paraId="77FCE4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72" w:type="dxa"/>
                  <w:tcBorders>
                    <w:tl2br w:val="nil"/>
                    <w:tr2bl w:val="nil"/>
                  </w:tcBorders>
                  <w:vAlign w:val="center"/>
                </w:tcPr>
                <w:p w14:paraId="0EC4CC9C">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类大肠菌群数，个/g</w:t>
                  </w:r>
                </w:p>
              </w:tc>
              <w:tc>
                <w:tcPr>
                  <w:tcW w:w="4072" w:type="dxa"/>
                  <w:tcBorders>
                    <w:tl2br w:val="nil"/>
                    <w:tr2bl w:val="nil"/>
                  </w:tcBorders>
                  <w:vAlign w:val="center"/>
                </w:tcPr>
                <w:p w14:paraId="17536449">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≤100</w:t>
                  </w:r>
                </w:p>
              </w:tc>
            </w:tr>
            <w:tr w14:paraId="12E0A8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72" w:type="dxa"/>
                  <w:tcBorders>
                    <w:tl2br w:val="nil"/>
                    <w:tr2bl w:val="nil"/>
                  </w:tcBorders>
                  <w:vAlign w:val="center"/>
                </w:tcPr>
                <w:p w14:paraId="4A72904D">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蛔虫卵死亡率，%</w:t>
                  </w:r>
                </w:p>
              </w:tc>
              <w:tc>
                <w:tcPr>
                  <w:tcW w:w="4072" w:type="dxa"/>
                  <w:tcBorders>
                    <w:tl2br w:val="nil"/>
                    <w:tr2bl w:val="nil"/>
                  </w:tcBorders>
                  <w:vAlign w:val="center"/>
                </w:tcPr>
                <w:p w14:paraId="03DAF049">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≤95</w:t>
                  </w:r>
                </w:p>
              </w:tc>
            </w:tr>
            <w:tr w14:paraId="697C56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72" w:type="dxa"/>
                  <w:tcBorders>
                    <w:tl2br w:val="nil"/>
                    <w:tr2bl w:val="nil"/>
                  </w:tcBorders>
                  <w:vAlign w:val="center"/>
                </w:tcPr>
                <w:p w14:paraId="3EC1BBBC">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钠离子含量/%</w:t>
                  </w:r>
                </w:p>
              </w:tc>
              <w:tc>
                <w:tcPr>
                  <w:tcW w:w="4072" w:type="dxa"/>
                  <w:tcBorders>
                    <w:tl2br w:val="nil"/>
                    <w:tr2bl w:val="nil"/>
                  </w:tcBorders>
                  <w:vAlign w:val="center"/>
                </w:tcPr>
                <w:p w14:paraId="0A385903">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≤3.0</w:t>
                  </w:r>
                </w:p>
              </w:tc>
            </w:tr>
            <w:tr w14:paraId="74C88C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72" w:type="dxa"/>
                  <w:tcBorders>
                    <w:tl2br w:val="nil"/>
                    <w:tr2bl w:val="nil"/>
                  </w:tcBorders>
                  <w:vAlign w:val="center"/>
                </w:tcPr>
                <w:p w14:paraId="15F0EF5A">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缩二脲含量/%</w:t>
                  </w:r>
                </w:p>
              </w:tc>
              <w:tc>
                <w:tcPr>
                  <w:tcW w:w="4072" w:type="dxa"/>
                  <w:tcBorders>
                    <w:tl2br w:val="nil"/>
                    <w:tr2bl w:val="nil"/>
                  </w:tcBorders>
                  <w:vAlign w:val="center"/>
                </w:tcPr>
                <w:p w14:paraId="6CB3B56B">
                  <w:pPr>
                    <w:pStyle w:val="40"/>
                    <w:bidi w:val="0"/>
                    <w:rPr>
                      <w:rFonts w:hint="default" w:ascii="Times New Roman" w:hAnsi="Times New Roman" w:cs="Times New Roman"/>
                      <w:b/>
                      <w:bCs/>
                      <w:color w:val="auto"/>
                      <w:highlight w:val="none"/>
                      <w:lang w:val="en-US" w:eastAsia="zh-CN"/>
                    </w:rPr>
                  </w:pPr>
                  <w:r>
                    <w:rPr>
                      <w:rFonts w:hint="default" w:ascii="Times New Roman" w:hAnsi="Times New Roman" w:cs="Times New Roman"/>
                      <w:color w:val="auto"/>
                      <w:highlight w:val="none"/>
                      <w:lang w:val="en-US" w:eastAsia="zh-CN"/>
                    </w:rPr>
                    <w:t>≤0.8</w:t>
                  </w:r>
                </w:p>
              </w:tc>
            </w:tr>
          </w:tbl>
          <w:p w14:paraId="3FDC5FAB">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color w:val="auto"/>
                <w:highlight w:val="none"/>
              </w:rPr>
            </w:pPr>
            <w:r>
              <w:rPr>
                <w:rFonts w:hint="eastAsia"/>
                <w:color w:val="auto"/>
                <w:highlight w:val="none"/>
              </w:rPr>
              <w:t>项目锅炉采用生物质成型燃料，其锅炉灰渣本质为草木灰，含有丰富的钾、钙、镁等矿物质，</w:t>
            </w:r>
            <w:r>
              <w:rPr>
                <w:rFonts w:hint="eastAsia"/>
                <w:color w:val="auto"/>
                <w:highlight w:val="none"/>
                <w:lang w:val="en-US" w:eastAsia="zh-CN"/>
              </w:rPr>
              <w:t>用作农家肥</w:t>
            </w:r>
            <w:r>
              <w:rPr>
                <w:rFonts w:hint="eastAsia"/>
                <w:color w:val="auto"/>
                <w:highlight w:val="none"/>
              </w:rPr>
              <w:t>可以促进作物生长，改善土壤质地</w:t>
            </w:r>
            <w:r>
              <w:rPr>
                <w:rFonts w:hint="eastAsia"/>
                <w:color w:val="auto"/>
                <w:highlight w:val="none"/>
                <w:lang w:eastAsia="zh-CN"/>
              </w:rPr>
              <w:t>；</w:t>
            </w:r>
            <w:r>
              <w:rPr>
                <w:rFonts w:hint="eastAsia"/>
                <w:color w:val="auto"/>
                <w:highlight w:val="none"/>
              </w:rPr>
              <w:t>同时，</w:t>
            </w:r>
            <w:r>
              <w:rPr>
                <w:rFonts w:hint="eastAsia"/>
                <w:color w:val="auto"/>
                <w:highlight w:val="none"/>
                <w:lang w:val="en-US" w:eastAsia="zh-CN"/>
              </w:rPr>
              <w:t>灰渣</w:t>
            </w:r>
            <w:r>
              <w:rPr>
                <w:rFonts w:hint="eastAsia"/>
                <w:color w:val="auto"/>
                <w:highlight w:val="none"/>
              </w:rPr>
              <w:t>还具有杀菌、消毒的作用，可以预防土传病害</w:t>
            </w:r>
            <w:r>
              <w:rPr>
                <w:rFonts w:hint="eastAsia"/>
                <w:color w:val="auto"/>
                <w:highlight w:val="none"/>
                <w:lang w:eastAsia="zh-CN"/>
              </w:rPr>
              <w:t>；</w:t>
            </w:r>
            <w:r>
              <w:rPr>
                <w:rFonts w:hint="eastAsia"/>
                <w:color w:val="auto"/>
                <w:highlight w:val="none"/>
                <w:lang w:val="en-US" w:eastAsia="zh-CN"/>
              </w:rPr>
              <w:t>可减少废弃物排放，降低化肥使用量，减少化肥生产和使用过程对环境的污染；</w:t>
            </w:r>
            <w:r>
              <w:rPr>
                <w:rFonts w:hint="eastAsia"/>
                <w:color w:val="auto"/>
                <w:highlight w:val="none"/>
              </w:rPr>
              <w:t>在添加其它成分后，也可做成具有多种用途的草木灰肥料。因此本项目锅炉灰渣用于制</w:t>
            </w:r>
            <w:r>
              <w:rPr>
                <w:rFonts w:hint="eastAsia"/>
                <w:color w:val="auto"/>
                <w:highlight w:val="none"/>
                <w:lang w:val="en-US" w:eastAsia="zh-CN"/>
              </w:rPr>
              <w:t>农家肥</w:t>
            </w:r>
            <w:r>
              <w:rPr>
                <w:rFonts w:hint="eastAsia"/>
                <w:color w:val="auto"/>
                <w:highlight w:val="none"/>
                <w:lang w:val="en-US" w:eastAsia="zh-CN"/>
              </w:rPr>
              <w:t>具有一定的可行性</w:t>
            </w:r>
            <w:r>
              <w:rPr>
                <w:rFonts w:hint="eastAsia"/>
                <w:color w:val="auto"/>
                <w:highlight w:val="none"/>
              </w:rPr>
              <w:t>。</w:t>
            </w:r>
          </w:p>
          <w:p w14:paraId="636F6F02">
            <w:pPr>
              <w:pStyle w:val="41"/>
              <w:bidi w:val="0"/>
              <w:rPr>
                <w:color w:val="auto"/>
                <w:highlight w:val="none"/>
              </w:rPr>
            </w:pPr>
            <w:r>
              <w:rPr>
                <w:rFonts w:hint="eastAsia"/>
                <w:color w:val="auto"/>
                <w:highlight w:val="none"/>
                <w:lang w:val="en-US" w:eastAsia="zh-CN"/>
              </w:rPr>
              <w:t>3</w:t>
            </w:r>
            <w:r>
              <w:rPr>
                <w:rFonts w:hint="eastAsia"/>
                <w:color w:val="auto"/>
                <w:highlight w:val="none"/>
              </w:rPr>
              <w:t>、一般工业固体废物环境管理要求</w:t>
            </w:r>
          </w:p>
          <w:p w14:paraId="72FEB3A2">
            <w:pPr>
              <w:bidi w:val="0"/>
              <w:rPr>
                <w:rFonts w:hint="default"/>
                <w:color w:val="auto"/>
                <w:highlight w:val="none"/>
                <w:lang w:val="en-US"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rPr>
              <w:t>锅炉灰渣</w:t>
            </w:r>
            <w:r>
              <w:rPr>
                <w:rFonts w:hint="eastAsia"/>
                <w:color w:val="auto"/>
                <w:highlight w:val="none"/>
                <w:lang w:val="en-US" w:eastAsia="zh-CN"/>
              </w:rPr>
              <w:t>和废离子交换树脂</w:t>
            </w:r>
            <w:r>
              <w:rPr>
                <w:rFonts w:hint="eastAsia"/>
                <w:color w:val="auto"/>
                <w:highlight w:val="none"/>
              </w:rPr>
              <w:t>均</w:t>
            </w:r>
            <w:r>
              <w:rPr>
                <w:rFonts w:hint="eastAsia"/>
                <w:color w:val="auto"/>
                <w:highlight w:val="none"/>
                <w:lang w:val="en-US" w:eastAsia="zh-CN"/>
              </w:rPr>
              <w:t>储存</w:t>
            </w:r>
            <w:r>
              <w:rPr>
                <w:rFonts w:hint="eastAsia"/>
                <w:color w:val="auto"/>
                <w:highlight w:val="none"/>
              </w:rPr>
              <w:t>于灰渣储库，灰渣储库需全封闭，地面进行简单硬化，建筑物的门窗在非必要时应关闭</w:t>
            </w:r>
            <w:r>
              <w:rPr>
                <w:rFonts w:hint="eastAsia"/>
                <w:color w:val="auto"/>
                <w:highlight w:val="none"/>
                <w:lang w:eastAsia="zh-CN"/>
              </w:rPr>
              <w:t>；</w:t>
            </w:r>
          </w:p>
          <w:p w14:paraId="0140B5C5">
            <w:pPr>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rPr>
              <w:t>按照《一般工业固体废物管理台账制定指南</w:t>
            </w:r>
            <w:r>
              <w:rPr>
                <w:rFonts w:hint="eastAsia"/>
                <w:color w:val="auto"/>
                <w:highlight w:val="none"/>
                <w:lang w:eastAsia="zh-CN"/>
              </w:rPr>
              <w:t>（</w:t>
            </w:r>
            <w:r>
              <w:rPr>
                <w:rFonts w:hint="eastAsia"/>
                <w:color w:val="auto"/>
                <w:highlight w:val="none"/>
              </w:rPr>
              <w:t>试行</w:t>
            </w:r>
            <w:r>
              <w:rPr>
                <w:rFonts w:hint="eastAsia"/>
                <w:color w:val="auto"/>
                <w:highlight w:val="none"/>
                <w:lang w:eastAsia="zh-CN"/>
              </w:rPr>
              <w:t>）</w:t>
            </w:r>
            <w:r>
              <w:rPr>
                <w:rFonts w:hint="eastAsia"/>
                <w:color w:val="auto"/>
                <w:highlight w:val="none"/>
              </w:rPr>
              <w:t>》</w:t>
            </w:r>
            <w:r>
              <w:rPr>
                <w:rFonts w:hint="eastAsia"/>
                <w:color w:val="auto"/>
                <w:highlight w:val="none"/>
                <w:lang w:val="en-US" w:eastAsia="zh-CN"/>
              </w:rPr>
              <w:t>制定</w:t>
            </w:r>
            <w:r>
              <w:rPr>
                <w:rFonts w:hint="eastAsia"/>
                <w:color w:val="auto"/>
                <w:highlight w:val="none"/>
              </w:rPr>
              <w:t>固体废物管理台账。</w:t>
            </w:r>
          </w:p>
          <w:p w14:paraId="09DA090F">
            <w:pPr>
              <w:pStyle w:val="41"/>
              <w:bidi w:val="0"/>
              <w:rPr>
                <w:rFonts w:hint="default"/>
                <w:color w:val="auto"/>
                <w:highlight w:val="none"/>
              </w:rPr>
            </w:pPr>
            <w:r>
              <w:rPr>
                <w:rFonts w:hint="eastAsia"/>
                <w:color w:val="auto"/>
                <w:highlight w:val="none"/>
                <w:lang w:val="en-US" w:eastAsia="zh-CN"/>
              </w:rPr>
              <w:t>4</w:t>
            </w:r>
            <w:r>
              <w:rPr>
                <w:rFonts w:hint="default"/>
                <w:color w:val="auto"/>
                <w:highlight w:val="none"/>
              </w:rPr>
              <w:t>、危险废物环境管理要求</w:t>
            </w:r>
          </w:p>
          <w:p w14:paraId="1541CDC2">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本项目危险废物产生量为0.5t/a，属于HJ</w:t>
            </w:r>
            <w:r>
              <w:rPr>
                <w:rFonts w:hint="eastAsia" w:cs="Times New Roman"/>
                <w:color w:val="auto"/>
                <w:highlight w:val="none"/>
                <w:lang w:val="en-US" w:eastAsia="zh-CN"/>
              </w:rPr>
              <w:t xml:space="preserve"> </w:t>
            </w:r>
            <w:r>
              <w:rPr>
                <w:rFonts w:hint="default" w:ascii="Times New Roman" w:hAnsi="Times New Roman" w:cs="Times New Roman"/>
                <w:color w:val="auto"/>
                <w:highlight w:val="none"/>
              </w:rPr>
              <w:t>1259中纳入危险废物管理单位，因此根据《危险废物贮存污染控制标准》（GB</w:t>
            </w:r>
            <w:r>
              <w:rPr>
                <w:rFonts w:hint="eastAsia"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18597-2023）在机修间设置危险废物贮存点，贮存点的设置、容器包装物、贮存过程、污染排放控制等应严格落实GB18597中的相关规定，按照</w:t>
            </w:r>
            <w:r>
              <w:rPr>
                <w:rFonts w:hint="eastAsia" w:ascii="Times New Roman" w:hAnsi="Times New Roman" w:cs="Times New Roman"/>
                <w:color w:val="auto"/>
                <w:highlight w:val="none"/>
                <w:lang w:eastAsia="zh-CN"/>
              </w:rPr>
              <w:t>《</w:t>
            </w:r>
            <w:r>
              <w:rPr>
                <w:rStyle w:val="29"/>
                <w:rFonts w:hint="default" w:ascii="Times New Roman" w:hAnsi="Times New Roman" w:cs="Times New Roman"/>
                <w:color w:val="auto"/>
                <w:kern w:val="0"/>
                <w:highlight w:val="none"/>
              </w:rPr>
              <w:t>危险废物识别标志设置技术规范</w:t>
            </w:r>
            <w:r>
              <w:rPr>
                <w:rStyle w:val="29"/>
                <w:rFonts w:hint="eastAsia" w:ascii="Times New Roman" w:hAnsi="Times New Roman" w:cs="Times New Roman"/>
                <w:color w:val="auto"/>
                <w:kern w:val="0"/>
                <w:highlight w:val="none"/>
                <w:lang w:eastAsia="zh-CN"/>
              </w:rPr>
              <w:t>》</w:t>
            </w:r>
            <w:r>
              <w:rPr>
                <w:rFonts w:hint="default" w:ascii="Times New Roman" w:hAnsi="Times New Roman" w:cs="Times New Roman"/>
                <w:color w:val="auto"/>
                <w:highlight w:val="none"/>
              </w:rPr>
              <w:t>设置标识标牌，并按照《危险废物管理计划和管理台账制定技术导则》（HJ 1259</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rPr>
              <w:t>2022）制定完善的台账记录。</w:t>
            </w:r>
          </w:p>
          <w:p w14:paraId="4E63326B">
            <w:pPr>
              <w:bidi w:val="0"/>
              <w:rPr>
                <w:rFonts w:hint="eastAsia"/>
                <w:color w:val="auto"/>
                <w:highlight w:val="none"/>
                <w:lang w:val="en-US" w:eastAsia="zh-CN"/>
              </w:rPr>
            </w:pPr>
            <w:r>
              <w:rPr>
                <w:rFonts w:hint="eastAsia"/>
                <w:color w:val="auto"/>
                <w:highlight w:val="none"/>
              </w:rPr>
              <w:t>贮存点基础防渗为至少1m厚黏土层（渗透系数不大于10</w:t>
            </w:r>
            <w:r>
              <w:rPr>
                <w:rFonts w:hint="eastAsia"/>
                <w:color w:val="auto"/>
                <w:highlight w:val="none"/>
                <w:vertAlign w:val="superscript"/>
              </w:rPr>
              <w:t>-7</w:t>
            </w:r>
            <w:r>
              <w:rPr>
                <w:rFonts w:hint="eastAsia"/>
                <w:color w:val="auto"/>
                <w:highlight w:val="none"/>
              </w:rPr>
              <w:t>cm/s），或至少2mm厚高密度聚乙烯膜等人工防渗材料（渗透系数不大于10</w:t>
            </w:r>
            <w:r>
              <w:rPr>
                <w:rFonts w:hint="eastAsia"/>
                <w:color w:val="auto"/>
                <w:highlight w:val="none"/>
                <w:vertAlign w:val="superscript"/>
              </w:rPr>
              <w:t>-10</w:t>
            </w:r>
            <w:r>
              <w:rPr>
                <w:rFonts w:hint="eastAsia"/>
                <w:color w:val="auto"/>
                <w:highlight w:val="none"/>
              </w:rPr>
              <w:t>cm/s），或其他防渗性能等效的材料；废机油置于油桶中暂存。</w:t>
            </w:r>
          </w:p>
          <w:p w14:paraId="74DE4AA2">
            <w:pPr>
              <w:pStyle w:val="41"/>
              <w:bidi w:val="0"/>
              <w:rPr>
                <w:rFonts w:hint="eastAsia"/>
                <w:color w:val="auto"/>
                <w:highlight w:val="none"/>
              </w:rPr>
            </w:pPr>
            <w:r>
              <w:rPr>
                <w:rFonts w:hint="eastAsia"/>
                <w:color w:val="auto"/>
                <w:highlight w:val="none"/>
                <w:lang w:val="en-US" w:eastAsia="zh-CN"/>
              </w:rPr>
              <w:t>五、</w:t>
            </w:r>
            <w:r>
              <w:rPr>
                <w:rFonts w:hint="eastAsia"/>
                <w:color w:val="auto"/>
                <w:highlight w:val="none"/>
              </w:rPr>
              <w:t>地下水、土壤环境影响和保护措施</w:t>
            </w:r>
          </w:p>
          <w:p w14:paraId="4FDAA4EF">
            <w:pPr>
              <w:pStyle w:val="41"/>
              <w:bidi w:val="0"/>
              <w:rPr>
                <w:color w:val="auto"/>
                <w:highlight w:val="none"/>
              </w:rPr>
            </w:pPr>
            <w:r>
              <w:rPr>
                <w:rFonts w:hint="eastAsia"/>
                <w:color w:val="auto"/>
                <w:highlight w:val="none"/>
              </w:rPr>
              <w:t>1、污染源及污染途径分析</w:t>
            </w:r>
          </w:p>
          <w:p w14:paraId="53D491DC">
            <w:pPr>
              <w:bidi w:val="0"/>
              <w:rPr>
                <w:rFonts w:hint="eastAsia" w:eastAsia="宋体"/>
                <w:color w:val="auto"/>
                <w:highlight w:val="none"/>
                <w:lang w:eastAsia="zh-CN"/>
              </w:rPr>
            </w:pPr>
            <w:r>
              <w:rPr>
                <w:rFonts w:hint="eastAsia"/>
                <w:color w:val="auto"/>
                <w:highlight w:val="none"/>
              </w:rPr>
              <w:t>参照</w:t>
            </w:r>
            <w:r>
              <w:rPr>
                <w:color w:val="auto"/>
                <w:highlight w:val="none"/>
              </w:rPr>
              <w:t>《环境影响评价技术导则 地下水环境》（HJ</w:t>
            </w:r>
            <w:r>
              <w:rPr>
                <w:rFonts w:hint="eastAsia"/>
                <w:color w:val="auto"/>
                <w:highlight w:val="none"/>
                <w:lang w:val="en-US" w:eastAsia="zh-CN"/>
              </w:rPr>
              <w:t xml:space="preserve"> </w:t>
            </w:r>
            <w:r>
              <w:rPr>
                <w:color w:val="auto"/>
                <w:highlight w:val="none"/>
              </w:rPr>
              <w:t>610-2016）</w:t>
            </w:r>
            <w:r>
              <w:rPr>
                <w:rFonts w:hint="eastAsia"/>
                <w:color w:val="auto"/>
                <w:highlight w:val="none"/>
              </w:rPr>
              <w:t>、</w:t>
            </w:r>
            <w:r>
              <w:rPr>
                <w:color w:val="auto"/>
                <w:highlight w:val="none"/>
              </w:rPr>
              <w:t>《环境影响评价技术导则 土壤环境（试行）》（HJ</w:t>
            </w:r>
            <w:r>
              <w:rPr>
                <w:rFonts w:hint="eastAsia"/>
                <w:color w:val="auto"/>
                <w:highlight w:val="none"/>
                <w:lang w:val="en-US" w:eastAsia="zh-CN"/>
              </w:rPr>
              <w:t xml:space="preserve"> </w:t>
            </w:r>
            <w:r>
              <w:rPr>
                <w:color w:val="auto"/>
                <w:highlight w:val="none"/>
              </w:rPr>
              <w:t>964-2018）</w:t>
            </w:r>
            <w:r>
              <w:rPr>
                <w:rFonts w:hint="eastAsia"/>
                <w:color w:val="auto"/>
                <w:highlight w:val="none"/>
              </w:rPr>
              <w:t>，本项目可不开展地下水、土壤环境影响分析，本次评价结合项目具体情况做简要分析</w:t>
            </w:r>
            <w:r>
              <w:rPr>
                <w:rFonts w:hint="eastAsia"/>
                <w:color w:val="auto"/>
                <w:highlight w:val="none"/>
                <w:lang w:eastAsia="zh-CN"/>
              </w:rPr>
              <w:t>：</w:t>
            </w:r>
          </w:p>
          <w:p w14:paraId="123FDCAB">
            <w:pPr>
              <w:bidi w:val="0"/>
              <w:rPr>
                <w:rFonts w:hint="eastAsia" w:eastAsia="宋体"/>
                <w:color w:val="auto"/>
                <w:highlight w:val="none"/>
                <w:lang w:eastAsia="zh-CN"/>
              </w:rPr>
            </w:pPr>
            <w:r>
              <w:rPr>
                <w:rFonts w:hint="eastAsia"/>
                <w:color w:val="auto"/>
                <w:highlight w:val="none"/>
              </w:rPr>
              <w:t>（1）项目生产设施均位于车间内，因此无地表漫流可能导致的地下水、土壤污染途径</w:t>
            </w:r>
            <w:r>
              <w:rPr>
                <w:rFonts w:hint="eastAsia"/>
                <w:color w:val="auto"/>
                <w:highlight w:val="none"/>
                <w:lang w:eastAsia="zh-CN"/>
              </w:rPr>
              <w:t>；</w:t>
            </w:r>
          </w:p>
          <w:p w14:paraId="6F9F93D5">
            <w:pPr>
              <w:bidi w:val="0"/>
              <w:rPr>
                <w:rFonts w:hint="eastAsia" w:eastAsia="宋体"/>
                <w:color w:val="auto"/>
                <w:highlight w:val="none"/>
                <w:lang w:eastAsia="zh-CN"/>
              </w:rPr>
            </w:pPr>
            <w:r>
              <w:rPr>
                <w:rFonts w:hint="eastAsia"/>
                <w:color w:val="auto"/>
                <w:highlight w:val="none"/>
              </w:rPr>
              <w:t>（2）项目的大气污染物采取了严格的污染</w:t>
            </w:r>
            <w:r>
              <w:rPr>
                <w:rFonts w:hint="eastAsia"/>
                <w:color w:val="auto"/>
                <w:highlight w:val="none"/>
                <w:lang w:val="en-US" w:eastAsia="zh-CN"/>
              </w:rPr>
              <w:t>防治</w:t>
            </w:r>
            <w:r>
              <w:rPr>
                <w:rFonts w:hint="eastAsia"/>
                <w:color w:val="auto"/>
                <w:highlight w:val="none"/>
              </w:rPr>
              <w:t>措施，污染物组成简单，无重金属、挥发性有机物、有机农药类、多氯联苯、二噁英类等污染物，因此无大气沉降可能导致的地下水、土壤污染途径</w:t>
            </w:r>
            <w:r>
              <w:rPr>
                <w:rFonts w:hint="eastAsia"/>
                <w:color w:val="auto"/>
                <w:highlight w:val="none"/>
                <w:lang w:eastAsia="zh-CN"/>
              </w:rPr>
              <w:t>；</w:t>
            </w:r>
          </w:p>
          <w:p w14:paraId="6E6087CF">
            <w:pPr>
              <w:bidi w:val="0"/>
              <w:rPr>
                <w:rFonts w:hint="eastAsia" w:eastAsia="宋体"/>
                <w:color w:val="auto"/>
                <w:spacing w:val="0"/>
                <w:sz w:val="24"/>
                <w:highlight w:val="none"/>
                <w:lang w:eastAsia="zh-CN"/>
              </w:rPr>
            </w:pPr>
            <w:r>
              <w:rPr>
                <w:rFonts w:hint="eastAsia"/>
                <w:color w:val="auto"/>
                <w:spacing w:val="0"/>
                <w:sz w:val="24"/>
                <w:highlight w:val="none"/>
              </w:rPr>
              <w:t>（3）根据经验，项目所用原料粉煤灰、炉渣、镁渣、脱硫石膏，pH均＞9，其余</w:t>
            </w:r>
            <w:r>
              <w:rPr>
                <w:color w:val="auto"/>
                <w:spacing w:val="0"/>
                <w:sz w:val="24"/>
                <w:highlight w:val="none"/>
              </w:rPr>
              <w:t>任何一种危害成分的浓度均未超过</w:t>
            </w:r>
            <w:r>
              <w:rPr>
                <w:color w:val="auto"/>
                <w:spacing w:val="-6"/>
                <w:sz w:val="24"/>
                <w:highlight w:val="none"/>
              </w:rPr>
              <w:t>《污水综合排放标准》（GB</w:t>
            </w:r>
            <w:r>
              <w:rPr>
                <w:rFonts w:hint="eastAsia"/>
                <w:color w:val="auto"/>
                <w:spacing w:val="-6"/>
                <w:sz w:val="24"/>
                <w:highlight w:val="none"/>
                <w:lang w:val="en-US" w:eastAsia="zh-CN"/>
              </w:rPr>
              <w:t xml:space="preserve"> </w:t>
            </w:r>
            <w:r>
              <w:rPr>
                <w:color w:val="auto"/>
                <w:spacing w:val="-6"/>
                <w:sz w:val="24"/>
                <w:highlight w:val="none"/>
              </w:rPr>
              <w:t>8978-1996）</w:t>
            </w:r>
            <w:r>
              <w:rPr>
                <w:color w:val="auto"/>
                <w:spacing w:val="0"/>
                <w:sz w:val="24"/>
                <w:highlight w:val="none"/>
              </w:rPr>
              <w:t>中表1、表4一级标准最高允许排放浓度要求</w:t>
            </w:r>
            <w:r>
              <w:rPr>
                <w:rFonts w:hint="eastAsia"/>
                <w:color w:val="auto"/>
                <w:spacing w:val="0"/>
                <w:sz w:val="24"/>
                <w:highlight w:val="none"/>
              </w:rPr>
              <w:t>，因此属于</w:t>
            </w:r>
            <w:r>
              <w:rPr>
                <w:rFonts w:hint="eastAsia"/>
                <w:color w:val="auto"/>
                <w:spacing w:val="0"/>
                <w:sz w:val="24"/>
                <w:highlight w:val="none"/>
                <w:lang w:val="en-US" w:eastAsia="zh-CN"/>
              </w:rPr>
              <w:t>II</w:t>
            </w:r>
            <w:r>
              <w:rPr>
                <w:color w:val="auto"/>
                <w:spacing w:val="0"/>
                <w:sz w:val="24"/>
                <w:highlight w:val="none"/>
              </w:rPr>
              <w:t>类一般工业固体废物</w:t>
            </w:r>
            <w:r>
              <w:rPr>
                <w:rFonts w:hint="eastAsia"/>
                <w:color w:val="auto"/>
                <w:spacing w:val="0"/>
                <w:sz w:val="24"/>
                <w:highlight w:val="none"/>
              </w:rPr>
              <w:t>。项目生产区域如不采取措施可能会通过垂直入渗造成地下水、土壤的污染</w:t>
            </w:r>
            <w:r>
              <w:rPr>
                <w:rFonts w:hint="eastAsia"/>
                <w:color w:val="auto"/>
                <w:spacing w:val="0"/>
                <w:sz w:val="24"/>
                <w:highlight w:val="none"/>
                <w:lang w:eastAsia="zh-CN"/>
              </w:rPr>
              <w:t>；</w:t>
            </w:r>
          </w:p>
          <w:p w14:paraId="3A18A814">
            <w:pPr>
              <w:bidi w:val="0"/>
              <w:rPr>
                <w:color w:val="auto"/>
                <w:highlight w:val="none"/>
              </w:rPr>
            </w:pPr>
            <w:r>
              <w:rPr>
                <w:rFonts w:hint="eastAsia"/>
                <w:color w:val="auto"/>
                <w:highlight w:val="none"/>
              </w:rPr>
              <w:t>（4）添加剂、废机油渗漏可能会通过垂直入渗造成地下水、土壤的污染，但该状况是事故状况，出现的可能性极小。</w:t>
            </w:r>
          </w:p>
          <w:p w14:paraId="6082F826">
            <w:pPr>
              <w:pStyle w:val="41"/>
              <w:bidi w:val="0"/>
              <w:rPr>
                <w:rFonts w:hint="default"/>
                <w:color w:val="auto"/>
                <w:highlight w:val="none"/>
                <w:lang w:val="en-US" w:eastAsia="zh-CN"/>
              </w:rPr>
            </w:pPr>
            <w:r>
              <w:rPr>
                <w:rFonts w:hint="eastAsia"/>
                <w:color w:val="auto"/>
                <w:highlight w:val="none"/>
                <w:lang w:val="en-US" w:eastAsia="zh-CN"/>
              </w:rPr>
              <w:t>2、分区防控措施</w:t>
            </w:r>
          </w:p>
          <w:p w14:paraId="2AE281C8">
            <w:pPr>
              <w:bidi w:val="0"/>
              <w:rPr>
                <w:rFonts w:hint="eastAsia"/>
                <w:color w:val="auto"/>
                <w:highlight w:val="none"/>
                <w:lang w:val="en-US" w:eastAsia="zh-CN"/>
              </w:rPr>
            </w:pPr>
            <w:r>
              <w:rPr>
                <w:color w:val="auto"/>
                <w:kern w:val="0"/>
                <w:sz w:val="24"/>
                <w:szCs w:val="28"/>
                <w:highlight w:val="none"/>
              </w:rPr>
              <w:t>根据项目厂区包气带的防污性能、污染控制难易程度及污染物的类型，</w:t>
            </w:r>
            <w:r>
              <w:rPr>
                <w:rFonts w:hint="eastAsia"/>
                <w:color w:val="auto"/>
                <w:kern w:val="0"/>
                <w:sz w:val="24"/>
                <w:szCs w:val="28"/>
                <w:highlight w:val="none"/>
              </w:rPr>
              <w:t>结合</w:t>
            </w:r>
            <w:r>
              <w:rPr>
                <w:color w:val="auto"/>
                <w:kern w:val="0"/>
                <w:sz w:val="24"/>
                <w:szCs w:val="28"/>
                <w:highlight w:val="none"/>
              </w:rPr>
              <w:t>《环境影响评价技术导则</w:t>
            </w:r>
            <w:r>
              <w:rPr>
                <w:rFonts w:hint="eastAsia"/>
                <w:color w:val="auto"/>
                <w:kern w:val="0"/>
                <w:sz w:val="24"/>
                <w:szCs w:val="28"/>
                <w:highlight w:val="none"/>
                <w:lang w:val="en-US" w:eastAsia="zh-CN"/>
              </w:rPr>
              <w:t xml:space="preserve"> </w:t>
            </w:r>
            <w:r>
              <w:rPr>
                <w:color w:val="auto"/>
                <w:kern w:val="0"/>
                <w:sz w:val="24"/>
                <w:szCs w:val="28"/>
                <w:highlight w:val="none"/>
              </w:rPr>
              <w:t>地下水环境》</w:t>
            </w:r>
            <w:r>
              <w:rPr>
                <w:rFonts w:hint="eastAsia"/>
                <w:color w:val="auto"/>
                <w:kern w:val="0"/>
                <w:sz w:val="24"/>
                <w:szCs w:val="28"/>
                <w:highlight w:val="none"/>
              </w:rPr>
              <w:t>（</w:t>
            </w:r>
            <w:r>
              <w:rPr>
                <w:color w:val="auto"/>
                <w:kern w:val="0"/>
                <w:sz w:val="24"/>
                <w:szCs w:val="28"/>
                <w:highlight w:val="none"/>
              </w:rPr>
              <w:t>HJ</w:t>
            </w:r>
            <w:r>
              <w:rPr>
                <w:rFonts w:hint="eastAsia"/>
                <w:color w:val="auto"/>
                <w:kern w:val="0"/>
                <w:sz w:val="24"/>
                <w:szCs w:val="28"/>
                <w:highlight w:val="none"/>
                <w:lang w:val="en-US" w:eastAsia="zh-CN"/>
              </w:rPr>
              <w:t xml:space="preserve"> </w:t>
            </w:r>
            <w:r>
              <w:rPr>
                <w:color w:val="auto"/>
                <w:kern w:val="0"/>
                <w:sz w:val="24"/>
                <w:szCs w:val="28"/>
                <w:highlight w:val="none"/>
              </w:rPr>
              <w:t>610-2016）</w:t>
            </w:r>
            <w:r>
              <w:rPr>
                <w:rFonts w:hint="eastAsia"/>
                <w:color w:val="auto"/>
                <w:kern w:val="0"/>
                <w:sz w:val="24"/>
                <w:szCs w:val="28"/>
                <w:highlight w:val="none"/>
              </w:rPr>
              <w:t>中11.2.2分区防控、</w:t>
            </w:r>
            <w:r>
              <w:rPr>
                <w:color w:val="auto"/>
                <w:kern w:val="0"/>
                <w:sz w:val="24"/>
                <w:szCs w:val="28"/>
                <w:highlight w:val="none"/>
              </w:rPr>
              <w:t>《环境影响评价技术导则</w:t>
            </w:r>
            <w:r>
              <w:rPr>
                <w:rFonts w:hint="eastAsia"/>
                <w:color w:val="auto"/>
                <w:kern w:val="0"/>
                <w:sz w:val="24"/>
                <w:szCs w:val="28"/>
                <w:highlight w:val="none"/>
                <w:lang w:val="en-US" w:eastAsia="zh-CN"/>
              </w:rPr>
              <w:t xml:space="preserve"> </w:t>
            </w:r>
            <w:r>
              <w:rPr>
                <w:color w:val="auto"/>
                <w:kern w:val="0"/>
                <w:sz w:val="24"/>
                <w:szCs w:val="28"/>
                <w:highlight w:val="none"/>
              </w:rPr>
              <w:t>土壤环境》</w:t>
            </w:r>
            <w:r>
              <w:rPr>
                <w:rFonts w:hint="eastAsia"/>
                <w:color w:val="auto"/>
                <w:kern w:val="0"/>
                <w:sz w:val="24"/>
                <w:szCs w:val="28"/>
                <w:highlight w:val="none"/>
              </w:rPr>
              <w:t>（</w:t>
            </w:r>
            <w:r>
              <w:rPr>
                <w:color w:val="auto"/>
                <w:kern w:val="0"/>
                <w:sz w:val="24"/>
                <w:szCs w:val="28"/>
                <w:highlight w:val="none"/>
              </w:rPr>
              <w:t>HJ</w:t>
            </w:r>
            <w:r>
              <w:rPr>
                <w:rFonts w:hint="eastAsia"/>
                <w:color w:val="auto"/>
                <w:kern w:val="0"/>
                <w:sz w:val="24"/>
                <w:szCs w:val="28"/>
                <w:highlight w:val="none"/>
                <w:lang w:val="en-US" w:eastAsia="zh-CN"/>
              </w:rPr>
              <w:t xml:space="preserve"> </w:t>
            </w:r>
            <w:r>
              <w:rPr>
                <w:color w:val="auto"/>
                <w:kern w:val="0"/>
                <w:sz w:val="24"/>
                <w:szCs w:val="28"/>
                <w:highlight w:val="none"/>
              </w:rPr>
              <w:t>964-2018</w:t>
            </w:r>
            <w:r>
              <w:rPr>
                <w:rFonts w:hint="eastAsia"/>
                <w:color w:val="auto"/>
                <w:kern w:val="0"/>
                <w:sz w:val="24"/>
                <w:szCs w:val="28"/>
                <w:highlight w:val="none"/>
              </w:rPr>
              <w:t>）中9.2.3过程防控要求和</w:t>
            </w:r>
            <w:r>
              <w:rPr>
                <w:rFonts w:hint="eastAsia"/>
                <w:color w:val="auto"/>
                <w:kern w:val="0"/>
                <w:sz w:val="24"/>
                <w:szCs w:val="28"/>
                <w:highlight w:val="none"/>
                <w:lang w:eastAsia="zh-CN"/>
              </w:rPr>
              <w:t>《危险废物贮存污染控制标准》（GB</w:t>
            </w:r>
            <w:r>
              <w:rPr>
                <w:rFonts w:hint="eastAsia"/>
                <w:color w:val="auto"/>
                <w:kern w:val="0"/>
                <w:sz w:val="24"/>
                <w:szCs w:val="28"/>
                <w:highlight w:val="none"/>
                <w:lang w:val="en-US" w:eastAsia="zh-CN"/>
              </w:rPr>
              <w:t xml:space="preserve"> </w:t>
            </w:r>
            <w:r>
              <w:rPr>
                <w:rFonts w:hint="eastAsia"/>
                <w:color w:val="auto"/>
                <w:kern w:val="0"/>
                <w:sz w:val="24"/>
                <w:szCs w:val="28"/>
                <w:highlight w:val="none"/>
                <w:lang w:eastAsia="zh-CN"/>
              </w:rPr>
              <w:t>18597-2023）</w:t>
            </w:r>
            <w:r>
              <w:rPr>
                <w:rFonts w:hint="eastAsia"/>
                <w:color w:val="auto"/>
                <w:kern w:val="0"/>
                <w:sz w:val="24"/>
                <w:szCs w:val="28"/>
                <w:highlight w:val="none"/>
              </w:rPr>
              <w:t>中6.3.1中要求，提出防渗分区划分</w:t>
            </w:r>
            <w:r>
              <w:rPr>
                <w:color w:val="auto"/>
                <w:kern w:val="0"/>
                <w:sz w:val="24"/>
                <w:szCs w:val="28"/>
                <w:highlight w:val="none"/>
              </w:rPr>
              <w:t>，防渗分区见</w:t>
            </w:r>
            <w:r>
              <w:rPr>
                <w:rFonts w:hint="eastAsia"/>
                <w:color w:val="auto"/>
                <w:kern w:val="0"/>
                <w:sz w:val="24"/>
                <w:szCs w:val="28"/>
                <w:highlight w:val="none"/>
              </w:rPr>
              <w:fldChar w:fldCharType="begin"/>
            </w:r>
            <w:r>
              <w:rPr>
                <w:rFonts w:hint="eastAsia"/>
                <w:color w:val="auto"/>
                <w:kern w:val="0"/>
                <w:sz w:val="24"/>
                <w:szCs w:val="28"/>
                <w:highlight w:val="none"/>
              </w:rPr>
              <w:instrText xml:space="preserve"> REF _Ref23048 \h </w:instrText>
            </w:r>
            <w:r>
              <w:rPr>
                <w:rFonts w:hint="eastAsia"/>
                <w:color w:val="auto"/>
                <w:kern w:val="0"/>
                <w:sz w:val="24"/>
                <w:szCs w:val="28"/>
                <w:highlight w:val="none"/>
              </w:rPr>
              <w:fldChar w:fldCharType="separate"/>
            </w:r>
            <w:r>
              <w:rPr>
                <w:color w:val="auto"/>
                <w:highlight w:val="none"/>
              </w:rPr>
              <w:t>表4-16</w:t>
            </w:r>
            <w:r>
              <w:rPr>
                <w:rFonts w:hint="eastAsia"/>
                <w:color w:val="auto"/>
                <w:kern w:val="0"/>
                <w:sz w:val="24"/>
                <w:szCs w:val="28"/>
                <w:highlight w:val="none"/>
              </w:rPr>
              <w:fldChar w:fldCharType="end"/>
            </w:r>
            <w:r>
              <w:rPr>
                <w:rFonts w:hint="eastAsia"/>
                <w:color w:val="auto"/>
                <w:kern w:val="0"/>
                <w:sz w:val="24"/>
                <w:szCs w:val="28"/>
                <w:highlight w:val="none"/>
                <w:lang w:eastAsia="zh-CN"/>
              </w:rPr>
              <w:t>，分区防渗图</w:t>
            </w:r>
            <w:r>
              <w:rPr>
                <w:rFonts w:hint="eastAsia"/>
                <w:color w:val="auto"/>
                <w:kern w:val="0"/>
                <w:sz w:val="24"/>
                <w:szCs w:val="28"/>
                <w:highlight w:val="none"/>
                <w:lang w:val="en-US" w:eastAsia="zh-CN"/>
              </w:rPr>
              <w:t>见附图5</w:t>
            </w:r>
            <w:r>
              <w:rPr>
                <w:color w:val="auto"/>
                <w:kern w:val="0"/>
                <w:sz w:val="24"/>
                <w:szCs w:val="28"/>
                <w:highlight w:val="none"/>
              </w:rPr>
              <w:t>。</w:t>
            </w:r>
          </w:p>
          <w:p w14:paraId="4AE6362C">
            <w:pPr>
              <w:pStyle w:val="7"/>
              <w:rPr>
                <w:color w:val="auto"/>
                <w:highlight w:val="none"/>
              </w:rPr>
            </w:pPr>
            <w:bookmarkStart w:id="73" w:name="_Ref23048"/>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16</w:t>
            </w:r>
            <w:r>
              <w:rPr>
                <w:color w:val="auto"/>
                <w:highlight w:val="none"/>
              </w:rPr>
              <w:fldChar w:fldCharType="end"/>
            </w:r>
            <w:bookmarkEnd w:id="73"/>
            <w:r>
              <w:rPr>
                <w:rFonts w:hint="eastAsia"/>
                <w:color w:val="auto"/>
                <w:highlight w:val="none"/>
                <w:lang w:val="en-US" w:eastAsia="zh-CN"/>
              </w:rPr>
              <w:t xml:space="preserve">  </w:t>
            </w:r>
            <w:r>
              <w:rPr>
                <w:color w:val="auto"/>
                <w:highlight w:val="none"/>
              </w:rPr>
              <w:t>项目分区防渗内容及技术要求</w:t>
            </w:r>
          </w:p>
          <w:tbl>
            <w:tblPr>
              <w:tblStyle w:val="24"/>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3168"/>
              <w:gridCol w:w="1245"/>
              <w:gridCol w:w="3698"/>
            </w:tblGrid>
            <w:tr w14:paraId="59067F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1952" w:type="pct"/>
                  <w:tcBorders>
                    <w:tl2br w:val="nil"/>
                    <w:tr2bl w:val="nil"/>
                  </w:tcBorders>
                  <w:noWrap w:val="0"/>
                  <w:vAlign w:val="center"/>
                </w:tcPr>
                <w:p w14:paraId="62DC0AB1">
                  <w:pPr>
                    <w:pStyle w:val="40"/>
                    <w:bidi w:val="0"/>
                    <w:rPr>
                      <w:color w:val="auto"/>
                      <w:highlight w:val="none"/>
                    </w:rPr>
                  </w:pPr>
                  <w:r>
                    <w:rPr>
                      <w:color w:val="auto"/>
                      <w:highlight w:val="none"/>
                    </w:rPr>
                    <w:t>污染源名称</w:t>
                  </w:r>
                </w:p>
              </w:tc>
              <w:tc>
                <w:tcPr>
                  <w:tcW w:w="767" w:type="pct"/>
                  <w:tcBorders>
                    <w:tl2br w:val="nil"/>
                    <w:tr2bl w:val="nil"/>
                  </w:tcBorders>
                  <w:noWrap w:val="0"/>
                  <w:vAlign w:val="center"/>
                </w:tcPr>
                <w:p w14:paraId="3495DA50">
                  <w:pPr>
                    <w:pStyle w:val="40"/>
                    <w:bidi w:val="0"/>
                    <w:rPr>
                      <w:color w:val="auto"/>
                      <w:highlight w:val="none"/>
                    </w:rPr>
                  </w:pPr>
                  <w:r>
                    <w:rPr>
                      <w:color w:val="auto"/>
                      <w:highlight w:val="none"/>
                    </w:rPr>
                    <w:t>防治分区</w:t>
                  </w:r>
                </w:p>
              </w:tc>
              <w:tc>
                <w:tcPr>
                  <w:tcW w:w="2279" w:type="pct"/>
                  <w:tcBorders>
                    <w:tl2br w:val="nil"/>
                    <w:tr2bl w:val="nil"/>
                  </w:tcBorders>
                  <w:noWrap w:val="0"/>
                  <w:vAlign w:val="center"/>
                </w:tcPr>
                <w:p w14:paraId="7DD8B3DB">
                  <w:pPr>
                    <w:pStyle w:val="40"/>
                    <w:bidi w:val="0"/>
                    <w:rPr>
                      <w:color w:val="auto"/>
                      <w:highlight w:val="none"/>
                    </w:rPr>
                  </w:pPr>
                  <w:r>
                    <w:rPr>
                      <w:color w:val="auto"/>
                      <w:highlight w:val="none"/>
                    </w:rPr>
                    <w:t>防渗技术要求</w:t>
                  </w:r>
                </w:p>
              </w:tc>
            </w:tr>
            <w:tr w14:paraId="5572E6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52" w:type="pct"/>
                  <w:tcBorders>
                    <w:tl2br w:val="nil"/>
                    <w:tr2bl w:val="nil"/>
                  </w:tcBorders>
                  <w:noWrap w:val="0"/>
                  <w:vAlign w:val="center"/>
                </w:tcPr>
                <w:p w14:paraId="11BEB764">
                  <w:pPr>
                    <w:pStyle w:val="40"/>
                    <w:bidi w:val="0"/>
                    <w:rPr>
                      <w:rFonts w:hint="default"/>
                      <w:color w:val="auto"/>
                      <w:highlight w:val="none"/>
                      <w:lang w:val="en-US" w:eastAsia="zh-CN"/>
                    </w:rPr>
                  </w:pPr>
                  <w:r>
                    <w:rPr>
                      <w:rFonts w:hint="eastAsia"/>
                      <w:color w:val="auto"/>
                      <w:highlight w:val="none"/>
                      <w:lang w:val="en-US" w:eastAsia="zh-CN"/>
                    </w:rPr>
                    <w:t>危废贮存点</w:t>
                  </w:r>
                </w:p>
              </w:tc>
              <w:tc>
                <w:tcPr>
                  <w:tcW w:w="767" w:type="pct"/>
                  <w:tcBorders>
                    <w:tl2br w:val="nil"/>
                    <w:tr2bl w:val="nil"/>
                  </w:tcBorders>
                  <w:noWrap w:val="0"/>
                  <w:vAlign w:val="center"/>
                </w:tcPr>
                <w:p w14:paraId="545834A6">
                  <w:pPr>
                    <w:pStyle w:val="40"/>
                    <w:bidi w:val="0"/>
                    <w:rPr>
                      <w:rFonts w:hint="eastAsia" w:eastAsia="宋体"/>
                      <w:color w:val="auto"/>
                      <w:highlight w:val="none"/>
                      <w:lang w:eastAsia="zh-CN"/>
                    </w:rPr>
                  </w:pPr>
                  <w:r>
                    <w:rPr>
                      <w:rFonts w:hint="eastAsia"/>
                      <w:color w:val="auto"/>
                      <w:highlight w:val="none"/>
                      <w:lang w:val="en-US" w:eastAsia="zh-CN"/>
                    </w:rPr>
                    <w:t>/</w:t>
                  </w:r>
                </w:p>
              </w:tc>
              <w:tc>
                <w:tcPr>
                  <w:tcW w:w="2279" w:type="pct"/>
                  <w:tcBorders>
                    <w:tl2br w:val="nil"/>
                    <w:tr2bl w:val="nil"/>
                  </w:tcBorders>
                  <w:noWrap w:val="0"/>
                  <w:vAlign w:val="center"/>
                </w:tcPr>
                <w:p w14:paraId="0C53B74C">
                  <w:pPr>
                    <w:pStyle w:val="40"/>
                    <w:bidi w:val="0"/>
                    <w:rPr>
                      <w:rFonts w:hint="default" w:eastAsia="宋体"/>
                      <w:color w:val="auto"/>
                      <w:highlight w:val="none"/>
                      <w:lang w:val="en-US" w:eastAsia="zh-CN"/>
                    </w:rPr>
                  </w:pPr>
                  <w:r>
                    <w:rPr>
                      <w:rFonts w:hint="eastAsia"/>
                      <w:color w:val="auto"/>
                      <w:highlight w:val="none"/>
                    </w:rPr>
                    <w:t>防渗层为至少1m厚粘土层（渗透系数≤10</w:t>
                  </w:r>
                  <w:r>
                    <w:rPr>
                      <w:rFonts w:hint="eastAsia"/>
                      <w:color w:val="auto"/>
                      <w:highlight w:val="none"/>
                      <w:vertAlign w:val="superscript"/>
                    </w:rPr>
                    <w:t>-7</w:t>
                  </w:r>
                  <w:r>
                    <w:rPr>
                      <w:rFonts w:hint="eastAsia"/>
                      <w:color w:val="auto"/>
                      <w:highlight w:val="none"/>
                    </w:rPr>
                    <w:t>cm/s），或2mm厚高密度聚乙烯</w:t>
                  </w:r>
                  <w:r>
                    <w:rPr>
                      <w:rFonts w:hint="eastAsia"/>
                      <w:color w:val="auto"/>
                      <w:highlight w:val="none"/>
                      <w:lang w:eastAsia="zh-CN"/>
                    </w:rPr>
                    <w:t>膜等</w:t>
                  </w:r>
                  <w:r>
                    <w:rPr>
                      <w:rFonts w:hint="eastAsia"/>
                      <w:color w:val="auto"/>
                      <w:highlight w:val="none"/>
                    </w:rPr>
                    <w:t>人工</w:t>
                  </w:r>
                  <w:r>
                    <w:rPr>
                      <w:rFonts w:hint="eastAsia"/>
                      <w:color w:val="auto"/>
                      <w:highlight w:val="none"/>
                      <w:lang w:eastAsia="zh-CN"/>
                    </w:rPr>
                    <w:t>防渗</w:t>
                  </w:r>
                  <w:r>
                    <w:rPr>
                      <w:rFonts w:hint="eastAsia"/>
                      <w:color w:val="auto"/>
                      <w:highlight w:val="none"/>
                    </w:rPr>
                    <w:t>材料</w:t>
                  </w:r>
                  <w:r>
                    <w:rPr>
                      <w:rFonts w:hint="eastAsia"/>
                      <w:color w:val="auto"/>
                      <w:highlight w:val="none"/>
                      <w:lang w:eastAsia="zh-CN"/>
                    </w:rPr>
                    <w:t>（</w:t>
                  </w:r>
                  <w:r>
                    <w:rPr>
                      <w:rFonts w:hint="eastAsia"/>
                      <w:color w:val="auto"/>
                      <w:highlight w:val="none"/>
                    </w:rPr>
                    <w:t>渗透系数≤10</w:t>
                  </w:r>
                  <w:r>
                    <w:rPr>
                      <w:rFonts w:hint="eastAsia"/>
                      <w:color w:val="auto"/>
                      <w:highlight w:val="none"/>
                      <w:vertAlign w:val="superscript"/>
                    </w:rPr>
                    <w:t>-10</w:t>
                  </w:r>
                  <w:r>
                    <w:rPr>
                      <w:rFonts w:hint="eastAsia"/>
                      <w:color w:val="auto"/>
                      <w:highlight w:val="none"/>
                    </w:rPr>
                    <w:t>cm/s</w:t>
                  </w:r>
                  <w:r>
                    <w:rPr>
                      <w:rFonts w:hint="eastAsia"/>
                      <w:color w:val="auto"/>
                      <w:highlight w:val="none"/>
                      <w:lang w:eastAsia="zh-CN"/>
                    </w:rPr>
                    <w:t>）</w:t>
                  </w:r>
                </w:p>
              </w:tc>
            </w:tr>
            <w:tr w14:paraId="666DC0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52" w:type="pct"/>
                  <w:tcBorders>
                    <w:tl2br w:val="nil"/>
                    <w:tr2bl w:val="nil"/>
                  </w:tcBorders>
                  <w:noWrap w:val="0"/>
                  <w:vAlign w:val="center"/>
                </w:tcPr>
                <w:p w14:paraId="6CC535A9">
                  <w:pPr>
                    <w:pStyle w:val="40"/>
                    <w:bidi w:val="0"/>
                    <w:rPr>
                      <w:rFonts w:hint="default"/>
                      <w:color w:val="auto"/>
                      <w:highlight w:val="none"/>
                      <w:lang w:val="en-US" w:eastAsia="zh-CN"/>
                    </w:rPr>
                  </w:pPr>
                  <w:r>
                    <w:rPr>
                      <w:rFonts w:hint="default"/>
                      <w:color w:val="auto"/>
                      <w:highlight w:val="none"/>
                      <w:lang w:val="en-US" w:eastAsia="zh-CN"/>
                    </w:rPr>
                    <w:t>生产车间、原料棚、添加剂储罐区、初期雨水收集池、沉淀池、三级沉淀池、暂存池、洗车台、机修间、灰渣储库、生物质颗粒储库</w:t>
                  </w:r>
                </w:p>
              </w:tc>
              <w:tc>
                <w:tcPr>
                  <w:tcW w:w="767" w:type="pct"/>
                  <w:tcBorders>
                    <w:tl2br w:val="nil"/>
                    <w:tr2bl w:val="nil"/>
                  </w:tcBorders>
                  <w:noWrap w:val="0"/>
                  <w:vAlign w:val="center"/>
                </w:tcPr>
                <w:p w14:paraId="7E004919">
                  <w:pPr>
                    <w:pStyle w:val="40"/>
                    <w:bidi w:val="0"/>
                    <w:rPr>
                      <w:rFonts w:hint="default"/>
                      <w:color w:val="auto"/>
                      <w:highlight w:val="none"/>
                      <w:lang w:val="en-US" w:eastAsia="zh-CN"/>
                    </w:rPr>
                  </w:pPr>
                  <w:r>
                    <w:rPr>
                      <w:rFonts w:hint="eastAsia"/>
                      <w:color w:val="auto"/>
                      <w:highlight w:val="none"/>
                      <w:lang w:val="en-US" w:eastAsia="zh-CN"/>
                    </w:rPr>
                    <w:t>一般防渗区</w:t>
                  </w:r>
                </w:p>
              </w:tc>
              <w:tc>
                <w:tcPr>
                  <w:tcW w:w="2279" w:type="pct"/>
                  <w:tcBorders>
                    <w:tl2br w:val="nil"/>
                    <w:tr2bl w:val="nil"/>
                  </w:tcBorders>
                  <w:noWrap w:val="0"/>
                  <w:vAlign w:val="center"/>
                </w:tcPr>
                <w:p w14:paraId="7D8970D6">
                  <w:pPr>
                    <w:pStyle w:val="40"/>
                    <w:bidi w:val="0"/>
                    <w:rPr>
                      <w:color w:val="auto"/>
                      <w:highlight w:val="none"/>
                    </w:rPr>
                  </w:pPr>
                  <w:r>
                    <w:rPr>
                      <w:rFonts w:hint="eastAsia"/>
                      <w:color w:val="auto"/>
                      <w:highlight w:val="none"/>
                    </w:rPr>
                    <w:t>等效粘土防渗层M</w:t>
                  </w:r>
                  <w:r>
                    <w:rPr>
                      <w:rFonts w:hint="eastAsia"/>
                      <w:color w:val="auto"/>
                      <w:highlight w:val="none"/>
                      <w:vertAlign w:val="subscript"/>
                    </w:rPr>
                    <w:t>b</w:t>
                  </w:r>
                  <w:r>
                    <w:rPr>
                      <w:rFonts w:hint="eastAsia"/>
                      <w:color w:val="auto"/>
                      <w:highlight w:val="none"/>
                    </w:rPr>
                    <w:t>≥1.5m，K≤1×10</w:t>
                  </w:r>
                  <w:r>
                    <w:rPr>
                      <w:rFonts w:hint="eastAsia"/>
                      <w:color w:val="auto"/>
                      <w:highlight w:val="none"/>
                      <w:vertAlign w:val="superscript"/>
                    </w:rPr>
                    <w:t>-7</w:t>
                  </w:r>
                  <w:r>
                    <w:rPr>
                      <w:rFonts w:hint="eastAsia"/>
                      <w:color w:val="auto"/>
                      <w:highlight w:val="none"/>
                    </w:rPr>
                    <w:t>cm/s</w:t>
                  </w:r>
                </w:p>
              </w:tc>
            </w:tr>
            <w:tr w14:paraId="04D823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52" w:type="pct"/>
                  <w:tcBorders>
                    <w:tl2br w:val="nil"/>
                    <w:tr2bl w:val="nil"/>
                  </w:tcBorders>
                  <w:noWrap w:val="0"/>
                  <w:vAlign w:val="center"/>
                </w:tcPr>
                <w:p w14:paraId="7EE4903E">
                  <w:pPr>
                    <w:pStyle w:val="40"/>
                    <w:bidi w:val="0"/>
                    <w:rPr>
                      <w:rFonts w:hint="default"/>
                      <w:color w:val="auto"/>
                      <w:highlight w:val="none"/>
                      <w:lang w:val="en-US" w:eastAsia="zh-CN"/>
                    </w:rPr>
                  </w:pPr>
                  <w:r>
                    <w:rPr>
                      <w:rFonts w:hint="eastAsia"/>
                      <w:color w:val="auto"/>
                      <w:highlight w:val="none"/>
                      <w:lang w:val="en-US" w:eastAsia="zh-CN"/>
                    </w:rPr>
                    <w:t>其他区域</w:t>
                  </w:r>
                </w:p>
              </w:tc>
              <w:tc>
                <w:tcPr>
                  <w:tcW w:w="767" w:type="pct"/>
                  <w:tcBorders>
                    <w:tl2br w:val="nil"/>
                    <w:tr2bl w:val="nil"/>
                  </w:tcBorders>
                  <w:noWrap w:val="0"/>
                  <w:vAlign w:val="center"/>
                </w:tcPr>
                <w:p w14:paraId="2F3E7C36">
                  <w:pPr>
                    <w:pStyle w:val="40"/>
                    <w:bidi w:val="0"/>
                    <w:rPr>
                      <w:rFonts w:hint="default"/>
                      <w:color w:val="auto"/>
                      <w:highlight w:val="none"/>
                      <w:lang w:val="en-US" w:eastAsia="zh-CN"/>
                    </w:rPr>
                  </w:pPr>
                  <w:r>
                    <w:rPr>
                      <w:rFonts w:hint="eastAsia"/>
                      <w:color w:val="auto"/>
                      <w:highlight w:val="none"/>
                      <w:lang w:val="en-US" w:eastAsia="zh-CN"/>
                    </w:rPr>
                    <w:t>简单防渗区</w:t>
                  </w:r>
                </w:p>
              </w:tc>
              <w:tc>
                <w:tcPr>
                  <w:tcW w:w="2279" w:type="pct"/>
                  <w:tcBorders>
                    <w:tl2br w:val="nil"/>
                    <w:tr2bl w:val="nil"/>
                  </w:tcBorders>
                  <w:noWrap w:val="0"/>
                  <w:vAlign w:val="center"/>
                </w:tcPr>
                <w:p w14:paraId="24166E56">
                  <w:pPr>
                    <w:pStyle w:val="40"/>
                    <w:bidi w:val="0"/>
                    <w:rPr>
                      <w:rFonts w:hint="eastAsia"/>
                      <w:color w:val="auto"/>
                      <w:highlight w:val="none"/>
                    </w:rPr>
                  </w:pPr>
                  <w:r>
                    <w:rPr>
                      <w:rFonts w:hint="eastAsia"/>
                      <w:color w:val="auto"/>
                      <w:highlight w:val="none"/>
                    </w:rPr>
                    <w:t>一般地面硬化</w:t>
                  </w:r>
                </w:p>
              </w:tc>
            </w:tr>
          </w:tbl>
          <w:p w14:paraId="3E173C1E">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rFonts w:hint="eastAsia"/>
                <w:color w:val="auto"/>
                <w:highlight w:val="none"/>
                <w:lang w:val="en-US" w:eastAsia="zh-CN"/>
              </w:rPr>
              <w:t>3、</w:t>
            </w:r>
            <w:r>
              <w:rPr>
                <w:rFonts w:hint="eastAsia"/>
                <w:color w:val="auto"/>
                <w:highlight w:val="none"/>
              </w:rPr>
              <w:t>影响分析</w:t>
            </w:r>
          </w:p>
          <w:p w14:paraId="442D96FE">
            <w:pPr>
              <w:bidi w:val="0"/>
              <w:rPr>
                <w:color w:val="auto"/>
                <w:highlight w:val="none"/>
              </w:rPr>
            </w:pPr>
            <w:r>
              <w:rPr>
                <w:rFonts w:hint="eastAsia"/>
                <w:color w:val="auto"/>
                <w:highlight w:val="none"/>
              </w:rPr>
              <w:t>根据可研，项目在添加剂储罐区设置5m</w:t>
            </w:r>
            <w:r>
              <w:rPr>
                <w:color w:val="auto"/>
                <w:highlight w:val="none"/>
              </w:rPr>
              <w:t>×</w:t>
            </w:r>
            <w:r>
              <w:rPr>
                <w:rFonts w:hint="eastAsia"/>
                <w:color w:val="auto"/>
                <w:highlight w:val="none"/>
              </w:rPr>
              <w:t>5m</w:t>
            </w:r>
            <w:r>
              <w:rPr>
                <w:color w:val="auto"/>
                <w:highlight w:val="none"/>
              </w:rPr>
              <w:t>×0.</w:t>
            </w:r>
            <w:r>
              <w:rPr>
                <w:rFonts w:hint="eastAsia"/>
                <w:color w:val="auto"/>
                <w:highlight w:val="none"/>
              </w:rPr>
              <w:t>5</w:t>
            </w:r>
            <w:r>
              <w:rPr>
                <w:color w:val="auto"/>
                <w:highlight w:val="none"/>
              </w:rPr>
              <w:t>m围堰，</w:t>
            </w:r>
            <w:r>
              <w:rPr>
                <w:rFonts w:hint="eastAsia"/>
                <w:color w:val="auto"/>
                <w:highlight w:val="none"/>
              </w:rPr>
              <w:t>防止添加剂</w:t>
            </w:r>
            <w:r>
              <w:rPr>
                <w:rFonts w:hint="eastAsia"/>
                <w:color w:val="auto"/>
                <w:highlight w:val="none"/>
                <w:lang w:val="en-US" w:eastAsia="zh-CN"/>
              </w:rPr>
              <w:t>发生</w:t>
            </w:r>
            <w:r>
              <w:rPr>
                <w:rFonts w:hint="eastAsia"/>
                <w:color w:val="auto"/>
                <w:highlight w:val="none"/>
              </w:rPr>
              <w:t>事故泄漏；</w:t>
            </w:r>
            <w:r>
              <w:rPr>
                <w:color w:val="auto"/>
                <w:highlight w:val="none"/>
              </w:rPr>
              <w:t>建设单位应加强施工期的管理，严格按防渗设计要求进行施工</w:t>
            </w:r>
            <w:r>
              <w:rPr>
                <w:rFonts w:hint="eastAsia"/>
                <w:color w:val="auto"/>
                <w:highlight w:val="none"/>
              </w:rPr>
              <w:t>。</w:t>
            </w:r>
          </w:p>
          <w:p w14:paraId="624E06A1">
            <w:pPr>
              <w:bidi w:val="0"/>
              <w:rPr>
                <w:color w:val="auto"/>
                <w:highlight w:val="none"/>
              </w:rPr>
            </w:pPr>
            <w:r>
              <w:rPr>
                <w:color w:val="auto"/>
                <w:highlight w:val="none"/>
              </w:rPr>
              <w:t>综上所述，正常工况下，</w:t>
            </w:r>
            <w:r>
              <w:rPr>
                <w:rFonts w:hint="eastAsia"/>
                <w:color w:val="auto"/>
                <w:highlight w:val="none"/>
              </w:rPr>
              <w:t>项目无地下水、土壤污染途径</w:t>
            </w:r>
            <w:r>
              <w:rPr>
                <w:color w:val="auto"/>
                <w:highlight w:val="none"/>
              </w:rPr>
              <w:t>，对区域地下水环境影响的可能性</w:t>
            </w:r>
            <w:r>
              <w:rPr>
                <w:rFonts w:hint="eastAsia"/>
                <w:color w:val="auto"/>
                <w:highlight w:val="none"/>
              </w:rPr>
              <w:t>很</w:t>
            </w:r>
            <w:r>
              <w:rPr>
                <w:color w:val="auto"/>
                <w:highlight w:val="none"/>
              </w:rPr>
              <w:t>小，不会对</w:t>
            </w:r>
            <w:r>
              <w:rPr>
                <w:rFonts w:hint="eastAsia"/>
                <w:color w:val="auto"/>
                <w:highlight w:val="none"/>
              </w:rPr>
              <w:t>区域</w:t>
            </w:r>
            <w:r>
              <w:rPr>
                <w:color w:val="auto"/>
                <w:highlight w:val="none"/>
              </w:rPr>
              <w:t>地下水</w:t>
            </w:r>
            <w:r>
              <w:rPr>
                <w:rFonts w:hint="eastAsia"/>
                <w:color w:val="auto"/>
                <w:highlight w:val="none"/>
              </w:rPr>
              <w:t>、土壤</w:t>
            </w:r>
            <w:r>
              <w:rPr>
                <w:color w:val="auto"/>
                <w:highlight w:val="none"/>
              </w:rPr>
              <w:t>产生明显影响。</w:t>
            </w:r>
          </w:p>
          <w:p w14:paraId="54E854DE">
            <w:pPr>
              <w:pStyle w:val="41"/>
              <w:bidi w:val="0"/>
              <w:rPr>
                <w:rFonts w:hint="eastAsia"/>
                <w:color w:val="auto"/>
                <w:highlight w:val="none"/>
              </w:rPr>
            </w:pPr>
            <w:r>
              <w:rPr>
                <w:rFonts w:hint="eastAsia"/>
                <w:color w:val="auto"/>
                <w:highlight w:val="none"/>
                <w:lang w:val="en-US" w:eastAsia="zh-CN"/>
              </w:rPr>
              <w:t>六、</w:t>
            </w:r>
            <w:r>
              <w:rPr>
                <w:rFonts w:hint="eastAsia"/>
                <w:color w:val="auto"/>
                <w:highlight w:val="none"/>
              </w:rPr>
              <w:t>环境风险影响</w:t>
            </w:r>
          </w:p>
          <w:p w14:paraId="64F1BE2F">
            <w:pPr>
              <w:spacing w:line="360" w:lineRule="auto"/>
              <w:ind w:firstLine="480" w:firstLineChars="200"/>
              <w:rPr>
                <w:rFonts w:hint="eastAsia"/>
                <w:bCs/>
                <w:color w:val="auto"/>
                <w:sz w:val="24"/>
                <w:highlight w:val="none"/>
              </w:rPr>
            </w:pPr>
            <w:bookmarkStart w:id="74" w:name="_Toc7407"/>
            <w:bookmarkStart w:id="75" w:name="_Toc5089295"/>
            <w:r>
              <w:rPr>
                <w:rFonts w:hint="eastAsia"/>
                <w:color w:val="auto"/>
                <w:sz w:val="24"/>
                <w:highlight w:val="none"/>
              </w:rPr>
              <w:t>根据本项目使用的原辅材料、产品、污染物等，结合《建设项目环境风险评价技术导则》（HJ</w:t>
            </w:r>
            <w:r>
              <w:rPr>
                <w:rFonts w:hint="eastAsia"/>
                <w:color w:val="auto"/>
                <w:sz w:val="24"/>
                <w:highlight w:val="none"/>
                <w:lang w:val="en-US" w:eastAsia="zh-CN"/>
              </w:rPr>
              <w:t xml:space="preserve"> </w:t>
            </w:r>
            <w:r>
              <w:rPr>
                <w:rFonts w:hint="eastAsia"/>
                <w:color w:val="auto"/>
                <w:sz w:val="24"/>
                <w:highlight w:val="none"/>
              </w:rPr>
              <w:t>169-2018）定义及附录B中危险性物质，</w:t>
            </w:r>
            <w:r>
              <w:rPr>
                <w:rFonts w:hint="eastAsia"/>
                <w:bCs/>
                <w:color w:val="auto"/>
                <w:sz w:val="24"/>
                <w:highlight w:val="none"/>
              </w:rPr>
              <w:t>涉及的危险物质为废机油（HW08代码900-249-08），主要事故类型为废机油泄漏等引发的火灾事故。项目废机油年产生量</w:t>
            </w:r>
            <w:r>
              <w:rPr>
                <w:rFonts w:hint="eastAsia"/>
                <w:bCs/>
                <w:color w:val="auto"/>
                <w:sz w:val="24"/>
                <w:highlight w:val="none"/>
                <w:lang w:val="en-US" w:eastAsia="zh-CN"/>
              </w:rPr>
              <w:t>0.5t</w:t>
            </w:r>
            <w:r>
              <w:rPr>
                <w:rFonts w:hint="eastAsia"/>
                <w:bCs/>
                <w:color w:val="auto"/>
                <w:sz w:val="24"/>
                <w:highlight w:val="none"/>
              </w:rPr>
              <w:t>，废机油收集于符合《危险废物贮存污染控制标准》（GB</w:t>
            </w:r>
            <w:r>
              <w:rPr>
                <w:rFonts w:hint="eastAsia"/>
                <w:bCs/>
                <w:color w:val="auto"/>
                <w:sz w:val="24"/>
                <w:highlight w:val="none"/>
                <w:lang w:val="en-US" w:eastAsia="zh-CN"/>
              </w:rPr>
              <w:t xml:space="preserve"> </w:t>
            </w:r>
            <w:r>
              <w:rPr>
                <w:rFonts w:hint="eastAsia"/>
                <w:bCs/>
                <w:color w:val="auto"/>
                <w:sz w:val="24"/>
                <w:highlight w:val="none"/>
              </w:rPr>
              <w:t>18597-2023）要求的专用收集油桶内，需要在危废贮存点暂存。为防止环境风险事故发生，废机油专用收集桶贴须贴标签、警示标识等，避免接触火源，专用收集桶密封，</w:t>
            </w:r>
            <w:r>
              <w:rPr>
                <w:rFonts w:hint="eastAsia"/>
                <w:bCs/>
                <w:color w:val="auto"/>
                <w:sz w:val="24"/>
                <w:highlight w:val="none"/>
                <w:lang w:val="en-US" w:eastAsia="zh-CN"/>
              </w:rPr>
              <w:t>危废贮存点</w:t>
            </w:r>
            <w:r>
              <w:rPr>
                <w:rFonts w:hint="eastAsia"/>
                <w:bCs/>
                <w:color w:val="auto"/>
                <w:sz w:val="24"/>
                <w:highlight w:val="none"/>
              </w:rPr>
              <w:t>地面硬化，并作防渗处理，防止废机油渗入土壤。</w:t>
            </w:r>
          </w:p>
          <w:p w14:paraId="03AE158B">
            <w:pPr>
              <w:bidi w:val="0"/>
              <w:rPr>
                <w:rFonts w:hint="eastAsia"/>
                <w:color w:val="auto"/>
                <w:highlight w:val="none"/>
              </w:rPr>
            </w:pPr>
            <w:r>
              <w:rPr>
                <w:rFonts w:hint="eastAsia"/>
                <w:color w:val="auto"/>
                <w:highlight w:val="none"/>
              </w:rPr>
              <w:t>本项目的添加剂为</w:t>
            </w:r>
            <w:r>
              <w:rPr>
                <w:color w:val="auto"/>
                <w:highlight w:val="none"/>
              </w:rPr>
              <w:t>聚羧酸减水剂</w:t>
            </w:r>
            <w:r>
              <w:rPr>
                <w:rFonts w:hint="eastAsia"/>
                <w:color w:val="auto"/>
                <w:highlight w:val="none"/>
              </w:rPr>
              <w:t>，</w:t>
            </w:r>
            <w:r>
              <w:rPr>
                <w:color w:val="auto"/>
                <w:highlight w:val="none"/>
              </w:rPr>
              <w:t>符合ISO</w:t>
            </w:r>
            <w:r>
              <w:rPr>
                <w:rFonts w:hint="eastAsia"/>
                <w:color w:val="auto"/>
                <w:highlight w:val="none"/>
                <w:lang w:val="en-US" w:eastAsia="zh-CN"/>
              </w:rPr>
              <w:t xml:space="preserve"> </w:t>
            </w:r>
            <w:r>
              <w:rPr>
                <w:color w:val="auto"/>
                <w:highlight w:val="none"/>
              </w:rPr>
              <w:t>14000环境保护管理国际标准，是一种绿色环保产品</w:t>
            </w:r>
            <w:r>
              <w:rPr>
                <w:rFonts w:hint="eastAsia"/>
                <w:color w:val="auto"/>
                <w:highlight w:val="none"/>
              </w:rPr>
              <w:t>，</w:t>
            </w:r>
            <w:r>
              <w:rPr>
                <w:rFonts w:hint="eastAsia"/>
                <w:color w:val="auto"/>
                <w:highlight w:val="none"/>
                <w:lang w:val="en-US" w:eastAsia="zh-CN"/>
              </w:rPr>
              <w:t>查阅</w:t>
            </w:r>
            <w:r>
              <w:rPr>
                <w:color w:val="auto"/>
                <w:highlight w:val="none"/>
              </w:rPr>
              <w:t>聚羧酸减水剂</w:t>
            </w:r>
            <w:r>
              <w:rPr>
                <w:rFonts w:hint="eastAsia"/>
                <w:color w:val="auto"/>
                <w:highlight w:val="none"/>
                <w:lang w:val="en-US" w:eastAsia="zh-CN"/>
              </w:rPr>
              <w:t>MSDS（化学品安全技术说明书），无亚急性和慢性毒性，</w:t>
            </w:r>
            <w:r>
              <w:rPr>
                <w:rFonts w:hint="eastAsia"/>
                <w:color w:val="auto"/>
                <w:highlight w:val="none"/>
              </w:rPr>
              <w:t>根据《建设项目环境风险评价技术导则》（HJ</w:t>
            </w:r>
            <w:r>
              <w:rPr>
                <w:rFonts w:hint="eastAsia"/>
                <w:color w:val="auto"/>
                <w:highlight w:val="none"/>
                <w:lang w:val="en-US" w:eastAsia="zh-CN"/>
              </w:rPr>
              <w:t xml:space="preserve"> </w:t>
            </w:r>
            <w:r>
              <w:rPr>
                <w:rFonts w:hint="eastAsia"/>
                <w:color w:val="auto"/>
                <w:highlight w:val="none"/>
              </w:rPr>
              <w:t>169-2018）附录B</w:t>
            </w:r>
            <w:r>
              <w:rPr>
                <w:rFonts w:hint="eastAsia"/>
                <w:color w:val="auto"/>
                <w:highlight w:val="none"/>
                <w:lang w:val="en-US" w:eastAsia="zh-CN"/>
              </w:rPr>
              <w:t>中表B.1-突发环境事件风险物质及临界量</w:t>
            </w:r>
            <w:r>
              <w:rPr>
                <w:rFonts w:hint="eastAsia"/>
                <w:color w:val="auto"/>
                <w:highlight w:val="none"/>
              </w:rPr>
              <w:t>，不涉及临界量</w:t>
            </w:r>
            <w:r>
              <w:rPr>
                <w:rFonts w:hint="eastAsia"/>
                <w:color w:val="auto"/>
                <w:highlight w:val="none"/>
                <w:lang w:eastAsia="zh-CN"/>
              </w:rPr>
              <w:t>，</w:t>
            </w:r>
            <w:r>
              <w:rPr>
                <w:rFonts w:hint="eastAsia"/>
                <w:color w:val="auto"/>
                <w:highlight w:val="none"/>
                <w:lang w:val="en-US" w:eastAsia="zh-CN"/>
              </w:rPr>
              <w:t>也不涉及</w:t>
            </w:r>
            <w:r>
              <w:rPr>
                <w:rFonts w:hint="eastAsia"/>
                <w:color w:val="auto"/>
                <w:highlight w:val="none"/>
              </w:rPr>
              <w:t>表B.2</w:t>
            </w:r>
            <w:r>
              <w:rPr>
                <w:rFonts w:hint="eastAsia"/>
                <w:color w:val="auto"/>
                <w:highlight w:val="none"/>
                <w:lang w:val="en-US" w:eastAsia="zh-CN"/>
              </w:rPr>
              <w:t>-</w:t>
            </w:r>
            <w:r>
              <w:rPr>
                <w:rFonts w:hint="eastAsia"/>
                <w:color w:val="auto"/>
                <w:highlight w:val="none"/>
              </w:rPr>
              <w:t>其他危险物质临界量推荐值</w:t>
            </w:r>
            <w:r>
              <w:rPr>
                <w:rFonts w:hint="eastAsia"/>
                <w:color w:val="auto"/>
                <w:highlight w:val="none"/>
                <w:lang w:eastAsia="zh-CN"/>
              </w:rPr>
              <w:t>，</w:t>
            </w:r>
            <w:r>
              <w:rPr>
                <w:rFonts w:hint="eastAsia"/>
                <w:color w:val="auto"/>
                <w:highlight w:val="none"/>
              </w:rPr>
              <w:t>因此不进行环境风险评价。但针对添加剂储罐可能发生破损，污染土壤和地下水，项目添加剂储罐区采取防渗措施，并设置5m×5m×0.5m围堰，防止添加剂事故泄漏，基础及围堰的防渗等级等效粘土防渗层M</w:t>
            </w:r>
            <w:r>
              <w:rPr>
                <w:rFonts w:hint="eastAsia"/>
                <w:color w:val="auto"/>
                <w:highlight w:val="none"/>
                <w:vertAlign w:val="subscript"/>
              </w:rPr>
              <w:t>b</w:t>
            </w:r>
            <w:r>
              <w:rPr>
                <w:rFonts w:hint="eastAsia"/>
                <w:color w:val="auto"/>
                <w:highlight w:val="none"/>
              </w:rPr>
              <w:t>≥1.5m，K≤1×10</w:t>
            </w:r>
            <w:r>
              <w:rPr>
                <w:rFonts w:hint="eastAsia"/>
                <w:color w:val="auto"/>
                <w:highlight w:val="none"/>
                <w:vertAlign w:val="superscript"/>
              </w:rPr>
              <w:t>-7</w:t>
            </w:r>
            <w:r>
              <w:rPr>
                <w:rFonts w:hint="eastAsia"/>
                <w:color w:val="auto"/>
                <w:highlight w:val="none"/>
              </w:rPr>
              <w:t>cm/s。</w:t>
            </w:r>
          </w:p>
          <w:bookmarkEnd w:id="74"/>
          <w:bookmarkEnd w:id="75"/>
          <w:p w14:paraId="23AEF586">
            <w:pPr>
              <w:pStyle w:val="41"/>
              <w:bidi w:val="0"/>
              <w:rPr>
                <w:rFonts w:hint="eastAsia"/>
                <w:color w:val="auto"/>
                <w:highlight w:val="none"/>
                <w:lang w:val="en-US" w:eastAsia="zh-CN"/>
              </w:rPr>
            </w:pPr>
            <w:r>
              <w:rPr>
                <w:rFonts w:hint="eastAsia"/>
                <w:color w:val="auto"/>
                <w:highlight w:val="none"/>
                <w:lang w:val="en-US" w:eastAsia="zh-CN"/>
              </w:rPr>
              <w:t>七、环保投资估算</w:t>
            </w:r>
          </w:p>
          <w:p w14:paraId="3AF72F7E">
            <w:pPr>
              <w:bidi w:val="0"/>
              <w:rPr>
                <w:rFonts w:hint="eastAsia"/>
                <w:color w:val="auto"/>
                <w:highlight w:val="none"/>
                <w:lang w:val="en-US" w:eastAsia="zh-CN"/>
              </w:rPr>
            </w:pPr>
            <w:r>
              <w:rPr>
                <w:color w:val="auto"/>
                <w:highlight w:val="none"/>
              </w:rPr>
              <w:t>项目总投资</w:t>
            </w:r>
            <w:r>
              <w:rPr>
                <w:rFonts w:hint="eastAsia"/>
                <w:color w:val="auto"/>
                <w:highlight w:val="none"/>
                <w:lang w:val="en-US" w:eastAsia="zh-CN"/>
              </w:rPr>
              <w:t>30470</w:t>
            </w:r>
            <w:r>
              <w:rPr>
                <w:color w:val="auto"/>
                <w:highlight w:val="none"/>
              </w:rPr>
              <w:t>万元，估算环保投资</w:t>
            </w:r>
            <w:r>
              <w:rPr>
                <w:rFonts w:hint="eastAsia" w:cs="Times New Roman"/>
                <w:color w:val="auto"/>
                <w:sz w:val="24"/>
                <w:szCs w:val="24"/>
                <w:highlight w:val="none"/>
                <w:lang w:val="en-US" w:eastAsia="zh-CN"/>
              </w:rPr>
              <w:t>882</w:t>
            </w:r>
            <w:r>
              <w:rPr>
                <w:color w:val="auto"/>
                <w:highlight w:val="none"/>
              </w:rPr>
              <w:t>万元，占总投资的</w:t>
            </w:r>
            <w:r>
              <w:rPr>
                <w:rFonts w:hint="eastAsia"/>
                <w:color w:val="auto"/>
                <w:highlight w:val="none"/>
                <w:lang w:val="en-US" w:eastAsia="zh-CN"/>
              </w:rPr>
              <w:t>2.89</w:t>
            </w:r>
            <w:r>
              <w:rPr>
                <w:color w:val="auto"/>
                <w:highlight w:val="none"/>
              </w:rPr>
              <w:t>%。具体见</w:t>
            </w:r>
            <w:r>
              <w:rPr>
                <w:color w:val="auto"/>
                <w:highlight w:val="none"/>
              </w:rPr>
              <w:fldChar w:fldCharType="begin"/>
            </w:r>
            <w:r>
              <w:rPr>
                <w:color w:val="auto"/>
                <w:highlight w:val="none"/>
              </w:rPr>
              <w:instrText xml:space="preserve"> REF _Ref29201 \h </w:instrText>
            </w:r>
            <w:r>
              <w:rPr>
                <w:color w:val="auto"/>
                <w:highlight w:val="none"/>
              </w:rPr>
              <w:fldChar w:fldCharType="separate"/>
            </w:r>
            <w:r>
              <w:rPr>
                <w:color w:val="auto"/>
                <w:highlight w:val="none"/>
              </w:rPr>
              <w:t>表4-17</w:t>
            </w:r>
            <w:r>
              <w:rPr>
                <w:color w:val="auto"/>
                <w:highlight w:val="none"/>
              </w:rPr>
              <w:fldChar w:fldCharType="end"/>
            </w:r>
            <w:r>
              <w:rPr>
                <w:color w:val="auto"/>
                <w:highlight w:val="none"/>
              </w:rPr>
              <w:t>。</w:t>
            </w:r>
          </w:p>
          <w:p w14:paraId="658BA57B">
            <w:pPr>
              <w:pStyle w:val="7"/>
              <w:rPr>
                <w:rFonts w:hint="default"/>
                <w:color w:val="auto"/>
                <w:highlight w:val="none"/>
                <w:lang w:val="en-US" w:eastAsia="zh-CN"/>
              </w:rPr>
            </w:pPr>
            <w:bookmarkStart w:id="76" w:name="_Ref29201"/>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17</w:t>
            </w:r>
            <w:r>
              <w:rPr>
                <w:color w:val="auto"/>
                <w:highlight w:val="none"/>
              </w:rPr>
              <w:fldChar w:fldCharType="end"/>
            </w:r>
            <w:bookmarkEnd w:id="76"/>
            <w:r>
              <w:rPr>
                <w:rFonts w:hint="eastAsia"/>
                <w:color w:val="auto"/>
                <w:highlight w:val="none"/>
                <w:lang w:val="en-US" w:eastAsia="zh-CN"/>
              </w:rPr>
              <w:t xml:space="preserve">  </w:t>
            </w:r>
            <w:r>
              <w:rPr>
                <w:color w:val="auto"/>
                <w:highlight w:val="none"/>
              </w:rPr>
              <w:t>环保投资一览表</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单位：万元</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496"/>
              <w:gridCol w:w="349"/>
              <w:gridCol w:w="381"/>
              <w:gridCol w:w="1027"/>
              <w:gridCol w:w="5027"/>
              <w:gridCol w:w="831"/>
            </w:tblGrid>
            <w:tr w14:paraId="6F94D3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05" w:type="pct"/>
                  <w:tcBorders>
                    <w:tl2br w:val="nil"/>
                    <w:tr2bl w:val="nil"/>
                  </w:tcBorders>
                  <w:noWrap w:val="0"/>
                  <w:vAlign w:val="center"/>
                </w:tcPr>
                <w:p w14:paraId="424C30DC">
                  <w:pPr>
                    <w:pStyle w:val="40"/>
                    <w:bidi w:val="0"/>
                    <w:rPr>
                      <w:color w:val="auto"/>
                      <w:highlight w:val="none"/>
                    </w:rPr>
                  </w:pPr>
                  <w:r>
                    <w:rPr>
                      <w:color w:val="auto"/>
                      <w:highlight w:val="none"/>
                    </w:rPr>
                    <w:t>类别</w:t>
                  </w:r>
                </w:p>
              </w:tc>
              <w:tc>
                <w:tcPr>
                  <w:tcW w:w="450" w:type="pct"/>
                  <w:gridSpan w:val="2"/>
                  <w:tcBorders>
                    <w:tl2br w:val="nil"/>
                    <w:tr2bl w:val="nil"/>
                  </w:tcBorders>
                  <w:noWrap w:val="0"/>
                  <w:vAlign w:val="center"/>
                </w:tcPr>
                <w:p w14:paraId="1B659242">
                  <w:pPr>
                    <w:pStyle w:val="40"/>
                    <w:bidi w:val="0"/>
                    <w:rPr>
                      <w:color w:val="auto"/>
                      <w:highlight w:val="none"/>
                    </w:rPr>
                  </w:pPr>
                  <w:r>
                    <w:rPr>
                      <w:color w:val="auto"/>
                      <w:highlight w:val="none"/>
                    </w:rPr>
                    <w:t>污染源</w:t>
                  </w:r>
                </w:p>
              </w:tc>
              <w:tc>
                <w:tcPr>
                  <w:tcW w:w="633" w:type="pct"/>
                  <w:tcBorders>
                    <w:tl2br w:val="nil"/>
                    <w:tr2bl w:val="nil"/>
                  </w:tcBorders>
                  <w:noWrap w:val="0"/>
                  <w:vAlign w:val="center"/>
                </w:tcPr>
                <w:p w14:paraId="6B853E69">
                  <w:pPr>
                    <w:pStyle w:val="40"/>
                    <w:bidi w:val="0"/>
                    <w:rPr>
                      <w:color w:val="auto"/>
                      <w:spacing w:val="-6"/>
                      <w:sz w:val="21"/>
                      <w:highlight w:val="none"/>
                    </w:rPr>
                  </w:pPr>
                  <w:r>
                    <w:rPr>
                      <w:color w:val="auto"/>
                      <w:spacing w:val="-6"/>
                      <w:sz w:val="21"/>
                      <w:highlight w:val="none"/>
                    </w:rPr>
                    <w:t>污染物</w:t>
                  </w:r>
                </w:p>
                <w:p w14:paraId="034A989B">
                  <w:pPr>
                    <w:pStyle w:val="40"/>
                    <w:bidi w:val="0"/>
                    <w:rPr>
                      <w:color w:val="auto"/>
                      <w:highlight w:val="none"/>
                    </w:rPr>
                  </w:pPr>
                  <w:r>
                    <w:rPr>
                      <w:color w:val="auto"/>
                      <w:spacing w:val="-6"/>
                      <w:sz w:val="21"/>
                      <w:highlight w:val="none"/>
                    </w:rPr>
                    <w:t>名称</w:t>
                  </w:r>
                </w:p>
              </w:tc>
              <w:tc>
                <w:tcPr>
                  <w:tcW w:w="3098" w:type="pct"/>
                  <w:tcBorders>
                    <w:tl2br w:val="nil"/>
                    <w:tr2bl w:val="nil"/>
                  </w:tcBorders>
                  <w:noWrap w:val="0"/>
                  <w:vAlign w:val="center"/>
                </w:tcPr>
                <w:p w14:paraId="16A512A3">
                  <w:pPr>
                    <w:pStyle w:val="40"/>
                    <w:bidi w:val="0"/>
                    <w:rPr>
                      <w:color w:val="auto"/>
                      <w:highlight w:val="none"/>
                    </w:rPr>
                  </w:pPr>
                  <w:r>
                    <w:rPr>
                      <w:color w:val="auto"/>
                      <w:highlight w:val="none"/>
                    </w:rPr>
                    <w:t>治理措施</w:t>
                  </w:r>
                </w:p>
              </w:tc>
              <w:tc>
                <w:tcPr>
                  <w:tcW w:w="512" w:type="pct"/>
                  <w:tcBorders>
                    <w:tl2br w:val="nil"/>
                    <w:tr2bl w:val="nil"/>
                  </w:tcBorders>
                  <w:noWrap w:val="0"/>
                  <w:vAlign w:val="center"/>
                </w:tcPr>
                <w:p w14:paraId="37FA1AA1">
                  <w:pPr>
                    <w:pStyle w:val="40"/>
                    <w:bidi w:val="0"/>
                    <w:rPr>
                      <w:color w:val="auto"/>
                      <w:highlight w:val="none"/>
                    </w:rPr>
                  </w:pPr>
                  <w:r>
                    <w:rPr>
                      <w:color w:val="auto"/>
                      <w:spacing w:val="-6"/>
                      <w:sz w:val="21"/>
                      <w:highlight w:val="none"/>
                    </w:rPr>
                    <w:t>环保投资（万元）</w:t>
                  </w:r>
                </w:p>
              </w:tc>
            </w:tr>
            <w:tr w14:paraId="314F6B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05" w:type="pct"/>
                  <w:vMerge w:val="restart"/>
                  <w:tcBorders>
                    <w:tl2br w:val="nil"/>
                    <w:tr2bl w:val="nil"/>
                  </w:tcBorders>
                  <w:noWrap w:val="0"/>
                  <w:vAlign w:val="center"/>
                </w:tcPr>
                <w:p w14:paraId="48C2B262">
                  <w:pPr>
                    <w:pStyle w:val="40"/>
                    <w:bidi w:val="0"/>
                    <w:rPr>
                      <w:rFonts w:hint="eastAsia" w:eastAsia="宋体"/>
                      <w:color w:val="auto"/>
                      <w:highlight w:val="none"/>
                      <w:lang w:val="en-US" w:eastAsia="zh-CN"/>
                    </w:rPr>
                  </w:pPr>
                  <w:r>
                    <w:rPr>
                      <w:rFonts w:hint="eastAsia"/>
                      <w:color w:val="auto"/>
                      <w:highlight w:val="none"/>
                      <w:lang w:val="en-US" w:eastAsia="zh-CN"/>
                    </w:rPr>
                    <w:t>大气污染物</w:t>
                  </w:r>
                </w:p>
              </w:tc>
              <w:tc>
                <w:tcPr>
                  <w:tcW w:w="215" w:type="pct"/>
                  <w:vMerge w:val="restart"/>
                  <w:tcBorders>
                    <w:tl2br w:val="nil"/>
                    <w:tr2bl w:val="nil"/>
                  </w:tcBorders>
                  <w:noWrap w:val="0"/>
                  <w:vAlign w:val="center"/>
                </w:tcPr>
                <w:p w14:paraId="576D4B99">
                  <w:pPr>
                    <w:pStyle w:val="40"/>
                    <w:bidi w:val="0"/>
                    <w:rPr>
                      <w:rFonts w:hint="default" w:eastAsia="宋体"/>
                      <w:color w:val="auto"/>
                      <w:highlight w:val="none"/>
                      <w:lang w:val="en-US" w:eastAsia="zh-CN"/>
                    </w:rPr>
                  </w:pPr>
                  <w:r>
                    <w:rPr>
                      <w:rFonts w:hint="eastAsia"/>
                      <w:color w:val="auto"/>
                      <w:highlight w:val="none"/>
                      <w:lang w:val="en-US" w:eastAsia="zh-CN"/>
                    </w:rPr>
                    <w:t>蒸压硅酸盐功能骨料生产车间</w:t>
                  </w:r>
                </w:p>
              </w:tc>
              <w:tc>
                <w:tcPr>
                  <w:tcW w:w="234" w:type="pct"/>
                  <w:tcBorders>
                    <w:tl2br w:val="nil"/>
                    <w:tr2bl w:val="nil"/>
                  </w:tcBorders>
                  <w:shd w:val="clear" w:color="auto" w:fill="auto"/>
                  <w:noWrap w:val="0"/>
                  <w:vAlign w:val="center"/>
                </w:tcPr>
                <w:p w14:paraId="25F1B00F">
                  <w:pPr>
                    <w:pStyle w:val="40"/>
                    <w:bidi w:val="0"/>
                    <w:ind w:firstLine="0" w:firstLineChars="0"/>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sz w:val="21"/>
                      <w:highlight w:val="none"/>
                      <w:shd w:val="clear"/>
                      <w:lang w:val="en-US" w:eastAsia="zh-CN"/>
                    </w:rPr>
                    <w:t>G1</w:t>
                  </w:r>
                </w:p>
              </w:tc>
              <w:tc>
                <w:tcPr>
                  <w:tcW w:w="633" w:type="pct"/>
                  <w:tcBorders>
                    <w:tl2br w:val="nil"/>
                    <w:tr2bl w:val="nil"/>
                  </w:tcBorders>
                  <w:shd w:val="clear" w:color="auto" w:fill="auto"/>
                  <w:noWrap w:val="0"/>
                  <w:vAlign w:val="center"/>
                </w:tcPr>
                <w:p w14:paraId="68AA80C7">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颗粒物</w:t>
                  </w:r>
                </w:p>
              </w:tc>
              <w:tc>
                <w:tcPr>
                  <w:tcW w:w="3098" w:type="pct"/>
                  <w:tcBorders>
                    <w:tl2br w:val="nil"/>
                    <w:tr2bl w:val="nil"/>
                  </w:tcBorders>
                  <w:shd w:val="clear" w:color="auto" w:fill="auto"/>
                  <w:noWrap w:val="0"/>
                  <w:vAlign w:val="center"/>
                </w:tcPr>
                <w:p w14:paraId="6921F760">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default"/>
                      <w:color w:val="auto"/>
                      <w:highlight w:val="none"/>
                    </w:rPr>
                    <w:t>仓顶自带脉冲式布袋除尘器</w:t>
                  </w:r>
                  <w:r>
                    <w:rPr>
                      <w:color w:val="auto"/>
                      <w:highlight w:val="none"/>
                    </w:rPr>
                    <w:t>（</w:t>
                  </w:r>
                  <w:r>
                    <w:rPr>
                      <w:rFonts w:hint="eastAsia"/>
                      <w:color w:val="auto"/>
                      <w:highlight w:val="none"/>
                      <w:lang w:val="en-US" w:eastAsia="zh-CN"/>
                    </w:rPr>
                    <w:t>5</w:t>
                  </w:r>
                  <w:r>
                    <w:rPr>
                      <w:color w:val="auto"/>
                      <w:highlight w:val="none"/>
                    </w:rPr>
                    <w:t>套）</w:t>
                  </w:r>
                  <w:r>
                    <w:rPr>
                      <w:rFonts w:hint="default"/>
                      <w:color w:val="auto"/>
                      <w:highlight w:val="none"/>
                    </w:rPr>
                    <w:t>，除尘效率为99.7%</w:t>
                  </w:r>
                  <w:r>
                    <w:rPr>
                      <w:rFonts w:hint="eastAsia"/>
                      <w:color w:val="auto"/>
                      <w:highlight w:val="none"/>
                      <w:lang w:eastAsia="zh-CN"/>
                    </w:rPr>
                    <w:t>，</w:t>
                  </w:r>
                  <w:r>
                    <w:rPr>
                      <w:rFonts w:hint="eastAsia"/>
                      <w:color w:val="auto"/>
                      <w:highlight w:val="none"/>
                    </w:rPr>
                    <w:t>粉尘</w:t>
                  </w:r>
                  <w:r>
                    <w:rPr>
                      <w:color w:val="auto"/>
                      <w:highlight w:val="none"/>
                    </w:rPr>
                    <w:t>经</w:t>
                  </w:r>
                  <w:r>
                    <w:rPr>
                      <w:rFonts w:hint="eastAsia"/>
                      <w:color w:val="auto"/>
                      <w:highlight w:val="none"/>
                    </w:rPr>
                    <w:t>处理后</w:t>
                  </w:r>
                  <w:r>
                    <w:rPr>
                      <w:rFonts w:hint="eastAsia"/>
                      <w:color w:val="auto"/>
                      <w:highlight w:val="none"/>
                      <w:lang w:val="en-US" w:eastAsia="zh-CN"/>
                    </w:rPr>
                    <w:t>由</w:t>
                  </w:r>
                  <w:r>
                    <w:rPr>
                      <w:color w:val="auto"/>
                      <w:highlight w:val="none"/>
                    </w:rPr>
                    <w:t>各</w:t>
                  </w:r>
                  <w:r>
                    <w:rPr>
                      <w:rFonts w:hint="eastAsia"/>
                      <w:color w:val="auto"/>
                      <w:highlight w:val="none"/>
                    </w:rPr>
                    <w:t>除尘器出口</w:t>
                  </w:r>
                  <w:r>
                    <w:rPr>
                      <w:rFonts w:hint="eastAsia"/>
                      <w:color w:val="auto"/>
                      <w:highlight w:val="none"/>
                      <w:lang w:val="en-US" w:eastAsia="zh-CN"/>
                    </w:rPr>
                    <w:t>无组织</w:t>
                  </w:r>
                  <w:r>
                    <w:rPr>
                      <w:rFonts w:hint="eastAsia"/>
                      <w:color w:val="auto"/>
                      <w:highlight w:val="none"/>
                    </w:rPr>
                    <w:t>排放</w:t>
                  </w:r>
                </w:p>
              </w:tc>
              <w:tc>
                <w:tcPr>
                  <w:tcW w:w="512" w:type="pct"/>
                  <w:tcBorders>
                    <w:tl2br w:val="nil"/>
                    <w:tr2bl w:val="nil"/>
                  </w:tcBorders>
                  <w:noWrap w:val="0"/>
                  <w:vAlign w:val="center"/>
                </w:tcPr>
                <w:p w14:paraId="515A7D41">
                  <w:pPr>
                    <w:pStyle w:val="40"/>
                    <w:bidi w:val="0"/>
                    <w:rPr>
                      <w:rFonts w:hint="default"/>
                      <w:color w:val="auto"/>
                      <w:highlight w:val="none"/>
                      <w:lang w:val="en-US" w:eastAsia="zh-CN"/>
                    </w:rPr>
                  </w:pPr>
                  <w:r>
                    <w:rPr>
                      <w:rFonts w:hint="eastAsia"/>
                      <w:color w:val="auto"/>
                      <w:highlight w:val="none"/>
                      <w:lang w:val="en-US" w:eastAsia="zh-CN"/>
                    </w:rPr>
                    <w:t>30</w:t>
                  </w:r>
                </w:p>
              </w:tc>
            </w:tr>
            <w:tr w14:paraId="62FAE0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05" w:type="pct"/>
                  <w:vMerge w:val="continue"/>
                  <w:tcBorders>
                    <w:tl2br w:val="nil"/>
                    <w:tr2bl w:val="nil"/>
                  </w:tcBorders>
                  <w:noWrap w:val="0"/>
                  <w:vAlign w:val="center"/>
                </w:tcPr>
                <w:p w14:paraId="5F8F7D88">
                  <w:pPr>
                    <w:pStyle w:val="40"/>
                    <w:bidi w:val="0"/>
                    <w:rPr>
                      <w:color w:val="auto"/>
                      <w:highlight w:val="none"/>
                    </w:rPr>
                  </w:pPr>
                </w:p>
              </w:tc>
              <w:tc>
                <w:tcPr>
                  <w:tcW w:w="215" w:type="pct"/>
                  <w:vMerge w:val="continue"/>
                  <w:tcBorders>
                    <w:tl2br w:val="nil"/>
                    <w:tr2bl w:val="nil"/>
                  </w:tcBorders>
                  <w:noWrap w:val="0"/>
                  <w:vAlign w:val="center"/>
                </w:tcPr>
                <w:p w14:paraId="3A32B702">
                  <w:pPr>
                    <w:pStyle w:val="40"/>
                    <w:bidi w:val="0"/>
                    <w:rPr>
                      <w:color w:val="auto"/>
                      <w:highlight w:val="none"/>
                    </w:rPr>
                  </w:pPr>
                </w:p>
              </w:tc>
              <w:tc>
                <w:tcPr>
                  <w:tcW w:w="234" w:type="pct"/>
                  <w:tcBorders>
                    <w:tl2br w:val="nil"/>
                    <w:tr2bl w:val="nil"/>
                  </w:tcBorders>
                  <w:shd w:val="clear" w:color="auto" w:fill="auto"/>
                  <w:noWrap w:val="0"/>
                  <w:vAlign w:val="center"/>
                </w:tcPr>
                <w:p w14:paraId="5537E865">
                  <w:pPr>
                    <w:pStyle w:val="40"/>
                    <w:bidi w:val="0"/>
                    <w:ind w:firstLine="0" w:firstLineChars="0"/>
                    <w:jc w:val="center"/>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sz w:val="21"/>
                      <w:highlight w:val="none"/>
                      <w:lang w:val="en-US" w:eastAsia="zh-CN"/>
                    </w:rPr>
                    <w:t>G2</w:t>
                  </w:r>
                </w:p>
              </w:tc>
              <w:tc>
                <w:tcPr>
                  <w:tcW w:w="633" w:type="pct"/>
                  <w:tcBorders>
                    <w:tl2br w:val="nil"/>
                    <w:tr2bl w:val="nil"/>
                  </w:tcBorders>
                  <w:shd w:val="clear" w:color="auto" w:fill="auto"/>
                  <w:noWrap w:val="0"/>
                  <w:vAlign w:val="center"/>
                </w:tcPr>
                <w:p w14:paraId="265F94C8">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颗粒物</w:t>
                  </w:r>
                </w:p>
              </w:tc>
              <w:tc>
                <w:tcPr>
                  <w:tcW w:w="3098" w:type="pct"/>
                  <w:tcBorders>
                    <w:tl2br w:val="nil"/>
                    <w:tr2bl w:val="nil"/>
                  </w:tcBorders>
                  <w:noWrap w:val="0"/>
                  <w:vAlign w:val="center"/>
                </w:tcPr>
                <w:p w14:paraId="5043A1F1">
                  <w:pPr>
                    <w:pStyle w:val="40"/>
                    <w:bidi w:val="0"/>
                    <w:rPr>
                      <w:rFonts w:hint="default" w:eastAsia="宋体"/>
                      <w:color w:val="auto"/>
                      <w:highlight w:val="none"/>
                      <w:lang w:val="en-US" w:eastAsia="zh-CN"/>
                    </w:rPr>
                  </w:pPr>
                  <w:r>
                    <w:rPr>
                      <w:rFonts w:hint="default" w:eastAsia="宋体"/>
                      <w:color w:val="auto"/>
                      <w:highlight w:val="none"/>
                      <w:lang w:val="en-US" w:eastAsia="zh-CN"/>
                    </w:rPr>
                    <w:t>喷雾降尘</w:t>
                  </w:r>
                  <w:r>
                    <w:rPr>
                      <w:rFonts w:hint="eastAsia"/>
                      <w:color w:val="auto"/>
                      <w:highlight w:val="none"/>
                      <w:lang w:val="en-US" w:eastAsia="zh-CN"/>
                    </w:rPr>
                    <w:t>设施</w:t>
                  </w:r>
                  <w:r>
                    <w:rPr>
                      <w:rFonts w:hint="default" w:eastAsia="宋体"/>
                      <w:color w:val="auto"/>
                      <w:highlight w:val="none"/>
                      <w:lang w:val="en-US" w:eastAsia="zh-CN"/>
                    </w:rPr>
                    <w:t>+封闭厂房，除尘效率90%</w:t>
                  </w:r>
                </w:p>
              </w:tc>
              <w:tc>
                <w:tcPr>
                  <w:tcW w:w="512" w:type="pct"/>
                  <w:tcBorders>
                    <w:tl2br w:val="nil"/>
                    <w:tr2bl w:val="nil"/>
                  </w:tcBorders>
                  <w:noWrap w:val="0"/>
                  <w:vAlign w:val="center"/>
                </w:tcPr>
                <w:p w14:paraId="03C359AE">
                  <w:pPr>
                    <w:pStyle w:val="40"/>
                    <w:bidi w:val="0"/>
                    <w:rPr>
                      <w:rFonts w:hint="default"/>
                      <w:color w:val="auto"/>
                      <w:highlight w:val="none"/>
                      <w:lang w:val="en-US" w:eastAsia="zh-CN"/>
                    </w:rPr>
                  </w:pPr>
                  <w:r>
                    <w:rPr>
                      <w:rFonts w:hint="eastAsia"/>
                      <w:color w:val="auto"/>
                      <w:highlight w:val="none"/>
                      <w:lang w:val="en-US" w:eastAsia="zh-CN"/>
                    </w:rPr>
                    <w:t>10</w:t>
                  </w:r>
                </w:p>
              </w:tc>
            </w:tr>
            <w:tr w14:paraId="693411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05" w:type="pct"/>
                  <w:vMerge w:val="continue"/>
                  <w:tcBorders>
                    <w:tl2br w:val="nil"/>
                    <w:tr2bl w:val="nil"/>
                  </w:tcBorders>
                  <w:noWrap w:val="0"/>
                  <w:vAlign w:val="center"/>
                </w:tcPr>
                <w:p w14:paraId="07092BE1">
                  <w:pPr>
                    <w:pStyle w:val="40"/>
                    <w:bidi w:val="0"/>
                    <w:rPr>
                      <w:color w:val="auto"/>
                      <w:highlight w:val="none"/>
                    </w:rPr>
                  </w:pPr>
                </w:p>
              </w:tc>
              <w:tc>
                <w:tcPr>
                  <w:tcW w:w="215" w:type="pct"/>
                  <w:vMerge w:val="continue"/>
                  <w:tcBorders>
                    <w:tl2br w:val="nil"/>
                    <w:tr2bl w:val="nil"/>
                  </w:tcBorders>
                  <w:noWrap w:val="0"/>
                  <w:vAlign w:val="center"/>
                </w:tcPr>
                <w:p w14:paraId="46E66224">
                  <w:pPr>
                    <w:pStyle w:val="40"/>
                    <w:bidi w:val="0"/>
                    <w:rPr>
                      <w:color w:val="auto"/>
                      <w:highlight w:val="none"/>
                    </w:rPr>
                  </w:pPr>
                </w:p>
              </w:tc>
              <w:tc>
                <w:tcPr>
                  <w:tcW w:w="234" w:type="pct"/>
                  <w:tcBorders>
                    <w:tl2br w:val="nil"/>
                    <w:tr2bl w:val="nil"/>
                  </w:tcBorders>
                  <w:shd w:val="clear" w:color="auto" w:fill="auto"/>
                  <w:noWrap w:val="0"/>
                  <w:vAlign w:val="center"/>
                </w:tcPr>
                <w:p w14:paraId="25124AB2">
                  <w:pPr>
                    <w:pStyle w:val="40"/>
                    <w:bidi w:val="0"/>
                    <w:ind w:firstLine="0" w:firstLineChars="0"/>
                    <w:jc w:val="center"/>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sz w:val="21"/>
                      <w:highlight w:val="none"/>
                      <w:lang w:val="en-US" w:eastAsia="zh-CN"/>
                    </w:rPr>
                    <w:t>G3</w:t>
                  </w:r>
                </w:p>
              </w:tc>
              <w:tc>
                <w:tcPr>
                  <w:tcW w:w="633" w:type="pct"/>
                  <w:tcBorders>
                    <w:tl2br w:val="nil"/>
                    <w:tr2bl w:val="nil"/>
                  </w:tcBorders>
                  <w:noWrap w:val="0"/>
                  <w:vAlign w:val="center"/>
                </w:tcPr>
                <w:p w14:paraId="227FDE64">
                  <w:pPr>
                    <w:pStyle w:val="40"/>
                    <w:bidi w:val="0"/>
                    <w:rPr>
                      <w:rFonts w:hint="default" w:eastAsia="宋体"/>
                      <w:color w:val="auto"/>
                      <w:highlight w:val="none"/>
                      <w:lang w:val="en-US" w:eastAsia="zh-CN"/>
                    </w:rPr>
                  </w:pPr>
                  <w:r>
                    <w:rPr>
                      <w:rFonts w:hint="eastAsia"/>
                      <w:color w:val="auto"/>
                      <w:highlight w:val="none"/>
                      <w:lang w:val="en-US" w:eastAsia="zh-CN"/>
                    </w:rPr>
                    <w:t>颗粒物</w:t>
                  </w:r>
                </w:p>
              </w:tc>
              <w:tc>
                <w:tcPr>
                  <w:tcW w:w="3098" w:type="pct"/>
                  <w:tcBorders>
                    <w:tl2br w:val="nil"/>
                    <w:tr2bl w:val="nil"/>
                  </w:tcBorders>
                  <w:noWrap w:val="0"/>
                  <w:vAlign w:val="center"/>
                </w:tcPr>
                <w:p w14:paraId="1DCAF73B">
                  <w:pPr>
                    <w:pStyle w:val="40"/>
                    <w:bidi w:val="0"/>
                    <w:rPr>
                      <w:rFonts w:hint="eastAsia"/>
                      <w:color w:val="auto"/>
                      <w:highlight w:val="none"/>
                    </w:rPr>
                  </w:pPr>
                  <w:r>
                    <w:rPr>
                      <w:rFonts w:hint="default"/>
                      <w:color w:val="auto"/>
                      <w:highlight w:val="none"/>
                    </w:rPr>
                    <w:t>仓顶自带脉冲式布袋除尘器</w:t>
                  </w:r>
                  <w:r>
                    <w:rPr>
                      <w:color w:val="auto"/>
                      <w:highlight w:val="none"/>
                    </w:rPr>
                    <w:t>（</w:t>
                  </w:r>
                  <w:r>
                    <w:rPr>
                      <w:rFonts w:hint="eastAsia"/>
                      <w:color w:val="auto"/>
                      <w:highlight w:val="none"/>
                      <w:lang w:val="en-US" w:eastAsia="zh-CN"/>
                    </w:rPr>
                    <w:t>2</w:t>
                  </w:r>
                  <w:r>
                    <w:rPr>
                      <w:color w:val="auto"/>
                      <w:highlight w:val="none"/>
                    </w:rPr>
                    <w:t>套）</w:t>
                  </w:r>
                  <w:r>
                    <w:rPr>
                      <w:rFonts w:hint="default"/>
                      <w:color w:val="auto"/>
                      <w:highlight w:val="none"/>
                    </w:rPr>
                    <w:t>，除尘效率为99.7%</w:t>
                  </w:r>
                  <w:r>
                    <w:rPr>
                      <w:rFonts w:hint="eastAsia"/>
                      <w:color w:val="auto"/>
                      <w:highlight w:val="none"/>
                      <w:lang w:eastAsia="zh-CN"/>
                    </w:rPr>
                    <w:t>，</w:t>
                  </w:r>
                  <w:r>
                    <w:rPr>
                      <w:rFonts w:hint="eastAsia"/>
                      <w:color w:val="auto"/>
                      <w:highlight w:val="none"/>
                    </w:rPr>
                    <w:t>粉尘</w:t>
                  </w:r>
                  <w:r>
                    <w:rPr>
                      <w:color w:val="auto"/>
                      <w:highlight w:val="none"/>
                    </w:rPr>
                    <w:t>经</w:t>
                  </w:r>
                  <w:r>
                    <w:rPr>
                      <w:rFonts w:hint="eastAsia"/>
                      <w:color w:val="auto"/>
                      <w:highlight w:val="none"/>
                    </w:rPr>
                    <w:t>处理后</w:t>
                  </w:r>
                  <w:r>
                    <w:rPr>
                      <w:rFonts w:hint="eastAsia"/>
                      <w:color w:val="auto"/>
                      <w:highlight w:val="none"/>
                      <w:lang w:val="en-US" w:eastAsia="zh-CN"/>
                    </w:rPr>
                    <w:t>由</w:t>
                  </w:r>
                  <w:r>
                    <w:rPr>
                      <w:color w:val="auto"/>
                      <w:highlight w:val="none"/>
                    </w:rPr>
                    <w:t>各</w:t>
                  </w:r>
                  <w:r>
                    <w:rPr>
                      <w:rFonts w:hint="eastAsia"/>
                      <w:color w:val="auto"/>
                      <w:highlight w:val="none"/>
                    </w:rPr>
                    <w:t>除尘器出口</w:t>
                  </w:r>
                  <w:r>
                    <w:rPr>
                      <w:rFonts w:hint="eastAsia"/>
                      <w:color w:val="auto"/>
                      <w:highlight w:val="none"/>
                      <w:lang w:val="en-US" w:eastAsia="zh-CN"/>
                    </w:rPr>
                    <w:t>无组织</w:t>
                  </w:r>
                  <w:r>
                    <w:rPr>
                      <w:rFonts w:hint="eastAsia"/>
                      <w:color w:val="auto"/>
                      <w:highlight w:val="none"/>
                    </w:rPr>
                    <w:t>排放</w:t>
                  </w:r>
                </w:p>
              </w:tc>
              <w:tc>
                <w:tcPr>
                  <w:tcW w:w="512" w:type="pct"/>
                  <w:tcBorders>
                    <w:tl2br w:val="nil"/>
                    <w:tr2bl w:val="nil"/>
                  </w:tcBorders>
                  <w:noWrap w:val="0"/>
                  <w:vAlign w:val="center"/>
                </w:tcPr>
                <w:p w14:paraId="1A245B37">
                  <w:pPr>
                    <w:pStyle w:val="40"/>
                    <w:bidi w:val="0"/>
                    <w:rPr>
                      <w:rFonts w:hint="default" w:eastAsia="宋体"/>
                      <w:color w:val="auto"/>
                      <w:highlight w:val="none"/>
                      <w:lang w:val="en-US" w:eastAsia="zh-CN"/>
                    </w:rPr>
                  </w:pPr>
                  <w:r>
                    <w:rPr>
                      <w:rFonts w:hint="eastAsia"/>
                      <w:color w:val="auto"/>
                      <w:highlight w:val="none"/>
                      <w:lang w:val="en-US" w:eastAsia="zh-CN"/>
                    </w:rPr>
                    <w:t>10</w:t>
                  </w:r>
                </w:p>
              </w:tc>
            </w:tr>
            <w:tr w14:paraId="5AC5AD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05" w:type="pct"/>
                  <w:vMerge w:val="continue"/>
                  <w:tcBorders>
                    <w:tl2br w:val="nil"/>
                    <w:tr2bl w:val="nil"/>
                  </w:tcBorders>
                  <w:noWrap w:val="0"/>
                  <w:vAlign w:val="center"/>
                </w:tcPr>
                <w:p w14:paraId="1FE4C919">
                  <w:pPr>
                    <w:pStyle w:val="40"/>
                    <w:bidi w:val="0"/>
                    <w:rPr>
                      <w:color w:val="auto"/>
                      <w:highlight w:val="none"/>
                    </w:rPr>
                  </w:pPr>
                </w:p>
              </w:tc>
              <w:tc>
                <w:tcPr>
                  <w:tcW w:w="215" w:type="pct"/>
                  <w:vMerge w:val="continue"/>
                  <w:tcBorders>
                    <w:tl2br w:val="nil"/>
                    <w:tr2bl w:val="nil"/>
                  </w:tcBorders>
                  <w:noWrap w:val="0"/>
                  <w:vAlign w:val="center"/>
                </w:tcPr>
                <w:p w14:paraId="2E6DAF1F">
                  <w:pPr>
                    <w:pStyle w:val="40"/>
                    <w:bidi w:val="0"/>
                    <w:rPr>
                      <w:color w:val="auto"/>
                      <w:highlight w:val="none"/>
                    </w:rPr>
                  </w:pPr>
                </w:p>
              </w:tc>
              <w:tc>
                <w:tcPr>
                  <w:tcW w:w="234" w:type="pct"/>
                  <w:tcBorders>
                    <w:tl2br w:val="nil"/>
                    <w:tr2bl w:val="nil"/>
                  </w:tcBorders>
                  <w:shd w:val="clear" w:color="auto" w:fill="auto"/>
                  <w:noWrap w:val="0"/>
                  <w:vAlign w:val="center"/>
                </w:tcPr>
                <w:p w14:paraId="73ADBC0D">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G4</w:t>
                  </w:r>
                </w:p>
              </w:tc>
              <w:tc>
                <w:tcPr>
                  <w:tcW w:w="633" w:type="pct"/>
                  <w:tcBorders>
                    <w:tl2br w:val="nil"/>
                    <w:tr2bl w:val="nil"/>
                  </w:tcBorders>
                  <w:shd w:val="clear" w:color="auto" w:fill="auto"/>
                  <w:noWrap w:val="0"/>
                  <w:vAlign w:val="center"/>
                </w:tcPr>
                <w:p w14:paraId="7BE865AD">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颗粒物</w:t>
                  </w:r>
                </w:p>
              </w:tc>
              <w:tc>
                <w:tcPr>
                  <w:tcW w:w="3098" w:type="pct"/>
                  <w:tcBorders>
                    <w:tl2br w:val="nil"/>
                    <w:tr2bl w:val="nil"/>
                  </w:tcBorders>
                  <w:shd w:val="clear" w:color="auto" w:fill="auto"/>
                  <w:noWrap w:val="0"/>
                  <w:vAlign w:val="center"/>
                </w:tcPr>
                <w:p w14:paraId="5E2E3620">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default"/>
                      <w:color w:val="auto"/>
                      <w:highlight w:val="none"/>
                    </w:rPr>
                    <w:t>球磨机有固定排放口直接与风管连接，</w:t>
                  </w:r>
                  <w:r>
                    <w:rPr>
                      <w:rFonts w:hint="eastAsia"/>
                      <w:color w:val="auto"/>
                      <w:spacing w:val="-6"/>
                      <w:sz w:val="21"/>
                      <w:highlight w:val="none"/>
                      <w:lang w:val="en-US" w:eastAsia="zh-CN"/>
                    </w:rPr>
                    <w:t>封闭负压，</w:t>
                  </w:r>
                  <w:r>
                    <w:rPr>
                      <w:rFonts w:hint="eastAsia"/>
                      <w:color w:val="auto"/>
                      <w:spacing w:val="-6"/>
                      <w:sz w:val="21"/>
                      <w:highlight w:val="none"/>
                      <w:lang w:eastAsia="zh-CN"/>
                    </w:rPr>
                    <w:t>有组织收集效率为99.5%，</w:t>
                  </w:r>
                  <w:r>
                    <w:rPr>
                      <w:rFonts w:hint="default"/>
                      <w:color w:val="auto"/>
                      <w:highlight w:val="none"/>
                    </w:rPr>
                    <w:t>末端设置脉冲式布袋除尘器，除尘效率为99.7%，</w:t>
                  </w:r>
                  <w:r>
                    <w:rPr>
                      <w:rFonts w:hint="default"/>
                      <w:color w:val="auto"/>
                      <w:spacing w:val="-6"/>
                      <w:sz w:val="21"/>
                      <w:highlight w:val="none"/>
                    </w:rPr>
                    <w:t>处理达标后经</w:t>
                  </w:r>
                  <w:r>
                    <w:rPr>
                      <w:rFonts w:hint="eastAsia"/>
                      <w:color w:val="auto"/>
                      <w:spacing w:val="-6"/>
                      <w:sz w:val="21"/>
                      <w:highlight w:val="none"/>
                      <w:lang w:val="en-US" w:eastAsia="zh-CN"/>
                    </w:rPr>
                    <w:t>1根</w:t>
                  </w:r>
                  <w:r>
                    <w:rPr>
                      <w:rFonts w:hint="default"/>
                      <w:color w:val="auto"/>
                      <w:spacing w:val="-6"/>
                      <w:sz w:val="21"/>
                      <w:highlight w:val="none"/>
                    </w:rPr>
                    <w:t>15m高排气筒</w:t>
                  </w:r>
                  <w:r>
                    <w:rPr>
                      <w:rFonts w:hint="eastAsia"/>
                      <w:color w:val="auto"/>
                      <w:spacing w:val="-6"/>
                      <w:sz w:val="21"/>
                      <w:highlight w:val="none"/>
                      <w:lang w:val="en-US" w:eastAsia="zh-CN"/>
                    </w:rPr>
                    <w:t>有组织</w:t>
                  </w:r>
                  <w:r>
                    <w:rPr>
                      <w:rFonts w:hint="default"/>
                      <w:color w:val="auto"/>
                      <w:spacing w:val="-6"/>
                      <w:sz w:val="21"/>
                      <w:highlight w:val="none"/>
                    </w:rPr>
                    <w:t>排放</w:t>
                  </w:r>
                  <w:r>
                    <w:rPr>
                      <w:rFonts w:hint="eastAsia"/>
                      <w:color w:val="auto"/>
                      <w:spacing w:val="-6"/>
                      <w:sz w:val="21"/>
                      <w:highlight w:val="none"/>
                      <w:lang w:eastAsia="zh-CN"/>
                    </w:rPr>
                    <w:t>（</w:t>
                  </w:r>
                  <w:r>
                    <w:rPr>
                      <w:rFonts w:hint="default"/>
                      <w:color w:val="auto"/>
                      <w:spacing w:val="-6"/>
                      <w:sz w:val="21"/>
                      <w:highlight w:val="none"/>
                    </w:rPr>
                    <w:t>DA001</w:t>
                  </w:r>
                  <w:r>
                    <w:rPr>
                      <w:rFonts w:hint="eastAsia"/>
                      <w:color w:val="auto"/>
                      <w:spacing w:val="-6"/>
                      <w:sz w:val="21"/>
                      <w:highlight w:val="none"/>
                      <w:lang w:eastAsia="zh-CN"/>
                    </w:rPr>
                    <w:t>）；</w:t>
                  </w:r>
                  <w:r>
                    <w:rPr>
                      <w:rFonts w:hint="eastAsia"/>
                      <w:color w:val="auto"/>
                      <w:spacing w:val="-6"/>
                      <w:sz w:val="21"/>
                      <w:highlight w:val="none"/>
                      <w:lang w:val="en-US" w:eastAsia="zh-CN"/>
                    </w:rPr>
                    <w:t>其余未收集粉尘通过</w:t>
                  </w:r>
                  <w:r>
                    <w:rPr>
                      <w:rFonts w:hint="default" w:eastAsia="宋体"/>
                      <w:color w:val="auto"/>
                      <w:highlight w:val="none"/>
                      <w:lang w:val="en-US" w:eastAsia="zh-CN"/>
                    </w:rPr>
                    <w:t>喷雾降尘</w:t>
                  </w:r>
                  <w:r>
                    <w:rPr>
                      <w:rFonts w:hint="eastAsia"/>
                      <w:color w:val="auto"/>
                      <w:highlight w:val="none"/>
                      <w:lang w:val="en-US" w:eastAsia="zh-CN"/>
                    </w:rPr>
                    <w:t>设施</w:t>
                  </w:r>
                  <w:r>
                    <w:rPr>
                      <w:rFonts w:hint="default" w:eastAsia="宋体"/>
                      <w:color w:val="auto"/>
                      <w:highlight w:val="none"/>
                      <w:lang w:val="en-US" w:eastAsia="zh-CN"/>
                    </w:rPr>
                    <w:t>+封闭厂房</w:t>
                  </w:r>
                  <w:r>
                    <w:rPr>
                      <w:rFonts w:hint="eastAsia"/>
                      <w:color w:val="auto"/>
                      <w:highlight w:val="none"/>
                      <w:lang w:val="en-US" w:eastAsia="zh-CN"/>
                    </w:rPr>
                    <w:t>处理后无组织排放</w:t>
                  </w:r>
                  <w:r>
                    <w:rPr>
                      <w:rFonts w:hint="default" w:eastAsia="宋体"/>
                      <w:color w:val="auto"/>
                      <w:highlight w:val="none"/>
                      <w:lang w:val="en-US" w:eastAsia="zh-CN"/>
                    </w:rPr>
                    <w:t>，除尘效率90%</w:t>
                  </w:r>
                </w:p>
              </w:tc>
              <w:tc>
                <w:tcPr>
                  <w:tcW w:w="512" w:type="pct"/>
                  <w:tcBorders>
                    <w:tl2br w:val="nil"/>
                    <w:tr2bl w:val="nil"/>
                  </w:tcBorders>
                  <w:shd w:val="clear" w:color="auto" w:fill="auto"/>
                  <w:noWrap w:val="0"/>
                  <w:vAlign w:val="center"/>
                </w:tcPr>
                <w:p w14:paraId="19E09C91">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15</w:t>
                  </w:r>
                </w:p>
              </w:tc>
            </w:tr>
            <w:tr w14:paraId="7D5A94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05" w:type="pct"/>
                  <w:vMerge w:val="continue"/>
                  <w:tcBorders>
                    <w:tl2br w:val="nil"/>
                    <w:tr2bl w:val="nil"/>
                  </w:tcBorders>
                  <w:noWrap w:val="0"/>
                  <w:vAlign w:val="center"/>
                </w:tcPr>
                <w:p w14:paraId="66AEC69F">
                  <w:pPr>
                    <w:pStyle w:val="40"/>
                    <w:bidi w:val="0"/>
                    <w:rPr>
                      <w:color w:val="auto"/>
                      <w:highlight w:val="none"/>
                    </w:rPr>
                  </w:pPr>
                </w:p>
              </w:tc>
              <w:tc>
                <w:tcPr>
                  <w:tcW w:w="215" w:type="pct"/>
                  <w:vMerge w:val="continue"/>
                  <w:tcBorders>
                    <w:tl2br w:val="nil"/>
                    <w:tr2bl w:val="nil"/>
                  </w:tcBorders>
                  <w:noWrap w:val="0"/>
                  <w:vAlign w:val="center"/>
                </w:tcPr>
                <w:p w14:paraId="79C19FDB">
                  <w:pPr>
                    <w:pStyle w:val="40"/>
                    <w:bidi w:val="0"/>
                    <w:rPr>
                      <w:color w:val="auto"/>
                      <w:highlight w:val="none"/>
                    </w:rPr>
                  </w:pPr>
                </w:p>
              </w:tc>
              <w:tc>
                <w:tcPr>
                  <w:tcW w:w="234" w:type="pct"/>
                  <w:tcBorders>
                    <w:tl2br w:val="nil"/>
                    <w:tr2bl w:val="nil"/>
                  </w:tcBorders>
                  <w:shd w:val="clear" w:color="auto" w:fill="auto"/>
                  <w:noWrap w:val="0"/>
                  <w:vAlign w:val="center"/>
                </w:tcPr>
                <w:p w14:paraId="39DE0EFE">
                  <w:pPr>
                    <w:pStyle w:val="40"/>
                    <w:bidi w:val="0"/>
                    <w:ind w:firstLine="0" w:firstLineChars="0"/>
                    <w:rPr>
                      <w:rFonts w:hint="eastAsia" w:cs="Times New Roman"/>
                      <w:b w:val="0"/>
                      <w:bCs w:val="0"/>
                      <w:color w:val="auto"/>
                      <w:kern w:val="2"/>
                      <w:sz w:val="21"/>
                      <w:szCs w:val="21"/>
                      <w:highlight w:val="none"/>
                      <w:lang w:val="en-US" w:eastAsia="zh-CN" w:bidi="ar-SA"/>
                    </w:rPr>
                  </w:pPr>
                  <w:r>
                    <w:rPr>
                      <w:rFonts w:hint="eastAsia"/>
                      <w:color w:val="auto"/>
                      <w:highlight w:val="none"/>
                      <w:lang w:val="en-US" w:eastAsia="zh-CN"/>
                    </w:rPr>
                    <w:t>G5</w:t>
                  </w:r>
                </w:p>
              </w:tc>
              <w:tc>
                <w:tcPr>
                  <w:tcW w:w="633" w:type="pct"/>
                  <w:tcBorders>
                    <w:tl2br w:val="nil"/>
                    <w:tr2bl w:val="nil"/>
                  </w:tcBorders>
                  <w:shd w:val="clear" w:color="auto" w:fill="auto"/>
                  <w:noWrap w:val="0"/>
                  <w:vAlign w:val="center"/>
                </w:tcPr>
                <w:p w14:paraId="096A3532">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颗粒物</w:t>
                  </w:r>
                </w:p>
              </w:tc>
              <w:tc>
                <w:tcPr>
                  <w:tcW w:w="3098" w:type="pct"/>
                  <w:tcBorders>
                    <w:tl2br w:val="nil"/>
                    <w:tr2bl w:val="nil"/>
                  </w:tcBorders>
                  <w:shd w:val="clear" w:color="auto" w:fill="auto"/>
                  <w:noWrap w:val="0"/>
                  <w:vAlign w:val="center"/>
                </w:tcPr>
                <w:p w14:paraId="343571D9">
                  <w:pPr>
                    <w:pStyle w:val="40"/>
                    <w:bidi w:val="0"/>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同G1</w:t>
                  </w:r>
                </w:p>
              </w:tc>
              <w:tc>
                <w:tcPr>
                  <w:tcW w:w="512" w:type="pct"/>
                  <w:tcBorders>
                    <w:tl2br w:val="nil"/>
                    <w:tr2bl w:val="nil"/>
                  </w:tcBorders>
                  <w:shd w:val="clear" w:color="auto" w:fill="auto"/>
                  <w:noWrap w:val="0"/>
                  <w:vAlign w:val="center"/>
                </w:tcPr>
                <w:p w14:paraId="79E3A161">
                  <w:pPr>
                    <w:pStyle w:val="40"/>
                    <w:bidi w:val="0"/>
                    <w:ind w:firstLine="0" w:firstLineChars="0"/>
                    <w:rPr>
                      <w:rFonts w:hint="default"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30</w:t>
                  </w:r>
                </w:p>
              </w:tc>
            </w:tr>
            <w:tr w14:paraId="657C55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05" w:type="pct"/>
                  <w:vMerge w:val="continue"/>
                  <w:tcBorders>
                    <w:tl2br w:val="nil"/>
                    <w:tr2bl w:val="nil"/>
                  </w:tcBorders>
                  <w:noWrap w:val="0"/>
                  <w:vAlign w:val="center"/>
                </w:tcPr>
                <w:p w14:paraId="17C200F8">
                  <w:pPr>
                    <w:pStyle w:val="40"/>
                    <w:bidi w:val="0"/>
                    <w:rPr>
                      <w:color w:val="auto"/>
                      <w:highlight w:val="none"/>
                    </w:rPr>
                  </w:pPr>
                </w:p>
              </w:tc>
              <w:tc>
                <w:tcPr>
                  <w:tcW w:w="215" w:type="pct"/>
                  <w:vMerge w:val="continue"/>
                  <w:tcBorders>
                    <w:tl2br w:val="nil"/>
                    <w:tr2bl w:val="nil"/>
                  </w:tcBorders>
                  <w:noWrap w:val="0"/>
                  <w:vAlign w:val="center"/>
                </w:tcPr>
                <w:p w14:paraId="1CABB998">
                  <w:pPr>
                    <w:pStyle w:val="40"/>
                    <w:bidi w:val="0"/>
                    <w:rPr>
                      <w:color w:val="auto"/>
                      <w:highlight w:val="none"/>
                    </w:rPr>
                  </w:pPr>
                </w:p>
              </w:tc>
              <w:tc>
                <w:tcPr>
                  <w:tcW w:w="234" w:type="pct"/>
                  <w:tcBorders>
                    <w:tl2br w:val="nil"/>
                    <w:tr2bl w:val="nil"/>
                  </w:tcBorders>
                  <w:shd w:val="clear" w:color="auto" w:fill="auto"/>
                  <w:noWrap w:val="0"/>
                  <w:vAlign w:val="center"/>
                </w:tcPr>
                <w:p w14:paraId="0B8ACB8C">
                  <w:pPr>
                    <w:pStyle w:val="40"/>
                    <w:bidi w:val="0"/>
                    <w:ind w:firstLine="0" w:firstLineChars="0"/>
                    <w:rPr>
                      <w:rFonts w:hint="default"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G6</w:t>
                  </w:r>
                </w:p>
              </w:tc>
              <w:tc>
                <w:tcPr>
                  <w:tcW w:w="633" w:type="pct"/>
                  <w:tcBorders>
                    <w:tl2br w:val="nil"/>
                    <w:tr2bl w:val="nil"/>
                  </w:tcBorders>
                  <w:shd w:val="clear" w:color="auto" w:fill="auto"/>
                  <w:noWrap w:val="0"/>
                  <w:vAlign w:val="center"/>
                </w:tcPr>
                <w:p w14:paraId="08B67BF6">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颗粒物</w:t>
                  </w:r>
                </w:p>
              </w:tc>
              <w:tc>
                <w:tcPr>
                  <w:tcW w:w="3098" w:type="pct"/>
                  <w:tcBorders>
                    <w:tl2br w:val="nil"/>
                    <w:tr2bl w:val="nil"/>
                  </w:tcBorders>
                  <w:shd w:val="clear" w:color="auto" w:fill="auto"/>
                  <w:noWrap w:val="0"/>
                  <w:vAlign w:val="center"/>
                </w:tcPr>
                <w:p w14:paraId="1EB7C533">
                  <w:pPr>
                    <w:pStyle w:val="40"/>
                    <w:bidi w:val="0"/>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同G1</w:t>
                  </w:r>
                </w:p>
              </w:tc>
              <w:tc>
                <w:tcPr>
                  <w:tcW w:w="512" w:type="pct"/>
                  <w:tcBorders>
                    <w:tl2br w:val="nil"/>
                    <w:tr2bl w:val="nil"/>
                  </w:tcBorders>
                  <w:shd w:val="clear" w:color="auto" w:fill="auto"/>
                  <w:noWrap w:val="0"/>
                  <w:vAlign w:val="center"/>
                </w:tcPr>
                <w:p w14:paraId="5F00C11B">
                  <w:pPr>
                    <w:pStyle w:val="40"/>
                    <w:bidi w:val="0"/>
                    <w:ind w:firstLine="0" w:firstLineChars="0"/>
                    <w:rPr>
                      <w:rFonts w:hint="default"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30</w:t>
                  </w:r>
                </w:p>
              </w:tc>
            </w:tr>
            <w:tr w14:paraId="160DC6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05" w:type="pct"/>
                  <w:vMerge w:val="continue"/>
                  <w:tcBorders>
                    <w:tl2br w:val="nil"/>
                    <w:tr2bl w:val="nil"/>
                  </w:tcBorders>
                  <w:noWrap w:val="0"/>
                  <w:vAlign w:val="center"/>
                </w:tcPr>
                <w:p w14:paraId="590E5775">
                  <w:pPr>
                    <w:pStyle w:val="40"/>
                    <w:bidi w:val="0"/>
                    <w:rPr>
                      <w:color w:val="auto"/>
                      <w:highlight w:val="none"/>
                    </w:rPr>
                  </w:pPr>
                </w:p>
              </w:tc>
              <w:tc>
                <w:tcPr>
                  <w:tcW w:w="215" w:type="pct"/>
                  <w:vMerge w:val="continue"/>
                  <w:tcBorders>
                    <w:tl2br w:val="nil"/>
                    <w:tr2bl w:val="nil"/>
                  </w:tcBorders>
                  <w:noWrap w:val="0"/>
                  <w:vAlign w:val="center"/>
                </w:tcPr>
                <w:p w14:paraId="3CEB0DC3">
                  <w:pPr>
                    <w:pStyle w:val="40"/>
                    <w:bidi w:val="0"/>
                    <w:rPr>
                      <w:color w:val="auto"/>
                      <w:highlight w:val="none"/>
                    </w:rPr>
                  </w:pPr>
                </w:p>
              </w:tc>
              <w:tc>
                <w:tcPr>
                  <w:tcW w:w="234" w:type="pct"/>
                  <w:tcBorders>
                    <w:tl2br w:val="nil"/>
                    <w:tr2bl w:val="nil"/>
                  </w:tcBorders>
                  <w:shd w:val="clear" w:color="auto" w:fill="auto"/>
                  <w:noWrap w:val="0"/>
                  <w:vAlign w:val="center"/>
                </w:tcPr>
                <w:p w14:paraId="4A3D80A1">
                  <w:pPr>
                    <w:pStyle w:val="40"/>
                    <w:bidi w:val="0"/>
                    <w:ind w:firstLine="0" w:firstLineChars="0"/>
                    <w:rPr>
                      <w:rFonts w:hint="default"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G7</w:t>
                  </w:r>
                </w:p>
              </w:tc>
              <w:tc>
                <w:tcPr>
                  <w:tcW w:w="633" w:type="pct"/>
                  <w:tcBorders>
                    <w:tl2br w:val="nil"/>
                    <w:tr2bl w:val="nil"/>
                  </w:tcBorders>
                  <w:shd w:val="clear" w:color="auto" w:fill="auto"/>
                  <w:noWrap w:val="0"/>
                  <w:vAlign w:val="center"/>
                </w:tcPr>
                <w:p w14:paraId="6D708F1E">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颗粒物</w:t>
                  </w:r>
                </w:p>
              </w:tc>
              <w:tc>
                <w:tcPr>
                  <w:tcW w:w="3098" w:type="pct"/>
                  <w:tcBorders>
                    <w:tl2br w:val="nil"/>
                    <w:tr2bl w:val="nil"/>
                  </w:tcBorders>
                  <w:shd w:val="clear" w:color="auto" w:fill="auto"/>
                  <w:noWrap w:val="0"/>
                  <w:vAlign w:val="center"/>
                </w:tcPr>
                <w:p w14:paraId="7582182E">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同G4</w:t>
                  </w:r>
                </w:p>
              </w:tc>
              <w:tc>
                <w:tcPr>
                  <w:tcW w:w="512" w:type="pct"/>
                  <w:tcBorders>
                    <w:tl2br w:val="nil"/>
                    <w:tr2bl w:val="nil"/>
                  </w:tcBorders>
                  <w:shd w:val="clear" w:color="auto" w:fill="auto"/>
                  <w:noWrap w:val="0"/>
                  <w:vAlign w:val="center"/>
                </w:tcPr>
                <w:p w14:paraId="2F6B9116">
                  <w:pPr>
                    <w:pStyle w:val="40"/>
                    <w:bidi w:val="0"/>
                    <w:ind w:firstLine="0" w:firstLineChars="0"/>
                    <w:rPr>
                      <w:rFonts w:hint="default"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15</w:t>
                  </w:r>
                </w:p>
              </w:tc>
            </w:tr>
            <w:tr w14:paraId="46803A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05" w:type="pct"/>
                  <w:vMerge w:val="continue"/>
                  <w:tcBorders>
                    <w:tl2br w:val="nil"/>
                    <w:tr2bl w:val="nil"/>
                  </w:tcBorders>
                  <w:noWrap w:val="0"/>
                  <w:vAlign w:val="center"/>
                </w:tcPr>
                <w:p w14:paraId="53FE6D2F">
                  <w:pPr>
                    <w:pStyle w:val="40"/>
                    <w:bidi w:val="0"/>
                    <w:rPr>
                      <w:color w:val="auto"/>
                      <w:highlight w:val="none"/>
                    </w:rPr>
                  </w:pPr>
                </w:p>
              </w:tc>
              <w:tc>
                <w:tcPr>
                  <w:tcW w:w="215" w:type="pct"/>
                  <w:vMerge w:val="continue"/>
                  <w:tcBorders>
                    <w:tl2br w:val="nil"/>
                    <w:tr2bl w:val="nil"/>
                  </w:tcBorders>
                  <w:noWrap w:val="0"/>
                  <w:vAlign w:val="center"/>
                </w:tcPr>
                <w:p w14:paraId="6C8E673A">
                  <w:pPr>
                    <w:pStyle w:val="40"/>
                    <w:bidi w:val="0"/>
                    <w:rPr>
                      <w:color w:val="auto"/>
                      <w:highlight w:val="none"/>
                    </w:rPr>
                  </w:pPr>
                </w:p>
              </w:tc>
              <w:tc>
                <w:tcPr>
                  <w:tcW w:w="234" w:type="pct"/>
                  <w:tcBorders>
                    <w:tl2br w:val="nil"/>
                    <w:tr2bl w:val="nil"/>
                  </w:tcBorders>
                  <w:shd w:val="clear" w:color="auto" w:fill="auto"/>
                  <w:noWrap w:val="0"/>
                  <w:vAlign w:val="center"/>
                </w:tcPr>
                <w:p w14:paraId="67A5850E">
                  <w:pPr>
                    <w:pStyle w:val="40"/>
                    <w:bidi w:val="0"/>
                    <w:ind w:firstLine="0" w:firstLineChars="0"/>
                    <w:rPr>
                      <w:rFonts w:hint="default"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G8</w:t>
                  </w:r>
                </w:p>
              </w:tc>
              <w:tc>
                <w:tcPr>
                  <w:tcW w:w="633" w:type="pct"/>
                  <w:tcBorders>
                    <w:tl2br w:val="nil"/>
                    <w:tr2bl w:val="nil"/>
                  </w:tcBorders>
                  <w:shd w:val="clear" w:color="auto" w:fill="auto"/>
                  <w:noWrap w:val="0"/>
                  <w:vAlign w:val="center"/>
                </w:tcPr>
                <w:p w14:paraId="0CD48481">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颗粒物</w:t>
                  </w:r>
                </w:p>
              </w:tc>
              <w:tc>
                <w:tcPr>
                  <w:tcW w:w="3098" w:type="pct"/>
                  <w:tcBorders>
                    <w:tl2br w:val="nil"/>
                    <w:tr2bl w:val="nil"/>
                  </w:tcBorders>
                  <w:shd w:val="clear" w:color="auto" w:fill="auto"/>
                  <w:noWrap w:val="0"/>
                  <w:vAlign w:val="center"/>
                </w:tcPr>
                <w:p w14:paraId="119E1B45">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同G1</w:t>
                  </w:r>
                </w:p>
              </w:tc>
              <w:tc>
                <w:tcPr>
                  <w:tcW w:w="512" w:type="pct"/>
                  <w:tcBorders>
                    <w:tl2br w:val="nil"/>
                    <w:tr2bl w:val="nil"/>
                  </w:tcBorders>
                  <w:shd w:val="clear" w:color="auto" w:fill="auto"/>
                  <w:noWrap w:val="0"/>
                  <w:vAlign w:val="center"/>
                </w:tcPr>
                <w:p w14:paraId="433DF9EF">
                  <w:pPr>
                    <w:pStyle w:val="40"/>
                    <w:bidi w:val="0"/>
                    <w:ind w:firstLine="0" w:firstLineChars="0"/>
                    <w:rPr>
                      <w:rFonts w:hint="default"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30</w:t>
                  </w:r>
                </w:p>
              </w:tc>
            </w:tr>
            <w:tr w14:paraId="542900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05" w:type="pct"/>
                  <w:vMerge w:val="continue"/>
                  <w:tcBorders>
                    <w:tl2br w:val="nil"/>
                    <w:tr2bl w:val="nil"/>
                  </w:tcBorders>
                  <w:noWrap w:val="0"/>
                  <w:vAlign w:val="center"/>
                </w:tcPr>
                <w:p w14:paraId="549EA215">
                  <w:pPr>
                    <w:pStyle w:val="40"/>
                    <w:bidi w:val="0"/>
                    <w:rPr>
                      <w:color w:val="auto"/>
                      <w:highlight w:val="none"/>
                    </w:rPr>
                  </w:pPr>
                </w:p>
              </w:tc>
              <w:tc>
                <w:tcPr>
                  <w:tcW w:w="215" w:type="pct"/>
                  <w:vMerge w:val="continue"/>
                  <w:tcBorders>
                    <w:tl2br w:val="nil"/>
                    <w:tr2bl w:val="nil"/>
                  </w:tcBorders>
                  <w:noWrap w:val="0"/>
                  <w:vAlign w:val="center"/>
                </w:tcPr>
                <w:p w14:paraId="076B1473">
                  <w:pPr>
                    <w:pStyle w:val="40"/>
                    <w:bidi w:val="0"/>
                    <w:rPr>
                      <w:color w:val="auto"/>
                      <w:highlight w:val="none"/>
                    </w:rPr>
                  </w:pPr>
                </w:p>
              </w:tc>
              <w:tc>
                <w:tcPr>
                  <w:tcW w:w="234" w:type="pct"/>
                  <w:tcBorders>
                    <w:tl2br w:val="nil"/>
                    <w:tr2bl w:val="nil"/>
                  </w:tcBorders>
                  <w:shd w:val="clear" w:color="auto" w:fill="auto"/>
                  <w:noWrap w:val="0"/>
                  <w:vAlign w:val="center"/>
                </w:tcPr>
                <w:p w14:paraId="1B13FA02">
                  <w:pPr>
                    <w:pStyle w:val="40"/>
                    <w:bidi w:val="0"/>
                    <w:ind w:firstLine="0" w:firstLineChars="0"/>
                    <w:rPr>
                      <w:rFonts w:hint="default"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G9</w:t>
                  </w:r>
                </w:p>
              </w:tc>
              <w:tc>
                <w:tcPr>
                  <w:tcW w:w="633" w:type="pct"/>
                  <w:tcBorders>
                    <w:tl2br w:val="nil"/>
                    <w:tr2bl w:val="nil"/>
                  </w:tcBorders>
                  <w:shd w:val="clear" w:color="auto" w:fill="auto"/>
                  <w:noWrap w:val="0"/>
                  <w:vAlign w:val="center"/>
                </w:tcPr>
                <w:p w14:paraId="0C002488">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颗粒物</w:t>
                  </w:r>
                </w:p>
              </w:tc>
              <w:tc>
                <w:tcPr>
                  <w:tcW w:w="3098" w:type="pct"/>
                  <w:tcBorders>
                    <w:tl2br w:val="nil"/>
                    <w:tr2bl w:val="nil"/>
                  </w:tcBorders>
                  <w:shd w:val="clear" w:color="auto" w:fill="auto"/>
                  <w:noWrap w:val="0"/>
                  <w:vAlign w:val="center"/>
                </w:tcPr>
                <w:p w14:paraId="6133B520">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default"/>
                      <w:color w:val="auto"/>
                      <w:highlight w:val="none"/>
                    </w:rPr>
                    <w:t>搅拌机有固定排放口直接与风管连接，有组织收集效率为90%</w:t>
                  </w:r>
                  <w:r>
                    <w:rPr>
                      <w:rFonts w:hint="eastAsia"/>
                      <w:color w:val="auto"/>
                      <w:highlight w:val="none"/>
                      <w:lang w:eastAsia="zh-CN"/>
                    </w:rPr>
                    <w:t>，</w:t>
                  </w:r>
                  <w:r>
                    <w:rPr>
                      <w:rFonts w:hint="default"/>
                      <w:color w:val="auto"/>
                      <w:highlight w:val="none"/>
                    </w:rPr>
                    <w:t>末端设置</w:t>
                  </w:r>
                  <w:r>
                    <w:rPr>
                      <w:rFonts w:hint="eastAsia"/>
                      <w:color w:val="auto"/>
                      <w:highlight w:val="none"/>
                      <w:lang w:val="en-US" w:eastAsia="zh-CN"/>
                    </w:rPr>
                    <w:t>脉冲式布袋除尘器</w:t>
                  </w:r>
                  <w:r>
                    <w:rPr>
                      <w:rFonts w:hint="default"/>
                      <w:color w:val="auto"/>
                      <w:highlight w:val="none"/>
                    </w:rPr>
                    <w:t>，除尘效率为99.7%，处理达标后经1根15m高排气筒</w:t>
                  </w:r>
                  <w:r>
                    <w:rPr>
                      <w:rFonts w:hint="eastAsia"/>
                      <w:color w:val="auto"/>
                      <w:highlight w:val="none"/>
                      <w:lang w:val="en-US" w:eastAsia="zh-CN"/>
                    </w:rPr>
                    <w:t>有组织</w:t>
                  </w:r>
                  <w:r>
                    <w:rPr>
                      <w:rFonts w:hint="default"/>
                      <w:color w:val="auto"/>
                      <w:highlight w:val="none"/>
                    </w:rPr>
                    <w:t>排放（DA00</w:t>
                  </w:r>
                  <w:r>
                    <w:rPr>
                      <w:rFonts w:hint="eastAsia"/>
                      <w:color w:val="auto"/>
                      <w:highlight w:val="none"/>
                      <w:lang w:val="en-US" w:eastAsia="zh-CN"/>
                    </w:rPr>
                    <w:t>2</w:t>
                  </w:r>
                  <w:r>
                    <w:rPr>
                      <w:rFonts w:hint="default"/>
                      <w:color w:val="auto"/>
                      <w:highlight w:val="none"/>
                    </w:rPr>
                    <w:t>）</w:t>
                  </w:r>
                  <w:r>
                    <w:rPr>
                      <w:rFonts w:hint="eastAsia"/>
                      <w:color w:val="auto"/>
                      <w:highlight w:val="none"/>
                      <w:lang w:eastAsia="zh-CN"/>
                    </w:rPr>
                    <w:t>；</w:t>
                  </w:r>
                  <w:r>
                    <w:rPr>
                      <w:rFonts w:hint="eastAsia"/>
                      <w:color w:val="auto"/>
                      <w:spacing w:val="-6"/>
                      <w:sz w:val="21"/>
                      <w:highlight w:val="none"/>
                      <w:lang w:val="en-US" w:eastAsia="zh-CN"/>
                    </w:rPr>
                    <w:t>其余未收集粉尘通过</w:t>
                  </w:r>
                  <w:r>
                    <w:rPr>
                      <w:rFonts w:hint="default" w:eastAsia="宋体"/>
                      <w:color w:val="auto"/>
                      <w:highlight w:val="none"/>
                      <w:lang w:val="en-US" w:eastAsia="zh-CN"/>
                    </w:rPr>
                    <w:t>喷雾降尘</w:t>
                  </w:r>
                  <w:r>
                    <w:rPr>
                      <w:rFonts w:hint="eastAsia"/>
                      <w:color w:val="auto"/>
                      <w:highlight w:val="none"/>
                      <w:lang w:val="en-US" w:eastAsia="zh-CN"/>
                    </w:rPr>
                    <w:t>设施</w:t>
                  </w:r>
                  <w:r>
                    <w:rPr>
                      <w:rFonts w:hint="default" w:eastAsia="宋体"/>
                      <w:color w:val="auto"/>
                      <w:highlight w:val="none"/>
                      <w:lang w:val="en-US" w:eastAsia="zh-CN"/>
                    </w:rPr>
                    <w:t>+封闭厂房</w:t>
                  </w:r>
                  <w:r>
                    <w:rPr>
                      <w:rFonts w:hint="eastAsia"/>
                      <w:color w:val="auto"/>
                      <w:highlight w:val="none"/>
                      <w:lang w:val="en-US" w:eastAsia="zh-CN"/>
                    </w:rPr>
                    <w:t>处理后无组织排放</w:t>
                  </w:r>
                  <w:r>
                    <w:rPr>
                      <w:rFonts w:hint="default" w:eastAsia="宋体"/>
                      <w:color w:val="auto"/>
                      <w:highlight w:val="none"/>
                      <w:lang w:val="en-US" w:eastAsia="zh-CN"/>
                    </w:rPr>
                    <w:t>，除尘效率90%</w:t>
                  </w:r>
                </w:p>
              </w:tc>
              <w:tc>
                <w:tcPr>
                  <w:tcW w:w="512" w:type="pct"/>
                  <w:tcBorders>
                    <w:tl2br w:val="nil"/>
                    <w:tr2bl w:val="nil"/>
                  </w:tcBorders>
                  <w:shd w:val="clear" w:color="auto" w:fill="auto"/>
                  <w:noWrap w:val="0"/>
                  <w:vAlign w:val="center"/>
                </w:tcPr>
                <w:p w14:paraId="0B46867E">
                  <w:pPr>
                    <w:pStyle w:val="40"/>
                    <w:bidi w:val="0"/>
                    <w:ind w:firstLine="0" w:firstLineChars="0"/>
                    <w:rPr>
                      <w:rFonts w:hint="default"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30</w:t>
                  </w:r>
                </w:p>
              </w:tc>
            </w:tr>
            <w:tr w14:paraId="43B74E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05" w:type="pct"/>
                  <w:vMerge w:val="continue"/>
                  <w:tcBorders>
                    <w:tl2br w:val="nil"/>
                    <w:tr2bl w:val="nil"/>
                  </w:tcBorders>
                  <w:noWrap w:val="0"/>
                  <w:vAlign w:val="center"/>
                </w:tcPr>
                <w:p w14:paraId="6A2EC498">
                  <w:pPr>
                    <w:pStyle w:val="40"/>
                    <w:bidi w:val="0"/>
                    <w:rPr>
                      <w:color w:val="auto"/>
                      <w:highlight w:val="none"/>
                    </w:rPr>
                  </w:pPr>
                </w:p>
              </w:tc>
              <w:tc>
                <w:tcPr>
                  <w:tcW w:w="215" w:type="pct"/>
                  <w:vMerge w:val="continue"/>
                  <w:tcBorders>
                    <w:tl2br w:val="nil"/>
                    <w:tr2bl w:val="nil"/>
                  </w:tcBorders>
                  <w:noWrap w:val="0"/>
                  <w:vAlign w:val="center"/>
                </w:tcPr>
                <w:p w14:paraId="23CE0793">
                  <w:pPr>
                    <w:pStyle w:val="40"/>
                    <w:bidi w:val="0"/>
                    <w:rPr>
                      <w:color w:val="auto"/>
                      <w:highlight w:val="none"/>
                    </w:rPr>
                  </w:pPr>
                </w:p>
              </w:tc>
              <w:tc>
                <w:tcPr>
                  <w:tcW w:w="234" w:type="pct"/>
                  <w:tcBorders>
                    <w:tl2br w:val="nil"/>
                    <w:tr2bl w:val="nil"/>
                  </w:tcBorders>
                  <w:shd w:val="clear" w:color="auto" w:fill="auto"/>
                  <w:noWrap w:val="0"/>
                  <w:vAlign w:val="center"/>
                </w:tcPr>
                <w:p w14:paraId="744BBED4">
                  <w:pPr>
                    <w:pStyle w:val="40"/>
                    <w:bidi w:val="0"/>
                    <w:ind w:firstLine="0" w:firstLineChars="0"/>
                    <w:rPr>
                      <w:rFonts w:hint="default"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G10</w:t>
                  </w:r>
                </w:p>
              </w:tc>
              <w:tc>
                <w:tcPr>
                  <w:tcW w:w="633" w:type="pct"/>
                  <w:tcBorders>
                    <w:tl2br w:val="nil"/>
                    <w:tr2bl w:val="nil"/>
                  </w:tcBorders>
                  <w:shd w:val="clear" w:color="auto" w:fill="auto"/>
                  <w:noWrap w:val="0"/>
                  <w:vAlign w:val="center"/>
                </w:tcPr>
                <w:p w14:paraId="2F690C43">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颗粒物</w:t>
                  </w:r>
                </w:p>
              </w:tc>
              <w:tc>
                <w:tcPr>
                  <w:tcW w:w="3098" w:type="pct"/>
                  <w:tcBorders>
                    <w:tl2br w:val="nil"/>
                    <w:tr2bl w:val="nil"/>
                  </w:tcBorders>
                  <w:shd w:val="clear" w:color="auto" w:fill="auto"/>
                  <w:noWrap w:val="0"/>
                  <w:vAlign w:val="center"/>
                </w:tcPr>
                <w:p w14:paraId="34867493">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default"/>
                      <w:color w:val="auto"/>
                      <w:highlight w:val="none"/>
                    </w:rPr>
                    <w:t>成球机和包膜机有固定排放口直接与风管连接，有组织收集效率为90%</w:t>
                  </w:r>
                  <w:r>
                    <w:rPr>
                      <w:rFonts w:hint="eastAsia"/>
                      <w:color w:val="auto"/>
                      <w:highlight w:val="none"/>
                      <w:lang w:eastAsia="zh-CN"/>
                    </w:rPr>
                    <w:t>，</w:t>
                  </w:r>
                  <w:r>
                    <w:rPr>
                      <w:rFonts w:hint="default"/>
                      <w:color w:val="auto"/>
                      <w:highlight w:val="none"/>
                    </w:rPr>
                    <w:t>末端设置</w:t>
                  </w:r>
                  <w:r>
                    <w:rPr>
                      <w:rFonts w:hint="eastAsia"/>
                      <w:color w:val="auto"/>
                      <w:highlight w:val="none"/>
                      <w:lang w:val="en-US" w:eastAsia="zh-CN"/>
                    </w:rPr>
                    <w:t>脉冲式布袋除尘器</w:t>
                  </w:r>
                  <w:r>
                    <w:rPr>
                      <w:rFonts w:hint="default"/>
                      <w:color w:val="auto"/>
                      <w:highlight w:val="none"/>
                    </w:rPr>
                    <w:t>，除尘效率为99.7%，处理达标后经1根15m高排气筒</w:t>
                  </w:r>
                  <w:r>
                    <w:rPr>
                      <w:rFonts w:hint="eastAsia"/>
                      <w:color w:val="auto"/>
                      <w:highlight w:val="none"/>
                      <w:lang w:val="en-US" w:eastAsia="zh-CN"/>
                    </w:rPr>
                    <w:t>有组织</w:t>
                  </w:r>
                  <w:r>
                    <w:rPr>
                      <w:rFonts w:hint="default"/>
                      <w:color w:val="auto"/>
                      <w:highlight w:val="none"/>
                    </w:rPr>
                    <w:t>排放（DA00</w:t>
                  </w:r>
                  <w:r>
                    <w:rPr>
                      <w:rFonts w:hint="eastAsia"/>
                      <w:color w:val="auto"/>
                      <w:highlight w:val="none"/>
                      <w:lang w:val="en-US" w:eastAsia="zh-CN"/>
                    </w:rPr>
                    <w:t>3</w:t>
                  </w:r>
                  <w:r>
                    <w:rPr>
                      <w:rFonts w:hint="default"/>
                      <w:color w:val="auto"/>
                      <w:highlight w:val="none"/>
                    </w:rPr>
                    <w:t>）</w:t>
                  </w:r>
                  <w:r>
                    <w:rPr>
                      <w:rFonts w:hint="eastAsia"/>
                      <w:color w:val="auto"/>
                      <w:highlight w:val="none"/>
                      <w:lang w:eastAsia="zh-CN"/>
                    </w:rPr>
                    <w:t>；</w:t>
                  </w:r>
                  <w:r>
                    <w:rPr>
                      <w:rFonts w:hint="eastAsia"/>
                      <w:color w:val="auto"/>
                      <w:spacing w:val="-6"/>
                      <w:sz w:val="21"/>
                      <w:highlight w:val="none"/>
                      <w:lang w:val="en-US" w:eastAsia="zh-CN"/>
                    </w:rPr>
                    <w:t>其余未收集粉尘通过</w:t>
                  </w:r>
                  <w:r>
                    <w:rPr>
                      <w:rFonts w:hint="default" w:eastAsia="宋体"/>
                      <w:color w:val="auto"/>
                      <w:highlight w:val="none"/>
                      <w:lang w:val="en-US" w:eastAsia="zh-CN"/>
                    </w:rPr>
                    <w:t>喷雾降尘</w:t>
                  </w:r>
                  <w:r>
                    <w:rPr>
                      <w:rFonts w:hint="eastAsia"/>
                      <w:color w:val="auto"/>
                      <w:highlight w:val="none"/>
                      <w:lang w:val="en-US" w:eastAsia="zh-CN"/>
                    </w:rPr>
                    <w:t>设施</w:t>
                  </w:r>
                  <w:r>
                    <w:rPr>
                      <w:rFonts w:hint="default" w:eastAsia="宋体"/>
                      <w:color w:val="auto"/>
                      <w:highlight w:val="none"/>
                      <w:lang w:val="en-US" w:eastAsia="zh-CN"/>
                    </w:rPr>
                    <w:t>+封闭厂房</w:t>
                  </w:r>
                  <w:r>
                    <w:rPr>
                      <w:rFonts w:hint="eastAsia"/>
                      <w:color w:val="auto"/>
                      <w:highlight w:val="none"/>
                      <w:lang w:val="en-US" w:eastAsia="zh-CN"/>
                    </w:rPr>
                    <w:t>处理后无组织排放</w:t>
                  </w:r>
                  <w:r>
                    <w:rPr>
                      <w:rFonts w:hint="default" w:eastAsia="宋体"/>
                      <w:color w:val="auto"/>
                      <w:highlight w:val="none"/>
                      <w:lang w:val="en-US" w:eastAsia="zh-CN"/>
                    </w:rPr>
                    <w:t>，除尘效率90%</w:t>
                  </w:r>
                </w:p>
              </w:tc>
              <w:tc>
                <w:tcPr>
                  <w:tcW w:w="512" w:type="pct"/>
                  <w:tcBorders>
                    <w:tl2br w:val="nil"/>
                    <w:tr2bl w:val="nil"/>
                  </w:tcBorders>
                  <w:shd w:val="clear" w:color="auto" w:fill="auto"/>
                  <w:noWrap w:val="0"/>
                  <w:vAlign w:val="center"/>
                </w:tcPr>
                <w:p w14:paraId="3C8E4157">
                  <w:pPr>
                    <w:pStyle w:val="40"/>
                    <w:bidi w:val="0"/>
                    <w:ind w:firstLine="0" w:firstLineChars="0"/>
                    <w:rPr>
                      <w:rFonts w:hint="default"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30</w:t>
                  </w:r>
                </w:p>
              </w:tc>
            </w:tr>
            <w:tr w14:paraId="75C269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05" w:type="pct"/>
                  <w:vMerge w:val="continue"/>
                  <w:tcBorders>
                    <w:tl2br w:val="nil"/>
                    <w:tr2bl w:val="nil"/>
                  </w:tcBorders>
                  <w:noWrap w:val="0"/>
                  <w:vAlign w:val="center"/>
                </w:tcPr>
                <w:p w14:paraId="6FB9107F">
                  <w:pPr>
                    <w:pStyle w:val="40"/>
                    <w:bidi w:val="0"/>
                    <w:rPr>
                      <w:color w:val="auto"/>
                      <w:highlight w:val="none"/>
                    </w:rPr>
                  </w:pPr>
                </w:p>
              </w:tc>
              <w:tc>
                <w:tcPr>
                  <w:tcW w:w="215" w:type="pct"/>
                  <w:vMerge w:val="continue"/>
                  <w:tcBorders>
                    <w:tl2br w:val="nil"/>
                    <w:tr2bl w:val="nil"/>
                  </w:tcBorders>
                  <w:noWrap w:val="0"/>
                  <w:vAlign w:val="center"/>
                </w:tcPr>
                <w:p w14:paraId="05463A0C">
                  <w:pPr>
                    <w:pStyle w:val="40"/>
                    <w:bidi w:val="0"/>
                    <w:rPr>
                      <w:color w:val="auto"/>
                      <w:highlight w:val="none"/>
                    </w:rPr>
                  </w:pPr>
                </w:p>
              </w:tc>
              <w:tc>
                <w:tcPr>
                  <w:tcW w:w="234" w:type="pct"/>
                  <w:tcBorders>
                    <w:tl2br w:val="nil"/>
                    <w:tr2bl w:val="nil"/>
                  </w:tcBorders>
                  <w:shd w:val="clear" w:color="auto" w:fill="auto"/>
                  <w:noWrap w:val="0"/>
                  <w:vAlign w:val="center"/>
                </w:tcPr>
                <w:p w14:paraId="71E1CADC">
                  <w:pPr>
                    <w:pStyle w:val="40"/>
                    <w:bidi w:val="0"/>
                    <w:ind w:firstLine="0" w:firstLineChars="0"/>
                    <w:rPr>
                      <w:rFonts w:hint="default"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G11</w:t>
                  </w:r>
                </w:p>
              </w:tc>
              <w:tc>
                <w:tcPr>
                  <w:tcW w:w="633" w:type="pct"/>
                  <w:tcBorders>
                    <w:tl2br w:val="nil"/>
                    <w:tr2bl w:val="nil"/>
                  </w:tcBorders>
                  <w:shd w:val="clear" w:color="auto" w:fill="auto"/>
                  <w:noWrap w:val="0"/>
                  <w:vAlign w:val="center"/>
                </w:tcPr>
                <w:p w14:paraId="39494208">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颗粒物</w:t>
                  </w:r>
                </w:p>
              </w:tc>
              <w:tc>
                <w:tcPr>
                  <w:tcW w:w="3098" w:type="pct"/>
                  <w:tcBorders>
                    <w:tl2br w:val="nil"/>
                    <w:tr2bl w:val="nil"/>
                  </w:tcBorders>
                  <w:shd w:val="clear" w:color="auto" w:fill="auto"/>
                  <w:noWrap w:val="0"/>
                  <w:vAlign w:val="center"/>
                </w:tcPr>
                <w:p w14:paraId="789D2A03">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default"/>
                      <w:color w:val="auto"/>
                      <w:highlight w:val="none"/>
                      <w:lang w:val="en-US" w:eastAsia="zh-CN"/>
                    </w:rPr>
                    <w:t>振动筛机有固定排放口直接与风管连接，</w:t>
                  </w:r>
                  <w:r>
                    <w:rPr>
                      <w:rFonts w:hint="default"/>
                      <w:color w:val="auto"/>
                      <w:highlight w:val="none"/>
                    </w:rPr>
                    <w:t>有组织收集效率为90%</w:t>
                  </w:r>
                  <w:r>
                    <w:rPr>
                      <w:rFonts w:hint="eastAsia"/>
                      <w:color w:val="auto"/>
                      <w:highlight w:val="none"/>
                      <w:lang w:eastAsia="zh-CN"/>
                    </w:rPr>
                    <w:t>，</w:t>
                  </w:r>
                  <w:r>
                    <w:rPr>
                      <w:rFonts w:hint="default"/>
                      <w:color w:val="auto"/>
                      <w:highlight w:val="none"/>
                      <w:lang w:val="en-US" w:eastAsia="zh-CN"/>
                    </w:rPr>
                    <w:t>末端设置</w:t>
                  </w:r>
                  <w:r>
                    <w:rPr>
                      <w:rFonts w:hint="eastAsia"/>
                      <w:color w:val="auto"/>
                      <w:highlight w:val="none"/>
                      <w:lang w:val="en-US" w:eastAsia="zh-CN"/>
                    </w:rPr>
                    <w:t>脉冲式布袋除尘器</w:t>
                  </w:r>
                  <w:r>
                    <w:rPr>
                      <w:rFonts w:hint="default"/>
                      <w:color w:val="auto"/>
                      <w:highlight w:val="none"/>
                      <w:lang w:val="en-US" w:eastAsia="zh-CN"/>
                    </w:rPr>
                    <w:t>，除尘效率为99.7%，</w:t>
                  </w:r>
                  <w:r>
                    <w:rPr>
                      <w:rFonts w:hint="default"/>
                      <w:color w:val="auto"/>
                      <w:highlight w:val="none"/>
                    </w:rPr>
                    <w:t>处理达标后经1根15m高排气筒</w:t>
                  </w:r>
                  <w:r>
                    <w:rPr>
                      <w:rFonts w:hint="eastAsia"/>
                      <w:color w:val="auto"/>
                      <w:highlight w:val="none"/>
                      <w:lang w:val="en-US" w:eastAsia="zh-CN"/>
                    </w:rPr>
                    <w:t>有组织</w:t>
                  </w:r>
                  <w:r>
                    <w:rPr>
                      <w:rFonts w:hint="default"/>
                      <w:color w:val="auto"/>
                      <w:highlight w:val="none"/>
                    </w:rPr>
                    <w:t>排放（DA00</w:t>
                  </w:r>
                  <w:r>
                    <w:rPr>
                      <w:rFonts w:hint="eastAsia"/>
                      <w:color w:val="auto"/>
                      <w:highlight w:val="none"/>
                      <w:lang w:val="en-US" w:eastAsia="zh-CN"/>
                    </w:rPr>
                    <w:t>4</w:t>
                  </w:r>
                  <w:r>
                    <w:rPr>
                      <w:rFonts w:hint="default"/>
                      <w:color w:val="auto"/>
                      <w:highlight w:val="none"/>
                    </w:rPr>
                    <w:t>）</w:t>
                  </w:r>
                  <w:r>
                    <w:rPr>
                      <w:rFonts w:hint="eastAsia"/>
                      <w:color w:val="auto"/>
                      <w:highlight w:val="none"/>
                      <w:lang w:eastAsia="zh-CN"/>
                    </w:rPr>
                    <w:t>；</w:t>
                  </w:r>
                  <w:r>
                    <w:rPr>
                      <w:rFonts w:hint="eastAsia"/>
                      <w:color w:val="auto"/>
                      <w:spacing w:val="-6"/>
                      <w:sz w:val="21"/>
                      <w:highlight w:val="none"/>
                      <w:lang w:val="en-US" w:eastAsia="zh-CN"/>
                    </w:rPr>
                    <w:t>其余未收集粉尘通过</w:t>
                  </w:r>
                  <w:r>
                    <w:rPr>
                      <w:rFonts w:hint="default" w:eastAsia="宋体"/>
                      <w:color w:val="auto"/>
                      <w:highlight w:val="none"/>
                      <w:lang w:val="en-US" w:eastAsia="zh-CN"/>
                    </w:rPr>
                    <w:t>喷雾降尘</w:t>
                  </w:r>
                  <w:r>
                    <w:rPr>
                      <w:rFonts w:hint="eastAsia"/>
                      <w:color w:val="auto"/>
                      <w:highlight w:val="none"/>
                      <w:lang w:val="en-US" w:eastAsia="zh-CN"/>
                    </w:rPr>
                    <w:t>设施</w:t>
                  </w:r>
                  <w:r>
                    <w:rPr>
                      <w:rFonts w:hint="default" w:eastAsia="宋体"/>
                      <w:color w:val="auto"/>
                      <w:highlight w:val="none"/>
                      <w:lang w:val="en-US" w:eastAsia="zh-CN"/>
                    </w:rPr>
                    <w:t>+封闭厂房</w:t>
                  </w:r>
                  <w:r>
                    <w:rPr>
                      <w:rFonts w:hint="eastAsia"/>
                      <w:color w:val="auto"/>
                      <w:highlight w:val="none"/>
                      <w:lang w:val="en-US" w:eastAsia="zh-CN"/>
                    </w:rPr>
                    <w:t>处理后无组织排放</w:t>
                  </w:r>
                  <w:r>
                    <w:rPr>
                      <w:rFonts w:hint="default" w:eastAsia="宋体"/>
                      <w:color w:val="auto"/>
                      <w:highlight w:val="none"/>
                      <w:lang w:val="en-US" w:eastAsia="zh-CN"/>
                    </w:rPr>
                    <w:t>，除尘效率90%</w:t>
                  </w:r>
                </w:p>
              </w:tc>
              <w:tc>
                <w:tcPr>
                  <w:tcW w:w="512" w:type="pct"/>
                  <w:tcBorders>
                    <w:tl2br w:val="nil"/>
                    <w:tr2bl w:val="nil"/>
                  </w:tcBorders>
                  <w:shd w:val="clear" w:color="auto" w:fill="auto"/>
                  <w:noWrap w:val="0"/>
                  <w:vAlign w:val="center"/>
                </w:tcPr>
                <w:p w14:paraId="529A276A">
                  <w:pPr>
                    <w:pStyle w:val="40"/>
                    <w:bidi w:val="0"/>
                    <w:ind w:firstLine="0" w:firstLineChars="0"/>
                    <w:rPr>
                      <w:rFonts w:hint="default"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30</w:t>
                  </w:r>
                </w:p>
              </w:tc>
            </w:tr>
            <w:tr w14:paraId="56395A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05" w:type="pct"/>
                  <w:vMerge w:val="continue"/>
                  <w:tcBorders>
                    <w:tl2br w:val="nil"/>
                    <w:tr2bl w:val="nil"/>
                  </w:tcBorders>
                  <w:noWrap w:val="0"/>
                  <w:vAlign w:val="center"/>
                </w:tcPr>
                <w:p w14:paraId="5F3B5FB1">
                  <w:pPr>
                    <w:pStyle w:val="40"/>
                    <w:bidi w:val="0"/>
                    <w:rPr>
                      <w:color w:val="auto"/>
                      <w:highlight w:val="none"/>
                    </w:rPr>
                  </w:pPr>
                </w:p>
              </w:tc>
              <w:tc>
                <w:tcPr>
                  <w:tcW w:w="215" w:type="pct"/>
                  <w:vMerge w:val="continue"/>
                  <w:tcBorders>
                    <w:tl2br w:val="nil"/>
                    <w:tr2bl w:val="nil"/>
                  </w:tcBorders>
                  <w:noWrap w:val="0"/>
                  <w:vAlign w:val="center"/>
                </w:tcPr>
                <w:p w14:paraId="5BF72720">
                  <w:pPr>
                    <w:pStyle w:val="40"/>
                    <w:bidi w:val="0"/>
                    <w:rPr>
                      <w:color w:val="auto"/>
                      <w:highlight w:val="none"/>
                    </w:rPr>
                  </w:pPr>
                </w:p>
              </w:tc>
              <w:tc>
                <w:tcPr>
                  <w:tcW w:w="234" w:type="pct"/>
                  <w:vMerge w:val="restart"/>
                  <w:tcBorders>
                    <w:tl2br w:val="nil"/>
                    <w:tr2bl w:val="nil"/>
                  </w:tcBorders>
                  <w:noWrap w:val="0"/>
                  <w:vAlign w:val="center"/>
                </w:tcPr>
                <w:p w14:paraId="7242BF9A">
                  <w:pPr>
                    <w:pStyle w:val="40"/>
                    <w:bidi w:val="0"/>
                    <w:ind w:firstLine="0" w:firstLineChars="0"/>
                    <w:rPr>
                      <w:rFonts w:hint="default"/>
                      <w:color w:val="auto"/>
                      <w:highlight w:val="none"/>
                      <w:lang w:val="en-US" w:eastAsia="zh-CN"/>
                    </w:rPr>
                  </w:pPr>
                  <w:r>
                    <w:rPr>
                      <w:rFonts w:hint="eastAsia"/>
                      <w:color w:val="auto"/>
                      <w:highlight w:val="none"/>
                      <w:lang w:val="en-US" w:eastAsia="zh-CN"/>
                    </w:rPr>
                    <w:t>G12</w:t>
                  </w:r>
                </w:p>
              </w:tc>
              <w:tc>
                <w:tcPr>
                  <w:tcW w:w="633" w:type="pct"/>
                  <w:tcBorders>
                    <w:tl2br w:val="nil"/>
                    <w:tr2bl w:val="nil"/>
                  </w:tcBorders>
                  <w:shd w:val="clear" w:color="auto" w:fill="auto"/>
                  <w:noWrap w:val="0"/>
                  <w:vAlign w:val="center"/>
                </w:tcPr>
                <w:p w14:paraId="7C449349">
                  <w:pPr>
                    <w:pStyle w:val="40"/>
                    <w:bidi w:val="0"/>
                    <w:ind w:firstLine="0" w:firstLineChars="0"/>
                    <w:jc w:val="center"/>
                    <w:rPr>
                      <w:rFonts w:hint="eastAsia"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sz w:val="21"/>
                      <w:highlight w:val="none"/>
                      <w:lang w:val="en-US" w:eastAsia="zh-CN"/>
                    </w:rPr>
                    <w:t>SO</w:t>
                  </w:r>
                  <w:r>
                    <w:rPr>
                      <w:rFonts w:hint="eastAsia"/>
                      <w:color w:val="auto"/>
                      <w:spacing w:val="-6"/>
                      <w:sz w:val="21"/>
                      <w:highlight w:val="none"/>
                      <w:vertAlign w:val="subscript"/>
                      <w:lang w:val="en-US" w:eastAsia="zh-CN"/>
                    </w:rPr>
                    <w:t>2</w:t>
                  </w:r>
                </w:p>
              </w:tc>
              <w:tc>
                <w:tcPr>
                  <w:tcW w:w="3098" w:type="pct"/>
                  <w:vMerge w:val="restart"/>
                  <w:tcBorders>
                    <w:tl2br w:val="nil"/>
                    <w:tr2bl w:val="nil"/>
                  </w:tcBorders>
                  <w:shd w:val="clear" w:color="auto" w:fill="auto"/>
                  <w:noWrap w:val="0"/>
                  <w:vAlign w:val="center"/>
                </w:tcPr>
                <w:p w14:paraId="4DDC0144">
                  <w:pPr>
                    <w:pStyle w:val="40"/>
                    <w:bidi w:val="0"/>
                    <w:ind w:firstLine="0" w:firstLineChars="0"/>
                    <w:rPr>
                      <w:rFonts w:hint="eastAsia"/>
                      <w:color w:val="auto"/>
                      <w:sz w:val="21"/>
                      <w:szCs w:val="21"/>
                      <w:highlight w:val="none"/>
                      <w:lang w:val="en-US" w:eastAsia="zh-CN"/>
                    </w:rPr>
                  </w:pPr>
                  <w:r>
                    <w:rPr>
                      <w:rFonts w:hint="default"/>
                      <w:color w:val="auto"/>
                      <w:highlight w:val="none"/>
                    </w:rPr>
                    <w:t>低氮燃烧+多管除尘器+脉冲布袋除尘器，氮氧化物产生量降低30%，颗粒物除尘效率90%，处理达标后经1根</w:t>
                  </w:r>
                  <w:r>
                    <w:rPr>
                      <w:rFonts w:hint="eastAsia"/>
                      <w:color w:val="auto"/>
                      <w:highlight w:val="none"/>
                      <w:lang w:val="en-US" w:eastAsia="zh-CN"/>
                    </w:rPr>
                    <w:t>40</w:t>
                  </w:r>
                  <w:r>
                    <w:rPr>
                      <w:rFonts w:hint="default"/>
                      <w:color w:val="auto"/>
                      <w:highlight w:val="none"/>
                    </w:rPr>
                    <w:t>m高排气筒</w:t>
                  </w:r>
                  <w:r>
                    <w:rPr>
                      <w:rFonts w:hint="eastAsia"/>
                      <w:color w:val="auto"/>
                      <w:highlight w:val="none"/>
                      <w:lang w:val="en-US" w:eastAsia="zh-CN"/>
                    </w:rPr>
                    <w:t>有组织</w:t>
                  </w:r>
                  <w:r>
                    <w:rPr>
                      <w:rFonts w:hint="default"/>
                      <w:color w:val="auto"/>
                      <w:highlight w:val="none"/>
                    </w:rPr>
                    <w:t>排放（DA00</w:t>
                  </w:r>
                  <w:r>
                    <w:rPr>
                      <w:rFonts w:hint="eastAsia"/>
                      <w:color w:val="auto"/>
                      <w:highlight w:val="none"/>
                      <w:lang w:val="en-US" w:eastAsia="zh-CN"/>
                    </w:rPr>
                    <w:t>5</w:t>
                  </w:r>
                  <w:r>
                    <w:rPr>
                      <w:rFonts w:hint="default"/>
                      <w:color w:val="auto"/>
                      <w:highlight w:val="none"/>
                    </w:rPr>
                    <w:t>）</w:t>
                  </w:r>
                </w:p>
              </w:tc>
              <w:tc>
                <w:tcPr>
                  <w:tcW w:w="512" w:type="pct"/>
                  <w:vMerge w:val="restart"/>
                  <w:tcBorders>
                    <w:tl2br w:val="nil"/>
                    <w:tr2bl w:val="nil"/>
                  </w:tcBorders>
                  <w:noWrap w:val="0"/>
                  <w:vAlign w:val="center"/>
                </w:tcPr>
                <w:p w14:paraId="14D00F6F">
                  <w:pPr>
                    <w:pStyle w:val="40"/>
                    <w:bidi w:val="0"/>
                    <w:ind w:firstLine="0" w:firstLineChars="0"/>
                    <w:rPr>
                      <w:rFonts w:hint="default"/>
                      <w:color w:val="auto"/>
                      <w:highlight w:val="none"/>
                      <w:lang w:val="en-US" w:eastAsia="zh-CN"/>
                    </w:rPr>
                  </w:pPr>
                  <w:r>
                    <w:rPr>
                      <w:rFonts w:hint="eastAsia"/>
                      <w:color w:val="auto"/>
                      <w:highlight w:val="none"/>
                      <w:lang w:val="en-US" w:eastAsia="zh-CN"/>
                    </w:rPr>
                    <w:t>32</w:t>
                  </w:r>
                </w:p>
              </w:tc>
            </w:tr>
            <w:tr w14:paraId="5B9030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05" w:type="pct"/>
                  <w:vMerge w:val="continue"/>
                  <w:tcBorders>
                    <w:tl2br w:val="nil"/>
                    <w:tr2bl w:val="nil"/>
                  </w:tcBorders>
                  <w:noWrap w:val="0"/>
                  <w:vAlign w:val="center"/>
                </w:tcPr>
                <w:p w14:paraId="7EEB2135">
                  <w:pPr>
                    <w:pStyle w:val="40"/>
                    <w:bidi w:val="0"/>
                    <w:rPr>
                      <w:color w:val="auto"/>
                      <w:highlight w:val="none"/>
                    </w:rPr>
                  </w:pPr>
                </w:p>
              </w:tc>
              <w:tc>
                <w:tcPr>
                  <w:tcW w:w="215" w:type="pct"/>
                  <w:vMerge w:val="continue"/>
                  <w:tcBorders>
                    <w:tl2br w:val="nil"/>
                    <w:tr2bl w:val="nil"/>
                  </w:tcBorders>
                  <w:noWrap w:val="0"/>
                  <w:vAlign w:val="center"/>
                </w:tcPr>
                <w:p w14:paraId="24E9F6CD">
                  <w:pPr>
                    <w:pStyle w:val="40"/>
                    <w:bidi w:val="0"/>
                    <w:rPr>
                      <w:color w:val="auto"/>
                      <w:highlight w:val="none"/>
                    </w:rPr>
                  </w:pPr>
                </w:p>
              </w:tc>
              <w:tc>
                <w:tcPr>
                  <w:tcW w:w="234" w:type="pct"/>
                  <w:vMerge w:val="continue"/>
                  <w:tcBorders>
                    <w:tl2br w:val="nil"/>
                    <w:tr2bl w:val="nil"/>
                  </w:tcBorders>
                  <w:noWrap w:val="0"/>
                  <w:vAlign w:val="center"/>
                </w:tcPr>
                <w:p w14:paraId="1C652781">
                  <w:pPr>
                    <w:pStyle w:val="40"/>
                    <w:bidi w:val="0"/>
                    <w:ind w:firstLine="0" w:firstLineChars="0"/>
                    <w:rPr>
                      <w:rFonts w:hint="eastAsia"/>
                      <w:color w:val="auto"/>
                      <w:highlight w:val="none"/>
                      <w:lang w:val="en-US" w:eastAsia="zh-CN"/>
                    </w:rPr>
                  </w:pPr>
                </w:p>
              </w:tc>
              <w:tc>
                <w:tcPr>
                  <w:tcW w:w="633" w:type="pct"/>
                  <w:tcBorders>
                    <w:tl2br w:val="nil"/>
                    <w:tr2bl w:val="nil"/>
                  </w:tcBorders>
                  <w:shd w:val="clear" w:color="auto" w:fill="auto"/>
                  <w:noWrap w:val="0"/>
                  <w:vAlign w:val="center"/>
                </w:tcPr>
                <w:p w14:paraId="4004A02C">
                  <w:pPr>
                    <w:pStyle w:val="40"/>
                    <w:bidi w:val="0"/>
                    <w:ind w:firstLine="0" w:firstLineChars="0"/>
                    <w:jc w:val="center"/>
                    <w:rPr>
                      <w:rFonts w:hint="eastAsia"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sz w:val="21"/>
                      <w:highlight w:val="none"/>
                      <w:lang w:val="en-US" w:eastAsia="zh-CN"/>
                    </w:rPr>
                    <w:t>颗粒物</w:t>
                  </w:r>
                </w:p>
              </w:tc>
              <w:tc>
                <w:tcPr>
                  <w:tcW w:w="3098" w:type="pct"/>
                  <w:vMerge w:val="continue"/>
                  <w:tcBorders>
                    <w:tl2br w:val="nil"/>
                    <w:tr2bl w:val="nil"/>
                  </w:tcBorders>
                  <w:noWrap w:val="0"/>
                  <w:vAlign w:val="center"/>
                </w:tcPr>
                <w:p w14:paraId="1E7EC8DD">
                  <w:pPr>
                    <w:pStyle w:val="40"/>
                    <w:bidi w:val="0"/>
                    <w:ind w:firstLine="0" w:firstLineChars="0"/>
                    <w:rPr>
                      <w:rFonts w:hint="eastAsia"/>
                      <w:color w:val="auto"/>
                      <w:sz w:val="21"/>
                      <w:szCs w:val="21"/>
                      <w:highlight w:val="none"/>
                      <w:lang w:val="en-US" w:eastAsia="zh-CN"/>
                    </w:rPr>
                  </w:pPr>
                </w:p>
              </w:tc>
              <w:tc>
                <w:tcPr>
                  <w:tcW w:w="512" w:type="pct"/>
                  <w:vMerge w:val="continue"/>
                  <w:tcBorders>
                    <w:tl2br w:val="nil"/>
                    <w:tr2bl w:val="nil"/>
                  </w:tcBorders>
                  <w:noWrap w:val="0"/>
                  <w:vAlign w:val="center"/>
                </w:tcPr>
                <w:p w14:paraId="70264D6D">
                  <w:pPr>
                    <w:pStyle w:val="40"/>
                    <w:bidi w:val="0"/>
                    <w:ind w:firstLine="0" w:firstLineChars="0"/>
                    <w:rPr>
                      <w:rFonts w:hint="eastAsia"/>
                      <w:color w:val="auto"/>
                      <w:highlight w:val="none"/>
                      <w:lang w:val="en-US" w:eastAsia="zh-CN"/>
                    </w:rPr>
                  </w:pPr>
                </w:p>
              </w:tc>
            </w:tr>
            <w:tr w14:paraId="614A94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05" w:type="pct"/>
                  <w:vMerge w:val="continue"/>
                  <w:tcBorders>
                    <w:tl2br w:val="nil"/>
                    <w:tr2bl w:val="nil"/>
                  </w:tcBorders>
                  <w:noWrap w:val="0"/>
                  <w:vAlign w:val="center"/>
                </w:tcPr>
                <w:p w14:paraId="17B12E2F">
                  <w:pPr>
                    <w:pStyle w:val="40"/>
                    <w:bidi w:val="0"/>
                    <w:rPr>
                      <w:color w:val="auto"/>
                      <w:highlight w:val="none"/>
                    </w:rPr>
                  </w:pPr>
                </w:p>
              </w:tc>
              <w:tc>
                <w:tcPr>
                  <w:tcW w:w="215" w:type="pct"/>
                  <w:vMerge w:val="continue"/>
                  <w:tcBorders>
                    <w:tl2br w:val="nil"/>
                    <w:tr2bl w:val="nil"/>
                  </w:tcBorders>
                  <w:noWrap w:val="0"/>
                  <w:vAlign w:val="center"/>
                </w:tcPr>
                <w:p w14:paraId="10078275">
                  <w:pPr>
                    <w:pStyle w:val="40"/>
                    <w:bidi w:val="0"/>
                    <w:rPr>
                      <w:color w:val="auto"/>
                      <w:highlight w:val="none"/>
                    </w:rPr>
                  </w:pPr>
                </w:p>
              </w:tc>
              <w:tc>
                <w:tcPr>
                  <w:tcW w:w="234" w:type="pct"/>
                  <w:vMerge w:val="continue"/>
                  <w:tcBorders>
                    <w:tl2br w:val="nil"/>
                    <w:tr2bl w:val="nil"/>
                  </w:tcBorders>
                  <w:noWrap w:val="0"/>
                  <w:vAlign w:val="center"/>
                </w:tcPr>
                <w:p w14:paraId="43DE6FCF">
                  <w:pPr>
                    <w:pStyle w:val="40"/>
                    <w:bidi w:val="0"/>
                    <w:ind w:firstLine="0" w:firstLineChars="0"/>
                    <w:rPr>
                      <w:rFonts w:hint="eastAsia"/>
                      <w:color w:val="auto"/>
                      <w:highlight w:val="none"/>
                      <w:lang w:val="en-US" w:eastAsia="zh-CN"/>
                    </w:rPr>
                  </w:pPr>
                </w:p>
              </w:tc>
              <w:tc>
                <w:tcPr>
                  <w:tcW w:w="633" w:type="pct"/>
                  <w:tcBorders>
                    <w:tl2br w:val="nil"/>
                    <w:tr2bl w:val="nil"/>
                  </w:tcBorders>
                  <w:shd w:val="clear" w:color="auto" w:fill="auto"/>
                  <w:noWrap w:val="0"/>
                  <w:vAlign w:val="center"/>
                </w:tcPr>
                <w:p w14:paraId="75073DA5">
                  <w:pPr>
                    <w:pStyle w:val="40"/>
                    <w:bidi w:val="0"/>
                    <w:ind w:firstLine="0" w:firstLineChars="0"/>
                    <w:jc w:val="center"/>
                    <w:rPr>
                      <w:rFonts w:hint="eastAsia"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sz w:val="21"/>
                      <w:highlight w:val="none"/>
                      <w:lang w:val="en-US" w:eastAsia="zh-CN"/>
                    </w:rPr>
                    <w:t>NO</w:t>
                  </w:r>
                  <w:r>
                    <w:rPr>
                      <w:rFonts w:hint="eastAsia"/>
                      <w:color w:val="auto"/>
                      <w:spacing w:val="-6"/>
                      <w:sz w:val="21"/>
                      <w:highlight w:val="none"/>
                      <w:vertAlign w:val="subscript"/>
                      <w:lang w:val="en-US" w:eastAsia="zh-CN"/>
                    </w:rPr>
                    <w:t>X</w:t>
                  </w:r>
                </w:p>
              </w:tc>
              <w:tc>
                <w:tcPr>
                  <w:tcW w:w="3098" w:type="pct"/>
                  <w:vMerge w:val="continue"/>
                  <w:tcBorders>
                    <w:tl2br w:val="nil"/>
                    <w:tr2bl w:val="nil"/>
                  </w:tcBorders>
                  <w:noWrap w:val="0"/>
                  <w:vAlign w:val="center"/>
                </w:tcPr>
                <w:p w14:paraId="64D9387C">
                  <w:pPr>
                    <w:pStyle w:val="40"/>
                    <w:bidi w:val="0"/>
                    <w:ind w:firstLine="0" w:firstLineChars="0"/>
                    <w:rPr>
                      <w:rFonts w:hint="eastAsia"/>
                      <w:color w:val="auto"/>
                      <w:sz w:val="21"/>
                      <w:szCs w:val="21"/>
                      <w:highlight w:val="none"/>
                      <w:lang w:val="en-US" w:eastAsia="zh-CN"/>
                    </w:rPr>
                  </w:pPr>
                </w:p>
              </w:tc>
              <w:tc>
                <w:tcPr>
                  <w:tcW w:w="512" w:type="pct"/>
                  <w:vMerge w:val="continue"/>
                  <w:tcBorders>
                    <w:tl2br w:val="nil"/>
                    <w:tr2bl w:val="nil"/>
                  </w:tcBorders>
                  <w:noWrap w:val="0"/>
                  <w:vAlign w:val="center"/>
                </w:tcPr>
                <w:p w14:paraId="529022B7">
                  <w:pPr>
                    <w:pStyle w:val="40"/>
                    <w:bidi w:val="0"/>
                    <w:ind w:firstLine="0" w:firstLineChars="0"/>
                    <w:rPr>
                      <w:rFonts w:hint="eastAsia"/>
                      <w:color w:val="auto"/>
                      <w:highlight w:val="none"/>
                      <w:lang w:val="en-US" w:eastAsia="zh-CN"/>
                    </w:rPr>
                  </w:pPr>
                </w:p>
              </w:tc>
            </w:tr>
            <w:tr w14:paraId="4F1B52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05" w:type="pct"/>
                  <w:vMerge w:val="continue"/>
                  <w:tcBorders>
                    <w:tl2br w:val="nil"/>
                    <w:tr2bl w:val="nil"/>
                  </w:tcBorders>
                  <w:noWrap w:val="0"/>
                  <w:vAlign w:val="center"/>
                </w:tcPr>
                <w:p w14:paraId="6C16D8A9">
                  <w:pPr>
                    <w:pStyle w:val="40"/>
                    <w:bidi w:val="0"/>
                    <w:rPr>
                      <w:color w:val="auto"/>
                      <w:highlight w:val="none"/>
                    </w:rPr>
                  </w:pPr>
                </w:p>
              </w:tc>
              <w:tc>
                <w:tcPr>
                  <w:tcW w:w="215" w:type="pct"/>
                  <w:vMerge w:val="continue"/>
                  <w:tcBorders>
                    <w:tl2br w:val="nil"/>
                    <w:tr2bl w:val="nil"/>
                  </w:tcBorders>
                  <w:noWrap w:val="0"/>
                  <w:vAlign w:val="center"/>
                </w:tcPr>
                <w:p w14:paraId="37B307EE">
                  <w:pPr>
                    <w:pStyle w:val="40"/>
                    <w:bidi w:val="0"/>
                    <w:rPr>
                      <w:rFonts w:hint="eastAsia"/>
                      <w:color w:val="auto"/>
                      <w:highlight w:val="none"/>
                      <w:lang w:val="en-US" w:eastAsia="zh-CN"/>
                    </w:rPr>
                  </w:pPr>
                </w:p>
              </w:tc>
              <w:tc>
                <w:tcPr>
                  <w:tcW w:w="234" w:type="pct"/>
                  <w:tcBorders>
                    <w:tl2br w:val="nil"/>
                    <w:tr2bl w:val="nil"/>
                  </w:tcBorders>
                  <w:shd w:val="clear" w:color="auto" w:fill="auto"/>
                  <w:noWrap w:val="0"/>
                  <w:vAlign w:val="center"/>
                </w:tcPr>
                <w:p w14:paraId="5BED9265">
                  <w:pPr>
                    <w:pStyle w:val="40"/>
                    <w:bidi w:val="0"/>
                    <w:ind w:firstLine="0" w:firstLineChars="0"/>
                    <w:rPr>
                      <w:rFonts w:hint="default" w:eastAsia="宋体"/>
                      <w:color w:val="auto"/>
                      <w:highlight w:val="none"/>
                      <w:lang w:val="en-US" w:eastAsia="zh-CN"/>
                    </w:rPr>
                  </w:pPr>
                  <w:r>
                    <w:rPr>
                      <w:rFonts w:hint="eastAsia"/>
                      <w:color w:val="auto"/>
                      <w:highlight w:val="none"/>
                      <w:lang w:val="en-US" w:eastAsia="zh-CN"/>
                    </w:rPr>
                    <w:t>G13</w:t>
                  </w:r>
                </w:p>
              </w:tc>
              <w:tc>
                <w:tcPr>
                  <w:tcW w:w="633" w:type="pct"/>
                  <w:tcBorders>
                    <w:tl2br w:val="nil"/>
                    <w:tr2bl w:val="nil"/>
                  </w:tcBorders>
                  <w:noWrap w:val="0"/>
                  <w:vAlign w:val="center"/>
                </w:tcPr>
                <w:p w14:paraId="4B232A5C">
                  <w:pPr>
                    <w:pStyle w:val="40"/>
                    <w:bidi w:val="0"/>
                    <w:rPr>
                      <w:rFonts w:hint="eastAsia"/>
                      <w:color w:val="auto"/>
                      <w:highlight w:val="none"/>
                      <w:lang w:val="en-US" w:eastAsia="zh-CN"/>
                    </w:rPr>
                  </w:pPr>
                  <w:r>
                    <w:rPr>
                      <w:rFonts w:hint="eastAsia"/>
                      <w:color w:val="auto"/>
                      <w:highlight w:val="none"/>
                      <w:lang w:val="en-US" w:eastAsia="zh-CN"/>
                    </w:rPr>
                    <w:t>颗粒物</w:t>
                  </w:r>
                </w:p>
              </w:tc>
              <w:tc>
                <w:tcPr>
                  <w:tcW w:w="3098" w:type="pct"/>
                  <w:tcBorders>
                    <w:tl2br w:val="nil"/>
                    <w:tr2bl w:val="nil"/>
                  </w:tcBorders>
                  <w:shd w:val="clear" w:color="auto" w:fill="auto"/>
                  <w:noWrap w:val="0"/>
                  <w:vAlign w:val="center"/>
                </w:tcPr>
                <w:p w14:paraId="3BB8C261">
                  <w:pPr>
                    <w:pStyle w:val="40"/>
                    <w:bidi w:val="0"/>
                    <w:ind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同G11</w:t>
                  </w:r>
                </w:p>
              </w:tc>
              <w:tc>
                <w:tcPr>
                  <w:tcW w:w="512" w:type="pct"/>
                  <w:tcBorders>
                    <w:tl2br w:val="nil"/>
                    <w:tr2bl w:val="nil"/>
                  </w:tcBorders>
                  <w:noWrap w:val="0"/>
                  <w:vAlign w:val="center"/>
                </w:tcPr>
                <w:p w14:paraId="3451D4F1">
                  <w:pPr>
                    <w:pStyle w:val="40"/>
                    <w:bidi w:val="0"/>
                    <w:rPr>
                      <w:rFonts w:hint="default"/>
                      <w:color w:val="auto"/>
                      <w:highlight w:val="none"/>
                      <w:lang w:val="en-US" w:eastAsia="zh-CN"/>
                    </w:rPr>
                  </w:pPr>
                  <w:r>
                    <w:rPr>
                      <w:rFonts w:hint="eastAsia"/>
                      <w:color w:val="auto"/>
                      <w:highlight w:val="none"/>
                      <w:lang w:val="en-US" w:eastAsia="zh-CN"/>
                    </w:rPr>
                    <w:t>30</w:t>
                  </w:r>
                </w:p>
              </w:tc>
            </w:tr>
            <w:tr w14:paraId="75659B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05" w:type="pct"/>
                  <w:vMerge w:val="continue"/>
                  <w:tcBorders>
                    <w:tl2br w:val="nil"/>
                    <w:tr2bl w:val="nil"/>
                  </w:tcBorders>
                  <w:noWrap w:val="0"/>
                  <w:vAlign w:val="center"/>
                </w:tcPr>
                <w:p w14:paraId="097D7A36">
                  <w:pPr>
                    <w:pStyle w:val="40"/>
                    <w:bidi w:val="0"/>
                    <w:rPr>
                      <w:color w:val="auto"/>
                      <w:highlight w:val="none"/>
                    </w:rPr>
                  </w:pPr>
                </w:p>
              </w:tc>
              <w:tc>
                <w:tcPr>
                  <w:tcW w:w="215" w:type="pct"/>
                  <w:vMerge w:val="restart"/>
                  <w:tcBorders>
                    <w:tl2br w:val="nil"/>
                    <w:tr2bl w:val="nil"/>
                  </w:tcBorders>
                  <w:noWrap w:val="0"/>
                  <w:vAlign w:val="center"/>
                </w:tcPr>
                <w:p w14:paraId="7656EDBE">
                  <w:pPr>
                    <w:pStyle w:val="40"/>
                    <w:bidi w:val="0"/>
                    <w:rPr>
                      <w:rFonts w:hint="default" w:eastAsia="宋体"/>
                      <w:color w:val="auto"/>
                      <w:highlight w:val="none"/>
                      <w:lang w:val="en-US" w:eastAsia="zh-CN"/>
                    </w:rPr>
                  </w:pPr>
                  <w:r>
                    <w:rPr>
                      <w:rFonts w:hint="eastAsia"/>
                      <w:color w:val="auto"/>
                      <w:highlight w:val="none"/>
                      <w:lang w:val="en-US" w:eastAsia="zh-CN"/>
                    </w:rPr>
                    <w:t>混凝土生产线</w:t>
                  </w:r>
                </w:p>
              </w:tc>
              <w:tc>
                <w:tcPr>
                  <w:tcW w:w="234" w:type="pct"/>
                  <w:tcBorders>
                    <w:tl2br w:val="nil"/>
                    <w:tr2bl w:val="nil"/>
                  </w:tcBorders>
                  <w:shd w:val="clear" w:color="auto" w:fill="auto"/>
                  <w:noWrap w:val="0"/>
                  <w:vAlign w:val="center"/>
                </w:tcPr>
                <w:p w14:paraId="1BBE065A">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G14</w:t>
                  </w:r>
                </w:p>
              </w:tc>
              <w:tc>
                <w:tcPr>
                  <w:tcW w:w="633" w:type="pct"/>
                  <w:tcBorders>
                    <w:tl2br w:val="nil"/>
                    <w:tr2bl w:val="nil"/>
                  </w:tcBorders>
                  <w:noWrap w:val="0"/>
                  <w:vAlign w:val="center"/>
                </w:tcPr>
                <w:p w14:paraId="28D7C0A0">
                  <w:pPr>
                    <w:pStyle w:val="40"/>
                    <w:bidi w:val="0"/>
                    <w:rPr>
                      <w:color w:val="auto"/>
                      <w:highlight w:val="none"/>
                    </w:rPr>
                  </w:pPr>
                  <w:r>
                    <w:rPr>
                      <w:rFonts w:hint="eastAsia"/>
                      <w:color w:val="auto"/>
                      <w:highlight w:val="none"/>
                      <w:lang w:val="en-US" w:eastAsia="zh-CN"/>
                    </w:rPr>
                    <w:t>颗粒物</w:t>
                  </w:r>
                </w:p>
              </w:tc>
              <w:tc>
                <w:tcPr>
                  <w:tcW w:w="3098" w:type="pct"/>
                  <w:tcBorders>
                    <w:tl2br w:val="nil"/>
                    <w:tr2bl w:val="nil"/>
                  </w:tcBorders>
                  <w:noWrap w:val="0"/>
                  <w:vAlign w:val="center"/>
                </w:tcPr>
                <w:p w14:paraId="3F81A3CF">
                  <w:pPr>
                    <w:pStyle w:val="40"/>
                    <w:bidi w:val="0"/>
                    <w:ind w:firstLine="0" w:firstLineChars="0"/>
                    <w:jc w:val="center"/>
                    <w:rPr>
                      <w:color w:val="auto"/>
                      <w:highlight w:val="none"/>
                    </w:rPr>
                  </w:pPr>
                  <w:r>
                    <w:rPr>
                      <w:rFonts w:hint="default"/>
                      <w:color w:val="auto"/>
                      <w:highlight w:val="none"/>
                    </w:rPr>
                    <w:t>仓顶自带脉冲式布袋除尘器</w:t>
                  </w:r>
                  <w:r>
                    <w:rPr>
                      <w:color w:val="auto"/>
                      <w:highlight w:val="none"/>
                    </w:rPr>
                    <w:t>（</w:t>
                  </w:r>
                  <w:r>
                    <w:rPr>
                      <w:rFonts w:hint="eastAsia"/>
                      <w:color w:val="auto"/>
                      <w:highlight w:val="none"/>
                      <w:lang w:val="en-US" w:eastAsia="zh-CN"/>
                    </w:rPr>
                    <w:t>2</w:t>
                  </w:r>
                  <w:r>
                    <w:rPr>
                      <w:color w:val="auto"/>
                      <w:highlight w:val="none"/>
                    </w:rPr>
                    <w:t>套）</w:t>
                  </w:r>
                  <w:r>
                    <w:rPr>
                      <w:rFonts w:hint="default"/>
                      <w:color w:val="auto"/>
                      <w:highlight w:val="none"/>
                    </w:rPr>
                    <w:t>，除尘效率为99.7%</w:t>
                  </w:r>
                  <w:r>
                    <w:rPr>
                      <w:rFonts w:hint="eastAsia"/>
                      <w:color w:val="auto"/>
                      <w:highlight w:val="none"/>
                      <w:lang w:eastAsia="zh-CN"/>
                    </w:rPr>
                    <w:t>，</w:t>
                  </w:r>
                  <w:r>
                    <w:rPr>
                      <w:rFonts w:hint="eastAsia"/>
                      <w:color w:val="auto"/>
                      <w:highlight w:val="none"/>
                    </w:rPr>
                    <w:t>粉尘</w:t>
                  </w:r>
                  <w:r>
                    <w:rPr>
                      <w:color w:val="auto"/>
                      <w:highlight w:val="none"/>
                    </w:rPr>
                    <w:t>经</w:t>
                  </w:r>
                  <w:r>
                    <w:rPr>
                      <w:rFonts w:hint="eastAsia"/>
                      <w:color w:val="auto"/>
                      <w:highlight w:val="none"/>
                    </w:rPr>
                    <w:t>处理后</w:t>
                  </w:r>
                  <w:r>
                    <w:rPr>
                      <w:rFonts w:hint="eastAsia"/>
                      <w:color w:val="auto"/>
                      <w:highlight w:val="none"/>
                      <w:lang w:val="en-US" w:eastAsia="zh-CN"/>
                    </w:rPr>
                    <w:t>由</w:t>
                  </w:r>
                  <w:r>
                    <w:rPr>
                      <w:color w:val="auto"/>
                      <w:highlight w:val="none"/>
                    </w:rPr>
                    <w:t>各</w:t>
                  </w:r>
                  <w:r>
                    <w:rPr>
                      <w:rFonts w:hint="eastAsia"/>
                      <w:color w:val="auto"/>
                      <w:highlight w:val="none"/>
                    </w:rPr>
                    <w:t>除尘器出口</w:t>
                  </w:r>
                  <w:r>
                    <w:rPr>
                      <w:rFonts w:hint="eastAsia"/>
                      <w:color w:val="auto"/>
                      <w:highlight w:val="none"/>
                      <w:lang w:val="en-US" w:eastAsia="zh-CN"/>
                    </w:rPr>
                    <w:t>无组织</w:t>
                  </w:r>
                  <w:r>
                    <w:rPr>
                      <w:rFonts w:hint="eastAsia"/>
                      <w:color w:val="auto"/>
                      <w:highlight w:val="none"/>
                    </w:rPr>
                    <w:t>排放</w:t>
                  </w:r>
                </w:p>
              </w:tc>
              <w:tc>
                <w:tcPr>
                  <w:tcW w:w="512" w:type="pct"/>
                  <w:tcBorders>
                    <w:tl2br w:val="nil"/>
                    <w:tr2bl w:val="nil"/>
                  </w:tcBorders>
                  <w:noWrap w:val="0"/>
                  <w:vAlign w:val="center"/>
                </w:tcPr>
                <w:p w14:paraId="31D74F4C">
                  <w:pPr>
                    <w:pStyle w:val="40"/>
                    <w:bidi w:val="0"/>
                    <w:rPr>
                      <w:rFonts w:hint="default" w:eastAsia="宋体"/>
                      <w:color w:val="auto"/>
                      <w:highlight w:val="none"/>
                      <w:lang w:val="en-US" w:eastAsia="zh-CN"/>
                    </w:rPr>
                  </w:pPr>
                  <w:r>
                    <w:rPr>
                      <w:rFonts w:hint="eastAsia"/>
                      <w:color w:val="auto"/>
                      <w:highlight w:val="none"/>
                      <w:lang w:val="en-US" w:eastAsia="zh-CN"/>
                    </w:rPr>
                    <w:t>10</w:t>
                  </w:r>
                </w:p>
              </w:tc>
            </w:tr>
            <w:tr w14:paraId="06E220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05" w:type="pct"/>
                  <w:vMerge w:val="continue"/>
                  <w:tcBorders>
                    <w:tl2br w:val="nil"/>
                    <w:tr2bl w:val="nil"/>
                  </w:tcBorders>
                  <w:noWrap w:val="0"/>
                  <w:vAlign w:val="center"/>
                </w:tcPr>
                <w:p w14:paraId="7278B1C2">
                  <w:pPr>
                    <w:pStyle w:val="40"/>
                    <w:bidi w:val="0"/>
                    <w:rPr>
                      <w:color w:val="auto"/>
                      <w:highlight w:val="none"/>
                    </w:rPr>
                  </w:pPr>
                </w:p>
              </w:tc>
              <w:tc>
                <w:tcPr>
                  <w:tcW w:w="215" w:type="pct"/>
                  <w:vMerge w:val="continue"/>
                  <w:tcBorders>
                    <w:tl2br w:val="nil"/>
                    <w:tr2bl w:val="nil"/>
                  </w:tcBorders>
                  <w:noWrap w:val="0"/>
                  <w:vAlign w:val="center"/>
                </w:tcPr>
                <w:p w14:paraId="7999DE6F">
                  <w:pPr>
                    <w:pStyle w:val="40"/>
                    <w:bidi w:val="0"/>
                    <w:rPr>
                      <w:rFonts w:hint="eastAsia"/>
                      <w:color w:val="auto"/>
                      <w:highlight w:val="none"/>
                      <w:lang w:eastAsia="zh-CN"/>
                    </w:rPr>
                  </w:pPr>
                </w:p>
              </w:tc>
              <w:tc>
                <w:tcPr>
                  <w:tcW w:w="234" w:type="pct"/>
                  <w:tcBorders>
                    <w:tl2br w:val="nil"/>
                    <w:tr2bl w:val="nil"/>
                  </w:tcBorders>
                  <w:shd w:val="clear" w:color="auto" w:fill="auto"/>
                  <w:noWrap w:val="0"/>
                  <w:vAlign w:val="center"/>
                </w:tcPr>
                <w:p w14:paraId="3EBE5072">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G15</w:t>
                  </w:r>
                </w:p>
              </w:tc>
              <w:tc>
                <w:tcPr>
                  <w:tcW w:w="633" w:type="pct"/>
                  <w:tcBorders>
                    <w:tl2br w:val="nil"/>
                    <w:tr2bl w:val="nil"/>
                  </w:tcBorders>
                  <w:noWrap w:val="0"/>
                  <w:vAlign w:val="center"/>
                </w:tcPr>
                <w:p w14:paraId="236BCB36">
                  <w:pPr>
                    <w:pStyle w:val="40"/>
                    <w:bidi w:val="0"/>
                    <w:rPr>
                      <w:color w:val="auto"/>
                      <w:highlight w:val="none"/>
                    </w:rPr>
                  </w:pPr>
                  <w:r>
                    <w:rPr>
                      <w:rFonts w:hint="eastAsia"/>
                      <w:color w:val="auto"/>
                      <w:highlight w:val="none"/>
                      <w:lang w:val="en-US" w:eastAsia="zh-CN"/>
                    </w:rPr>
                    <w:t>颗粒物</w:t>
                  </w:r>
                </w:p>
              </w:tc>
              <w:tc>
                <w:tcPr>
                  <w:tcW w:w="3098" w:type="pct"/>
                  <w:tcBorders>
                    <w:tl2br w:val="nil"/>
                    <w:tr2bl w:val="nil"/>
                  </w:tcBorders>
                  <w:noWrap w:val="0"/>
                  <w:vAlign w:val="center"/>
                </w:tcPr>
                <w:p w14:paraId="20EDD6D9">
                  <w:pPr>
                    <w:pStyle w:val="40"/>
                    <w:bidi w:val="0"/>
                    <w:ind w:firstLine="0" w:firstLineChars="0"/>
                    <w:jc w:val="center"/>
                    <w:rPr>
                      <w:rFonts w:hint="eastAsia" w:eastAsia="宋体"/>
                      <w:color w:val="auto"/>
                      <w:highlight w:val="none"/>
                      <w:lang w:eastAsia="zh-CN"/>
                    </w:rPr>
                  </w:pPr>
                  <w:r>
                    <w:rPr>
                      <w:rFonts w:hint="default"/>
                      <w:color w:val="auto"/>
                      <w:highlight w:val="none"/>
                    </w:rPr>
                    <w:t>仓顶自带脉冲式布袋除尘器</w:t>
                  </w:r>
                  <w:r>
                    <w:rPr>
                      <w:color w:val="auto"/>
                      <w:highlight w:val="none"/>
                    </w:rPr>
                    <w:t>（</w:t>
                  </w:r>
                  <w:r>
                    <w:rPr>
                      <w:rFonts w:hint="eastAsia"/>
                      <w:color w:val="auto"/>
                      <w:highlight w:val="none"/>
                      <w:lang w:val="en-US" w:eastAsia="zh-CN"/>
                    </w:rPr>
                    <w:t>6</w:t>
                  </w:r>
                  <w:r>
                    <w:rPr>
                      <w:color w:val="auto"/>
                      <w:highlight w:val="none"/>
                    </w:rPr>
                    <w:t>套）</w:t>
                  </w:r>
                  <w:r>
                    <w:rPr>
                      <w:rFonts w:hint="default"/>
                      <w:color w:val="auto"/>
                      <w:highlight w:val="none"/>
                    </w:rPr>
                    <w:t>，除尘效率为99.7%</w:t>
                  </w:r>
                  <w:r>
                    <w:rPr>
                      <w:rFonts w:hint="eastAsia"/>
                      <w:color w:val="auto"/>
                      <w:highlight w:val="none"/>
                      <w:lang w:eastAsia="zh-CN"/>
                    </w:rPr>
                    <w:t>，</w:t>
                  </w:r>
                  <w:r>
                    <w:rPr>
                      <w:rFonts w:hint="eastAsia"/>
                      <w:color w:val="auto"/>
                      <w:highlight w:val="none"/>
                    </w:rPr>
                    <w:t>粉尘</w:t>
                  </w:r>
                  <w:r>
                    <w:rPr>
                      <w:color w:val="auto"/>
                      <w:highlight w:val="none"/>
                    </w:rPr>
                    <w:t>经</w:t>
                  </w:r>
                  <w:r>
                    <w:rPr>
                      <w:rFonts w:hint="eastAsia"/>
                      <w:color w:val="auto"/>
                      <w:highlight w:val="none"/>
                    </w:rPr>
                    <w:t>处理后</w:t>
                  </w:r>
                  <w:r>
                    <w:rPr>
                      <w:rFonts w:hint="eastAsia"/>
                      <w:color w:val="auto"/>
                      <w:highlight w:val="none"/>
                      <w:lang w:val="en-US" w:eastAsia="zh-CN"/>
                    </w:rPr>
                    <w:t>由</w:t>
                  </w:r>
                  <w:r>
                    <w:rPr>
                      <w:color w:val="auto"/>
                      <w:highlight w:val="none"/>
                    </w:rPr>
                    <w:t>各</w:t>
                  </w:r>
                  <w:r>
                    <w:rPr>
                      <w:rFonts w:hint="eastAsia"/>
                      <w:color w:val="auto"/>
                      <w:highlight w:val="none"/>
                    </w:rPr>
                    <w:t>除尘器出口</w:t>
                  </w:r>
                  <w:r>
                    <w:rPr>
                      <w:rFonts w:hint="eastAsia"/>
                      <w:color w:val="auto"/>
                      <w:highlight w:val="none"/>
                      <w:lang w:val="en-US" w:eastAsia="zh-CN"/>
                    </w:rPr>
                    <w:t>无组织</w:t>
                  </w:r>
                  <w:r>
                    <w:rPr>
                      <w:rFonts w:hint="eastAsia"/>
                      <w:color w:val="auto"/>
                      <w:highlight w:val="none"/>
                    </w:rPr>
                    <w:t>排放</w:t>
                  </w:r>
                </w:p>
              </w:tc>
              <w:tc>
                <w:tcPr>
                  <w:tcW w:w="512" w:type="pct"/>
                  <w:tcBorders>
                    <w:tl2br w:val="nil"/>
                    <w:tr2bl w:val="nil"/>
                  </w:tcBorders>
                  <w:noWrap w:val="0"/>
                  <w:vAlign w:val="center"/>
                </w:tcPr>
                <w:p w14:paraId="0E5A39E6">
                  <w:pPr>
                    <w:pStyle w:val="40"/>
                    <w:bidi w:val="0"/>
                    <w:rPr>
                      <w:rFonts w:hint="default" w:eastAsia="宋体"/>
                      <w:color w:val="auto"/>
                      <w:highlight w:val="none"/>
                      <w:lang w:val="en-US" w:eastAsia="zh-CN"/>
                    </w:rPr>
                  </w:pPr>
                  <w:r>
                    <w:rPr>
                      <w:rFonts w:hint="eastAsia"/>
                      <w:color w:val="auto"/>
                      <w:highlight w:val="none"/>
                      <w:lang w:val="en-US" w:eastAsia="zh-CN"/>
                    </w:rPr>
                    <w:t>30</w:t>
                  </w:r>
                </w:p>
              </w:tc>
            </w:tr>
            <w:tr w14:paraId="4E66F6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05" w:type="pct"/>
                  <w:vMerge w:val="continue"/>
                  <w:tcBorders>
                    <w:tl2br w:val="nil"/>
                    <w:tr2bl w:val="nil"/>
                  </w:tcBorders>
                  <w:noWrap w:val="0"/>
                  <w:vAlign w:val="center"/>
                </w:tcPr>
                <w:p w14:paraId="2D0D1D40">
                  <w:pPr>
                    <w:pStyle w:val="40"/>
                    <w:bidi w:val="0"/>
                    <w:rPr>
                      <w:color w:val="auto"/>
                      <w:highlight w:val="none"/>
                    </w:rPr>
                  </w:pPr>
                </w:p>
              </w:tc>
              <w:tc>
                <w:tcPr>
                  <w:tcW w:w="215" w:type="pct"/>
                  <w:vMerge w:val="continue"/>
                  <w:tcBorders>
                    <w:tl2br w:val="nil"/>
                    <w:tr2bl w:val="nil"/>
                  </w:tcBorders>
                  <w:noWrap w:val="0"/>
                  <w:vAlign w:val="center"/>
                </w:tcPr>
                <w:p w14:paraId="297F181C">
                  <w:pPr>
                    <w:pStyle w:val="40"/>
                    <w:bidi w:val="0"/>
                    <w:rPr>
                      <w:color w:val="auto"/>
                      <w:highlight w:val="none"/>
                    </w:rPr>
                  </w:pPr>
                </w:p>
              </w:tc>
              <w:tc>
                <w:tcPr>
                  <w:tcW w:w="234" w:type="pct"/>
                  <w:tcBorders>
                    <w:tl2br w:val="nil"/>
                    <w:tr2bl w:val="nil"/>
                  </w:tcBorders>
                  <w:shd w:val="clear" w:color="auto" w:fill="auto"/>
                  <w:noWrap w:val="0"/>
                  <w:vAlign w:val="center"/>
                </w:tcPr>
                <w:p w14:paraId="37A41B7E">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G16</w:t>
                  </w:r>
                </w:p>
              </w:tc>
              <w:tc>
                <w:tcPr>
                  <w:tcW w:w="633" w:type="pct"/>
                  <w:tcBorders>
                    <w:tl2br w:val="nil"/>
                    <w:tr2bl w:val="nil"/>
                  </w:tcBorders>
                  <w:noWrap w:val="0"/>
                  <w:vAlign w:val="center"/>
                </w:tcPr>
                <w:p w14:paraId="1A2F4D56">
                  <w:pPr>
                    <w:pStyle w:val="40"/>
                    <w:bidi w:val="0"/>
                    <w:rPr>
                      <w:color w:val="auto"/>
                      <w:highlight w:val="none"/>
                    </w:rPr>
                  </w:pPr>
                  <w:r>
                    <w:rPr>
                      <w:rFonts w:hint="eastAsia"/>
                      <w:color w:val="auto"/>
                      <w:highlight w:val="none"/>
                      <w:lang w:val="en-US" w:eastAsia="zh-CN"/>
                    </w:rPr>
                    <w:t>颗粒物</w:t>
                  </w:r>
                </w:p>
              </w:tc>
              <w:tc>
                <w:tcPr>
                  <w:tcW w:w="3098" w:type="pct"/>
                  <w:tcBorders>
                    <w:tl2br w:val="nil"/>
                    <w:tr2bl w:val="nil"/>
                  </w:tcBorders>
                  <w:noWrap w:val="0"/>
                  <w:vAlign w:val="center"/>
                </w:tcPr>
                <w:p w14:paraId="12B99DD4">
                  <w:pPr>
                    <w:pStyle w:val="40"/>
                    <w:bidi w:val="0"/>
                    <w:ind w:firstLine="0" w:firstLineChars="0"/>
                    <w:jc w:val="center"/>
                    <w:rPr>
                      <w:color w:val="auto"/>
                      <w:highlight w:val="none"/>
                    </w:rPr>
                  </w:pPr>
                  <w:r>
                    <w:rPr>
                      <w:rFonts w:hint="eastAsia"/>
                      <w:color w:val="auto"/>
                      <w:highlight w:val="none"/>
                      <w:lang w:val="en-US" w:eastAsia="zh-CN"/>
                    </w:rPr>
                    <w:t>同G2</w:t>
                  </w:r>
                </w:p>
              </w:tc>
              <w:tc>
                <w:tcPr>
                  <w:tcW w:w="512" w:type="pct"/>
                  <w:tcBorders>
                    <w:tl2br w:val="nil"/>
                    <w:tr2bl w:val="nil"/>
                  </w:tcBorders>
                  <w:noWrap w:val="0"/>
                  <w:vAlign w:val="center"/>
                </w:tcPr>
                <w:p w14:paraId="57547B56">
                  <w:pPr>
                    <w:pStyle w:val="40"/>
                    <w:bidi w:val="0"/>
                    <w:rPr>
                      <w:rFonts w:hint="default" w:eastAsia="宋体"/>
                      <w:color w:val="auto"/>
                      <w:highlight w:val="none"/>
                      <w:lang w:val="en-US" w:eastAsia="zh-CN"/>
                    </w:rPr>
                  </w:pPr>
                  <w:r>
                    <w:rPr>
                      <w:rFonts w:hint="eastAsia"/>
                      <w:color w:val="auto"/>
                      <w:highlight w:val="none"/>
                      <w:lang w:val="en-US" w:eastAsia="zh-CN"/>
                    </w:rPr>
                    <w:t>10</w:t>
                  </w:r>
                </w:p>
              </w:tc>
            </w:tr>
            <w:tr w14:paraId="7F2AD6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05" w:type="pct"/>
                  <w:vMerge w:val="continue"/>
                  <w:tcBorders>
                    <w:tl2br w:val="nil"/>
                    <w:tr2bl w:val="nil"/>
                  </w:tcBorders>
                  <w:noWrap w:val="0"/>
                  <w:vAlign w:val="center"/>
                </w:tcPr>
                <w:p w14:paraId="4A8684FF">
                  <w:pPr>
                    <w:pStyle w:val="40"/>
                    <w:bidi w:val="0"/>
                    <w:rPr>
                      <w:color w:val="auto"/>
                      <w:highlight w:val="none"/>
                    </w:rPr>
                  </w:pPr>
                </w:p>
              </w:tc>
              <w:tc>
                <w:tcPr>
                  <w:tcW w:w="215" w:type="pct"/>
                  <w:vMerge w:val="continue"/>
                  <w:tcBorders>
                    <w:tl2br w:val="nil"/>
                    <w:tr2bl w:val="nil"/>
                  </w:tcBorders>
                  <w:noWrap w:val="0"/>
                  <w:vAlign w:val="center"/>
                </w:tcPr>
                <w:p w14:paraId="67608D4C">
                  <w:pPr>
                    <w:pStyle w:val="40"/>
                    <w:bidi w:val="0"/>
                    <w:rPr>
                      <w:color w:val="auto"/>
                      <w:highlight w:val="none"/>
                    </w:rPr>
                  </w:pPr>
                </w:p>
              </w:tc>
              <w:tc>
                <w:tcPr>
                  <w:tcW w:w="234" w:type="pct"/>
                  <w:tcBorders>
                    <w:tl2br w:val="nil"/>
                    <w:tr2bl w:val="nil"/>
                  </w:tcBorders>
                  <w:shd w:val="clear" w:color="auto" w:fill="auto"/>
                  <w:noWrap w:val="0"/>
                  <w:vAlign w:val="center"/>
                </w:tcPr>
                <w:p w14:paraId="29E02BA6">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G17</w:t>
                  </w:r>
                </w:p>
              </w:tc>
              <w:tc>
                <w:tcPr>
                  <w:tcW w:w="633" w:type="pct"/>
                  <w:tcBorders>
                    <w:tl2br w:val="nil"/>
                    <w:tr2bl w:val="nil"/>
                  </w:tcBorders>
                  <w:noWrap w:val="0"/>
                  <w:vAlign w:val="center"/>
                </w:tcPr>
                <w:p w14:paraId="23F52AA1">
                  <w:pPr>
                    <w:pStyle w:val="40"/>
                    <w:bidi w:val="0"/>
                    <w:rPr>
                      <w:rFonts w:hint="eastAsia"/>
                      <w:color w:val="auto"/>
                      <w:highlight w:val="none"/>
                      <w:lang w:val="en-US" w:eastAsia="zh-CN"/>
                    </w:rPr>
                  </w:pPr>
                  <w:r>
                    <w:rPr>
                      <w:rFonts w:hint="eastAsia"/>
                      <w:color w:val="auto"/>
                      <w:highlight w:val="none"/>
                      <w:lang w:val="en-US" w:eastAsia="zh-CN"/>
                    </w:rPr>
                    <w:t>颗粒物</w:t>
                  </w:r>
                </w:p>
              </w:tc>
              <w:tc>
                <w:tcPr>
                  <w:tcW w:w="3098" w:type="pct"/>
                  <w:tcBorders>
                    <w:tl2br w:val="nil"/>
                    <w:tr2bl w:val="nil"/>
                  </w:tcBorders>
                  <w:noWrap w:val="0"/>
                  <w:vAlign w:val="center"/>
                </w:tcPr>
                <w:p w14:paraId="507294C6">
                  <w:pPr>
                    <w:pStyle w:val="40"/>
                    <w:bidi w:val="0"/>
                    <w:ind w:firstLine="0" w:firstLineChars="0"/>
                    <w:jc w:val="center"/>
                    <w:rPr>
                      <w:color w:val="auto"/>
                      <w:highlight w:val="none"/>
                    </w:rPr>
                  </w:pPr>
                  <w:r>
                    <w:rPr>
                      <w:rFonts w:hint="default"/>
                      <w:color w:val="auto"/>
                      <w:highlight w:val="none"/>
                    </w:rPr>
                    <w:t>搅拌机有固定排放口直接与风管连接，有组织收集效率为90%</w:t>
                  </w:r>
                  <w:r>
                    <w:rPr>
                      <w:rFonts w:hint="eastAsia"/>
                      <w:color w:val="auto"/>
                      <w:highlight w:val="none"/>
                      <w:lang w:eastAsia="zh-CN"/>
                    </w:rPr>
                    <w:t>，</w:t>
                  </w:r>
                  <w:r>
                    <w:rPr>
                      <w:rFonts w:hint="default"/>
                      <w:color w:val="auto"/>
                      <w:highlight w:val="none"/>
                    </w:rPr>
                    <w:t>末端设置</w:t>
                  </w:r>
                  <w:r>
                    <w:rPr>
                      <w:rFonts w:hint="eastAsia"/>
                      <w:color w:val="auto"/>
                      <w:highlight w:val="none"/>
                      <w:lang w:val="en-US" w:eastAsia="zh-CN"/>
                    </w:rPr>
                    <w:t>脉冲式布袋除尘器</w:t>
                  </w:r>
                  <w:r>
                    <w:rPr>
                      <w:rFonts w:hint="default"/>
                      <w:color w:val="auto"/>
                      <w:highlight w:val="none"/>
                    </w:rPr>
                    <w:t>，除尘效率为99.7%，处理后同其他</w:t>
                  </w:r>
                  <w:r>
                    <w:rPr>
                      <w:rFonts w:hint="eastAsia"/>
                      <w:color w:val="auto"/>
                      <w:highlight w:val="none"/>
                      <w:lang w:val="en-US" w:eastAsia="zh-CN"/>
                    </w:rPr>
                    <w:t>未</w:t>
                  </w:r>
                  <w:r>
                    <w:rPr>
                      <w:rFonts w:hint="default"/>
                      <w:color w:val="auto"/>
                      <w:highlight w:val="none"/>
                    </w:rPr>
                    <w:t>收集的粉尘在封闭搅拌楼无组织排放，搅拌楼内设置喷雾降尘设施，处理效率为90%</w:t>
                  </w:r>
                </w:p>
              </w:tc>
              <w:tc>
                <w:tcPr>
                  <w:tcW w:w="512" w:type="pct"/>
                  <w:tcBorders>
                    <w:tl2br w:val="nil"/>
                    <w:tr2bl w:val="nil"/>
                  </w:tcBorders>
                  <w:noWrap w:val="0"/>
                  <w:vAlign w:val="center"/>
                </w:tcPr>
                <w:p w14:paraId="2A4F2CCE">
                  <w:pPr>
                    <w:pStyle w:val="40"/>
                    <w:bidi w:val="0"/>
                    <w:rPr>
                      <w:rFonts w:hint="default"/>
                      <w:color w:val="auto"/>
                      <w:highlight w:val="none"/>
                      <w:lang w:val="en-US" w:eastAsia="zh-CN"/>
                    </w:rPr>
                  </w:pPr>
                  <w:r>
                    <w:rPr>
                      <w:rFonts w:hint="eastAsia"/>
                      <w:color w:val="auto"/>
                      <w:highlight w:val="none"/>
                      <w:lang w:val="en-US" w:eastAsia="zh-CN"/>
                    </w:rPr>
                    <w:t>10</w:t>
                  </w:r>
                </w:p>
              </w:tc>
            </w:tr>
            <w:tr w14:paraId="27A5E5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05" w:type="pct"/>
                  <w:vMerge w:val="continue"/>
                  <w:tcBorders>
                    <w:tl2br w:val="nil"/>
                    <w:tr2bl w:val="nil"/>
                  </w:tcBorders>
                  <w:noWrap w:val="0"/>
                  <w:vAlign w:val="center"/>
                </w:tcPr>
                <w:p w14:paraId="619D6615">
                  <w:pPr>
                    <w:pStyle w:val="40"/>
                    <w:bidi w:val="0"/>
                    <w:rPr>
                      <w:color w:val="auto"/>
                      <w:highlight w:val="none"/>
                    </w:rPr>
                  </w:pPr>
                </w:p>
              </w:tc>
              <w:tc>
                <w:tcPr>
                  <w:tcW w:w="450" w:type="pct"/>
                  <w:gridSpan w:val="2"/>
                  <w:tcBorders>
                    <w:tl2br w:val="nil"/>
                    <w:tr2bl w:val="nil"/>
                  </w:tcBorders>
                  <w:noWrap w:val="0"/>
                  <w:vAlign w:val="center"/>
                </w:tcPr>
                <w:p w14:paraId="686416D7">
                  <w:pPr>
                    <w:pStyle w:val="40"/>
                    <w:bidi w:val="0"/>
                    <w:rPr>
                      <w:rFonts w:hint="eastAsia"/>
                      <w:color w:val="auto"/>
                      <w:highlight w:val="none"/>
                    </w:rPr>
                  </w:pPr>
                  <w:r>
                    <w:rPr>
                      <w:color w:val="auto"/>
                      <w:highlight w:val="none"/>
                    </w:rPr>
                    <w:t>道路</w:t>
                  </w:r>
                  <w:r>
                    <w:rPr>
                      <w:rFonts w:hint="eastAsia"/>
                      <w:color w:val="auto"/>
                      <w:highlight w:val="none"/>
                    </w:rPr>
                    <w:t>及场地</w:t>
                  </w:r>
                </w:p>
              </w:tc>
              <w:tc>
                <w:tcPr>
                  <w:tcW w:w="633" w:type="pct"/>
                  <w:tcBorders>
                    <w:tl2br w:val="nil"/>
                    <w:tr2bl w:val="nil"/>
                  </w:tcBorders>
                  <w:noWrap w:val="0"/>
                  <w:vAlign w:val="center"/>
                </w:tcPr>
                <w:p w14:paraId="747A2128">
                  <w:pPr>
                    <w:pStyle w:val="40"/>
                    <w:bidi w:val="0"/>
                    <w:rPr>
                      <w:color w:val="auto"/>
                      <w:highlight w:val="none"/>
                    </w:rPr>
                  </w:pPr>
                  <w:r>
                    <w:rPr>
                      <w:rFonts w:hint="eastAsia"/>
                      <w:color w:val="auto"/>
                      <w:highlight w:val="none"/>
                      <w:lang w:val="en-US" w:eastAsia="zh-CN"/>
                    </w:rPr>
                    <w:t>颗粒物</w:t>
                  </w:r>
                </w:p>
              </w:tc>
              <w:tc>
                <w:tcPr>
                  <w:tcW w:w="3098" w:type="pct"/>
                  <w:tcBorders>
                    <w:tl2br w:val="nil"/>
                    <w:tr2bl w:val="nil"/>
                  </w:tcBorders>
                  <w:noWrap w:val="0"/>
                  <w:vAlign w:val="center"/>
                </w:tcPr>
                <w:p w14:paraId="6EDC3391">
                  <w:pPr>
                    <w:pStyle w:val="40"/>
                    <w:bidi w:val="0"/>
                    <w:rPr>
                      <w:color w:val="auto"/>
                      <w:highlight w:val="none"/>
                    </w:rPr>
                  </w:pPr>
                  <w:r>
                    <w:rPr>
                      <w:color w:val="auto"/>
                      <w:highlight w:val="none"/>
                    </w:rPr>
                    <w:t>道路进行硬化，在</w:t>
                  </w:r>
                  <w:r>
                    <w:rPr>
                      <w:rFonts w:hint="eastAsia"/>
                      <w:color w:val="auto"/>
                      <w:highlight w:val="none"/>
                    </w:rPr>
                    <w:t>厂区</w:t>
                  </w:r>
                  <w:r>
                    <w:rPr>
                      <w:rFonts w:hint="eastAsia"/>
                      <w:color w:val="auto"/>
                      <w:highlight w:val="none"/>
                      <w:lang w:val="en-US" w:eastAsia="zh-CN"/>
                    </w:rPr>
                    <w:t>出入口设置</w:t>
                  </w:r>
                  <w:r>
                    <w:rPr>
                      <w:color w:val="auto"/>
                      <w:highlight w:val="none"/>
                    </w:rPr>
                    <w:t>洗车台</w:t>
                  </w:r>
                </w:p>
              </w:tc>
              <w:tc>
                <w:tcPr>
                  <w:tcW w:w="512" w:type="pct"/>
                  <w:tcBorders>
                    <w:tl2br w:val="nil"/>
                    <w:tr2bl w:val="nil"/>
                  </w:tcBorders>
                  <w:noWrap w:val="0"/>
                  <w:vAlign w:val="center"/>
                </w:tcPr>
                <w:p w14:paraId="6B0D7425">
                  <w:pPr>
                    <w:pStyle w:val="40"/>
                    <w:bidi w:val="0"/>
                    <w:rPr>
                      <w:rFonts w:hint="default" w:eastAsia="宋体"/>
                      <w:color w:val="auto"/>
                      <w:highlight w:val="none"/>
                      <w:lang w:val="en-US" w:eastAsia="zh-CN"/>
                    </w:rPr>
                  </w:pPr>
                  <w:r>
                    <w:rPr>
                      <w:rFonts w:hint="eastAsia"/>
                      <w:color w:val="auto"/>
                      <w:highlight w:val="none"/>
                      <w:lang w:val="en-US" w:eastAsia="zh-CN"/>
                    </w:rPr>
                    <w:t>208</w:t>
                  </w:r>
                </w:p>
              </w:tc>
            </w:tr>
            <w:tr w14:paraId="432B30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05" w:type="pct"/>
                  <w:vMerge w:val="continue"/>
                  <w:tcBorders>
                    <w:tl2br w:val="nil"/>
                    <w:tr2bl w:val="nil"/>
                  </w:tcBorders>
                  <w:noWrap w:val="0"/>
                  <w:vAlign w:val="center"/>
                </w:tcPr>
                <w:p w14:paraId="0395C20F">
                  <w:pPr>
                    <w:pStyle w:val="40"/>
                    <w:bidi w:val="0"/>
                    <w:rPr>
                      <w:color w:val="auto"/>
                      <w:highlight w:val="none"/>
                    </w:rPr>
                  </w:pPr>
                </w:p>
              </w:tc>
              <w:tc>
                <w:tcPr>
                  <w:tcW w:w="450" w:type="pct"/>
                  <w:gridSpan w:val="2"/>
                  <w:tcBorders>
                    <w:tl2br w:val="nil"/>
                    <w:tr2bl w:val="nil"/>
                  </w:tcBorders>
                  <w:noWrap w:val="0"/>
                  <w:vAlign w:val="center"/>
                </w:tcPr>
                <w:p w14:paraId="63787764">
                  <w:pPr>
                    <w:pStyle w:val="40"/>
                    <w:bidi w:val="0"/>
                    <w:rPr>
                      <w:rFonts w:hint="eastAsia"/>
                      <w:color w:val="auto"/>
                      <w:highlight w:val="none"/>
                      <w:lang w:val="en-US" w:eastAsia="zh-CN"/>
                    </w:rPr>
                  </w:pPr>
                  <w:r>
                    <w:rPr>
                      <w:rFonts w:hint="eastAsia"/>
                      <w:color w:val="auto"/>
                      <w:highlight w:val="none"/>
                      <w:lang w:val="en-US" w:eastAsia="zh-CN"/>
                    </w:rPr>
                    <w:t>在线</w:t>
                  </w:r>
                </w:p>
                <w:p w14:paraId="1198DD5F">
                  <w:pPr>
                    <w:pStyle w:val="40"/>
                    <w:bidi w:val="0"/>
                    <w:rPr>
                      <w:rFonts w:hint="default" w:eastAsia="宋体"/>
                      <w:color w:val="auto"/>
                      <w:highlight w:val="none"/>
                      <w:lang w:val="en-US" w:eastAsia="zh-CN"/>
                    </w:rPr>
                  </w:pPr>
                  <w:r>
                    <w:rPr>
                      <w:rFonts w:hint="eastAsia"/>
                      <w:color w:val="auto"/>
                      <w:highlight w:val="none"/>
                      <w:lang w:val="en-US" w:eastAsia="zh-CN"/>
                    </w:rPr>
                    <w:t>监测</w:t>
                  </w:r>
                </w:p>
              </w:tc>
              <w:tc>
                <w:tcPr>
                  <w:tcW w:w="633" w:type="pct"/>
                  <w:tcBorders>
                    <w:tl2br w:val="nil"/>
                    <w:tr2bl w:val="nil"/>
                  </w:tcBorders>
                  <w:noWrap w:val="0"/>
                  <w:vAlign w:val="center"/>
                </w:tcPr>
                <w:p w14:paraId="56A96E43">
                  <w:pPr>
                    <w:pStyle w:val="40"/>
                    <w:bidi w:val="0"/>
                    <w:rPr>
                      <w:rFonts w:hint="eastAsia"/>
                      <w:color w:val="auto"/>
                      <w:highlight w:val="none"/>
                    </w:rPr>
                  </w:pPr>
                  <w:r>
                    <w:rPr>
                      <w:rFonts w:hint="eastAsia"/>
                      <w:color w:val="auto"/>
                      <w:highlight w:val="none"/>
                      <w:lang w:val="en-US" w:eastAsia="zh-CN"/>
                    </w:rPr>
                    <w:t>颗粒物</w:t>
                  </w:r>
                </w:p>
              </w:tc>
              <w:tc>
                <w:tcPr>
                  <w:tcW w:w="3098" w:type="pct"/>
                  <w:tcBorders>
                    <w:tl2br w:val="nil"/>
                    <w:tr2bl w:val="nil"/>
                  </w:tcBorders>
                  <w:noWrap w:val="0"/>
                  <w:vAlign w:val="center"/>
                </w:tcPr>
                <w:p w14:paraId="0D1F6B7A">
                  <w:pPr>
                    <w:pStyle w:val="40"/>
                    <w:bidi w:val="0"/>
                    <w:rPr>
                      <w:color w:val="auto"/>
                      <w:highlight w:val="none"/>
                    </w:rPr>
                  </w:pPr>
                  <w:r>
                    <w:rPr>
                      <w:rFonts w:hint="eastAsia"/>
                      <w:color w:val="auto"/>
                      <w:highlight w:val="none"/>
                    </w:rPr>
                    <w:t>在厂界四周设4台扬尘在线监测设备</w:t>
                  </w:r>
                  <w:r>
                    <w:rPr>
                      <w:rFonts w:hint="eastAsia"/>
                      <w:color w:val="auto"/>
                      <w:highlight w:val="none"/>
                      <w:lang w:val="en-US" w:eastAsia="zh-CN"/>
                    </w:rPr>
                    <w:t>及</w:t>
                  </w:r>
                  <w:r>
                    <w:rPr>
                      <w:rFonts w:hint="eastAsia"/>
                      <w:color w:val="auto"/>
                      <w:highlight w:val="none"/>
                    </w:rPr>
                    <w:t>门禁系统</w:t>
                  </w:r>
                </w:p>
              </w:tc>
              <w:tc>
                <w:tcPr>
                  <w:tcW w:w="512" w:type="pct"/>
                  <w:tcBorders>
                    <w:tl2br w:val="nil"/>
                    <w:tr2bl w:val="nil"/>
                  </w:tcBorders>
                  <w:noWrap w:val="0"/>
                  <w:vAlign w:val="center"/>
                </w:tcPr>
                <w:p w14:paraId="5DA229EB">
                  <w:pPr>
                    <w:pStyle w:val="40"/>
                    <w:bidi w:val="0"/>
                    <w:rPr>
                      <w:rFonts w:hint="default" w:eastAsia="宋体"/>
                      <w:color w:val="auto"/>
                      <w:highlight w:val="none"/>
                      <w:lang w:val="en-US" w:eastAsia="zh-CN"/>
                    </w:rPr>
                  </w:pPr>
                  <w:r>
                    <w:rPr>
                      <w:rFonts w:hint="eastAsia"/>
                      <w:color w:val="auto"/>
                      <w:highlight w:val="none"/>
                      <w:lang w:val="en-US" w:eastAsia="zh-CN"/>
                    </w:rPr>
                    <w:t>40</w:t>
                  </w:r>
                </w:p>
              </w:tc>
            </w:tr>
            <w:tr w14:paraId="5326E2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05" w:type="pct"/>
                  <w:vMerge w:val="restart"/>
                  <w:tcBorders>
                    <w:tl2br w:val="nil"/>
                    <w:tr2bl w:val="nil"/>
                  </w:tcBorders>
                  <w:noWrap w:val="0"/>
                  <w:vAlign w:val="center"/>
                </w:tcPr>
                <w:p w14:paraId="3CB33E0B">
                  <w:pPr>
                    <w:pStyle w:val="40"/>
                    <w:bidi w:val="0"/>
                    <w:rPr>
                      <w:color w:val="auto"/>
                      <w:highlight w:val="none"/>
                    </w:rPr>
                  </w:pPr>
                  <w:r>
                    <w:rPr>
                      <w:color w:val="auto"/>
                      <w:highlight w:val="none"/>
                    </w:rPr>
                    <w:t>水污染物</w:t>
                  </w:r>
                </w:p>
              </w:tc>
              <w:tc>
                <w:tcPr>
                  <w:tcW w:w="450" w:type="pct"/>
                  <w:gridSpan w:val="2"/>
                  <w:tcBorders>
                    <w:tl2br w:val="nil"/>
                    <w:tr2bl w:val="nil"/>
                  </w:tcBorders>
                  <w:noWrap w:val="0"/>
                  <w:vAlign w:val="center"/>
                </w:tcPr>
                <w:p w14:paraId="2E4F81D3">
                  <w:pPr>
                    <w:pStyle w:val="40"/>
                    <w:bidi w:val="0"/>
                    <w:rPr>
                      <w:color w:val="auto"/>
                      <w:highlight w:val="none"/>
                    </w:rPr>
                  </w:pPr>
                  <w:r>
                    <w:rPr>
                      <w:color w:val="auto"/>
                      <w:highlight w:val="none"/>
                    </w:rPr>
                    <w:t>生活</w:t>
                  </w:r>
                </w:p>
                <w:p w14:paraId="180CB12C">
                  <w:pPr>
                    <w:pStyle w:val="40"/>
                    <w:bidi w:val="0"/>
                    <w:rPr>
                      <w:color w:val="auto"/>
                      <w:highlight w:val="none"/>
                    </w:rPr>
                  </w:pPr>
                  <w:r>
                    <w:rPr>
                      <w:color w:val="auto"/>
                      <w:highlight w:val="none"/>
                    </w:rPr>
                    <w:t>污水</w:t>
                  </w:r>
                </w:p>
              </w:tc>
              <w:tc>
                <w:tcPr>
                  <w:tcW w:w="633" w:type="pct"/>
                  <w:tcBorders>
                    <w:tl2br w:val="nil"/>
                    <w:tr2bl w:val="nil"/>
                  </w:tcBorders>
                  <w:noWrap w:val="0"/>
                  <w:vAlign w:val="center"/>
                </w:tcPr>
                <w:p w14:paraId="23127D45">
                  <w:pPr>
                    <w:pStyle w:val="40"/>
                    <w:bidi w:val="0"/>
                    <w:rPr>
                      <w:color w:val="auto"/>
                      <w:highlight w:val="none"/>
                    </w:rPr>
                  </w:pPr>
                  <w:r>
                    <w:rPr>
                      <w:color w:val="auto"/>
                      <w:spacing w:val="-6"/>
                      <w:sz w:val="21"/>
                      <w:highlight w:val="none"/>
                    </w:rPr>
                    <w:t>COD</w:t>
                  </w:r>
                  <w:r>
                    <w:rPr>
                      <w:rFonts w:hint="eastAsia"/>
                      <w:color w:val="auto"/>
                      <w:spacing w:val="-6"/>
                      <w:sz w:val="21"/>
                      <w:highlight w:val="none"/>
                    </w:rPr>
                    <w:t>、</w:t>
                  </w:r>
                  <w:r>
                    <w:rPr>
                      <w:color w:val="auto"/>
                      <w:spacing w:val="-6"/>
                      <w:sz w:val="21"/>
                      <w:highlight w:val="none"/>
                    </w:rPr>
                    <w:t>BOD</w:t>
                  </w:r>
                  <w:r>
                    <w:rPr>
                      <w:color w:val="auto"/>
                      <w:spacing w:val="-6"/>
                      <w:sz w:val="21"/>
                      <w:highlight w:val="none"/>
                      <w:vertAlign w:val="subscript"/>
                    </w:rPr>
                    <w:t>5</w:t>
                  </w:r>
                  <w:r>
                    <w:rPr>
                      <w:color w:val="auto"/>
                      <w:spacing w:val="-6"/>
                      <w:sz w:val="21"/>
                      <w:highlight w:val="none"/>
                    </w:rPr>
                    <w:t>、</w:t>
                  </w:r>
                  <w:r>
                    <w:rPr>
                      <w:rFonts w:hint="eastAsia"/>
                      <w:color w:val="auto"/>
                      <w:spacing w:val="-6"/>
                      <w:sz w:val="21"/>
                      <w:highlight w:val="none"/>
                    </w:rPr>
                    <w:t>NH</w:t>
                  </w:r>
                  <w:r>
                    <w:rPr>
                      <w:rFonts w:hint="eastAsia"/>
                      <w:color w:val="auto"/>
                      <w:spacing w:val="-6"/>
                      <w:sz w:val="21"/>
                      <w:highlight w:val="none"/>
                      <w:vertAlign w:val="subscript"/>
                    </w:rPr>
                    <w:t>3</w:t>
                  </w:r>
                  <w:r>
                    <w:rPr>
                      <w:rFonts w:hint="eastAsia"/>
                      <w:color w:val="auto"/>
                      <w:spacing w:val="-6"/>
                      <w:sz w:val="21"/>
                      <w:highlight w:val="none"/>
                    </w:rPr>
                    <w:t>-N、</w:t>
                  </w:r>
                  <w:r>
                    <w:rPr>
                      <w:color w:val="auto"/>
                      <w:spacing w:val="-6"/>
                      <w:sz w:val="21"/>
                      <w:highlight w:val="none"/>
                    </w:rPr>
                    <w:t>SS</w:t>
                  </w:r>
                </w:p>
              </w:tc>
              <w:tc>
                <w:tcPr>
                  <w:tcW w:w="3098" w:type="pct"/>
                  <w:tcBorders>
                    <w:tl2br w:val="nil"/>
                    <w:tr2bl w:val="nil"/>
                  </w:tcBorders>
                  <w:noWrap w:val="0"/>
                  <w:vAlign w:val="center"/>
                </w:tcPr>
                <w:p w14:paraId="0ACA806D">
                  <w:pPr>
                    <w:pStyle w:val="40"/>
                    <w:bidi w:val="0"/>
                    <w:rPr>
                      <w:color w:val="auto"/>
                      <w:highlight w:val="none"/>
                    </w:rPr>
                  </w:pPr>
                  <w:r>
                    <w:rPr>
                      <w:rFonts w:hint="eastAsia"/>
                      <w:color w:val="auto"/>
                      <w:highlight w:val="none"/>
                      <w:lang w:val="en-US" w:eastAsia="zh-CN"/>
                    </w:rPr>
                    <w:t>设置</w:t>
                  </w:r>
                  <w:r>
                    <w:rPr>
                      <w:rFonts w:hint="eastAsia"/>
                      <w:color w:val="auto"/>
                      <w:highlight w:val="none"/>
                    </w:rPr>
                    <w:t>卫生防渗旱厕，</w:t>
                  </w:r>
                  <w:r>
                    <w:rPr>
                      <w:color w:val="auto"/>
                      <w:highlight w:val="none"/>
                    </w:rPr>
                    <w:t>定期清掏外运用作农肥</w:t>
                  </w:r>
                  <w:r>
                    <w:rPr>
                      <w:rFonts w:hint="eastAsia"/>
                      <w:color w:val="auto"/>
                      <w:highlight w:val="none"/>
                    </w:rPr>
                    <w:t>，</w:t>
                  </w:r>
                  <w:r>
                    <w:rPr>
                      <w:color w:val="auto"/>
                      <w:highlight w:val="none"/>
                    </w:rPr>
                    <w:t>不外排</w:t>
                  </w:r>
                  <w:r>
                    <w:rPr>
                      <w:rFonts w:hint="eastAsia"/>
                      <w:color w:val="auto"/>
                      <w:highlight w:val="none"/>
                    </w:rPr>
                    <w:t>；</w:t>
                  </w:r>
                  <w:r>
                    <w:rPr>
                      <w:color w:val="auto"/>
                      <w:highlight w:val="none"/>
                    </w:rPr>
                    <w:t>生活污水</w:t>
                  </w:r>
                  <w:r>
                    <w:rPr>
                      <w:rFonts w:hint="eastAsia"/>
                      <w:color w:val="auto"/>
                      <w:highlight w:val="none"/>
                    </w:rPr>
                    <w:t>主要为生活盥洗废水和食堂废水，经沉淀池（</w:t>
                  </w:r>
                  <w:r>
                    <w:rPr>
                      <w:rFonts w:hint="eastAsia"/>
                      <w:color w:val="auto"/>
                      <w:highlight w:val="none"/>
                      <w:lang w:val="en-US" w:eastAsia="zh-CN"/>
                    </w:rPr>
                    <w:t>2</w:t>
                  </w:r>
                  <w:r>
                    <w:rPr>
                      <w:rFonts w:hint="eastAsia"/>
                      <w:color w:val="auto"/>
                      <w:highlight w:val="none"/>
                    </w:rPr>
                    <w:t>m</w:t>
                  </w:r>
                  <w:r>
                    <w:rPr>
                      <w:rFonts w:hint="eastAsia"/>
                      <w:color w:val="auto"/>
                      <w:highlight w:val="none"/>
                      <w:vertAlign w:val="superscript"/>
                    </w:rPr>
                    <w:t>3</w:t>
                  </w:r>
                  <w:r>
                    <w:rPr>
                      <w:rFonts w:hint="eastAsia"/>
                      <w:color w:val="auto"/>
                      <w:highlight w:val="none"/>
                    </w:rPr>
                    <w:t>）处理后用于厂区洒水抑尘，不外排</w:t>
                  </w:r>
                </w:p>
              </w:tc>
              <w:tc>
                <w:tcPr>
                  <w:tcW w:w="512" w:type="pct"/>
                  <w:tcBorders>
                    <w:tl2br w:val="nil"/>
                    <w:tr2bl w:val="nil"/>
                  </w:tcBorders>
                  <w:noWrap w:val="0"/>
                  <w:vAlign w:val="center"/>
                </w:tcPr>
                <w:p w14:paraId="5FFF794D">
                  <w:pPr>
                    <w:pStyle w:val="40"/>
                    <w:bidi w:val="0"/>
                    <w:rPr>
                      <w:rFonts w:hint="default" w:eastAsia="宋体"/>
                      <w:color w:val="auto"/>
                      <w:highlight w:val="none"/>
                      <w:lang w:val="en-US" w:eastAsia="zh-CN"/>
                    </w:rPr>
                  </w:pPr>
                  <w:r>
                    <w:rPr>
                      <w:rFonts w:hint="eastAsia"/>
                      <w:color w:val="auto"/>
                      <w:highlight w:val="none"/>
                      <w:lang w:val="en-US" w:eastAsia="zh-CN"/>
                    </w:rPr>
                    <w:t>15</w:t>
                  </w:r>
                </w:p>
              </w:tc>
            </w:tr>
            <w:tr w14:paraId="40A9C0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05" w:type="pct"/>
                  <w:vMerge w:val="continue"/>
                  <w:tcBorders>
                    <w:tl2br w:val="nil"/>
                    <w:tr2bl w:val="nil"/>
                  </w:tcBorders>
                  <w:noWrap w:val="0"/>
                  <w:vAlign w:val="center"/>
                </w:tcPr>
                <w:p w14:paraId="33B00753">
                  <w:pPr>
                    <w:pStyle w:val="40"/>
                    <w:bidi w:val="0"/>
                    <w:rPr>
                      <w:color w:val="auto"/>
                      <w:highlight w:val="none"/>
                    </w:rPr>
                  </w:pPr>
                </w:p>
              </w:tc>
              <w:tc>
                <w:tcPr>
                  <w:tcW w:w="450" w:type="pct"/>
                  <w:gridSpan w:val="2"/>
                  <w:tcBorders>
                    <w:tl2br w:val="nil"/>
                    <w:tr2bl w:val="nil"/>
                  </w:tcBorders>
                  <w:noWrap w:val="0"/>
                  <w:vAlign w:val="center"/>
                </w:tcPr>
                <w:p w14:paraId="2D8ED322">
                  <w:pPr>
                    <w:pStyle w:val="40"/>
                    <w:bidi w:val="0"/>
                    <w:rPr>
                      <w:rFonts w:hint="default" w:eastAsia="宋体"/>
                      <w:color w:val="auto"/>
                      <w:highlight w:val="none"/>
                      <w:lang w:val="en-US" w:eastAsia="zh-CN"/>
                    </w:rPr>
                  </w:pPr>
                  <w:r>
                    <w:rPr>
                      <w:rFonts w:hint="eastAsia"/>
                      <w:color w:val="auto"/>
                      <w:highlight w:val="none"/>
                      <w:lang w:val="en-US" w:eastAsia="zh-CN"/>
                    </w:rPr>
                    <w:t>W1</w:t>
                  </w:r>
                </w:p>
              </w:tc>
              <w:tc>
                <w:tcPr>
                  <w:tcW w:w="633" w:type="pct"/>
                  <w:tcBorders>
                    <w:tl2br w:val="nil"/>
                    <w:tr2bl w:val="nil"/>
                  </w:tcBorders>
                  <w:shd w:val="clear" w:color="auto" w:fill="auto"/>
                  <w:noWrap w:val="0"/>
                  <w:vAlign w:val="center"/>
                </w:tcPr>
                <w:p w14:paraId="5F80CC05">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rPr>
                    <w:t>SS</w:t>
                  </w:r>
                </w:p>
              </w:tc>
              <w:tc>
                <w:tcPr>
                  <w:tcW w:w="3098" w:type="pct"/>
                  <w:vMerge w:val="restart"/>
                  <w:tcBorders>
                    <w:tl2br w:val="nil"/>
                    <w:tr2bl w:val="nil"/>
                  </w:tcBorders>
                  <w:noWrap w:val="0"/>
                  <w:vAlign w:val="center"/>
                </w:tcPr>
                <w:p w14:paraId="35BB2DC1">
                  <w:pPr>
                    <w:pStyle w:val="40"/>
                    <w:bidi w:val="0"/>
                    <w:ind w:firstLine="0" w:firstLineChars="0"/>
                    <w:jc w:val="center"/>
                    <w:rPr>
                      <w:rFonts w:hint="default"/>
                      <w:color w:val="auto"/>
                      <w:highlight w:val="none"/>
                      <w:lang w:val="en-US" w:eastAsia="zh-CN"/>
                    </w:rPr>
                  </w:pPr>
                  <w:r>
                    <w:rPr>
                      <w:rFonts w:hint="eastAsia"/>
                      <w:color w:val="auto"/>
                      <w:highlight w:val="none"/>
                    </w:rPr>
                    <w:t>设置暂存池</w:t>
                  </w:r>
                  <w:r>
                    <w:rPr>
                      <w:rFonts w:hint="eastAsia"/>
                      <w:color w:val="auto"/>
                      <w:highlight w:val="none"/>
                      <w:lang w:eastAsia="zh-CN"/>
                    </w:rPr>
                    <w:t>（</w:t>
                  </w:r>
                  <w:r>
                    <w:rPr>
                      <w:rFonts w:hint="eastAsia"/>
                      <w:color w:val="auto"/>
                      <w:highlight w:val="none"/>
                      <w:lang w:val="en-US" w:eastAsia="zh-CN"/>
                    </w:rPr>
                    <w:t>10</w:t>
                  </w:r>
                  <w:r>
                    <w:rPr>
                      <w:rFonts w:hint="eastAsia"/>
                      <w:color w:val="auto"/>
                      <w:highlight w:val="none"/>
                    </w:rPr>
                    <w:t>m</w:t>
                  </w:r>
                  <w:r>
                    <w:rPr>
                      <w:rFonts w:hint="eastAsia"/>
                      <w:color w:val="auto"/>
                      <w:highlight w:val="none"/>
                      <w:vertAlign w:val="superscript"/>
                    </w:rPr>
                    <w:t>3</w:t>
                  </w:r>
                  <w:r>
                    <w:rPr>
                      <w:rFonts w:hint="eastAsia"/>
                      <w:color w:val="auto"/>
                      <w:highlight w:val="none"/>
                      <w:lang w:eastAsia="zh-CN"/>
                    </w:rPr>
                    <w:t>）</w:t>
                  </w:r>
                  <w:r>
                    <w:rPr>
                      <w:rFonts w:hint="eastAsia"/>
                      <w:color w:val="auto"/>
                      <w:highlight w:val="none"/>
                      <w:lang w:val="en-US" w:eastAsia="zh-CN"/>
                    </w:rPr>
                    <w:t>1</w:t>
                  </w:r>
                  <w:r>
                    <w:rPr>
                      <w:rFonts w:hint="eastAsia"/>
                      <w:color w:val="auto"/>
                      <w:highlight w:val="none"/>
                    </w:rPr>
                    <w:t>座，收集后回用于</w:t>
                  </w:r>
                  <w:r>
                    <w:rPr>
                      <w:rFonts w:hint="eastAsia"/>
                      <w:color w:val="auto"/>
                      <w:highlight w:val="none"/>
                      <w:lang w:val="en-US" w:eastAsia="zh-CN"/>
                    </w:rPr>
                    <w:t>混凝土搅拌工序</w:t>
                  </w:r>
                  <w:r>
                    <w:rPr>
                      <w:rFonts w:hint="eastAsia"/>
                      <w:color w:val="auto"/>
                      <w:highlight w:val="none"/>
                    </w:rPr>
                    <w:t>，不外排</w:t>
                  </w:r>
                </w:p>
              </w:tc>
              <w:tc>
                <w:tcPr>
                  <w:tcW w:w="512" w:type="pct"/>
                  <w:vMerge w:val="restart"/>
                  <w:tcBorders>
                    <w:tl2br w:val="nil"/>
                    <w:tr2bl w:val="nil"/>
                  </w:tcBorders>
                  <w:noWrap w:val="0"/>
                  <w:vAlign w:val="center"/>
                </w:tcPr>
                <w:p w14:paraId="6CA28F61">
                  <w:pPr>
                    <w:pStyle w:val="40"/>
                    <w:bidi w:val="0"/>
                    <w:rPr>
                      <w:rFonts w:hint="default"/>
                      <w:color w:val="auto"/>
                      <w:highlight w:val="none"/>
                      <w:lang w:val="en-US" w:eastAsia="zh-CN"/>
                    </w:rPr>
                  </w:pPr>
                  <w:r>
                    <w:rPr>
                      <w:rFonts w:hint="eastAsia"/>
                      <w:color w:val="auto"/>
                      <w:highlight w:val="none"/>
                      <w:lang w:val="en-US" w:eastAsia="zh-CN"/>
                    </w:rPr>
                    <w:t>20</w:t>
                  </w:r>
                </w:p>
              </w:tc>
            </w:tr>
            <w:tr w14:paraId="0422F6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05" w:type="pct"/>
                  <w:vMerge w:val="continue"/>
                  <w:tcBorders>
                    <w:tl2br w:val="nil"/>
                    <w:tr2bl w:val="nil"/>
                  </w:tcBorders>
                  <w:noWrap w:val="0"/>
                  <w:vAlign w:val="center"/>
                </w:tcPr>
                <w:p w14:paraId="4CB03BAB">
                  <w:pPr>
                    <w:pStyle w:val="40"/>
                    <w:bidi w:val="0"/>
                    <w:rPr>
                      <w:color w:val="auto"/>
                      <w:highlight w:val="none"/>
                    </w:rPr>
                  </w:pPr>
                </w:p>
              </w:tc>
              <w:tc>
                <w:tcPr>
                  <w:tcW w:w="450" w:type="pct"/>
                  <w:gridSpan w:val="2"/>
                  <w:tcBorders>
                    <w:tl2br w:val="nil"/>
                    <w:tr2bl w:val="nil"/>
                  </w:tcBorders>
                  <w:noWrap w:val="0"/>
                  <w:vAlign w:val="center"/>
                </w:tcPr>
                <w:p w14:paraId="297E1549">
                  <w:pPr>
                    <w:pStyle w:val="40"/>
                    <w:bidi w:val="0"/>
                    <w:rPr>
                      <w:rFonts w:hint="default" w:eastAsia="宋体"/>
                      <w:color w:val="auto"/>
                      <w:highlight w:val="none"/>
                      <w:lang w:val="en-US" w:eastAsia="zh-CN"/>
                    </w:rPr>
                  </w:pPr>
                  <w:r>
                    <w:rPr>
                      <w:rFonts w:hint="eastAsia"/>
                      <w:color w:val="auto"/>
                      <w:highlight w:val="none"/>
                      <w:lang w:val="en-US" w:eastAsia="zh-CN"/>
                    </w:rPr>
                    <w:t>W2</w:t>
                  </w:r>
                </w:p>
              </w:tc>
              <w:tc>
                <w:tcPr>
                  <w:tcW w:w="633" w:type="pct"/>
                  <w:tcBorders>
                    <w:tl2br w:val="nil"/>
                    <w:tr2bl w:val="nil"/>
                  </w:tcBorders>
                  <w:shd w:val="clear" w:color="auto" w:fill="auto"/>
                  <w:noWrap w:val="0"/>
                  <w:vAlign w:val="center"/>
                </w:tcPr>
                <w:p w14:paraId="454AF10D">
                  <w:pPr>
                    <w:pStyle w:val="40"/>
                    <w:bidi w:val="0"/>
                    <w:ind w:firstLine="0" w:firstLineChars="0"/>
                    <w:rPr>
                      <w:rFonts w:hint="default" w:ascii="Times New Roman" w:hAnsi="Times New Roman" w:eastAsia="宋体" w:cs="Times New Roman"/>
                      <w:b w:val="0"/>
                      <w:bCs w:val="0"/>
                      <w:color w:val="auto"/>
                      <w:spacing w:val="-11"/>
                      <w:kern w:val="2"/>
                      <w:sz w:val="21"/>
                      <w:szCs w:val="21"/>
                      <w:highlight w:val="none"/>
                      <w:lang w:val="en-US" w:eastAsia="zh-CN" w:bidi="ar-SA"/>
                    </w:rPr>
                  </w:pPr>
                  <w:r>
                    <w:rPr>
                      <w:rFonts w:hint="eastAsia"/>
                      <w:color w:val="auto"/>
                      <w:spacing w:val="-11"/>
                      <w:sz w:val="21"/>
                      <w:highlight w:val="none"/>
                      <w:lang w:val="en-US" w:eastAsia="zh-CN"/>
                    </w:rPr>
                    <w:t>SS</w:t>
                  </w:r>
                </w:p>
              </w:tc>
              <w:tc>
                <w:tcPr>
                  <w:tcW w:w="3098" w:type="pct"/>
                  <w:vMerge w:val="continue"/>
                  <w:tcBorders>
                    <w:tl2br w:val="nil"/>
                    <w:tr2bl w:val="nil"/>
                  </w:tcBorders>
                  <w:noWrap w:val="0"/>
                  <w:vAlign w:val="center"/>
                </w:tcPr>
                <w:p w14:paraId="344E0565">
                  <w:pPr>
                    <w:pStyle w:val="40"/>
                    <w:bidi w:val="0"/>
                    <w:rPr>
                      <w:rFonts w:hint="eastAsia"/>
                      <w:color w:val="auto"/>
                      <w:highlight w:val="none"/>
                      <w:lang w:val="en-US" w:eastAsia="zh-CN"/>
                    </w:rPr>
                  </w:pPr>
                </w:p>
              </w:tc>
              <w:tc>
                <w:tcPr>
                  <w:tcW w:w="512" w:type="pct"/>
                  <w:vMerge w:val="continue"/>
                  <w:tcBorders>
                    <w:tl2br w:val="nil"/>
                    <w:tr2bl w:val="nil"/>
                  </w:tcBorders>
                  <w:noWrap w:val="0"/>
                  <w:vAlign w:val="center"/>
                </w:tcPr>
                <w:p w14:paraId="1CEFF76F">
                  <w:pPr>
                    <w:pStyle w:val="40"/>
                    <w:bidi w:val="0"/>
                    <w:rPr>
                      <w:rFonts w:hint="eastAsia"/>
                      <w:color w:val="auto"/>
                      <w:highlight w:val="none"/>
                      <w:lang w:val="en-US" w:eastAsia="zh-CN"/>
                    </w:rPr>
                  </w:pPr>
                </w:p>
              </w:tc>
            </w:tr>
            <w:tr w14:paraId="2A6287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05" w:type="pct"/>
                  <w:vMerge w:val="continue"/>
                  <w:tcBorders>
                    <w:tl2br w:val="nil"/>
                    <w:tr2bl w:val="nil"/>
                  </w:tcBorders>
                  <w:noWrap w:val="0"/>
                  <w:vAlign w:val="center"/>
                </w:tcPr>
                <w:p w14:paraId="4DA8A067">
                  <w:pPr>
                    <w:pStyle w:val="40"/>
                    <w:bidi w:val="0"/>
                    <w:rPr>
                      <w:color w:val="auto"/>
                      <w:highlight w:val="none"/>
                    </w:rPr>
                  </w:pPr>
                </w:p>
              </w:tc>
              <w:tc>
                <w:tcPr>
                  <w:tcW w:w="450" w:type="pct"/>
                  <w:gridSpan w:val="2"/>
                  <w:tcBorders>
                    <w:tl2br w:val="nil"/>
                    <w:tr2bl w:val="nil"/>
                  </w:tcBorders>
                  <w:noWrap w:val="0"/>
                  <w:vAlign w:val="center"/>
                </w:tcPr>
                <w:p w14:paraId="0DDC1A2B">
                  <w:pPr>
                    <w:pStyle w:val="40"/>
                    <w:bidi w:val="0"/>
                    <w:rPr>
                      <w:rFonts w:hint="default" w:eastAsia="宋体"/>
                      <w:color w:val="auto"/>
                      <w:highlight w:val="none"/>
                      <w:lang w:val="en-US" w:eastAsia="zh-CN"/>
                    </w:rPr>
                  </w:pPr>
                  <w:r>
                    <w:rPr>
                      <w:rFonts w:hint="eastAsia"/>
                      <w:color w:val="auto"/>
                      <w:highlight w:val="none"/>
                      <w:lang w:val="en-US" w:eastAsia="zh-CN"/>
                    </w:rPr>
                    <w:t>W3</w:t>
                  </w:r>
                </w:p>
              </w:tc>
              <w:tc>
                <w:tcPr>
                  <w:tcW w:w="633" w:type="pct"/>
                  <w:tcBorders>
                    <w:tl2br w:val="nil"/>
                    <w:tr2bl w:val="nil"/>
                  </w:tcBorders>
                  <w:shd w:val="clear" w:color="auto" w:fill="auto"/>
                  <w:noWrap w:val="0"/>
                  <w:vAlign w:val="center"/>
                </w:tcPr>
                <w:p w14:paraId="451AA542">
                  <w:pPr>
                    <w:pStyle w:val="40"/>
                    <w:bidi w:val="0"/>
                    <w:ind w:firstLine="0" w:firstLineChars="0"/>
                    <w:rPr>
                      <w:rFonts w:hint="eastAsia" w:ascii="Times New Roman" w:hAnsi="Times New Roman" w:eastAsia="宋体" w:cs="Times New Roman"/>
                      <w:b w:val="0"/>
                      <w:bCs w:val="0"/>
                      <w:color w:val="auto"/>
                      <w:spacing w:val="-11"/>
                      <w:kern w:val="2"/>
                      <w:sz w:val="21"/>
                      <w:szCs w:val="21"/>
                      <w:highlight w:val="none"/>
                      <w:lang w:val="en-US" w:eastAsia="zh-CN" w:bidi="ar-SA"/>
                    </w:rPr>
                  </w:pPr>
                  <w:r>
                    <w:rPr>
                      <w:rFonts w:hint="eastAsia"/>
                      <w:color w:val="auto"/>
                      <w:spacing w:val="-11"/>
                      <w:sz w:val="21"/>
                      <w:highlight w:val="none"/>
                      <w:lang w:val="en-US" w:eastAsia="zh-CN"/>
                    </w:rPr>
                    <w:t>Ca</w:t>
                  </w:r>
                  <w:r>
                    <w:rPr>
                      <w:rFonts w:hint="eastAsia"/>
                      <w:color w:val="auto"/>
                      <w:spacing w:val="-11"/>
                      <w:sz w:val="21"/>
                      <w:highlight w:val="none"/>
                      <w:vertAlign w:val="superscript"/>
                      <w:lang w:val="en-US" w:eastAsia="zh-CN"/>
                    </w:rPr>
                    <w:t>2+</w:t>
                  </w:r>
                  <w:r>
                    <w:rPr>
                      <w:rFonts w:hint="eastAsia"/>
                      <w:color w:val="auto"/>
                      <w:spacing w:val="-11"/>
                      <w:sz w:val="21"/>
                      <w:highlight w:val="none"/>
                      <w:lang w:val="en-US" w:eastAsia="zh-CN"/>
                    </w:rPr>
                    <w:t>、Mg</w:t>
                  </w:r>
                  <w:r>
                    <w:rPr>
                      <w:rFonts w:hint="eastAsia"/>
                      <w:color w:val="auto"/>
                      <w:spacing w:val="-11"/>
                      <w:sz w:val="21"/>
                      <w:highlight w:val="none"/>
                      <w:vertAlign w:val="superscript"/>
                      <w:lang w:val="en-US" w:eastAsia="zh-CN"/>
                    </w:rPr>
                    <w:t>2+</w:t>
                  </w:r>
                </w:p>
              </w:tc>
              <w:tc>
                <w:tcPr>
                  <w:tcW w:w="3098" w:type="pct"/>
                  <w:vMerge w:val="continue"/>
                  <w:tcBorders>
                    <w:tl2br w:val="nil"/>
                    <w:tr2bl w:val="nil"/>
                  </w:tcBorders>
                  <w:noWrap w:val="0"/>
                  <w:vAlign w:val="center"/>
                </w:tcPr>
                <w:p w14:paraId="6D284988">
                  <w:pPr>
                    <w:pStyle w:val="40"/>
                    <w:bidi w:val="0"/>
                    <w:rPr>
                      <w:rFonts w:hint="eastAsia"/>
                      <w:color w:val="auto"/>
                      <w:highlight w:val="none"/>
                      <w:lang w:val="en-US" w:eastAsia="zh-CN"/>
                    </w:rPr>
                  </w:pPr>
                </w:p>
              </w:tc>
              <w:tc>
                <w:tcPr>
                  <w:tcW w:w="512" w:type="pct"/>
                  <w:vMerge w:val="continue"/>
                  <w:tcBorders>
                    <w:tl2br w:val="nil"/>
                    <w:tr2bl w:val="nil"/>
                  </w:tcBorders>
                  <w:noWrap w:val="0"/>
                  <w:vAlign w:val="center"/>
                </w:tcPr>
                <w:p w14:paraId="753337B8">
                  <w:pPr>
                    <w:pStyle w:val="40"/>
                    <w:bidi w:val="0"/>
                    <w:rPr>
                      <w:rFonts w:hint="eastAsia"/>
                      <w:color w:val="auto"/>
                      <w:highlight w:val="none"/>
                      <w:lang w:val="en-US" w:eastAsia="zh-CN"/>
                    </w:rPr>
                  </w:pPr>
                </w:p>
              </w:tc>
            </w:tr>
            <w:tr w14:paraId="323221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05" w:type="pct"/>
                  <w:vMerge w:val="continue"/>
                  <w:tcBorders>
                    <w:tl2br w:val="nil"/>
                    <w:tr2bl w:val="nil"/>
                  </w:tcBorders>
                  <w:noWrap w:val="0"/>
                  <w:vAlign w:val="center"/>
                </w:tcPr>
                <w:p w14:paraId="2044F831">
                  <w:pPr>
                    <w:pStyle w:val="40"/>
                    <w:bidi w:val="0"/>
                    <w:rPr>
                      <w:color w:val="auto"/>
                      <w:highlight w:val="none"/>
                    </w:rPr>
                  </w:pPr>
                </w:p>
              </w:tc>
              <w:tc>
                <w:tcPr>
                  <w:tcW w:w="450" w:type="pct"/>
                  <w:gridSpan w:val="2"/>
                  <w:tcBorders>
                    <w:tl2br w:val="nil"/>
                    <w:tr2bl w:val="nil"/>
                  </w:tcBorders>
                  <w:noWrap w:val="0"/>
                  <w:vAlign w:val="center"/>
                </w:tcPr>
                <w:p w14:paraId="16F9F244">
                  <w:pPr>
                    <w:pStyle w:val="40"/>
                    <w:bidi w:val="0"/>
                    <w:rPr>
                      <w:rFonts w:hint="default"/>
                      <w:color w:val="auto"/>
                      <w:highlight w:val="none"/>
                      <w:lang w:val="en-US" w:eastAsia="zh-CN"/>
                    </w:rPr>
                  </w:pPr>
                  <w:r>
                    <w:rPr>
                      <w:rFonts w:hint="eastAsia"/>
                      <w:color w:val="auto"/>
                      <w:highlight w:val="none"/>
                      <w:lang w:val="en-US" w:eastAsia="zh-CN"/>
                    </w:rPr>
                    <w:t>W4</w:t>
                  </w:r>
                </w:p>
              </w:tc>
              <w:tc>
                <w:tcPr>
                  <w:tcW w:w="633" w:type="pct"/>
                  <w:tcBorders>
                    <w:tl2br w:val="nil"/>
                    <w:tr2bl w:val="nil"/>
                  </w:tcBorders>
                  <w:noWrap w:val="0"/>
                  <w:vAlign w:val="center"/>
                </w:tcPr>
                <w:p w14:paraId="69092209">
                  <w:pPr>
                    <w:pStyle w:val="40"/>
                    <w:bidi w:val="0"/>
                    <w:rPr>
                      <w:rFonts w:hint="default" w:eastAsia="宋体"/>
                      <w:color w:val="auto"/>
                      <w:spacing w:val="-6"/>
                      <w:sz w:val="21"/>
                      <w:highlight w:val="none"/>
                      <w:lang w:val="en-US" w:eastAsia="zh-CN"/>
                    </w:rPr>
                  </w:pPr>
                  <w:r>
                    <w:rPr>
                      <w:rFonts w:hint="eastAsia"/>
                      <w:color w:val="auto"/>
                      <w:spacing w:val="-6"/>
                      <w:sz w:val="21"/>
                      <w:highlight w:val="none"/>
                      <w:lang w:val="en-US" w:eastAsia="zh-CN"/>
                    </w:rPr>
                    <w:t>SS</w:t>
                  </w:r>
                </w:p>
              </w:tc>
              <w:tc>
                <w:tcPr>
                  <w:tcW w:w="3098" w:type="pct"/>
                  <w:tcBorders>
                    <w:tl2br w:val="nil"/>
                    <w:tr2bl w:val="nil"/>
                  </w:tcBorders>
                  <w:shd w:val="clear" w:color="auto" w:fill="auto"/>
                  <w:noWrap w:val="0"/>
                  <w:vAlign w:val="center"/>
                </w:tcPr>
                <w:p w14:paraId="332E0A06">
                  <w:pPr>
                    <w:pStyle w:val="40"/>
                    <w:bidi w:val="0"/>
                    <w:ind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color w:val="auto"/>
                      <w:spacing w:val="-11"/>
                      <w:sz w:val="21"/>
                      <w:szCs w:val="21"/>
                      <w:highlight w:val="none"/>
                    </w:rPr>
                    <w:t>设置</w:t>
                  </w:r>
                  <w:r>
                    <w:rPr>
                      <w:rFonts w:hint="eastAsia"/>
                      <w:color w:val="auto"/>
                      <w:spacing w:val="-11"/>
                      <w:sz w:val="21"/>
                      <w:szCs w:val="21"/>
                      <w:highlight w:val="none"/>
                      <w:lang w:val="en-US" w:eastAsia="zh-CN"/>
                    </w:rPr>
                    <w:t>三级</w:t>
                  </w:r>
                  <w:r>
                    <w:rPr>
                      <w:color w:val="auto"/>
                      <w:spacing w:val="-11"/>
                      <w:sz w:val="21"/>
                      <w:szCs w:val="21"/>
                      <w:highlight w:val="none"/>
                    </w:rPr>
                    <w:t>沉淀池</w:t>
                  </w:r>
                  <w:r>
                    <w:rPr>
                      <w:rFonts w:hint="eastAsia"/>
                      <w:color w:val="auto"/>
                      <w:spacing w:val="-11"/>
                      <w:sz w:val="21"/>
                      <w:szCs w:val="21"/>
                      <w:highlight w:val="none"/>
                      <w:lang w:eastAsia="zh-CN"/>
                    </w:rPr>
                    <w:t>（</w:t>
                  </w:r>
                  <w:r>
                    <w:rPr>
                      <w:rFonts w:hint="eastAsia"/>
                      <w:color w:val="auto"/>
                      <w:spacing w:val="-11"/>
                      <w:sz w:val="21"/>
                      <w:szCs w:val="21"/>
                      <w:highlight w:val="none"/>
                      <w:lang w:val="en-US" w:eastAsia="zh-CN"/>
                    </w:rPr>
                    <w:t>3×20m</w:t>
                  </w:r>
                  <w:r>
                    <w:rPr>
                      <w:rFonts w:hint="eastAsia"/>
                      <w:color w:val="auto"/>
                      <w:spacing w:val="-11"/>
                      <w:sz w:val="21"/>
                      <w:szCs w:val="21"/>
                      <w:highlight w:val="none"/>
                      <w:vertAlign w:val="superscript"/>
                      <w:lang w:val="en-US" w:eastAsia="zh-CN"/>
                    </w:rPr>
                    <w:t>3</w:t>
                  </w:r>
                  <w:r>
                    <w:rPr>
                      <w:rFonts w:hint="eastAsia"/>
                      <w:color w:val="auto"/>
                      <w:spacing w:val="-11"/>
                      <w:sz w:val="21"/>
                      <w:szCs w:val="21"/>
                      <w:highlight w:val="none"/>
                      <w:lang w:val="en-US" w:eastAsia="zh-CN"/>
                    </w:rPr>
                    <w:t>）</w:t>
                  </w:r>
                  <w:r>
                    <w:rPr>
                      <w:color w:val="auto"/>
                      <w:spacing w:val="-11"/>
                      <w:sz w:val="21"/>
                      <w:szCs w:val="21"/>
                      <w:highlight w:val="none"/>
                    </w:rPr>
                    <w:t>1座，</w:t>
                  </w:r>
                  <w:r>
                    <w:rPr>
                      <w:rFonts w:hint="eastAsia"/>
                      <w:color w:val="auto"/>
                      <w:spacing w:val="-11"/>
                      <w:sz w:val="21"/>
                      <w:szCs w:val="21"/>
                      <w:highlight w:val="none"/>
                      <w:lang w:val="en-US" w:eastAsia="zh-CN"/>
                    </w:rPr>
                    <w:t>砂石分离机1台。</w:t>
                  </w:r>
                  <w:r>
                    <w:rPr>
                      <w:rFonts w:hint="eastAsia"/>
                      <w:color w:val="auto"/>
                      <w:spacing w:val="-11"/>
                      <w:sz w:val="21"/>
                      <w:szCs w:val="21"/>
                      <w:highlight w:val="none"/>
                    </w:rPr>
                    <w:t>设备</w:t>
                  </w:r>
                  <w:r>
                    <w:rPr>
                      <w:rFonts w:hint="eastAsia"/>
                      <w:color w:val="auto"/>
                      <w:spacing w:val="-11"/>
                      <w:sz w:val="21"/>
                      <w:szCs w:val="21"/>
                      <w:highlight w:val="none"/>
                      <w:lang w:val="en-US" w:eastAsia="zh-CN"/>
                    </w:rPr>
                    <w:t>清洗</w:t>
                  </w:r>
                  <w:r>
                    <w:rPr>
                      <w:color w:val="auto"/>
                      <w:spacing w:val="-11"/>
                      <w:sz w:val="21"/>
                      <w:szCs w:val="21"/>
                      <w:highlight w:val="none"/>
                    </w:rPr>
                    <w:t>废水经砂石分离</w:t>
                  </w:r>
                  <w:r>
                    <w:rPr>
                      <w:rFonts w:hint="eastAsia"/>
                      <w:color w:val="auto"/>
                      <w:spacing w:val="-11"/>
                      <w:sz w:val="21"/>
                      <w:szCs w:val="21"/>
                      <w:highlight w:val="none"/>
                    </w:rPr>
                    <w:t>机</w:t>
                  </w:r>
                  <w:r>
                    <w:rPr>
                      <w:color w:val="auto"/>
                      <w:spacing w:val="-11"/>
                      <w:sz w:val="21"/>
                      <w:szCs w:val="21"/>
                      <w:highlight w:val="none"/>
                    </w:rPr>
                    <w:t>、</w:t>
                  </w:r>
                  <w:r>
                    <w:rPr>
                      <w:rFonts w:hint="eastAsia"/>
                      <w:color w:val="auto"/>
                      <w:spacing w:val="-11"/>
                      <w:sz w:val="21"/>
                      <w:szCs w:val="21"/>
                      <w:highlight w:val="none"/>
                      <w:lang w:val="en-US" w:eastAsia="zh-CN"/>
                    </w:rPr>
                    <w:t>三级</w:t>
                  </w:r>
                  <w:r>
                    <w:rPr>
                      <w:color w:val="auto"/>
                      <w:spacing w:val="-11"/>
                      <w:sz w:val="21"/>
                      <w:szCs w:val="21"/>
                      <w:highlight w:val="none"/>
                    </w:rPr>
                    <w:t>沉淀池沉淀处理后</w:t>
                  </w:r>
                  <w:r>
                    <w:rPr>
                      <w:rFonts w:hint="eastAsia"/>
                      <w:color w:val="auto"/>
                      <w:spacing w:val="-11"/>
                      <w:sz w:val="21"/>
                      <w:szCs w:val="21"/>
                      <w:highlight w:val="none"/>
                      <w:lang w:val="en-US" w:eastAsia="zh-CN"/>
                    </w:rPr>
                    <w:t>回</w:t>
                  </w:r>
                  <w:r>
                    <w:rPr>
                      <w:color w:val="auto"/>
                      <w:spacing w:val="-11"/>
                      <w:sz w:val="21"/>
                      <w:szCs w:val="21"/>
                      <w:highlight w:val="none"/>
                    </w:rPr>
                    <w:t>用于搅拌工序</w:t>
                  </w:r>
                </w:p>
              </w:tc>
              <w:tc>
                <w:tcPr>
                  <w:tcW w:w="512" w:type="pct"/>
                  <w:tcBorders>
                    <w:tl2br w:val="nil"/>
                    <w:tr2bl w:val="nil"/>
                  </w:tcBorders>
                  <w:noWrap w:val="0"/>
                  <w:vAlign w:val="center"/>
                </w:tcPr>
                <w:p w14:paraId="2CC60955">
                  <w:pPr>
                    <w:pStyle w:val="40"/>
                    <w:bidi w:val="0"/>
                    <w:rPr>
                      <w:rFonts w:hint="default"/>
                      <w:color w:val="auto"/>
                      <w:highlight w:val="none"/>
                      <w:lang w:val="en-US" w:eastAsia="zh-CN"/>
                    </w:rPr>
                  </w:pPr>
                  <w:r>
                    <w:rPr>
                      <w:rFonts w:hint="eastAsia"/>
                      <w:color w:val="auto"/>
                      <w:highlight w:val="none"/>
                      <w:lang w:val="en-US" w:eastAsia="zh-CN"/>
                    </w:rPr>
                    <w:t>24</w:t>
                  </w:r>
                </w:p>
              </w:tc>
            </w:tr>
            <w:tr w14:paraId="5A500B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05" w:type="pct"/>
                  <w:vMerge w:val="continue"/>
                  <w:tcBorders>
                    <w:tl2br w:val="nil"/>
                    <w:tr2bl w:val="nil"/>
                  </w:tcBorders>
                  <w:noWrap w:val="0"/>
                  <w:vAlign w:val="center"/>
                </w:tcPr>
                <w:p w14:paraId="2E6FEB23">
                  <w:pPr>
                    <w:pStyle w:val="40"/>
                    <w:bidi w:val="0"/>
                    <w:rPr>
                      <w:color w:val="auto"/>
                      <w:highlight w:val="none"/>
                    </w:rPr>
                  </w:pPr>
                </w:p>
              </w:tc>
              <w:tc>
                <w:tcPr>
                  <w:tcW w:w="450" w:type="pct"/>
                  <w:gridSpan w:val="2"/>
                  <w:tcBorders>
                    <w:tl2br w:val="nil"/>
                    <w:tr2bl w:val="nil"/>
                  </w:tcBorders>
                  <w:noWrap w:val="0"/>
                  <w:vAlign w:val="center"/>
                </w:tcPr>
                <w:p w14:paraId="68123DF8">
                  <w:pPr>
                    <w:pStyle w:val="40"/>
                    <w:bidi w:val="0"/>
                    <w:rPr>
                      <w:rFonts w:hint="default"/>
                      <w:color w:val="auto"/>
                      <w:highlight w:val="none"/>
                      <w:lang w:val="en-US" w:eastAsia="zh-CN"/>
                    </w:rPr>
                  </w:pPr>
                  <w:r>
                    <w:rPr>
                      <w:rFonts w:hint="eastAsia"/>
                      <w:color w:val="auto"/>
                      <w:highlight w:val="none"/>
                      <w:lang w:val="en-US" w:eastAsia="zh-CN"/>
                    </w:rPr>
                    <w:t>W5</w:t>
                  </w:r>
                </w:p>
              </w:tc>
              <w:tc>
                <w:tcPr>
                  <w:tcW w:w="633" w:type="pct"/>
                  <w:tcBorders>
                    <w:tl2br w:val="nil"/>
                    <w:tr2bl w:val="nil"/>
                  </w:tcBorders>
                  <w:noWrap w:val="0"/>
                  <w:vAlign w:val="center"/>
                </w:tcPr>
                <w:p w14:paraId="693E175B">
                  <w:pPr>
                    <w:pStyle w:val="40"/>
                    <w:bidi w:val="0"/>
                    <w:rPr>
                      <w:rFonts w:hint="default" w:eastAsia="宋体"/>
                      <w:color w:val="auto"/>
                      <w:spacing w:val="-6"/>
                      <w:sz w:val="21"/>
                      <w:highlight w:val="none"/>
                      <w:lang w:val="en-US" w:eastAsia="zh-CN"/>
                    </w:rPr>
                  </w:pPr>
                  <w:r>
                    <w:rPr>
                      <w:rFonts w:hint="eastAsia"/>
                      <w:color w:val="auto"/>
                      <w:spacing w:val="-6"/>
                      <w:sz w:val="21"/>
                      <w:highlight w:val="none"/>
                      <w:lang w:val="en-US" w:eastAsia="zh-CN"/>
                    </w:rPr>
                    <w:t>SS</w:t>
                  </w:r>
                </w:p>
              </w:tc>
              <w:tc>
                <w:tcPr>
                  <w:tcW w:w="3098" w:type="pct"/>
                  <w:tcBorders>
                    <w:tl2br w:val="nil"/>
                    <w:tr2bl w:val="nil"/>
                  </w:tcBorders>
                  <w:shd w:val="clear" w:color="auto" w:fill="auto"/>
                  <w:noWrap w:val="0"/>
                  <w:vAlign w:val="center"/>
                </w:tcPr>
                <w:p w14:paraId="7298531B">
                  <w:pPr>
                    <w:pStyle w:val="40"/>
                    <w:bidi w:val="0"/>
                    <w:ind w:firstLine="0" w:firstLineChars="0"/>
                    <w:jc w:val="center"/>
                    <w:rPr>
                      <w:rFonts w:hint="eastAsia" w:ascii="Times New Roman" w:hAnsi="Times New Roman" w:eastAsia="宋体" w:cs="Times New Roman"/>
                      <w:b w:val="0"/>
                      <w:bCs w:val="0"/>
                      <w:color w:val="auto"/>
                      <w:spacing w:val="-6"/>
                      <w:kern w:val="2"/>
                      <w:sz w:val="21"/>
                      <w:szCs w:val="21"/>
                      <w:highlight w:val="none"/>
                      <w:lang w:val="en-US" w:eastAsia="zh-CN" w:bidi="ar-SA"/>
                    </w:rPr>
                  </w:pPr>
                  <w:r>
                    <w:rPr>
                      <w:color w:val="auto"/>
                      <w:sz w:val="21"/>
                      <w:szCs w:val="21"/>
                      <w:highlight w:val="none"/>
                    </w:rPr>
                    <w:t>设置</w:t>
                  </w:r>
                  <w:r>
                    <w:rPr>
                      <w:rFonts w:hint="eastAsia"/>
                      <w:color w:val="auto"/>
                      <w:sz w:val="21"/>
                      <w:szCs w:val="21"/>
                      <w:highlight w:val="none"/>
                      <w:lang w:val="en-US" w:eastAsia="zh-CN"/>
                    </w:rPr>
                    <w:t>沉淀池</w:t>
                  </w:r>
                  <w:r>
                    <w:rPr>
                      <w:rFonts w:hint="eastAsia"/>
                      <w:color w:val="auto"/>
                      <w:sz w:val="21"/>
                      <w:szCs w:val="21"/>
                      <w:highlight w:val="none"/>
                      <w:lang w:eastAsia="zh-CN"/>
                    </w:rPr>
                    <w:t>（</w:t>
                  </w:r>
                  <w:r>
                    <w:rPr>
                      <w:rFonts w:hint="eastAsia"/>
                      <w:color w:val="auto"/>
                      <w:sz w:val="21"/>
                      <w:szCs w:val="21"/>
                      <w:highlight w:val="none"/>
                      <w:lang w:val="en-US" w:eastAsia="zh-CN"/>
                    </w:rPr>
                    <w:t>20m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w:t>
                  </w:r>
                  <w:r>
                    <w:rPr>
                      <w:color w:val="auto"/>
                      <w:sz w:val="21"/>
                      <w:szCs w:val="21"/>
                      <w:highlight w:val="none"/>
                    </w:rPr>
                    <w:t>1座</w:t>
                  </w:r>
                  <w:r>
                    <w:rPr>
                      <w:rFonts w:hint="eastAsia"/>
                      <w:color w:val="auto"/>
                      <w:sz w:val="21"/>
                      <w:szCs w:val="21"/>
                      <w:highlight w:val="none"/>
                      <w:lang w:eastAsia="zh-CN"/>
                    </w:rPr>
                    <w:t>，</w:t>
                  </w:r>
                  <w:r>
                    <w:rPr>
                      <w:color w:val="auto"/>
                      <w:sz w:val="21"/>
                      <w:szCs w:val="21"/>
                      <w:highlight w:val="none"/>
                    </w:rPr>
                    <w:t>车辆冲洗废水</w:t>
                  </w:r>
                  <w:r>
                    <w:rPr>
                      <w:rFonts w:hint="eastAsia"/>
                      <w:color w:val="auto"/>
                      <w:sz w:val="21"/>
                      <w:szCs w:val="21"/>
                      <w:highlight w:val="none"/>
                    </w:rPr>
                    <w:t>经</w:t>
                  </w:r>
                  <w:r>
                    <w:rPr>
                      <w:color w:val="auto"/>
                      <w:sz w:val="21"/>
                      <w:szCs w:val="21"/>
                      <w:highlight w:val="none"/>
                    </w:rPr>
                    <w:t>沉淀池</w:t>
                  </w:r>
                  <w:r>
                    <w:rPr>
                      <w:color w:val="auto"/>
                      <w:sz w:val="21"/>
                      <w:szCs w:val="21"/>
                      <w:highlight w:val="none"/>
                      <w:lang w:val="zh-TW"/>
                    </w:rPr>
                    <w:t>沉淀</w:t>
                  </w:r>
                  <w:r>
                    <w:rPr>
                      <w:rFonts w:hint="eastAsia"/>
                      <w:color w:val="auto"/>
                      <w:sz w:val="21"/>
                      <w:szCs w:val="21"/>
                      <w:highlight w:val="none"/>
                    </w:rPr>
                    <w:t>后</w:t>
                  </w:r>
                  <w:r>
                    <w:rPr>
                      <w:color w:val="auto"/>
                      <w:sz w:val="21"/>
                      <w:szCs w:val="21"/>
                      <w:highlight w:val="none"/>
                      <w:lang w:val="zh-TW"/>
                    </w:rPr>
                    <w:t>循环使用</w:t>
                  </w:r>
                </w:p>
              </w:tc>
              <w:tc>
                <w:tcPr>
                  <w:tcW w:w="512" w:type="pct"/>
                  <w:tcBorders>
                    <w:tl2br w:val="nil"/>
                    <w:tr2bl w:val="nil"/>
                  </w:tcBorders>
                  <w:noWrap w:val="0"/>
                  <w:vAlign w:val="center"/>
                </w:tcPr>
                <w:p w14:paraId="3F66E868">
                  <w:pPr>
                    <w:pStyle w:val="40"/>
                    <w:bidi w:val="0"/>
                    <w:rPr>
                      <w:rFonts w:hint="default"/>
                      <w:color w:val="auto"/>
                      <w:highlight w:val="none"/>
                      <w:lang w:val="en-US" w:eastAsia="zh-CN"/>
                    </w:rPr>
                  </w:pPr>
                  <w:r>
                    <w:rPr>
                      <w:rFonts w:hint="eastAsia"/>
                      <w:color w:val="auto"/>
                      <w:highlight w:val="none"/>
                      <w:lang w:val="en-US" w:eastAsia="zh-CN"/>
                    </w:rPr>
                    <w:t>12</w:t>
                  </w:r>
                </w:p>
              </w:tc>
            </w:tr>
            <w:tr w14:paraId="62E610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05" w:type="pct"/>
                  <w:vMerge w:val="continue"/>
                  <w:tcBorders>
                    <w:tl2br w:val="nil"/>
                    <w:tr2bl w:val="nil"/>
                  </w:tcBorders>
                  <w:noWrap w:val="0"/>
                  <w:vAlign w:val="center"/>
                </w:tcPr>
                <w:p w14:paraId="37CC55C0">
                  <w:pPr>
                    <w:pStyle w:val="40"/>
                    <w:bidi w:val="0"/>
                    <w:rPr>
                      <w:color w:val="auto"/>
                      <w:highlight w:val="none"/>
                    </w:rPr>
                  </w:pPr>
                </w:p>
              </w:tc>
              <w:tc>
                <w:tcPr>
                  <w:tcW w:w="450" w:type="pct"/>
                  <w:gridSpan w:val="2"/>
                  <w:tcBorders>
                    <w:tl2br w:val="nil"/>
                    <w:tr2bl w:val="nil"/>
                  </w:tcBorders>
                  <w:noWrap w:val="0"/>
                  <w:vAlign w:val="center"/>
                </w:tcPr>
                <w:p w14:paraId="3C967F45">
                  <w:pPr>
                    <w:pStyle w:val="40"/>
                    <w:bidi w:val="0"/>
                    <w:rPr>
                      <w:rFonts w:hint="eastAsia"/>
                      <w:color w:val="auto"/>
                      <w:highlight w:val="none"/>
                      <w:lang w:val="en-US" w:eastAsia="zh-CN"/>
                    </w:rPr>
                  </w:pPr>
                  <w:r>
                    <w:rPr>
                      <w:rFonts w:hint="eastAsia"/>
                      <w:color w:val="auto"/>
                      <w:highlight w:val="none"/>
                      <w:lang w:val="en-US" w:eastAsia="zh-CN"/>
                    </w:rPr>
                    <w:t>初期</w:t>
                  </w:r>
                </w:p>
                <w:p w14:paraId="1A45FDC0">
                  <w:pPr>
                    <w:pStyle w:val="40"/>
                    <w:bidi w:val="0"/>
                    <w:rPr>
                      <w:rFonts w:hint="default"/>
                      <w:color w:val="auto"/>
                      <w:highlight w:val="none"/>
                      <w:lang w:val="en-US" w:eastAsia="zh-CN"/>
                    </w:rPr>
                  </w:pPr>
                  <w:r>
                    <w:rPr>
                      <w:rFonts w:hint="eastAsia"/>
                      <w:color w:val="auto"/>
                      <w:highlight w:val="none"/>
                      <w:lang w:val="en-US" w:eastAsia="zh-CN"/>
                    </w:rPr>
                    <w:t>雨水</w:t>
                  </w:r>
                </w:p>
              </w:tc>
              <w:tc>
                <w:tcPr>
                  <w:tcW w:w="633" w:type="pct"/>
                  <w:tcBorders>
                    <w:tl2br w:val="nil"/>
                    <w:tr2bl w:val="nil"/>
                  </w:tcBorders>
                  <w:noWrap w:val="0"/>
                  <w:vAlign w:val="center"/>
                </w:tcPr>
                <w:p w14:paraId="3B713476">
                  <w:pPr>
                    <w:pStyle w:val="40"/>
                    <w:bidi w:val="0"/>
                    <w:rPr>
                      <w:rFonts w:hint="default"/>
                      <w:color w:val="auto"/>
                      <w:highlight w:val="none"/>
                      <w:lang w:val="en-US" w:eastAsia="zh-CN"/>
                    </w:rPr>
                  </w:pPr>
                  <w:r>
                    <w:rPr>
                      <w:rFonts w:hint="eastAsia"/>
                      <w:color w:val="auto"/>
                      <w:highlight w:val="none"/>
                      <w:lang w:val="en-US" w:eastAsia="zh-CN"/>
                    </w:rPr>
                    <w:t>SS</w:t>
                  </w:r>
                </w:p>
              </w:tc>
              <w:tc>
                <w:tcPr>
                  <w:tcW w:w="3098" w:type="pct"/>
                  <w:tcBorders>
                    <w:tl2br w:val="nil"/>
                    <w:tr2bl w:val="nil"/>
                  </w:tcBorders>
                  <w:noWrap w:val="0"/>
                  <w:vAlign w:val="center"/>
                </w:tcPr>
                <w:p w14:paraId="679FC87D">
                  <w:pPr>
                    <w:pStyle w:val="40"/>
                    <w:bidi w:val="0"/>
                    <w:rPr>
                      <w:rFonts w:hint="eastAsia" w:eastAsia="宋体"/>
                      <w:color w:val="auto"/>
                      <w:highlight w:val="none"/>
                      <w:lang w:eastAsia="zh-CN"/>
                    </w:rPr>
                  </w:pPr>
                  <w:r>
                    <w:rPr>
                      <w:rFonts w:hint="eastAsia"/>
                      <w:color w:val="auto"/>
                      <w:spacing w:val="4"/>
                      <w:sz w:val="21"/>
                      <w:szCs w:val="21"/>
                      <w:highlight w:val="none"/>
                      <w:vertAlign w:val="baseline"/>
                      <w:lang w:val="en-US" w:eastAsia="zh-CN"/>
                    </w:rPr>
                    <w:t>设置初期</w:t>
                  </w:r>
                  <w:r>
                    <w:rPr>
                      <w:rFonts w:hint="eastAsia"/>
                      <w:color w:val="auto"/>
                      <w:spacing w:val="4"/>
                      <w:sz w:val="21"/>
                      <w:szCs w:val="21"/>
                      <w:highlight w:val="none"/>
                    </w:rPr>
                    <w:t>雨水收集池</w:t>
                  </w:r>
                  <w:r>
                    <w:rPr>
                      <w:rFonts w:hint="eastAsia"/>
                      <w:color w:val="auto"/>
                      <w:spacing w:val="4"/>
                      <w:sz w:val="21"/>
                      <w:szCs w:val="21"/>
                      <w:highlight w:val="none"/>
                      <w:lang w:eastAsia="zh-CN"/>
                    </w:rPr>
                    <w:t>（</w:t>
                  </w:r>
                  <w:r>
                    <w:rPr>
                      <w:rFonts w:hint="eastAsia"/>
                      <w:color w:val="auto"/>
                      <w:spacing w:val="4"/>
                      <w:sz w:val="21"/>
                      <w:szCs w:val="21"/>
                      <w:highlight w:val="none"/>
                      <w:lang w:val="en-US" w:eastAsia="zh-CN"/>
                    </w:rPr>
                    <w:t>6</w:t>
                  </w:r>
                  <w:r>
                    <w:rPr>
                      <w:color w:val="auto"/>
                      <w:spacing w:val="4"/>
                      <w:sz w:val="21"/>
                      <w:szCs w:val="21"/>
                      <w:highlight w:val="none"/>
                    </w:rPr>
                    <w:t>00m</w:t>
                  </w:r>
                  <w:r>
                    <w:rPr>
                      <w:rFonts w:hint="eastAsia"/>
                      <w:color w:val="auto"/>
                      <w:spacing w:val="4"/>
                      <w:sz w:val="21"/>
                      <w:szCs w:val="21"/>
                      <w:highlight w:val="none"/>
                      <w:vertAlign w:val="superscript"/>
                      <w:lang w:val="en-US" w:eastAsia="zh-CN"/>
                    </w:rPr>
                    <w:t>3</w:t>
                  </w:r>
                  <w:r>
                    <w:rPr>
                      <w:rFonts w:hint="eastAsia"/>
                      <w:color w:val="auto"/>
                      <w:spacing w:val="4"/>
                      <w:sz w:val="21"/>
                      <w:szCs w:val="21"/>
                      <w:highlight w:val="none"/>
                      <w:vertAlign w:val="baseline"/>
                      <w:lang w:val="en-US" w:eastAsia="zh-CN"/>
                    </w:rPr>
                    <w:t>）</w:t>
                  </w:r>
                  <w:r>
                    <w:rPr>
                      <w:rFonts w:hint="eastAsia"/>
                      <w:color w:val="auto"/>
                      <w:spacing w:val="4"/>
                      <w:sz w:val="21"/>
                      <w:szCs w:val="21"/>
                      <w:highlight w:val="none"/>
                      <w:lang w:val="en-US" w:eastAsia="zh-CN"/>
                    </w:rPr>
                    <w:t>1</w:t>
                  </w:r>
                  <w:r>
                    <w:rPr>
                      <w:color w:val="auto"/>
                      <w:spacing w:val="4"/>
                      <w:sz w:val="21"/>
                      <w:szCs w:val="21"/>
                      <w:highlight w:val="none"/>
                    </w:rPr>
                    <w:t>座，配套铺设收集管网，</w:t>
                  </w:r>
                  <w:r>
                    <w:rPr>
                      <w:rFonts w:hint="eastAsia"/>
                      <w:color w:val="auto"/>
                      <w:spacing w:val="4"/>
                      <w:sz w:val="21"/>
                      <w:szCs w:val="21"/>
                      <w:highlight w:val="none"/>
                      <w:lang w:val="en-US" w:eastAsia="zh-CN"/>
                    </w:rPr>
                    <w:t>初期</w:t>
                  </w:r>
                  <w:r>
                    <w:rPr>
                      <w:color w:val="auto"/>
                      <w:spacing w:val="4"/>
                      <w:sz w:val="21"/>
                      <w:szCs w:val="21"/>
                      <w:highlight w:val="none"/>
                    </w:rPr>
                    <w:t>雨水经沉淀处理后回用于项目</w:t>
                  </w:r>
                  <w:r>
                    <w:rPr>
                      <w:rFonts w:hint="eastAsia"/>
                      <w:color w:val="auto"/>
                      <w:spacing w:val="4"/>
                      <w:sz w:val="21"/>
                      <w:szCs w:val="21"/>
                      <w:highlight w:val="none"/>
                    </w:rPr>
                    <w:t>场地降尘</w:t>
                  </w:r>
                  <w:r>
                    <w:rPr>
                      <w:color w:val="auto"/>
                      <w:spacing w:val="4"/>
                      <w:sz w:val="21"/>
                      <w:szCs w:val="21"/>
                      <w:highlight w:val="none"/>
                    </w:rPr>
                    <w:t>用水</w:t>
                  </w:r>
                </w:p>
              </w:tc>
              <w:tc>
                <w:tcPr>
                  <w:tcW w:w="512" w:type="pct"/>
                  <w:tcBorders>
                    <w:tl2br w:val="nil"/>
                    <w:tr2bl w:val="nil"/>
                  </w:tcBorders>
                  <w:noWrap w:val="0"/>
                  <w:vAlign w:val="center"/>
                </w:tcPr>
                <w:p w14:paraId="5767D375">
                  <w:pPr>
                    <w:pStyle w:val="40"/>
                    <w:bidi w:val="0"/>
                    <w:rPr>
                      <w:rFonts w:hint="default"/>
                      <w:color w:val="auto"/>
                      <w:highlight w:val="none"/>
                      <w:lang w:val="en-US" w:eastAsia="zh-CN"/>
                    </w:rPr>
                  </w:pPr>
                  <w:r>
                    <w:rPr>
                      <w:rFonts w:hint="eastAsia"/>
                      <w:color w:val="auto"/>
                      <w:highlight w:val="none"/>
                      <w:lang w:val="en-US" w:eastAsia="zh-CN"/>
                    </w:rPr>
                    <w:t>57</w:t>
                  </w:r>
                </w:p>
              </w:tc>
            </w:tr>
            <w:tr w14:paraId="1AD778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05" w:type="pct"/>
                  <w:tcBorders>
                    <w:tl2br w:val="nil"/>
                    <w:tr2bl w:val="nil"/>
                  </w:tcBorders>
                  <w:noWrap w:val="0"/>
                  <w:vAlign w:val="center"/>
                </w:tcPr>
                <w:p w14:paraId="0338F36B">
                  <w:pPr>
                    <w:pStyle w:val="40"/>
                    <w:bidi w:val="0"/>
                    <w:rPr>
                      <w:color w:val="auto"/>
                      <w:highlight w:val="none"/>
                    </w:rPr>
                  </w:pPr>
                  <w:r>
                    <w:rPr>
                      <w:rFonts w:hint="eastAsia"/>
                      <w:color w:val="auto"/>
                      <w:highlight w:val="none"/>
                    </w:rPr>
                    <w:t>地下水、土壤</w:t>
                  </w:r>
                </w:p>
              </w:tc>
              <w:tc>
                <w:tcPr>
                  <w:tcW w:w="450" w:type="pct"/>
                  <w:gridSpan w:val="2"/>
                  <w:tcBorders>
                    <w:tl2br w:val="nil"/>
                    <w:tr2bl w:val="nil"/>
                  </w:tcBorders>
                  <w:noWrap w:val="0"/>
                  <w:vAlign w:val="center"/>
                </w:tcPr>
                <w:p w14:paraId="3ADA0F5C">
                  <w:pPr>
                    <w:pStyle w:val="40"/>
                    <w:bidi w:val="0"/>
                    <w:rPr>
                      <w:rFonts w:hint="eastAsia"/>
                      <w:color w:val="auto"/>
                      <w:highlight w:val="none"/>
                    </w:rPr>
                  </w:pPr>
                  <w:r>
                    <w:rPr>
                      <w:color w:val="auto"/>
                      <w:highlight w:val="none"/>
                    </w:rPr>
                    <w:t>添加剂储罐</w:t>
                  </w:r>
                </w:p>
              </w:tc>
              <w:tc>
                <w:tcPr>
                  <w:tcW w:w="633" w:type="pct"/>
                  <w:tcBorders>
                    <w:tl2br w:val="nil"/>
                    <w:tr2bl w:val="nil"/>
                  </w:tcBorders>
                  <w:noWrap w:val="0"/>
                  <w:vAlign w:val="center"/>
                </w:tcPr>
                <w:p w14:paraId="7BF2EDD6">
                  <w:pPr>
                    <w:pStyle w:val="40"/>
                    <w:bidi w:val="0"/>
                    <w:rPr>
                      <w:rFonts w:hint="eastAsia"/>
                      <w:color w:val="auto"/>
                      <w:highlight w:val="none"/>
                    </w:rPr>
                  </w:pPr>
                  <w:r>
                    <w:rPr>
                      <w:rFonts w:hint="eastAsia"/>
                      <w:color w:val="auto"/>
                      <w:highlight w:val="none"/>
                    </w:rPr>
                    <w:t>添加剂</w:t>
                  </w:r>
                </w:p>
              </w:tc>
              <w:tc>
                <w:tcPr>
                  <w:tcW w:w="3098" w:type="pct"/>
                  <w:tcBorders>
                    <w:tl2br w:val="nil"/>
                    <w:tr2bl w:val="nil"/>
                  </w:tcBorders>
                  <w:noWrap w:val="0"/>
                  <w:vAlign w:val="center"/>
                </w:tcPr>
                <w:p w14:paraId="301BE764">
                  <w:pPr>
                    <w:pStyle w:val="40"/>
                    <w:bidi w:val="0"/>
                    <w:rPr>
                      <w:rFonts w:hint="default" w:eastAsia="宋体"/>
                      <w:color w:val="auto"/>
                      <w:highlight w:val="none"/>
                      <w:lang w:val="en-US" w:eastAsia="zh-CN"/>
                    </w:rPr>
                  </w:pPr>
                  <w:r>
                    <w:rPr>
                      <w:color w:val="auto"/>
                      <w:highlight w:val="none"/>
                    </w:rPr>
                    <w:t>储罐四周设置围堰</w:t>
                  </w:r>
                  <w:r>
                    <w:rPr>
                      <w:rFonts w:hint="eastAsia"/>
                      <w:color w:val="auto"/>
                      <w:highlight w:val="none"/>
                    </w:rPr>
                    <w:t>，</w:t>
                  </w:r>
                  <w:r>
                    <w:rPr>
                      <w:rFonts w:hint="eastAsia"/>
                      <w:color w:val="auto"/>
                      <w:highlight w:val="none"/>
                      <w:lang w:val="en-US" w:eastAsia="zh-CN"/>
                    </w:rPr>
                    <w:t>并采取防渗措施</w:t>
                  </w:r>
                </w:p>
              </w:tc>
              <w:tc>
                <w:tcPr>
                  <w:tcW w:w="512" w:type="pct"/>
                  <w:tcBorders>
                    <w:tl2br w:val="nil"/>
                    <w:tr2bl w:val="nil"/>
                  </w:tcBorders>
                  <w:noWrap w:val="0"/>
                  <w:vAlign w:val="center"/>
                </w:tcPr>
                <w:p w14:paraId="58DF757E">
                  <w:pPr>
                    <w:pStyle w:val="40"/>
                    <w:bidi w:val="0"/>
                    <w:rPr>
                      <w:rFonts w:hint="default" w:eastAsia="宋体"/>
                      <w:color w:val="auto"/>
                      <w:highlight w:val="none"/>
                      <w:lang w:val="en-US" w:eastAsia="zh-CN"/>
                    </w:rPr>
                  </w:pPr>
                  <w:r>
                    <w:rPr>
                      <w:rFonts w:hint="eastAsia"/>
                      <w:color w:val="auto"/>
                      <w:highlight w:val="none"/>
                      <w:lang w:val="en-US" w:eastAsia="zh-CN"/>
                    </w:rPr>
                    <w:t>8</w:t>
                  </w:r>
                </w:p>
              </w:tc>
            </w:tr>
            <w:tr w14:paraId="1CCD4B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05" w:type="pct"/>
                  <w:tcBorders>
                    <w:tl2br w:val="nil"/>
                    <w:tr2bl w:val="nil"/>
                  </w:tcBorders>
                  <w:noWrap w:val="0"/>
                  <w:vAlign w:val="center"/>
                </w:tcPr>
                <w:p w14:paraId="1FF916AD">
                  <w:pPr>
                    <w:pStyle w:val="40"/>
                    <w:bidi w:val="0"/>
                    <w:rPr>
                      <w:color w:val="auto"/>
                      <w:highlight w:val="none"/>
                    </w:rPr>
                  </w:pPr>
                  <w:r>
                    <w:rPr>
                      <w:color w:val="auto"/>
                      <w:highlight w:val="none"/>
                    </w:rPr>
                    <w:t>噪声</w:t>
                  </w:r>
                </w:p>
              </w:tc>
              <w:tc>
                <w:tcPr>
                  <w:tcW w:w="450" w:type="pct"/>
                  <w:gridSpan w:val="2"/>
                  <w:tcBorders>
                    <w:tl2br w:val="nil"/>
                    <w:tr2bl w:val="nil"/>
                  </w:tcBorders>
                  <w:noWrap w:val="0"/>
                  <w:vAlign w:val="center"/>
                </w:tcPr>
                <w:p w14:paraId="31322751">
                  <w:pPr>
                    <w:pStyle w:val="40"/>
                    <w:bidi w:val="0"/>
                    <w:jc w:val="center"/>
                    <w:rPr>
                      <w:rFonts w:hint="eastAsia"/>
                      <w:color w:val="auto"/>
                      <w:highlight w:val="none"/>
                      <w:lang w:val="en-US" w:eastAsia="zh-CN"/>
                    </w:rPr>
                  </w:pPr>
                  <w:r>
                    <w:rPr>
                      <w:rFonts w:hint="eastAsia"/>
                      <w:color w:val="auto"/>
                      <w:highlight w:val="none"/>
                      <w:lang w:val="en-US" w:eastAsia="zh-CN"/>
                    </w:rPr>
                    <w:t>生产</w:t>
                  </w:r>
                </w:p>
                <w:p w14:paraId="19CA98EF">
                  <w:pPr>
                    <w:pStyle w:val="40"/>
                    <w:bidi w:val="0"/>
                    <w:jc w:val="center"/>
                    <w:rPr>
                      <w:rFonts w:hint="default" w:eastAsia="宋体"/>
                      <w:color w:val="auto"/>
                      <w:highlight w:val="none"/>
                      <w:lang w:val="en-US" w:eastAsia="zh-CN"/>
                    </w:rPr>
                  </w:pPr>
                  <w:r>
                    <w:rPr>
                      <w:rFonts w:hint="eastAsia"/>
                      <w:color w:val="auto"/>
                      <w:highlight w:val="none"/>
                      <w:lang w:val="en-US" w:eastAsia="zh-CN"/>
                    </w:rPr>
                    <w:t>设备</w:t>
                  </w:r>
                </w:p>
              </w:tc>
              <w:tc>
                <w:tcPr>
                  <w:tcW w:w="633" w:type="pct"/>
                  <w:tcBorders>
                    <w:tl2br w:val="nil"/>
                    <w:tr2bl w:val="nil"/>
                  </w:tcBorders>
                  <w:noWrap w:val="0"/>
                  <w:vAlign w:val="center"/>
                </w:tcPr>
                <w:p w14:paraId="1B2C89A6">
                  <w:pPr>
                    <w:pStyle w:val="40"/>
                    <w:bidi w:val="0"/>
                    <w:rPr>
                      <w:rFonts w:hint="eastAsia" w:eastAsia="宋体"/>
                      <w:color w:val="auto"/>
                      <w:highlight w:val="none"/>
                      <w:lang w:val="en-US" w:eastAsia="zh-CN"/>
                    </w:rPr>
                  </w:pPr>
                  <w:r>
                    <w:rPr>
                      <w:rFonts w:hint="eastAsia"/>
                      <w:color w:val="auto"/>
                      <w:highlight w:val="none"/>
                      <w:lang w:val="en-US" w:eastAsia="zh-CN"/>
                    </w:rPr>
                    <w:t>噪声</w:t>
                  </w:r>
                </w:p>
              </w:tc>
              <w:tc>
                <w:tcPr>
                  <w:tcW w:w="3098" w:type="pct"/>
                  <w:tcBorders>
                    <w:tl2br w:val="nil"/>
                    <w:tr2bl w:val="nil"/>
                  </w:tcBorders>
                  <w:noWrap w:val="0"/>
                  <w:vAlign w:val="center"/>
                </w:tcPr>
                <w:p w14:paraId="6326F197">
                  <w:pPr>
                    <w:pStyle w:val="40"/>
                    <w:bidi w:val="0"/>
                    <w:rPr>
                      <w:rFonts w:hint="default"/>
                      <w:color w:val="auto"/>
                      <w:highlight w:val="none"/>
                      <w:lang w:val="en-US" w:eastAsia="zh-CN"/>
                    </w:rPr>
                  </w:pPr>
                  <w:r>
                    <w:rPr>
                      <w:rFonts w:hint="eastAsia"/>
                      <w:color w:val="auto"/>
                      <w:spacing w:val="0"/>
                      <w:sz w:val="21"/>
                      <w:szCs w:val="21"/>
                      <w:highlight w:val="none"/>
                    </w:rPr>
                    <w:t>选用低噪声设备</w:t>
                  </w:r>
                  <w:r>
                    <w:rPr>
                      <w:rFonts w:hint="eastAsia"/>
                      <w:color w:val="auto"/>
                      <w:spacing w:val="0"/>
                      <w:sz w:val="21"/>
                      <w:szCs w:val="21"/>
                      <w:highlight w:val="none"/>
                      <w:lang w:eastAsia="zh-CN"/>
                    </w:rPr>
                    <w:t>，</w:t>
                  </w:r>
                  <w:r>
                    <w:rPr>
                      <w:rFonts w:hint="eastAsia"/>
                      <w:color w:val="auto"/>
                      <w:spacing w:val="0"/>
                      <w:sz w:val="21"/>
                      <w:szCs w:val="21"/>
                      <w:highlight w:val="none"/>
                      <w:lang w:val="en-US" w:eastAsia="zh-CN"/>
                    </w:rPr>
                    <w:t>厂房隔声</w:t>
                  </w:r>
                  <w:r>
                    <w:rPr>
                      <w:color w:val="auto"/>
                      <w:spacing w:val="0"/>
                      <w:sz w:val="21"/>
                      <w:szCs w:val="21"/>
                      <w:highlight w:val="none"/>
                    </w:rPr>
                    <w:t>，并采取减</w:t>
                  </w:r>
                  <w:r>
                    <w:rPr>
                      <w:rFonts w:hint="eastAsia"/>
                      <w:color w:val="auto"/>
                      <w:spacing w:val="0"/>
                      <w:sz w:val="21"/>
                      <w:szCs w:val="21"/>
                      <w:highlight w:val="none"/>
                    </w:rPr>
                    <w:t>振</w:t>
                  </w:r>
                  <w:r>
                    <w:rPr>
                      <w:color w:val="auto"/>
                      <w:spacing w:val="0"/>
                      <w:sz w:val="21"/>
                      <w:szCs w:val="21"/>
                      <w:highlight w:val="none"/>
                    </w:rPr>
                    <w:t>、隔声、消声等措施</w:t>
                  </w:r>
                </w:p>
              </w:tc>
              <w:tc>
                <w:tcPr>
                  <w:tcW w:w="512" w:type="pct"/>
                  <w:tcBorders>
                    <w:tl2br w:val="nil"/>
                    <w:tr2bl w:val="nil"/>
                  </w:tcBorders>
                  <w:noWrap w:val="0"/>
                  <w:vAlign w:val="center"/>
                </w:tcPr>
                <w:p w14:paraId="38E9E214">
                  <w:pPr>
                    <w:pStyle w:val="40"/>
                    <w:bidi w:val="0"/>
                    <w:rPr>
                      <w:rFonts w:hint="default" w:eastAsia="宋体"/>
                      <w:color w:val="auto"/>
                      <w:highlight w:val="none"/>
                      <w:lang w:val="en-US" w:eastAsia="zh-CN"/>
                    </w:rPr>
                  </w:pPr>
                  <w:r>
                    <w:rPr>
                      <w:rFonts w:hint="eastAsia"/>
                      <w:color w:val="auto"/>
                      <w:highlight w:val="none"/>
                      <w:lang w:val="en-US" w:eastAsia="zh-CN"/>
                    </w:rPr>
                    <w:t>65</w:t>
                  </w:r>
                </w:p>
              </w:tc>
            </w:tr>
            <w:tr w14:paraId="3A5AE9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05" w:type="pct"/>
                  <w:vMerge w:val="restart"/>
                  <w:tcBorders>
                    <w:tl2br w:val="nil"/>
                    <w:tr2bl w:val="nil"/>
                  </w:tcBorders>
                  <w:noWrap w:val="0"/>
                  <w:vAlign w:val="center"/>
                </w:tcPr>
                <w:p w14:paraId="762C3532">
                  <w:pPr>
                    <w:pStyle w:val="40"/>
                    <w:bidi w:val="0"/>
                    <w:rPr>
                      <w:color w:val="auto"/>
                      <w:highlight w:val="none"/>
                    </w:rPr>
                  </w:pPr>
                  <w:r>
                    <w:rPr>
                      <w:color w:val="auto"/>
                      <w:highlight w:val="none"/>
                    </w:rPr>
                    <w:t>固废</w:t>
                  </w:r>
                </w:p>
              </w:tc>
              <w:tc>
                <w:tcPr>
                  <w:tcW w:w="450" w:type="pct"/>
                  <w:gridSpan w:val="2"/>
                  <w:tcBorders>
                    <w:tl2br w:val="nil"/>
                    <w:tr2bl w:val="nil"/>
                  </w:tcBorders>
                  <w:noWrap w:val="0"/>
                  <w:vAlign w:val="center"/>
                </w:tcPr>
                <w:p w14:paraId="0AF7D856">
                  <w:pPr>
                    <w:pStyle w:val="40"/>
                    <w:bidi w:val="0"/>
                    <w:rPr>
                      <w:rFonts w:hint="eastAsia" w:eastAsia="宋体"/>
                      <w:color w:val="auto"/>
                      <w:highlight w:val="none"/>
                      <w:lang w:eastAsia="zh-CN"/>
                    </w:rPr>
                  </w:pPr>
                  <w:r>
                    <w:rPr>
                      <w:rFonts w:hint="eastAsia"/>
                      <w:color w:val="auto"/>
                      <w:highlight w:val="none"/>
                      <w:lang w:val="en-US" w:eastAsia="zh-CN"/>
                    </w:rPr>
                    <w:t>生活区</w:t>
                  </w:r>
                </w:p>
              </w:tc>
              <w:tc>
                <w:tcPr>
                  <w:tcW w:w="633" w:type="pct"/>
                  <w:tcBorders>
                    <w:tl2br w:val="nil"/>
                    <w:tr2bl w:val="nil"/>
                  </w:tcBorders>
                  <w:noWrap w:val="0"/>
                  <w:vAlign w:val="center"/>
                </w:tcPr>
                <w:p w14:paraId="374AA013">
                  <w:pPr>
                    <w:pStyle w:val="40"/>
                    <w:bidi w:val="0"/>
                    <w:rPr>
                      <w:color w:val="auto"/>
                      <w:highlight w:val="none"/>
                    </w:rPr>
                  </w:pPr>
                  <w:r>
                    <w:rPr>
                      <w:color w:val="auto"/>
                      <w:highlight w:val="none"/>
                    </w:rPr>
                    <w:t>生活垃圾</w:t>
                  </w:r>
                </w:p>
              </w:tc>
              <w:tc>
                <w:tcPr>
                  <w:tcW w:w="3098" w:type="pct"/>
                  <w:tcBorders>
                    <w:tl2br w:val="nil"/>
                    <w:tr2bl w:val="nil"/>
                  </w:tcBorders>
                  <w:noWrap w:val="0"/>
                  <w:vAlign w:val="center"/>
                </w:tcPr>
                <w:p w14:paraId="34DF081E">
                  <w:pPr>
                    <w:pStyle w:val="40"/>
                    <w:bidi w:val="0"/>
                    <w:rPr>
                      <w:color w:val="auto"/>
                      <w:highlight w:val="none"/>
                    </w:rPr>
                  </w:pPr>
                  <w:r>
                    <w:rPr>
                      <w:color w:val="auto"/>
                      <w:highlight w:val="none"/>
                    </w:rPr>
                    <w:t>垃圾桶</w:t>
                  </w:r>
                </w:p>
              </w:tc>
              <w:tc>
                <w:tcPr>
                  <w:tcW w:w="512" w:type="pct"/>
                  <w:tcBorders>
                    <w:tl2br w:val="nil"/>
                    <w:tr2bl w:val="nil"/>
                  </w:tcBorders>
                  <w:noWrap w:val="0"/>
                  <w:vAlign w:val="center"/>
                </w:tcPr>
                <w:p w14:paraId="0E6F00CF">
                  <w:pPr>
                    <w:pStyle w:val="40"/>
                    <w:bidi w:val="0"/>
                    <w:rPr>
                      <w:rFonts w:hint="default" w:eastAsia="宋体"/>
                      <w:color w:val="auto"/>
                      <w:highlight w:val="none"/>
                      <w:lang w:val="en-US" w:eastAsia="zh-CN"/>
                    </w:rPr>
                  </w:pPr>
                  <w:r>
                    <w:rPr>
                      <w:rFonts w:hint="eastAsia"/>
                      <w:color w:val="auto"/>
                      <w:highlight w:val="none"/>
                      <w:lang w:val="en-US" w:eastAsia="zh-CN"/>
                    </w:rPr>
                    <w:t>1</w:t>
                  </w:r>
                </w:p>
              </w:tc>
            </w:tr>
            <w:tr w14:paraId="172C25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05" w:type="pct"/>
                  <w:vMerge w:val="continue"/>
                  <w:tcBorders>
                    <w:tl2br w:val="nil"/>
                    <w:tr2bl w:val="nil"/>
                  </w:tcBorders>
                  <w:noWrap w:val="0"/>
                  <w:vAlign w:val="center"/>
                </w:tcPr>
                <w:p w14:paraId="74A751AA">
                  <w:pPr>
                    <w:pStyle w:val="40"/>
                    <w:bidi w:val="0"/>
                    <w:rPr>
                      <w:color w:val="auto"/>
                      <w:highlight w:val="none"/>
                    </w:rPr>
                  </w:pPr>
                </w:p>
              </w:tc>
              <w:tc>
                <w:tcPr>
                  <w:tcW w:w="450" w:type="pct"/>
                  <w:gridSpan w:val="2"/>
                  <w:vMerge w:val="restart"/>
                  <w:tcBorders>
                    <w:tl2br w:val="nil"/>
                    <w:tr2bl w:val="nil"/>
                  </w:tcBorders>
                  <w:noWrap w:val="0"/>
                  <w:vAlign w:val="center"/>
                </w:tcPr>
                <w:p w14:paraId="6EA7BD54">
                  <w:pPr>
                    <w:pStyle w:val="40"/>
                    <w:bidi w:val="0"/>
                    <w:rPr>
                      <w:rFonts w:hint="eastAsia" w:eastAsia="宋体"/>
                      <w:color w:val="auto"/>
                      <w:highlight w:val="none"/>
                      <w:lang w:val="en-US" w:eastAsia="zh-CN"/>
                    </w:rPr>
                  </w:pPr>
                  <w:r>
                    <w:rPr>
                      <w:rFonts w:hint="eastAsia"/>
                      <w:color w:val="auto"/>
                      <w:highlight w:val="none"/>
                      <w:lang w:val="en-US" w:eastAsia="zh-CN"/>
                    </w:rPr>
                    <w:t>生产区</w:t>
                  </w:r>
                </w:p>
              </w:tc>
              <w:tc>
                <w:tcPr>
                  <w:tcW w:w="633" w:type="pct"/>
                  <w:tcBorders>
                    <w:tl2br w:val="nil"/>
                    <w:tr2bl w:val="nil"/>
                  </w:tcBorders>
                  <w:noWrap w:val="0"/>
                  <w:vAlign w:val="center"/>
                </w:tcPr>
                <w:p w14:paraId="16A9F344">
                  <w:pPr>
                    <w:pStyle w:val="40"/>
                    <w:bidi w:val="0"/>
                    <w:rPr>
                      <w:color w:val="auto"/>
                      <w:highlight w:val="none"/>
                    </w:rPr>
                  </w:pPr>
                  <w:r>
                    <w:rPr>
                      <w:rFonts w:hint="eastAsia"/>
                      <w:color w:val="auto"/>
                      <w:highlight w:val="none"/>
                    </w:rPr>
                    <w:t>废机油</w:t>
                  </w:r>
                </w:p>
              </w:tc>
              <w:tc>
                <w:tcPr>
                  <w:tcW w:w="3098" w:type="pct"/>
                  <w:tcBorders>
                    <w:tl2br w:val="nil"/>
                    <w:tr2bl w:val="nil"/>
                  </w:tcBorders>
                  <w:noWrap w:val="0"/>
                  <w:vAlign w:val="center"/>
                </w:tcPr>
                <w:p w14:paraId="6989104A">
                  <w:pPr>
                    <w:pStyle w:val="40"/>
                    <w:bidi w:val="0"/>
                    <w:rPr>
                      <w:color w:val="auto"/>
                      <w:highlight w:val="none"/>
                    </w:rPr>
                  </w:pPr>
                  <w:r>
                    <w:rPr>
                      <w:rFonts w:hint="eastAsia"/>
                      <w:color w:val="auto"/>
                      <w:spacing w:val="-11"/>
                      <w:sz w:val="21"/>
                      <w:szCs w:val="21"/>
                      <w:highlight w:val="none"/>
                    </w:rPr>
                    <w:t>废机油暂存于危险废物贮存点，定期交由有资质的单位处置</w:t>
                  </w:r>
                </w:p>
              </w:tc>
              <w:tc>
                <w:tcPr>
                  <w:tcW w:w="512" w:type="pct"/>
                  <w:tcBorders>
                    <w:tl2br w:val="nil"/>
                    <w:tr2bl w:val="nil"/>
                  </w:tcBorders>
                  <w:noWrap w:val="0"/>
                  <w:vAlign w:val="center"/>
                </w:tcPr>
                <w:p w14:paraId="2E50625E">
                  <w:pPr>
                    <w:pStyle w:val="40"/>
                    <w:bidi w:val="0"/>
                    <w:rPr>
                      <w:rFonts w:hint="default"/>
                      <w:color w:val="auto"/>
                      <w:highlight w:val="none"/>
                      <w:lang w:val="en-US" w:eastAsia="zh-CN"/>
                    </w:rPr>
                  </w:pPr>
                  <w:r>
                    <w:rPr>
                      <w:rFonts w:hint="eastAsia"/>
                      <w:color w:val="auto"/>
                      <w:highlight w:val="none"/>
                      <w:lang w:val="en-US" w:eastAsia="zh-CN"/>
                    </w:rPr>
                    <w:t>5</w:t>
                  </w:r>
                </w:p>
              </w:tc>
            </w:tr>
            <w:tr w14:paraId="3F24C5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05" w:type="pct"/>
                  <w:vMerge w:val="continue"/>
                  <w:tcBorders>
                    <w:tl2br w:val="nil"/>
                    <w:tr2bl w:val="nil"/>
                  </w:tcBorders>
                  <w:noWrap w:val="0"/>
                  <w:vAlign w:val="center"/>
                </w:tcPr>
                <w:p w14:paraId="53813B6F">
                  <w:pPr>
                    <w:pStyle w:val="40"/>
                    <w:bidi w:val="0"/>
                    <w:rPr>
                      <w:color w:val="auto"/>
                      <w:highlight w:val="none"/>
                    </w:rPr>
                  </w:pPr>
                </w:p>
              </w:tc>
              <w:tc>
                <w:tcPr>
                  <w:tcW w:w="450" w:type="pct"/>
                  <w:gridSpan w:val="2"/>
                  <w:vMerge w:val="continue"/>
                  <w:tcBorders>
                    <w:tl2br w:val="nil"/>
                    <w:tr2bl w:val="nil"/>
                  </w:tcBorders>
                  <w:noWrap w:val="0"/>
                  <w:vAlign w:val="center"/>
                </w:tcPr>
                <w:p w14:paraId="35C0B52D">
                  <w:pPr>
                    <w:pStyle w:val="40"/>
                    <w:bidi w:val="0"/>
                    <w:rPr>
                      <w:rFonts w:hint="eastAsia"/>
                      <w:color w:val="auto"/>
                      <w:highlight w:val="none"/>
                      <w:lang w:val="en-US" w:eastAsia="zh-CN"/>
                    </w:rPr>
                  </w:pPr>
                </w:p>
              </w:tc>
              <w:tc>
                <w:tcPr>
                  <w:tcW w:w="633" w:type="pct"/>
                  <w:tcBorders>
                    <w:tl2br w:val="nil"/>
                    <w:tr2bl w:val="nil"/>
                  </w:tcBorders>
                  <w:noWrap w:val="0"/>
                  <w:vAlign w:val="center"/>
                </w:tcPr>
                <w:p w14:paraId="69FE5809">
                  <w:pPr>
                    <w:pStyle w:val="40"/>
                    <w:bidi w:val="0"/>
                    <w:ind w:firstLine="0" w:firstLineChars="0"/>
                    <w:jc w:val="center"/>
                    <w:rPr>
                      <w:rFonts w:hint="eastAsia" w:eastAsia="宋体"/>
                      <w:color w:val="auto"/>
                      <w:highlight w:val="none"/>
                      <w:lang w:val="en-US" w:eastAsia="zh-CN"/>
                    </w:rPr>
                  </w:pPr>
                  <w:r>
                    <w:rPr>
                      <w:rFonts w:hint="eastAsia"/>
                      <w:color w:val="auto"/>
                      <w:spacing w:val="-6"/>
                      <w:sz w:val="21"/>
                      <w:highlight w:val="none"/>
                      <w:lang w:val="en-US" w:eastAsia="zh-CN"/>
                    </w:rPr>
                    <w:t>灰渣</w:t>
                  </w:r>
                </w:p>
              </w:tc>
              <w:tc>
                <w:tcPr>
                  <w:tcW w:w="3098" w:type="pct"/>
                  <w:tcBorders>
                    <w:tl2br w:val="nil"/>
                    <w:tr2bl w:val="nil"/>
                  </w:tcBorders>
                  <w:shd w:val="clear" w:color="auto" w:fill="auto"/>
                  <w:noWrap w:val="0"/>
                  <w:vAlign w:val="center"/>
                </w:tcPr>
                <w:p w14:paraId="17F8E7BC">
                  <w:pPr>
                    <w:pStyle w:val="40"/>
                    <w:bidi w:val="0"/>
                    <w:ind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bCs/>
                      <w:color w:val="auto"/>
                      <w:sz w:val="21"/>
                      <w:szCs w:val="21"/>
                      <w:highlight w:val="none"/>
                      <w:lang w:val="en-US" w:eastAsia="zh-CN"/>
                    </w:rPr>
                    <w:t>储存于灰渣储库，</w:t>
                  </w:r>
                  <w:r>
                    <w:rPr>
                      <w:bCs/>
                      <w:color w:val="auto"/>
                      <w:sz w:val="21"/>
                      <w:szCs w:val="21"/>
                      <w:highlight w:val="none"/>
                    </w:rPr>
                    <w:t>定期</w:t>
                  </w:r>
                  <w:r>
                    <w:rPr>
                      <w:rFonts w:hint="eastAsia"/>
                      <w:bCs/>
                      <w:color w:val="auto"/>
                      <w:sz w:val="21"/>
                      <w:szCs w:val="21"/>
                      <w:highlight w:val="none"/>
                      <w:lang w:val="en-US" w:eastAsia="zh-CN"/>
                    </w:rPr>
                    <w:t>交由当地农业合作社用作</w:t>
                  </w:r>
                  <w:r>
                    <w:rPr>
                      <w:rFonts w:hint="eastAsia"/>
                      <w:color w:val="auto"/>
                      <w:highlight w:val="none"/>
                      <w:lang w:val="en-US" w:eastAsia="zh-CN"/>
                    </w:rPr>
                    <w:t>农家肥</w:t>
                  </w:r>
                </w:p>
              </w:tc>
              <w:tc>
                <w:tcPr>
                  <w:tcW w:w="512" w:type="pct"/>
                  <w:vMerge w:val="restart"/>
                  <w:tcBorders>
                    <w:tl2br w:val="nil"/>
                    <w:tr2bl w:val="nil"/>
                  </w:tcBorders>
                  <w:noWrap w:val="0"/>
                  <w:vAlign w:val="center"/>
                </w:tcPr>
                <w:p w14:paraId="239CF61F">
                  <w:pPr>
                    <w:pStyle w:val="40"/>
                    <w:bidi w:val="0"/>
                    <w:rPr>
                      <w:rFonts w:hint="default"/>
                      <w:color w:val="auto"/>
                      <w:highlight w:val="none"/>
                      <w:lang w:val="en-US" w:eastAsia="zh-CN"/>
                    </w:rPr>
                  </w:pPr>
                  <w:r>
                    <w:rPr>
                      <w:rFonts w:hint="eastAsia"/>
                      <w:color w:val="auto"/>
                      <w:highlight w:val="none"/>
                      <w:lang w:val="en-US" w:eastAsia="zh-CN"/>
                    </w:rPr>
                    <w:t>5</w:t>
                  </w:r>
                </w:p>
              </w:tc>
            </w:tr>
            <w:tr w14:paraId="40A80F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05" w:type="pct"/>
                  <w:vMerge w:val="continue"/>
                  <w:tcBorders>
                    <w:tl2br w:val="nil"/>
                    <w:tr2bl w:val="nil"/>
                  </w:tcBorders>
                  <w:noWrap w:val="0"/>
                  <w:vAlign w:val="center"/>
                </w:tcPr>
                <w:p w14:paraId="00127964">
                  <w:pPr>
                    <w:pStyle w:val="40"/>
                    <w:bidi w:val="0"/>
                    <w:rPr>
                      <w:color w:val="auto"/>
                      <w:highlight w:val="none"/>
                    </w:rPr>
                  </w:pPr>
                </w:p>
              </w:tc>
              <w:tc>
                <w:tcPr>
                  <w:tcW w:w="450" w:type="pct"/>
                  <w:gridSpan w:val="2"/>
                  <w:vMerge w:val="continue"/>
                  <w:tcBorders>
                    <w:tl2br w:val="nil"/>
                    <w:tr2bl w:val="nil"/>
                  </w:tcBorders>
                  <w:noWrap w:val="0"/>
                  <w:vAlign w:val="center"/>
                </w:tcPr>
                <w:p w14:paraId="77164A1A">
                  <w:pPr>
                    <w:pStyle w:val="40"/>
                    <w:bidi w:val="0"/>
                    <w:rPr>
                      <w:rFonts w:hint="eastAsia"/>
                      <w:color w:val="auto"/>
                      <w:highlight w:val="none"/>
                      <w:lang w:val="en-US" w:eastAsia="zh-CN"/>
                    </w:rPr>
                  </w:pPr>
                </w:p>
              </w:tc>
              <w:tc>
                <w:tcPr>
                  <w:tcW w:w="633" w:type="pct"/>
                  <w:tcBorders>
                    <w:tl2br w:val="nil"/>
                    <w:tr2bl w:val="nil"/>
                  </w:tcBorders>
                  <w:noWrap w:val="0"/>
                  <w:vAlign w:val="center"/>
                </w:tcPr>
                <w:p w14:paraId="1D9D1009">
                  <w:pPr>
                    <w:pStyle w:val="40"/>
                    <w:bidi w:val="0"/>
                    <w:ind w:firstLine="0" w:firstLineChars="0"/>
                    <w:jc w:val="center"/>
                    <w:rPr>
                      <w:rFonts w:hint="default" w:eastAsia="宋体"/>
                      <w:color w:val="auto"/>
                      <w:highlight w:val="none"/>
                      <w:lang w:val="en-US" w:eastAsia="zh-CN"/>
                    </w:rPr>
                  </w:pPr>
                  <w:r>
                    <w:rPr>
                      <w:rFonts w:hint="eastAsia"/>
                      <w:color w:val="auto"/>
                      <w:spacing w:val="-6"/>
                      <w:sz w:val="21"/>
                      <w:highlight w:val="none"/>
                      <w:lang w:val="en-US" w:eastAsia="zh-CN"/>
                    </w:rPr>
                    <w:t>烟气除尘灰</w:t>
                  </w:r>
                </w:p>
              </w:tc>
              <w:tc>
                <w:tcPr>
                  <w:tcW w:w="3098" w:type="pct"/>
                  <w:tcBorders>
                    <w:tl2br w:val="nil"/>
                    <w:tr2bl w:val="nil"/>
                  </w:tcBorders>
                  <w:shd w:val="clear" w:color="auto" w:fill="auto"/>
                  <w:noWrap w:val="0"/>
                  <w:vAlign w:val="center"/>
                </w:tcPr>
                <w:p w14:paraId="5418C440">
                  <w:pPr>
                    <w:pStyle w:val="40"/>
                    <w:bidi w:val="0"/>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bCs/>
                      <w:color w:val="auto"/>
                      <w:sz w:val="21"/>
                      <w:szCs w:val="21"/>
                      <w:highlight w:val="none"/>
                      <w:lang w:val="en-US" w:eastAsia="zh-CN"/>
                    </w:rPr>
                    <w:t>储存于烟气除尘灰筒仓，</w:t>
                  </w:r>
                  <w:r>
                    <w:rPr>
                      <w:bCs/>
                      <w:color w:val="auto"/>
                      <w:sz w:val="21"/>
                      <w:szCs w:val="21"/>
                      <w:highlight w:val="none"/>
                    </w:rPr>
                    <w:t>定期</w:t>
                  </w:r>
                  <w:r>
                    <w:rPr>
                      <w:rFonts w:hint="eastAsia"/>
                      <w:bCs/>
                      <w:color w:val="auto"/>
                      <w:sz w:val="21"/>
                      <w:szCs w:val="21"/>
                      <w:highlight w:val="none"/>
                      <w:lang w:val="en-US" w:eastAsia="zh-CN"/>
                    </w:rPr>
                    <w:t>交由当地农业合作社用作</w:t>
                  </w:r>
                  <w:r>
                    <w:rPr>
                      <w:rFonts w:hint="eastAsia"/>
                      <w:color w:val="auto"/>
                      <w:highlight w:val="none"/>
                      <w:lang w:val="en-US" w:eastAsia="zh-CN"/>
                    </w:rPr>
                    <w:t>农家肥</w:t>
                  </w:r>
                </w:p>
              </w:tc>
              <w:tc>
                <w:tcPr>
                  <w:tcW w:w="512" w:type="pct"/>
                  <w:vMerge w:val="continue"/>
                  <w:tcBorders>
                    <w:tl2br w:val="nil"/>
                    <w:tr2bl w:val="nil"/>
                  </w:tcBorders>
                  <w:noWrap w:val="0"/>
                  <w:vAlign w:val="center"/>
                </w:tcPr>
                <w:p w14:paraId="65D92B3F">
                  <w:pPr>
                    <w:pStyle w:val="40"/>
                    <w:bidi w:val="0"/>
                    <w:rPr>
                      <w:rFonts w:hint="eastAsia"/>
                      <w:color w:val="auto"/>
                      <w:highlight w:val="none"/>
                      <w:lang w:val="en-US" w:eastAsia="zh-CN"/>
                    </w:rPr>
                  </w:pPr>
                </w:p>
              </w:tc>
            </w:tr>
            <w:tr w14:paraId="6E1E6A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05" w:type="pct"/>
                  <w:vMerge w:val="continue"/>
                  <w:tcBorders>
                    <w:tl2br w:val="nil"/>
                    <w:tr2bl w:val="nil"/>
                  </w:tcBorders>
                  <w:noWrap w:val="0"/>
                  <w:vAlign w:val="center"/>
                </w:tcPr>
                <w:p w14:paraId="26208157">
                  <w:pPr>
                    <w:pStyle w:val="40"/>
                    <w:bidi w:val="0"/>
                    <w:rPr>
                      <w:color w:val="auto"/>
                      <w:highlight w:val="none"/>
                    </w:rPr>
                  </w:pPr>
                </w:p>
              </w:tc>
              <w:tc>
                <w:tcPr>
                  <w:tcW w:w="450" w:type="pct"/>
                  <w:gridSpan w:val="2"/>
                  <w:vMerge w:val="continue"/>
                  <w:tcBorders>
                    <w:tl2br w:val="nil"/>
                    <w:tr2bl w:val="nil"/>
                  </w:tcBorders>
                  <w:noWrap w:val="0"/>
                  <w:vAlign w:val="center"/>
                </w:tcPr>
                <w:p w14:paraId="15196823">
                  <w:pPr>
                    <w:pStyle w:val="40"/>
                    <w:bidi w:val="0"/>
                    <w:rPr>
                      <w:rFonts w:hint="eastAsia"/>
                      <w:color w:val="auto"/>
                      <w:highlight w:val="none"/>
                      <w:lang w:val="en-US" w:eastAsia="zh-CN"/>
                    </w:rPr>
                  </w:pPr>
                </w:p>
              </w:tc>
              <w:tc>
                <w:tcPr>
                  <w:tcW w:w="633" w:type="pct"/>
                  <w:tcBorders>
                    <w:tl2br w:val="nil"/>
                    <w:tr2bl w:val="nil"/>
                  </w:tcBorders>
                  <w:noWrap w:val="0"/>
                  <w:vAlign w:val="center"/>
                </w:tcPr>
                <w:p w14:paraId="126A8F22">
                  <w:pPr>
                    <w:pStyle w:val="40"/>
                    <w:bidi w:val="0"/>
                    <w:ind w:firstLine="0" w:firstLineChars="0"/>
                    <w:jc w:val="center"/>
                    <w:rPr>
                      <w:rFonts w:hint="eastAsia" w:eastAsia="宋体"/>
                      <w:color w:val="auto"/>
                      <w:highlight w:val="none"/>
                      <w:lang w:val="en-US" w:eastAsia="zh-CN"/>
                    </w:rPr>
                  </w:pPr>
                  <w:r>
                    <w:rPr>
                      <w:rFonts w:hint="eastAsia"/>
                      <w:color w:val="auto"/>
                      <w:spacing w:val="-6"/>
                      <w:sz w:val="21"/>
                      <w:highlight w:val="none"/>
                      <w:lang w:val="en-US" w:eastAsia="zh-CN"/>
                    </w:rPr>
                    <w:t>废离子交换树脂</w:t>
                  </w:r>
                </w:p>
              </w:tc>
              <w:tc>
                <w:tcPr>
                  <w:tcW w:w="3098" w:type="pct"/>
                  <w:tcBorders>
                    <w:tl2br w:val="nil"/>
                    <w:tr2bl w:val="nil"/>
                  </w:tcBorders>
                  <w:shd w:val="clear" w:color="auto" w:fill="auto"/>
                  <w:noWrap w:val="0"/>
                  <w:vAlign w:val="center"/>
                </w:tcPr>
                <w:p w14:paraId="5F69761B">
                  <w:pPr>
                    <w:pStyle w:val="40"/>
                    <w:bidi w:val="0"/>
                    <w:ind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b w:val="0"/>
                      <w:bCs/>
                      <w:color w:val="auto"/>
                      <w:sz w:val="21"/>
                      <w:szCs w:val="21"/>
                      <w:highlight w:val="none"/>
                      <w:lang w:val="en-US" w:eastAsia="zh-CN"/>
                    </w:rPr>
                    <w:t>收集后</w:t>
                  </w:r>
                  <w:r>
                    <w:rPr>
                      <w:rFonts w:hint="eastAsia"/>
                      <w:b w:val="0"/>
                      <w:color w:val="auto"/>
                      <w:kern w:val="0"/>
                      <w:sz w:val="21"/>
                      <w:szCs w:val="21"/>
                      <w:highlight w:val="none"/>
                      <w:lang w:val="en-US" w:eastAsia="zh-CN"/>
                    </w:rPr>
                    <w:t>交由厂家</w:t>
                  </w:r>
                  <w:r>
                    <w:rPr>
                      <w:b w:val="0"/>
                      <w:color w:val="auto"/>
                      <w:kern w:val="0"/>
                      <w:sz w:val="21"/>
                      <w:szCs w:val="21"/>
                      <w:highlight w:val="none"/>
                      <w:lang w:val="en-US" w:eastAsia="zh-CN"/>
                    </w:rPr>
                    <w:t>回收</w:t>
                  </w:r>
                </w:p>
              </w:tc>
              <w:tc>
                <w:tcPr>
                  <w:tcW w:w="512" w:type="pct"/>
                  <w:tcBorders>
                    <w:tl2br w:val="nil"/>
                    <w:tr2bl w:val="nil"/>
                  </w:tcBorders>
                  <w:noWrap w:val="0"/>
                  <w:vAlign w:val="center"/>
                </w:tcPr>
                <w:p w14:paraId="681EC03F">
                  <w:pPr>
                    <w:pStyle w:val="40"/>
                    <w:bidi w:val="0"/>
                    <w:rPr>
                      <w:rFonts w:hint="default"/>
                      <w:color w:val="auto"/>
                      <w:highlight w:val="none"/>
                      <w:lang w:val="en-US" w:eastAsia="zh-CN"/>
                    </w:rPr>
                  </w:pPr>
                  <w:r>
                    <w:rPr>
                      <w:rFonts w:hint="eastAsia"/>
                      <w:color w:val="auto"/>
                      <w:highlight w:val="none"/>
                      <w:lang w:val="en-US" w:eastAsia="zh-CN"/>
                    </w:rPr>
                    <w:t>/</w:t>
                  </w:r>
                </w:p>
              </w:tc>
            </w:tr>
            <w:tr w14:paraId="3003E0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55" w:type="pct"/>
                  <w:gridSpan w:val="3"/>
                  <w:tcBorders>
                    <w:tl2br w:val="nil"/>
                    <w:tr2bl w:val="nil"/>
                  </w:tcBorders>
                  <w:noWrap w:val="0"/>
                  <w:vAlign w:val="center"/>
                </w:tcPr>
                <w:p w14:paraId="54BD0FDC">
                  <w:pPr>
                    <w:pStyle w:val="40"/>
                    <w:bidi w:val="0"/>
                    <w:rPr>
                      <w:color w:val="auto"/>
                      <w:highlight w:val="none"/>
                    </w:rPr>
                  </w:pPr>
                  <w:r>
                    <w:rPr>
                      <w:color w:val="auto"/>
                      <w:highlight w:val="none"/>
                    </w:rPr>
                    <w:t>生态</w:t>
                  </w:r>
                </w:p>
              </w:tc>
              <w:tc>
                <w:tcPr>
                  <w:tcW w:w="3731" w:type="pct"/>
                  <w:gridSpan w:val="2"/>
                  <w:tcBorders>
                    <w:tl2br w:val="nil"/>
                    <w:tr2bl w:val="nil"/>
                  </w:tcBorders>
                  <w:noWrap w:val="0"/>
                  <w:vAlign w:val="center"/>
                </w:tcPr>
                <w:p w14:paraId="4D197927">
                  <w:pPr>
                    <w:pStyle w:val="40"/>
                    <w:bidi w:val="0"/>
                    <w:rPr>
                      <w:color w:val="auto"/>
                      <w:highlight w:val="none"/>
                    </w:rPr>
                  </w:pPr>
                  <w:r>
                    <w:rPr>
                      <w:color w:val="auto"/>
                      <w:highlight w:val="none"/>
                    </w:rPr>
                    <w:t>绿化面积</w:t>
                  </w:r>
                  <w:r>
                    <w:rPr>
                      <w:rFonts w:hint="eastAsia"/>
                      <w:color w:val="auto"/>
                      <w:highlight w:val="none"/>
                      <w:lang w:val="en-US" w:eastAsia="zh-CN"/>
                    </w:rPr>
                    <w:t>1300</w:t>
                  </w:r>
                  <w:r>
                    <w:rPr>
                      <w:color w:val="auto"/>
                      <w:highlight w:val="none"/>
                    </w:rPr>
                    <w:t>m</w:t>
                  </w:r>
                  <w:r>
                    <w:rPr>
                      <w:color w:val="auto"/>
                      <w:highlight w:val="none"/>
                      <w:vertAlign w:val="superscript"/>
                    </w:rPr>
                    <w:t>2</w:t>
                  </w:r>
                </w:p>
              </w:tc>
              <w:tc>
                <w:tcPr>
                  <w:tcW w:w="512" w:type="pct"/>
                  <w:tcBorders>
                    <w:tl2br w:val="nil"/>
                    <w:tr2bl w:val="nil"/>
                  </w:tcBorders>
                  <w:noWrap w:val="0"/>
                  <w:vAlign w:val="center"/>
                </w:tcPr>
                <w:p w14:paraId="695204FB">
                  <w:pPr>
                    <w:pStyle w:val="40"/>
                    <w:bidi w:val="0"/>
                    <w:rPr>
                      <w:rFonts w:hint="default" w:eastAsia="宋体"/>
                      <w:color w:val="auto"/>
                      <w:highlight w:val="none"/>
                      <w:lang w:val="en-US" w:eastAsia="zh-CN"/>
                    </w:rPr>
                  </w:pPr>
                  <w:r>
                    <w:rPr>
                      <w:rFonts w:hint="eastAsia"/>
                      <w:color w:val="auto"/>
                      <w:highlight w:val="none"/>
                      <w:lang w:val="en-US" w:eastAsia="zh-CN"/>
                    </w:rPr>
                    <w:t>40</w:t>
                  </w:r>
                </w:p>
              </w:tc>
            </w:tr>
            <w:tr w14:paraId="7A64B7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487" w:type="pct"/>
                  <w:gridSpan w:val="5"/>
                  <w:tcBorders>
                    <w:tl2br w:val="nil"/>
                    <w:tr2bl w:val="nil"/>
                  </w:tcBorders>
                  <w:noWrap w:val="0"/>
                  <w:vAlign w:val="center"/>
                </w:tcPr>
                <w:p w14:paraId="508FE62E">
                  <w:pPr>
                    <w:pStyle w:val="40"/>
                    <w:bidi w:val="0"/>
                    <w:rPr>
                      <w:color w:val="auto"/>
                      <w:highlight w:val="none"/>
                    </w:rPr>
                  </w:pPr>
                  <w:r>
                    <w:rPr>
                      <w:color w:val="auto"/>
                      <w:highlight w:val="none"/>
                    </w:rPr>
                    <w:t>合计</w:t>
                  </w:r>
                </w:p>
              </w:tc>
              <w:tc>
                <w:tcPr>
                  <w:tcW w:w="512" w:type="pct"/>
                  <w:tcBorders>
                    <w:tl2br w:val="nil"/>
                    <w:tr2bl w:val="nil"/>
                  </w:tcBorders>
                  <w:noWrap w:val="0"/>
                  <w:vAlign w:val="center"/>
                </w:tcPr>
                <w:p w14:paraId="08EC2F39">
                  <w:pPr>
                    <w:pStyle w:val="40"/>
                    <w:bidi w:val="0"/>
                    <w:rPr>
                      <w:rFonts w:hint="default"/>
                      <w:color w:val="auto"/>
                      <w:highlight w:val="none"/>
                      <w:lang w:val="en-US" w:eastAsia="zh-CN"/>
                    </w:rPr>
                  </w:pPr>
                  <w:r>
                    <w:rPr>
                      <w:rFonts w:hint="eastAsia"/>
                      <w:color w:val="auto"/>
                      <w:highlight w:val="none"/>
                      <w:lang w:val="en-US" w:eastAsia="zh-CN"/>
                    </w:rPr>
                    <w:t>882</w:t>
                  </w:r>
                </w:p>
              </w:tc>
            </w:tr>
          </w:tbl>
          <w:p w14:paraId="2097FAB6">
            <w:pPr>
              <w:bidi w:val="0"/>
              <w:ind w:left="0" w:leftChars="0" w:firstLine="0" w:firstLineChars="0"/>
              <w:rPr>
                <w:rFonts w:hint="default"/>
                <w:color w:val="auto"/>
                <w:highlight w:val="none"/>
                <w:lang w:val="en-US" w:eastAsia="zh-CN"/>
              </w:rPr>
            </w:pPr>
          </w:p>
          <w:p w14:paraId="0F2B803C">
            <w:pPr>
              <w:bidi w:val="0"/>
              <w:ind w:left="0" w:leftChars="0" w:firstLine="0" w:firstLineChars="0"/>
              <w:rPr>
                <w:rFonts w:hint="default"/>
                <w:color w:val="auto"/>
                <w:highlight w:val="none"/>
                <w:lang w:val="en-US" w:eastAsia="zh-CN"/>
              </w:rPr>
            </w:pPr>
          </w:p>
          <w:p w14:paraId="0488E70A">
            <w:pPr>
              <w:bidi w:val="0"/>
              <w:ind w:left="0" w:leftChars="0" w:firstLine="0" w:firstLineChars="0"/>
              <w:rPr>
                <w:rFonts w:hint="default"/>
                <w:color w:val="auto"/>
                <w:highlight w:val="none"/>
                <w:lang w:val="en-US" w:eastAsia="zh-CN"/>
              </w:rPr>
            </w:pPr>
          </w:p>
          <w:p w14:paraId="2F5F6540">
            <w:pPr>
              <w:bidi w:val="0"/>
              <w:ind w:left="0" w:leftChars="0" w:firstLine="0" w:firstLineChars="0"/>
              <w:rPr>
                <w:rFonts w:hint="default"/>
                <w:color w:val="auto"/>
                <w:highlight w:val="none"/>
                <w:lang w:val="en-US" w:eastAsia="zh-CN"/>
              </w:rPr>
            </w:pPr>
          </w:p>
          <w:p w14:paraId="5945037C">
            <w:pPr>
              <w:bidi w:val="0"/>
              <w:ind w:left="0" w:leftChars="0" w:firstLine="0" w:firstLineChars="0"/>
              <w:rPr>
                <w:rFonts w:hint="default"/>
                <w:color w:val="auto"/>
                <w:highlight w:val="none"/>
                <w:lang w:val="en-US" w:eastAsia="zh-CN"/>
              </w:rPr>
            </w:pPr>
          </w:p>
          <w:p w14:paraId="07192067">
            <w:pPr>
              <w:bidi w:val="0"/>
              <w:ind w:left="0" w:leftChars="0" w:firstLine="0" w:firstLineChars="0"/>
              <w:rPr>
                <w:rFonts w:hint="default"/>
                <w:color w:val="auto"/>
                <w:highlight w:val="none"/>
                <w:lang w:val="en-US" w:eastAsia="zh-CN"/>
              </w:rPr>
            </w:pPr>
          </w:p>
          <w:p w14:paraId="6DF55C2F">
            <w:pPr>
              <w:bidi w:val="0"/>
              <w:ind w:left="0" w:leftChars="0" w:firstLine="0" w:firstLineChars="0"/>
              <w:rPr>
                <w:rFonts w:hint="default"/>
                <w:color w:val="auto"/>
                <w:highlight w:val="none"/>
                <w:lang w:val="en-US" w:eastAsia="zh-CN"/>
              </w:rPr>
            </w:pPr>
          </w:p>
          <w:p w14:paraId="409B071E">
            <w:pPr>
              <w:bidi w:val="0"/>
              <w:ind w:left="0" w:leftChars="0" w:firstLine="0" w:firstLineChars="0"/>
              <w:rPr>
                <w:rFonts w:hint="default"/>
                <w:color w:val="auto"/>
                <w:highlight w:val="none"/>
                <w:lang w:val="en-US" w:eastAsia="zh-CN"/>
              </w:rPr>
            </w:pPr>
          </w:p>
          <w:p w14:paraId="6CD0A92D">
            <w:pPr>
              <w:bidi w:val="0"/>
              <w:ind w:left="0" w:leftChars="0" w:firstLine="0" w:firstLineChars="0"/>
              <w:rPr>
                <w:rFonts w:hint="default"/>
                <w:color w:val="auto"/>
                <w:highlight w:val="none"/>
                <w:lang w:val="en-US" w:eastAsia="zh-CN"/>
              </w:rPr>
            </w:pPr>
          </w:p>
          <w:p w14:paraId="0942D29D">
            <w:pPr>
              <w:bidi w:val="0"/>
              <w:ind w:left="0" w:leftChars="0" w:firstLine="0" w:firstLineChars="0"/>
              <w:rPr>
                <w:rFonts w:hint="default"/>
                <w:color w:val="auto"/>
                <w:highlight w:val="none"/>
                <w:lang w:val="en-US" w:eastAsia="zh-CN"/>
              </w:rPr>
            </w:pPr>
          </w:p>
          <w:p w14:paraId="1C0D4D3D">
            <w:pPr>
              <w:bidi w:val="0"/>
              <w:ind w:left="0" w:leftChars="0" w:firstLine="0" w:firstLineChars="0"/>
              <w:rPr>
                <w:rFonts w:hint="default"/>
                <w:color w:val="auto"/>
                <w:highlight w:val="none"/>
                <w:lang w:val="en-US" w:eastAsia="zh-CN"/>
              </w:rPr>
            </w:pPr>
          </w:p>
          <w:p w14:paraId="3E838BE6">
            <w:pPr>
              <w:bidi w:val="0"/>
              <w:ind w:left="0" w:leftChars="0" w:firstLine="0" w:firstLineChars="0"/>
              <w:rPr>
                <w:rFonts w:hint="default"/>
                <w:color w:val="auto"/>
                <w:highlight w:val="none"/>
                <w:lang w:val="en-US" w:eastAsia="zh-CN"/>
              </w:rPr>
            </w:pPr>
          </w:p>
          <w:p w14:paraId="793DC1DA">
            <w:pPr>
              <w:bidi w:val="0"/>
              <w:ind w:left="0" w:leftChars="0" w:firstLine="0" w:firstLineChars="0"/>
              <w:rPr>
                <w:rFonts w:hint="default"/>
                <w:color w:val="auto"/>
                <w:highlight w:val="none"/>
                <w:lang w:val="en-US" w:eastAsia="zh-CN"/>
              </w:rPr>
            </w:pPr>
          </w:p>
          <w:p w14:paraId="48D27AD6">
            <w:pPr>
              <w:bidi w:val="0"/>
              <w:ind w:left="0" w:leftChars="0" w:firstLine="0" w:firstLineChars="0"/>
              <w:rPr>
                <w:rFonts w:hint="default"/>
                <w:color w:val="auto"/>
                <w:highlight w:val="none"/>
                <w:lang w:val="en-US" w:eastAsia="zh-CN"/>
              </w:rPr>
            </w:pPr>
          </w:p>
          <w:p w14:paraId="60E885C7">
            <w:pPr>
              <w:bidi w:val="0"/>
              <w:ind w:left="0" w:leftChars="0" w:firstLine="0" w:firstLineChars="0"/>
              <w:rPr>
                <w:rFonts w:hint="default"/>
                <w:color w:val="auto"/>
                <w:highlight w:val="none"/>
                <w:lang w:val="en-US" w:eastAsia="zh-CN"/>
              </w:rPr>
            </w:pPr>
          </w:p>
          <w:p w14:paraId="1814AF66">
            <w:pPr>
              <w:bidi w:val="0"/>
              <w:ind w:left="0" w:leftChars="0" w:firstLine="0" w:firstLineChars="0"/>
              <w:rPr>
                <w:rFonts w:hint="default"/>
                <w:color w:val="auto"/>
                <w:highlight w:val="none"/>
                <w:lang w:val="en-US" w:eastAsia="zh-CN"/>
              </w:rPr>
            </w:pPr>
          </w:p>
          <w:p w14:paraId="55145CED">
            <w:pPr>
              <w:bidi w:val="0"/>
              <w:ind w:left="0" w:leftChars="0" w:firstLine="0" w:firstLineChars="0"/>
              <w:rPr>
                <w:rFonts w:hint="default"/>
                <w:color w:val="auto"/>
                <w:highlight w:val="none"/>
                <w:lang w:val="en-US" w:eastAsia="zh-CN"/>
              </w:rPr>
            </w:pPr>
          </w:p>
          <w:p w14:paraId="390B1A77">
            <w:pPr>
              <w:bidi w:val="0"/>
              <w:ind w:left="0" w:leftChars="0" w:firstLine="0" w:firstLineChars="0"/>
              <w:rPr>
                <w:rFonts w:hint="default"/>
                <w:color w:val="auto"/>
                <w:highlight w:val="none"/>
                <w:lang w:val="en-US" w:eastAsia="zh-CN"/>
              </w:rPr>
            </w:pPr>
          </w:p>
          <w:p w14:paraId="29B38AE4">
            <w:pPr>
              <w:bidi w:val="0"/>
              <w:ind w:left="0" w:leftChars="0" w:firstLine="0" w:firstLineChars="0"/>
              <w:rPr>
                <w:rFonts w:hint="default"/>
                <w:color w:val="auto"/>
                <w:highlight w:val="none"/>
                <w:lang w:val="en-US" w:eastAsia="zh-CN"/>
              </w:rPr>
            </w:pPr>
          </w:p>
          <w:p w14:paraId="45C15A44">
            <w:pPr>
              <w:bidi w:val="0"/>
              <w:ind w:left="0" w:leftChars="0" w:firstLine="0" w:firstLineChars="0"/>
              <w:rPr>
                <w:rFonts w:hint="default"/>
                <w:color w:val="auto"/>
                <w:highlight w:val="none"/>
                <w:lang w:val="en-US" w:eastAsia="zh-CN"/>
              </w:rPr>
            </w:pPr>
          </w:p>
          <w:p w14:paraId="62E4146C">
            <w:pPr>
              <w:bidi w:val="0"/>
              <w:ind w:left="0" w:leftChars="0" w:firstLine="0" w:firstLineChars="0"/>
              <w:rPr>
                <w:rFonts w:hint="default"/>
                <w:color w:val="auto"/>
                <w:highlight w:val="none"/>
                <w:lang w:val="en-US" w:eastAsia="zh-CN"/>
              </w:rPr>
            </w:pPr>
          </w:p>
          <w:p w14:paraId="2ADDFDDE">
            <w:pPr>
              <w:bidi w:val="0"/>
              <w:ind w:left="0" w:leftChars="0" w:firstLine="0" w:firstLineChars="0"/>
              <w:rPr>
                <w:rFonts w:hint="default"/>
                <w:color w:val="auto"/>
                <w:highlight w:val="none"/>
                <w:lang w:val="en-US" w:eastAsia="zh-CN"/>
              </w:rPr>
            </w:pPr>
          </w:p>
          <w:p w14:paraId="492689C2">
            <w:pPr>
              <w:bidi w:val="0"/>
              <w:ind w:left="0" w:leftChars="0" w:firstLine="0" w:firstLineChars="0"/>
              <w:rPr>
                <w:rFonts w:hint="default"/>
                <w:color w:val="auto"/>
                <w:highlight w:val="none"/>
                <w:lang w:val="en-US" w:eastAsia="zh-CN"/>
              </w:rPr>
            </w:pPr>
          </w:p>
          <w:p w14:paraId="460D2EDD">
            <w:pPr>
              <w:bidi w:val="0"/>
              <w:ind w:left="0" w:leftChars="0" w:firstLine="0" w:firstLineChars="0"/>
              <w:rPr>
                <w:rFonts w:hint="default"/>
                <w:color w:val="auto"/>
                <w:highlight w:val="none"/>
                <w:lang w:val="en-US" w:eastAsia="zh-CN"/>
              </w:rPr>
            </w:pPr>
          </w:p>
          <w:p w14:paraId="67E70F1A">
            <w:pPr>
              <w:bidi w:val="0"/>
              <w:ind w:left="0" w:leftChars="0" w:firstLine="0" w:firstLineChars="0"/>
              <w:rPr>
                <w:rFonts w:hint="default"/>
                <w:color w:val="auto"/>
                <w:highlight w:val="none"/>
                <w:lang w:val="en-US" w:eastAsia="zh-CN"/>
              </w:rPr>
            </w:pPr>
          </w:p>
          <w:p w14:paraId="726D7650">
            <w:pPr>
              <w:bidi w:val="0"/>
              <w:ind w:left="0" w:leftChars="0" w:firstLine="0" w:firstLineChars="0"/>
              <w:rPr>
                <w:rFonts w:hint="default"/>
                <w:color w:val="auto"/>
                <w:highlight w:val="none"/>
                <w:lang w:val="en-US" w:eastAsia="zh-CN"/>
              </w:rPr>
            </w:pPr>
          </w:p>
          <w:p w14:paraId="5BA97841">
            <w:pPr>
              <w:bidi w:val="0"/>
              <w:ind w:left="0" w:leftChars="0" w:firstLine="0" w:firstLineChars="0"/>
              <w:rPr>
                <w:rFonts w:hint="default"/>
                <w:color w:val="auto"/>
                <w:highlight w:val="none"/>
                <w:lang w:val="en-US" w:eastAsia="zh-CN"/>
              </w:rPr>
            </w:pPr>
          </w:p>
        </w:tc>
      </w:tr>
    </w:tbl>
    <w:p w14:paraId="7007FF6A">
      <w:pPr>
        <w:jc w:val="center"/>
        <w:outlineLvl w:val="0"/>
        <w:rPr>
          <w:rFonts w:hint="eastAsia" w:ascii="黑体" w:hAnsi="黑体" w:eastAsia="黑体"/>
          <w:snapToGrid w:val="0"/>
          <w:color w:val="auto"/>
          <w:sz w:val="30"/>
          <w:szCs w:val="30"/>
          <w:highlight w:val="none"/>
        </w:rPr>
        <w:sectPr>
          <w:footerReference r:id="rId6"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3BB20946">
      <w:pPr>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五、</w:t>
      </w:r>
      <w:bookmarkStart w:id="77" w:name="_Hlk54167917"/>
      <w:r>
        <w:rPr>
          <w:rFonts w:hint="eastAsia" w:ascii="黑体" w:hAnsi="黑体" w:eastAsia="黑体"/>
          <w:snapToGrid w:val="0"/>
          <w:color w:val="auto"/>
          <w:sz w:val="30"/>
          <w:szCs w:val="30"/>
          <w:highlight w:val="none"/>
        </w:rPr>
        <w:t>环境保护措施监督检查清单</w:t>
      </w:r>
      <w:bookmarkEnd w:id="77"/>
    </w:p>
    <w:tbl>
      <w:tblPr>
        <w:tblStyle w:val="24"/>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877"/>
        <w:gridCol w:w="392"/>
        <w:gridCol w:w="673"/>
        <w:gridCol w:w="1119"/>
        <w:gridCol w:w="4697"/>
        <w:gridCol w:w="1297"/>
      </w:tblGrid>
      <w:tr w14:paraId="32E8BA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484" w:type="pct"/>
            <w:tcBorders>
              <w:tl2br w:val="nil"/>
              <w:tr2bl w:val="nil"/>
            </w:tcBorders>
            <w:shd w:val="clear" w:color="auto" w:fill="auto"/>
            <w:noWrap w:val="0"/>
            <w:vAlign w:val="center"/>
            <mc:AlternateContent>
              <mc:Choice Requires="wpsCustomData">
                <wpsCustomData:diagonals>
                  <wpsCustomData:diagonal from="10000" to="30000">
                    <wpsCustomData:border w:val="single" w:color="000000" w:sz="12" w:space="0"/>
                  </wpsCustomData:diagonal>
                </wpsCustomData:diagonals>
              </mc:Choice>
            </mc:AlternateContent>
          </w:tcPr>
          <w:p w14:paraId="05F68F09">
            <w:pPr>
              <w:pStyle w:val="40"/>
              <w:bidi w:val="0"/>
              <w:snapToGrid w:val="0"/>
              <w:spacing w:line="240" w:lineRule="auto"/>
              <w:jc w:val="center"/>
              <mc:AlternateContent>
                <mc:Choice Requires="wpsCustomData">
                  <wpsCustomData:diagonalParaType/>
                </mc:Choice>
              </mc:AlternateContent>
              <w:rPr>
                <w:rFonts w:hint="default" w:eastAsia="宋体"/>
                <w:b w:val="0"/>
                <w:color w:val="auto"/>
                <w:highlight w:val="none"/>
                <w:lang w:val="en-US" w:eastAsia="zh-CN"/>
              </w:rPr>
            </w:pPr>
            <w:r>
              <w:rPr>
                <w:rFonts w:hint="eastAsia"/>
                <w:b w:val="0"/>
                <w:color w:val="auto"/>
                <w:highlight w:val="none"/>
                <w:lang w:val="en-US" w:eastAsia="zh-CN"/>
              </w:rPr>
              <w:t>要素</w:t>
            </w:r>
          </w:p>
          <w:p w14:paraId="49BB3E02">
            <w:pPr>
              <w:pStyle w:val="40"/>
              <w:bidi w:val="0"/>
              <w:jc w:val="center"/>
              <w:rPr>
                <w:rFonts w:hint="eastAsia"/>
                <w:b w:val="0"/>
                <w:color w:val="auto"/>
                <w:highlight w:val="none"/>
                <w:lang w:val="en-US" w:eastAsia="zh-CN"/>
              </w:rPr>
            </w:pPr>
            <w:r>
              <w:rPr>
                <w:rFonts w:hint="eastAsia"/>
                <w:b w:val="0"/>
                <w:color w:val="auto"/>
                <w:highlight w:val="none"/>
                <w:lang w:val="en-US" w:eastAsia="zh-CN"/>
              </w:rPr>
              <w:t>内</w:t>
            </w:r>
          </w:p>
          <w:p w14:paraId="08E5AADC">
            <w:pPr>
              <w:pStyle w:val="40"/>
              <w:bidi w:val="0"/>
              <w:jc w:val="center"/>
              <w:rPr>
                <w:rFonts w:hint="default" w:eastAsia="宋体"/>
                <w:b w:val="0"/>
                <w:color w:val="auto"/>
                <w:highlight w:val="none"/>
                <w:lang w:val="en-US" w:eastAsia="zh-CN"/>
              </w:rPr>
            </w:pPr>
            <w:r>
              <w:rPr>
                <w:rFonts w:hint="eastAsia"/>
                <w:b w:val="0"/>
                <w:color w:val="auto"/>
                <w:highlight w:val="none"/>
                <w:lang w:val="en-US" w:eastAsia="zh-CN"/>
              </w:rPr>
              <w:t>容</w:t>
            </w:r>
          </w:p>
        </w:tc>
        <w:tc>
          <w:tcPr>
            <w:tcW w:w="588" w:type="pct"/>
            <w:gridSpan w:val="2"/>
            <w:tcBorders>
              <w:tl2br w:val="nil"/>
              <w:tr2bl w:val="nil"/>
            </w:tcBorders>
            <w:shd w:val="clear" w:color="auto" w:fill="auto"/>
            <w:noWrap w:val="0"/>
            <w:vAlign w:val="center"/>
          </w:tcPr>
          <w:p w14:paraId="24A8BF6D">
            <w:pPr>
              <w:pStyle w:val="40"/>
              <w:bidi w:val="0"/>
              <w:jc w:val="center"/>
              <w:rPr>
                <w:rFonts w:hint="eastAsia"/>
                <w:b w:val="0"/>
                <w:color w:val="auto"/>
                <w:highlight w:val="none"/>
              </w:rPr>
            </w:pPr>
            <w:r>
              <w:rPr>
                <w:rFonts w:hint="eastAsia"/>
                <w:b w:val="0"/>
                <w:color w:val="auto"/>
                <w:highlight w:val="none"/>
              </w:rPr>
              <w:t>排放口</w:t>
            </w:r>
            <w:r>
              <w:rPr>
                <w:rFonts w:hint="eastAsia"/>
                <w:b w:val="0"/>
                <w:color w:val="auto"/>
                <w:highlight w:val="none"/>
                <w:lang w:eastAsia="zh-CN"/>
              </w:rPr>
              <w:t>（</w:t>
            </w:r>
            <w:r>
              <w:rPr>
                <w:rFonts w:hint="eastAsia"/>
                <w:b w:val="0"/>
                <w:color w:val="auto"/>
                <w:highlight w:val="none"/>
              </w:rPr>
              <w:t>编号、名称</w:t>
            </w:r>
            <w:r>
              <w:rPr>
                <w:rFonts w:hint="eastAsia"/>
                <w:b w:val="0"/>
                <w:color w:val="auto"/>
                <w:highlight w:val="none"/>
                <w:lang w:eastAsia="zh-CN"/>
              </w:rPr>
              <w:t>）</w:t>
            </w:r>
            <w:r>
              <w:rPr>
                <w:rFonts w:hint="eastAsia"/>
                <w:b w:val="0"/>
                <w:color w:val="auto"/>
                <w:highlight w:val="none"/>
              </w:rPr>
              <w:t>/污染源</w:t>
            </w:r>
          </w:p>
        </w:tc>
        <w:tc>
          <w:tcPr>
            <w:tcW w:w="617" w:type="pct"/>
            <w:tcBorders>
              <w:tl2br w:val="nil"/>
              <w:tr2bl w:val="nil"/>
            </w:tcBorders>
            <w:shd w:val="clear" w:color="auto" w:fill="auto"/>
            <w:noWrap w:val="0"/>
            <w:vAlign w:val="center"/>
          </w:tcPr>
          <w:p w14:paraId="2A4A8879">
            <w:pPr>
              <w:pStyle w:val="40"/>
              <w:bidi w:val="0"/>
              <w:jc w:val="center"/>
              <w:rPr>
                <w:rFonts w:hint="eastAsia"/>
                <w:b w:val="0"/>
                <w:color w:val="auto"/>
                <w:highlight w:val="none"/>
              </w:rPr>
            </w:pPr>
            <w:r>
              <w:rPr>
                <w:rFonts w:hint="eastAsia"/>
                <w:b w:val="0"/>
                <w:color w:val="auto"/>
                <w:highlight w:val="none"/>
              </w:rPr>
              <w:t>污染物</w:t>
            </w:r>
          </w:p>
          <w:p w14:paraId="1FF2E889">
            <w:pPr>
              <w:pStyle w:val="40"/>
              <w:bidi w:val="0"/>
              <w:jc w:val="center"/>
              <w:rPr>
                <w:rFonts w:hint="eastAsia"/>
                <w:b w:val="0"/>
                <w:color w:val="auto"/>
                <w:highlight w:val="none"/>
              </w:rPr>
            </w:pPr>
            <w:r>
              <w:rPr>
                <w:rFonts w:hint="eastAsia"/>
                <w:b w:val="0"/>
                <w:color w:val="auto"/>
                <w:highlight w:val="none"/>
              </w:rPr>
              <w:t>项目</w:t>
            </w:r>
          </w:p>
        </w:tc>
        <w:tc>
          <w:tcPr>
            <w:tcW w:w="2593" w:type="pct"/>
            <w:tcBorders>
              <w:tl2br w:val="nil"/>
              <w:tr2bl w:val="nil"/>
            </w:tcBorders>
            <w:shd w:val="clear" w:color="auto" w:fill="auto"/>
            <w:noWrap w:val="0"/>
            <w:vAlign w:val="center"/>
          </w:tcPr>
          <w:p w14:paraId="4D238DCF">
            <w:pPr>
              <w:pStyle w:val="40"/>
              <w:bidi w:val="0"/>
              <w:jc w:val="center"/>
              <w:rPr>
                <w:rFonts w:hint="eastAsia"/>
                <w:b w:val="0"/>
                <w:color w:val="auto"/>
                <w:spacing w:val="0"/>
                <w:sz w:val="21"/>
                <w:highlight w:val="none"/>
              </w:rPr>
            </w:pPr>
            <w:r>
              <w:rPr>
                <w:rFonts w:hint="eastAsia"/>
                <w:b w:val="0"/>
                <w:color w:val="auto"/>
                <w:spacing w:val="0"/>
                <w:sz w:val="21"/>
                <w:highlight w:val="none"/>
              </w:rPr>
              <w:t>环境保护措施</w:t>
            </w:r>
          </w:p>
        </w:tc>
        <w:tc>
          <w:tcPr>
            <w:tcW w:w="716" w:type="pct"/>
            <w:tcBorders>
              <w:tl2br w:val="nil"/>
              <w:tr2bl w:val="nil"/>
            </w:tcBorders>
            <w:shd w:val="clear" w:color="auto" w:fill="auto"/>
            <w:noWrap w:val="0"/>
            <w:vAlign w:val="center"/>
          </w:tcPr>
          <w:p w14:paraId="267625A0">
            <w:pPr>
              <w:pStyle w:val="40"/>
              <w:bidi w:val="0"/>
              <w:jc w:val="center"/>
              <w:rPr>
                <w:rFonts w:hint="eastAsia"/>
                <w:b w:val="0"/>
                <w:color w:val="auto"/>
                <w:spacing w:val="-6"/>
                <w:sz w:val="21"/>
                <w:highlight w:val="none"/>
              </w:rPr>
            </w:pPr>
            <w:r>
              <w:rPr>
                <w:rFonts w:hint="eastAsia"/>
                <w:b w:val="0"/>
                <w:color w:val="auto"/>
                <w:spacing w:val="-6"/>
                <w:sz w:val="21"/>
                <w:highlight w:val="none"/>
              </w:rPr>
              <w:t>执行标准</w:t>
            </w:r>
          </w:p>
        </w:tc>
      </w:tr>
      <w:tr w14:paraId="2F2ACE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4" w:type="pct"/>
            <w:vMerge w:val="restart"/>
            <w:tcBorders>
              <w:tl2br w:val="nil"/>
              <w:tr2bl w:val="nil"/>
            </w:tcBorders>
            <w:shd w:val="clear" w:color="auto" w:fill="auto"/>
            <w:noWrap w:val="0"/>
            <w:vAlign w:val="center"/>
          </w:tcPr>
          <w:p w14:paraId="1EB1458A">
            <w:pPr>
              <w:pStyle w:val="40"/>
              <w:bidi w:val="0"/>
              <w:jc w:val="center"/>
              <w:rPr>
                <w:rFonts w:hint="eastAsia"/>
                <w:b w:val="0"/>
                <w:color w:val="auto"/>
                <w:spacing w:val="-6"/>
                <w:sz w:val="21"/>
                <w:highlight w:val="none"/>
              </w:rPr>
            </w:pPr>
            <w:r>
              <w:rPr>
                <w:rFonts w:hint="eastAsia"/>
                <w:b w:val="0"/>
                <w:color w:val="auto"/>
                <w:spacing w:val="-6"/>
                <w:sz w:val="21"/>
                <w:highlight w:val="none"/>
              </w:rPr>
              <w:t>大气</w:t>
            </w:r>
          </w:p>
          <w:p w14:paraId="3C9133A9">
            <w:pPr>
              <w:pStyle w:val="40"/>
              <w:bidi w:val="0"/>
              <w:jc w:val="center"/>
              <w:rPr>
                <w:rFonts w:hint="eastAsia"/>
                <w:b w:val="0"/>
                <w:color w:val="auto"/>
                <w:spacing w:val="-6"/>
                <w:sz w:val="21"/>
                <w:highlight w:val="none"/>
              </w:rPr>
            </w:pPr>
            <w:r>
              <w:rPr>
                <w:rFonts w:hint="eastAsia"/>
                <w:b w:val="0"/>
                <w:color w:val="auto"/>
                <w:spacing w:val="-6"/>
                <w:sz w:val="21"/>
                <w:highlight w:val="none"/>
              </w:rPr>
              <w:t>环境</w:t>
            </w:r>
          </w:p>
        </w:tc>
        <w:tc>
          <w:tcPr>
            <w:tcW w:w="216" w:type="pct"/>
            <w:vMerge w:val="restart"/>
            <w:tcBorders>
              <w:tl2br w:val="nil"/>
              <w:tr2bl w:val="nil"/>
            </w:tcBorders>
            <w:shd w:val="clear" w:color="auto" w:fill="auto"/>
            <w:noWrap w:val="0"/>
            <w:vAlign w:val="center"/>
          </w:tcPr>
          <w:p w14:paraId="6D327027">
            <w:pPr>
              <w:pStyle w:val="40"/>
              <w:bidi w:val="0"/>
              <w:jc w:val="center"/>
              <w:rPr>
                <w:rFonts w:hint="default"/>
                <w:b w:val="0"/>
                <w:color w:val="auto"/>
                <w:highlight w:val="none"/>
                <w:lang w:val="en-US" w:eastAsia="zh-CN"/>
              </w:rPr>
            </w:pPr>
            <w:r>
              <w:rPr>
                <w:rFonts w:hint="eastAsia"/>
                <w:b w:val="0"/>
                <w:color w:val="auto"/>
                <w:highlight w:val="none"/>
                <w:lang w:val="en-US" w:eastAsia="zh-CN"/>
              </w:rPr>
              <w:t>蒸压硅酸盐功能骨料生产车间</w:t>
            </w:r>
          </w:p>
        </w:tc>
        <w:tc>
          <w:tcPr>
            <w:tcW w:w="371" w:type="pct"/>
            <w:tcBorders>
              <w:tl2br w:val="nil"/>
              <w:tr2bl w:val="nil"/>
            </w:tcBorders>
            <w:shd w:val="clear" w:color="auto" w:fill="auto"/>
            <w:noWrap w:val="0"/>
            <w:vAlign w:val="center"/>
          </w:tcPr>
          <w:p w14:paraId="72E4B130">
            <w:pPr>
              <w:pStyle w:val="40"/>
              <w:bidi w:val="0"/>
              <w:ind w:firstLine="0" w:firstLineChars="0"/>
              <w:rPr>
                <w:rFonts w:hint="eastAsia"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sz w:val="21"/>
                <w:highlight w:val="none"/>
                <w:shd w:val="clear"/>
                <w:lang w:val="en-US" w:eastAsia="zh-CN"/>
              </w:rPr>
              <w:t>G1</w:t>
            </w:r>
          </w:p>
        </w:tc>
        <w:tc>
          <w:tcPr>
            <w:tcW w:w="617" w:type="pct"/>
            <w:tcBorders>
              <w:tl2br w:val="nil"/>
              <w:tr2bl w:val="nil"/>
            </w:tcBorders>
            <w:shd w:val="clear" w:color="auto" w:fill="auto"/>
            <w:noWrap w:val="0"/>
            <w:vAlign w:val="center"/>
          </w:tcPr>
          <w:p w14:paraId="2747CA61">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颗粒物</w:t>
            </w:r>
          </w:p>
        </w:tc>
        <w:tc>
          <w:tcPr>
            <w:tcW w:w="2593" w:type="pct"/>
            <w:tcBorders>
              <w:tl2br w:val="nil"/>
              <w:tr2bl w:val="nil"/>
            </w:tcBorders>
            <w:shd w:val="clear" w:color="auto" w:fill="auto"/>
            <w:noWrap w:val="0"/>
            <w:vAlign w:val="center"/>
          </w:tcPr>
          <w:p w14:paraId="06BB4590">
            <w:pPr>
              <w:pStyle w:val="40"/>
              <w:bidi w:val="0"/>
              <w:ind w:firstLine="0" w:firstLineChars="0"/>
              <w:rPr>
                <w:rFonts w:hint="eastAsia" w:ascii="Times New Roman" w:hAnsi="Times New Roman" w:eastAsia="宋体" w:cs="Times New Roman"/>
                <w:b w:val="0"/>
                <w:bCs w:val="0"/>
                <w:color w:val="auto"/>
                <w:spacing w:val="0"/>
                <w:kern w:val="2"/>
                <w:sz w:val="21"/>
                <w:szCs w:val="21"/>
                <w:highlight w:val="none"/>
                <w:lang w:val="en-US" w:eastAsia="zh-CN" w:bidi="ar-SA"/>
              </w:rPr>
            </w:pPr>
            <w:r>
              <w:rPr>
                <w:rFonts w:hint="default"/>
                <w:color w:val="auto"/>
                <w:spacing w:val="-6"/>
                <w:sz w:val="21"/>
                <w:highlight w:val="none"/>
              </w:rPr>
              <w:t>仓顶自带脉冲式布袋除尘器</w:t>
            </w:r>
            <w:r>
              <w:rPr>
                <w:color w:val="auto"/>
                <w:spacing w:val="-6"/>
                <w:sz w:val="21"/>
                <w:highlight w:val="none"/>
              </w:rPr>
              <w:t>（</w:t>
            </w:r>
            <w:r>
              <w:rPr>
                <w:rFonts w:hint="eastAsia"/>
                <w:color w:val="auto"/>
                <w:spacing w:val="-6"/>
                <w:sz w:val="21"/>
                <w:highlight w:val="none"/>
                <w:lang w:val="en-US" w:eastAsia="zh-CN"/>
              </w:rPr>
              <w:t>5</w:t>
            </w:r>
            <w:r>
              <w:rPr>
                <w:color w:val="auto"/>
                <w:spacing w:val="-6"/>
                <w:sz w:val="21"/>
                <w:highlight w:val="none"/>
              </w:rPr>
              <w:t>套）</w:t>
            </w:r>
            <w:r>
              <w:rPr>
                <w:rFonts w:hint="default"/>
                <w:color w:val="auto"/>
                <w:spacing w:val="-6"/>
                <w:sz w:val="21"/>
                <w:highlight w:val="none"/>
              </w:rPr>
              <w:t>，除尘效率为99.7%</w:t>
            </w:r>
            <w:r>
              <w:rPr>
                <w:rFonts w:hint="eastAsia"/>
                <w:color w:val="auto"/>
                <w:spacing w:val="-6"/>
                <w:sz w:val="21"/>
                <w:highlight w:val="none"/>
                <w:lang w:eastAsia="zh-CN"/>
              </w:rPr>
              <w:t>，</w:t>
            </w:r>
            <w:r>
              <w:rPr>
                <w:rFonts w:hint="eastAsia"/>
                <w:color w:val="auto"/>
                <w:spacing w:val="-6"/>
                <w:sz w:val="21"/>
                <w:highlight w:val="none"/>
              </w:rPr>
              <w:t>粉尘</w:t>
            </w:r>
            <w:r>
              <w:rPr>
                <w:color w:val="auto"/>
                <w:spacing w:val="-6"/>
                <w:sz w:val="21"/>
                <w:highlight w:val="none"/>
              </w:rPr>
              <w:t>经</w:t>
            </w:r>
            <w:r>
              <w:rPr>
                <w:rFonts w:hint="eastAsia"/>
                <w:color w:val="auto"/>
                <w:spacing w:val="-6"/>
                <w:sz w:val="21"/>
                <w:highlight w:val="none"/>
              </w:rPr>
              <w:t>处理后</w:t>
            </w:r>
            <w:r>
              <w:rPr>
                <w:rFonts w:hint="eastAsia"/>
                <w:color w:val="auto"/>
                <w:spacing w:val="-6"/>
                <w:sz w:val="21"/>
                <w:highlight w:val="none"/>
                <w:lang w:val="en-US" w:eastAsia="zh-CN"/>
              </w:rPr>
              <w:t>由</w:t>
            </w:r>
            <w:r>
              <w:rPr>
                <w:color w:val="auto"/>
                <w:spacing w:val="-6"/>
                <w:sz w:val="21"/>
                <w:highlight w:val="none"/>
              </w:rPr>
              <w:t>各</w:t>
            </w:r>
            <w:r>
              <w:rPr>
                <w:rFonts w:hint="eastAsia"/>
                <w:color w:val="auto"/>
                <w:spacing w:val="-6"/>
                <w:sz w:val="21"/>
                <w:highlight w:val="none"/>
              </w:rPr>
              <w:t>除尘器出口</w:t>
            </w:r>
            <w:r>
              <w:rPr>
                <w:rFonts w:hint="eastAsia"/>
                <w:color w:val="auto"/>
                <w:spacing w:val="-6"/>
                <w:sz w:val="21"/>
                <w:highlight w:val="none"/>
                <w:lang w:val="en-US" w:eastAsia="zh-CN"/>
              </w:rPr>
              <w:t>无组织</w:t>
            </w:r>
            <w:r>
              <w:rPr>
                <w:rFonts w:hint="eastAsia"/>
                <w:color w:val="auto"/>
                <w:spacing w:val="-6"/>
                <w:sz w:val="21"/>
                <w:highlight w:val="none"/>
              </w:rPr>
              <w:t>排放</w:t>
            </w:r>
          </w:p>
        </w:tc>
        <w:tc>
          <w:tcPr>
            <w:tcW w:w="716" w:type="pct"/>
            <w:vMerge w:val="restart"/>
            <w:tcBorders>
              <w:tl2br w:val="nil"/>
              <w:tr2bl w:val="nil"/>
            </w:tcBorders>
            <w:shd w:val="clear" w:color="auto" w:fill="auto"/>
            <w:noWrap w:val="0"/>
            <w:vAlign w:val="center"/>
          </w:tcPr>
          <w:p w14:paraId="7130DE91">
            <w:pPr>
              <w:pStyle w:val="40"/>
              <w:bidi w:val="0"/>
              <w:ind w:firstLine="0" w:firstLineChars="0"/>
              <w:jc w:val="center"/>
              <w:rPr>
                <w:b w:val="0"/>
                <w:color w:val="auto"/>
                <w:spacing w:val="-6"/>
                <w:sz w:val="21"/>
                <w:highlight w:val="none"/>
              </w:rPr>
            </w:pPr>
            <w:r>
              <w:rPr>
                <w:b w:val="0"/>
                <w:color w:val="auto"/>
                <w:spacing w:val="-6"/>
                <w:sz w:val="21"/>
                <w:highlight w:val="none"/>
              </w:rPr>
              <w:t>《水泥工业大气污染物排放标准》（GB</w:t>
            </w:r>
            <w:r>
              <w:rPr>
                <w:rFonts w:hint="eastAsia"/>
                <w:b w:val="0"/>
                <w:color w:val="auto"/>
                <w:spacing w:val="-6"/>
                <w:sz w:val="21"/>
                <w:highlight w:val="none"/>
                <w:lang w:val="en-US" w:eastAsia="zh-CN"/>
              </w:rPr>
              <w:t xml:space="preserve"> </w:t>
            </w:r>
            <w:r>
              <w:rPr>
                <w:b w:val="0"/>
                <w:color w:val="auto"/>
                <w:spacing w:val="-6"/>
                <w:sz w:val="21"/>
                <w:highlight w:val="none"/>
              </w:rPr>
              <w:t>4915-2013）</w:t>
            </w:r>
            <w:r>
              <w:rPr>
                <w:rFonts w:hint="eastAsia"/>
                <w:b w:val="0"/>
                <w:color w:val="auto"/>
                <w:spacing w:val="-6"/>
                <w:sz w:val="21"/>
                <w:highlight w:val="none"/>
              </w:rPr>
              <w:t>表1、</w:t>
            </w:r>
            <w:r>
              <w:rPr>
                <w:b w:val="0"/>
                <w:color w:val="auto"/>
                <w:spacing w:val="-6"/>
                <w:sz w:val="21"/>
                <w:highlight w:val="none"/>
              </w:rPr>
              <w:t>表3排放限值要求</w:t>
            </w:r>
          </w:p>
          <w:p w14:paraId="623A68DD">
            <w:pPr>
              <w:pStyle w:val="40"/>
              <w:bidi w:val="0"/>
              <w:rPr>
                <w:rFonts w:hint="eastAsia"/>
                <w:color w:val="auto"/>
                <w:highlight w:val="none"/>
                <w:lang w:val="en-US" w:eastAsia="zh-CN"/>
              </w:rPr>
            </w:pPr>
            <w:r>
              <w:rPr>
                <w:rFonts w:hint="eastAsia"/>
                <w:color w:val="auto"/>
                <w:highlight w:val="none"/>
                <w:lang w:val="en-US" w:eastAsia="zh-CN"/>
              </w:rPr>
              <w:t>《锅炉大气污染物排放标准》（DB 61/1226-2018）表5中的相关要求</w:t>
            </w:r>
          </w:p>
        </w:tc>
      </w:tr>
      <w:tr w14:paraId="3B00F5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4" w:type="pct"/>
            <w:vMerge w:val="continue"/>
            <w:tcBorders>
              <w:tl2br w:val="nil"/>
              <w:tr2bl w:val="nil"/>
            </w:tcBorders>
            <w:shd w:val="clear" w:color="auto" w:fill="auto"/>
            <w:noWrap w:val="0"/>
            <w:vAlign w:val="center"/>
          </w:tcPr>
          <w:p w14:paraId="4081235E">
            <w:pPr>
              <w:pStyle w:val="40"/>
              <w:bidi w:val="0"/>
              <w:jc w:val="center"/>
              <w:rPr>
                <w:rFonts w:hint="eastAsia"/>
                <w:b w:val="0"/>
                <w:color w:val="auto"/>
                <w:spacing w:val="-6"/>
                <w:sz w:val="21"/>
                <w:highlight w:val="none"/>
              </w:rPr>
            </w:pPr>
          </w:p>
        </w:tc>
        <w:tc>
          <w:tcPr>
            <w:tcW w:w="216" w:type="pct"/>
            <w:vMerge w:val="continue"/>
            <w:tcBorders>
              <w:tl2br w:val="nil"/>
              <w:tr2bl w:val="nil"/>
            </w:tcBorders>
            <w:shd w:val="clear" w:color="auto" w:fill="auto"/>
            <w:noWrap w:val="0"/>
            <w:vAlign w:val="center"/>
          </w:tcPr>
          <w:p w14:paraId="5DD7D67C">
            <w:pPr>
              <w:pStyle w:val="40"/>
              <w:bidi w:val="0"/>
              <w:jc w:val="center"/>
              <w:rPr>
                <w:rFonts w:hint="eastAsia"/>
                <w:b w:val="0"/>
                <w:color w:val="auto"/>
                <w:highlight w:val="none"/>
                <w:lang w:val="en-US" w:eastAsia="zh-CN"/>
              </w:rPr>
            </w:pPr>
          </w:p>
        </w:tc>
        <w:tc>
          <w:tcPr>
            <w:tcW w:w="371" w:type="pct"/>
            <w:tcBorders>
              <w:tl2br w:val="nil"/>
              <w:tr2bl w:val="nil"/>
            </w:tcBorders>
            <w:shd w:val="clear" w:color="auto" w:fill="auto"/>
            <w:noWrap w:val="0"/>
            <w:vAlign w:val="center"/>
          </w:tcPr>
          <w:p w14:paraId="48B268C9">
            <w:pPr>
              <w:pStyle w:val="40"/>
              <w:bidi w:val="0"/>
              <w:ind w:firstLine="0" w:firstLineChars="0"/>
              <w:jc w:val="center"/>
              <w:rPr>
                <w:rFonts w:hint="eastAsia"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sz w:val="21"/>
                <w:highlight w:val="none"/>
                <w:lang w:val="en-US" w:eastAsia="zh-CN"/>
              </w:rPr>
              <w:t>G2</w:t>
            </w:r>
          </w:p>
        </w:tc>
        <w:tc>
          <w:tcPr>
            <w:tcW w:w="617" w:type="pct"/>
            <w:tcBorders>
              <w:tl2br w:val="nil"/>
              <w:tr2bl w:val="nil"/>
            </w:tcBorders>
            <w:shd w:val="clear" w:color="auto" w:fill="auto"/>
            <w:noWrap w:val="0"/>
            <w:vAlign w:val="center"/>
          </w:tcPr>
          <w:p w14:paraId="4AD4668D">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颗粒物</w:t>
            </w:r>
          </w:p>
        </w:tc>
        <w:tc>
          <w:tcPr>
            <w:tcW w:w="2593" w:type="pct"/>
            <w:tcBorders>
              <w:tl2br w:val="nil"/>
              <w:tr2bl w:val="nil"/>
            </w:tcBorders>
            <w:shd w:val="clear" w:color="auto" w:fill="auto"/>
            <w:noWrap w:val="0"/>
            <w:vAlign w:val="center"/>
          </w:tcPr>
          <w:p w14:paraId="715045B0">
            <w:pPr>
              <w:pStyle w:val="40"/>
              <w:bidi w:val="0"/>
              <w:ind w:firstLine="0" w:firstLineChars="0"/>
              <w:rPr>
                <w:rFonts w:hint="eastAsia" w:ascii="Times New Roman" w:hAnsi="Times New Roman" w:eastAsia="宋体" w:cs="Times New Roman"/>
                <w:b w:val="0"/>
                <w:bCs w:val="0"/>
                <w:color w:val="auto"/>
                <w:spacing w:val="0"/>
                <w:kern w:val="2"/>
                <w:sz w:val="21"/>
                <w:szCs w:val="21"/>
                <w:highlight w:val="none"/>
                <w:lang w:val="en-US" w:eastAsia="zh-CN" w:bidi="ar-SA"/>
              </w:rPr>
            </w:pPr>
            <w:r>
              <w:rPr>
                <w:rFonts w:hint="default" w:eastAsia="宋体"/>
                <w:color w:val="auto"/>
                <w:spacing w:val="0"/>
                <w:sz w:val="21"/>
                <w:highlight w:val="none"/>
                <w:lang w:val="en-US" w:eastAsia="zh-CN"/>
              </w:rPr>
              <w:t>喷雾降尘</w:t>
            </w:r>
            <w:r>
              <w:rPr>
                <w:rFonts w:hint="eastAsia"/>
                <w:color w:val="auto"/>
                <w:spacing w:val="0"/>
                <w:sz w:val="21"/>
                <w:highlight w:val="none"/>
                <w:lang w:val="en-US" w:eastAsia="zh-CN"/>
              </w:rPr>
              <w:t>设施</w:t>
            </w:r>
            <w:r>
              <w:rPr>
                <w:rFonts w:hint="default" w:eastAsia="宋体"/>
                <w:color w:val="auto"/>
                <w:spacing w:val="0"/>
                <w:sz w:val="21"/>
                <w:highlight w:val="none"/>
                <w:lang w:val="en-US" w:eastAsia="zh-CN"/>
              </w:rPr>
              <w:t>+封闭厂房，除尘效率90%</w:t>
            </w:r>
          </w:p>
        </w:tc>
        <w:tc>
          <w:tcPr>
            <w:tcW w:w="716" w:type="pct"/>
            <w:vMerge w:val="continue"/>
            <w:tcBorders>
              <w:tl2br w:val="nil"/>
              <w:tr2bl w:val="nil"/>
            </w:tcBorders>
            <w:shd w:val="clear" w:color="auto" w:fill="auto"/>
            <w:noWrap w:val="0"/>
            <w:vAlign w:val="center"/>
          </w:tcPr>
          <w:p w14:paraId="27626449">
            <w:pPr>
              <w:pStyle w:val="40"/>
              <w:bidi w:val="0"/>
              <w:jc w:val="center"/>
              <w:rPr>
                <w:rFonts w:hint="eastAsia"/>
                <w:b w:val="0"/>
                <w:color w:val="auto"/>
                <w:spacing w:val="-6"/>
                <w:sz w:val="21"/>
                <w:highlight w:val="none"/>
              </w:rPr>
            </w:pPr>
          </w:p>
        </w:tc>
      </w:tr>
      <w:tr w14:paraId="6D43DA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4" w:type="pct"/>
            <w:vMerge w:val="continue"/>
            <w:tcBorders>
              <w:tl2br w:val="nil"/>
              <w:tr2bl w:val="nil"/>
            </w:tcBorders>
            <w:shd w:val="clear" w:color="auto" w:fill="auto"/>
            <w:noWrap w:val="0"/>
            <w:vAlign w:val="center"/>
          </w:tcPr>
          <w:p w14:paraId="0B03A3A3">
            <w:pPr>
              <w:pStyle w:val="40"/>
              <w:bidi w:val="0"/>
              <w:jc w:val="center"/>
              <w:rPr>
                <w:rFonts w:hint="eastAsia"/>
                <w:b w:val="0"/>
                <w:color w:val="auto"/>
                <w:spacing w:val="-6"/>
                <w:sz w:val="21"/>
                <w:highlight w:val="none"/>
              </w:rPr>
            </w:pPr>
          </w:p>
        </w:tc>
        <w:tc>
          <w:tcPr>
            <w:tcW w:w="216" w:type="pct"/>
            <w:vMerge w:val="continue"/>
            <w:tcBorders>
              <w:tl2br w:val="nil"/>
              <w:tr2bl w:val="nil"/>
            </w:tcBorders>
            <w:shd w:val="clear" w:color="auto" w:fill="auto"/>
            <w:noWrap w:val="0"/>
            <w:vAlign w:val="center"/>
          </w:tcPr>
          <w:p w14:paraId="74171E84">
            <w:pPr>
              <w:pStyle w:val="40"/>
              <w:bidi w:val="0"/>
              <w:jc w:val="center"/>
              <w:rPr>
                <w:rFonts w:hint="eastAsia"/>
                <w:b w:val="0"/>
                <w:color w:val="auto"/>
                <w:highlight w:val="none"/>
                <w:lang w:val="en-US" w:eastAsia="zh-CN"/>
              </w:rPr>
            </w:pPr>
          </w:p>
        </w:tc>
        <w:tc>
          <w:tcPr>
            <w:tcW w:w="371" w:type="pct"/>
            <w:tcBorders>
              <w:tl2br w:val="nil"/>
              <w:tr2bl w:val="nil"/>
            </w:tcBorders>
            <w:shd w:val="clear" w:color="auto" w:fill="auto"/>
            <w:noWrap w:val="0"/>
            <w:vAlign w:val="center"/>
          </w:tcPr>
          <w:p w14:paraId="48BB6FEB">
            <w:pPr>
              <w:pStyle w:val="40"/>
              <w:bidi w:val="0"/>
              <w:ind w:firstLine="0" w:firstLineChars="0"/>
              <w:jc w:val="center"/>
              <w:rPr>
                <w:rFonts w:hint="eastAsia"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sz w:val="21"/>
                <w:highlight w:val="none"/>
                <w:lang w:val="en-US" w:eastAsia="zh-CN"/>
              </w:rPr>
              <w:t>G3</w:t>
            </w:r>
          </w:p>
        </w:tc>
        <w:tc>
          <w:tcPr>
            <w:tcW w:w="617" w:type="pct"/>
            <w:tcBorders>
              <w:tl2br w:val="nil"/>
              <w:tr2bl w:val="nil"/>
            </w:tcBorders>
            <w:shd w:val="clear" w:color="auto" w:fill="auto"/>
            <w:noWrap w:val="0"/>
            <w:vAlign w:val="center"/>
          </w:tcPr>
          <w:p w14:paraId="2D019F3E">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颗粒物</w:t>
            </w:r>
          </w:p>
        </w:tc>
        <w:tc>
          <w:tcPr>
            <w:tcW w:w="2593" w:type="pct"/>
            <w:tcBorders>
              <w:tl2br w:val="nil"/>
              <w:tr2bl w:val="nil"/>
            </w:tcBorders>
            <w:shd w:val="clear" w:color="auto" w:fill="auto"/>
            <w:noWrap w:val="0"/>
            <w:vAlign w:val="center"/>
          </w:tcPr>
          <w:p w14:paraId="36EDDCAA">
            <w:pPr>
              <w:pStyle w:val="40"/>
              <w:bidi w:val="0"/>
              <w:ind w:firstLine="0" w:firstLineChars="0"/>
              <w:rPr>
                <w:rFonts w:hint="eastAsia" w:ascii="Times New Roman" w:hAnsi="Times New Roman" w:eastAsia="宋体" w:cs="Times New Roman"/>
                <w:b w:val="0"/>
                <w:bCs w:val="0"/>
                <w:color w:val="auto"/>
                <w:spacing w:val="-6"/>
                <w:kern w:val="2"/>
                <w:sz w:val="21"/>
                <w:szCs w:val="21"/>
                <w:highlight w:val="none"/>
                <w:lang w:val="en-US" w:eastAsia="zh-CN" w:bidi="ar-SA"/>
              </w:rPr>
            </w:pPr>
            <w:r>
              <w:rPr>
                <w:rFonts w:hint="default"/>
                <w:color w:val="auto"/>
                <w:spacing w:val="-6"/>
                <w:sz w:val="21"/>
                <w:highlight w:val="none"/>
              </w:rPr>
              <w:t>仓顶自带脉冲式布袋除尘器</w:t>
            </w:r>
            <w:r>
              <w:rPr>
                <w:color w:val="auto"/>
                <w:spacing w:val="-6"/>
                <w:sz w:val="21"/>
                <w:highlight w:val="none"/>
              </w:rPr>
              <w:t>（</w:t>
            </w:r>
            <w:r>
              <w:rPr>
                <w:rFonts w:hint="eastAsia"/>
                <w:color w:val="auto"/>
                <w:spacing w:val="-6"/>
                <w:sz w:val="21"/>
                <w:highlight w:val="none"/>
                <w:lang w:val="en-US" w:eastAsia="zh-CN"/>
              </w:rPr>
              <w:t>2</w:t>
            </w:r>
            <w:r>
              <w:rPr>
                <w:color w:val="auto"/>
                <w:spacing w:val="-6"/>
                <w:sz w:val="21"/>
                <w:highlight w:val="none"/>
              </w:rPr>
              <w:t>套）</w:t>
            </w:r>
            <w:r>
              <w:rPr>
                <w:rFonts w:hint="default"/>
                <w:color w:val="auto"/>
                <w:spacing w:val="-6"/>
                <w:sz w:val="21"/>
                <w:highlight w:val="none"/>
              </w:rPr>
              <w:t>，除尘效率为99.7%</w:t>
            </w:r>
            <w:r>
              <w:rPr>
                <w:rFonts w:hint="eastAsia"/>
                <w:color w:val="auto"/>
                <w:spacing w:val="-6"/>
                <w:sz w:val="21"/>
                <w:highlight w:val="none"/>
                <w:lang w:eastAsia="zh-CN"/>
              </w:rPr>
              <w:t>，</w:t>
            </w:r>
            <w:r>
              <w:rPr>
                <w:rFonts w:hint="eastAsia"/>
                <w:color w:val="auto"/>
                <w:spacing w:val="-6"/>
                <w:sz w:val="21"/>
                <w:highlight w:val="none"/>
              </w:rPr>
              <w:t>粉尘</w:t>
            </w:r>
            <w:r>
              <w:rPr>
                <w:color w:val="auto"/>
                <w:spacing w:val="-6"/>
                <w:sz w:val="21"/>
                <w:highlight w:val="none"/>
              </w:rPr>
              <w:t>经</w:t>
            </w:r>
            <w:r>
              <w:rPr>
                <w:rFonts w:hint="eastAsia"/>
                <w:color w:val="auto"/>
                <w:spacing w:val="-6"/>
                <w:sz w:val="21"/>
                <w:highlight w:val="none"/>
              </w:rPr>
              <w:t>处理后</w:t>
            </w:r>
            <w:r>
              <w:rPr>
                <w:rFonts w:hint="eastAsia"/>
                <w:color w:val="auto"/>
                <w:spacing w:val="-6"/>
                <w:sz w:val="21"/>
                <w:highlight w:val="none"/>
                <w:lang w:val="en-US" w:eastAsia="zh-CN"/>
              </w:rPr>
              <w:t>由</w:t>
            </w:r>
            <w:r>
              <w:rPr>
                <w:color w:val="auto"/>
                <w:spacing w:val="-6"/>
                <w:sz w:val="21"/>
                <w:highlight w:val="none"/>
              </w:rPr>
              <w:t>各</w:t>
            </w:r>
            <w:r>
              <w:rPr>
                <w:rFonts w:hint="eastAsia"/>
                <w:color w:val="auto"/>
                <w:spacing w:val="-6"/>
                <w:sz w:val="21"/>
                <w:highlight w:val="none"/>
              </w:rPr>
              <w:t>除尘器出口</w:t>
            </w:r>
            <w:r>
              <w:rPr>
                <w:rFonts w:hint="eastAsia"/>
                <w:color w:val="auto"/>
                <w:spacing w:val="-6"/>
                <w:sz w:val="21"/>
                <w:highlight w:val="none"/>
                <w:lang w:val="en-US" w:eastAsia="zh-CN"/>
              </w:rPr>
              <w:t>无组织</w:t>
            </w:r>
            <w:r>
              <w:rPr>
                <w:rFonts w:hint="eastAsia"/>
                <w:color w:val="auto"/>
                <w:spacing w:val="-6"/>
                <w:sz w:val="21"/>
                <w:highlight w:val="none"/>
              </w:rPr>
              <w:t>排放</w:t>
            </w:r>
          </w:p>
        </w:tc>
        <w:tc>
          <w:tcPr>
            <w:tcW w:w="716" w:type="pct"/>
            <w:vMerge w:val="continue"/>
            <w:tcBorders>
              <w:tl2br w:val="nil"/>
              <w:tr2bl w:val="nil"/>
            </w:tcBorders>
            <w:shd w:val="clear" w:color="auto" w:fill="auto"/>
            <w:noWrap w:val="0"/>
            <w:vAlign w:val="center"/>
          </w:tcPr>
          <w:p w14:paraId="4F303FFA">
            <w:pPr>
              <w:pStyle w:val="40"/>
              <w:bidi w:val="0"/>
              <w:jc w:val="center"/>
              <w:rPr>
                <w:rFonts w:hint="eastAsia"/>
                <w:b w:val="0"/>
                <w:color w:val="auto"/>
                <w:spacing w:val="-6"/>
                <w:sz w:val="21"/>
                <w:highlight w:val="none"/>
              </w:rPr>
            </w:pPr>
          </w:p>
        </w:tc>
      </w:tr>
      <w:tr w14:paraId="5BEB32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484" w:type="pct"/>
            <w:vMerge w:val="continue"/>
            <w:tcBorders>
              <w:tl2br w:val="nil"/>
              <w:tr2bl w:val="nil"/>
            </w:tcBorders>
            <w:shd w:val="clear" w:color="auto" w:fill="auto"/>
            <w:noWrap w:val="0"/>
            <w:vAlign w:val="center"/>
          </w:tcPr>
          <w:p w14:paraId="3907D810">
            <w:pPr>
              <w:pStyle w:val="40"/>
              <w:bidi w:val="0"/>
              <w:jc w:val="center"/>
              <w:rPr>
                <w:rFonts w:hint="eastAsia"/>
                <w:b w:val="0"/>
                <w:color w:val="auto"/>
                <w:spacing w:val="-6"/>
                <w:sz w:val="21"/>
                <w:highlight w:val="none"/>
              </w:rPr>
            </w:pPr>
          </w:p>
        </w:tc>
        <w:tc>
          <w:tcPr>
            <w:tcW w:w="216" w:type="pct"/>
            <w:vMerge w:val="continue"/>
            <w:tcBorders>
              <w:tl2br w:val="nil"/>
              <w:tr2bl w:val="nil"/>
            </w:tcBorders>
            <w:shd w:val="clear" w:color="auto" w:fill="auto"/>
            <w:noWrap w:val="0"/>
            <w:vAlign w:val="center"/>
          </w:tcPr>
          <w:p w14:paraId="288AD3D2">
            <w:pPr>
              <w:pStyle w:val="40"/>
              <w:bidi w:val="0"/>
              <w:jc w:val="center"/>
              <w:rPr>
                <w:rFonts w:hint="default" w:eastAsia="宋体"/>
                <w:b w:val="0"/>
                <w:color w:val="auto"/>
                <w:highlight w:val="none"/>
                <w:lang w:val="en-US" w:eastAsia="zh-CN"/>
              </w:rPr>
            </w:pPr>
          </w:p>
        </w:tc>
        <w:tc>
          <w:tcPr>
            <w:tcW w:w="371" w:type="pct"/>
            <w:tcBorders>
              <w:tl2br w:val="nil"/>
              <w:tr2bl w:val="nil"/>
            </w:tcBorders>
            <w:shd w:val="clear" w:color="auto" w:fill="auto"/>
            <w:noWrap w:val="0"/>
            <w:vAlign w:val="center"/>
          </w:tcPr>
          <w:p w14:paraId="1BFAABCB">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G4</w:t>
            </w:r>
          </w:p>
        </w:tc>
        <w:tc>
          <w:tcPr>
            <w:tcW w:w="617" w:type="pct"/>
            <w:tcBorders>
              <w:tl2br w:val="nil"/>
              <w:tr2bl w:val="nil"/>
            </w:tcBorders>
            <w:shd w:val="clear" w:color="auto" w:fill="auto"/>
            <w:noWrap w:val="0"/>
            <w:vAlign w:val="center"/>
          </w:tcPr>
          <w:p w14:paraId="52386634">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颗粒物</w:t>
            </w:r>
          </w:p>
        </w:tc>
        <w:tc>
          <w:tcPr>
            <w:tcW w:w="2593" w:type="pct"/>
            <w:tcBorders>
              <w:tl2br w:val="nil"/>
              <w:tr2bl w:val="nil"/>
            </w:tcBorders>
            <w:shd w:val="clear" w:color="auto" w:fill="auto"/>
            <w:noWrap w:val="0"/>
            <w:vAlign w:val="center"/>
          </w:tcPr>
          <w:p w14:paraId="0968DB42">
            <w:pPr>
              <w:pStyle w:val="40"/>
              <w:bidi w:val="0"/>
              <w:ind w:firstLine="0" w:firstLineChars="0"/>
              <w:rPr>
                <w:rFonts w:hint="eastAsia" w:ascii="Times New Roman" w:hAnsi="Times New Roman" w:eastAsia="宋体" w:cs="Times New Roman"/>
                <w:b w:val="0"/>
                <w:bCs w:val="0"/>
                <w:color w:val="auto"/>
                <w:spacing w:val="0"/>
                <w:kern w:val="2"/>
                <w:sz w:val="21"/>
                <w:szCs w:val="21"/>
                <w:highlight w:val="none"/>
                <w:lang w:val="en-US" w:eastAsia="zh-CN" w:bidi="ar-SA"/>
              </w:rPr>
            </w:pPr>
            <w:r>
              <w:rPr>
                <w:rFonts w:hint="default"/>
                <w:color w:val="auto"/>
                <w:spacing w:val="0"/>
                <w:sz w:val="21"/>
                <w:highlight w:val="none"/>
              </w:rPr>
              <w:t>球磨机有固定排放口直接与风管连接，</w:t>
            </w:r>
            <w:r>
              <w:rPr>
                <w:rFonts w:hint="eastAsia"/>
                <w:color w:val="auto"/>
                <w:spacing w:val="0"/>
                <w:sz w:val="21"/>
                <w:highlight w:val="none"/>
                <w:lang w:val="en-US" w:eastAsia="zh-CN"/>
              </w:rPr>
              <w:t>封闭负压，</w:t>
            </w:r>
            <w:r>
              <w:rPr>
                <w:rFonts w:hint="eastAsia"/>
                <w:color w:val="auto"/>
                <w:spacing w:val="0"/>
                <w:sz w:val="21"/>
                <w:highlight w:val="none"/>
                <w:lang w:eastAsia="zh-CN"/>
              </w:rPr>
              <w:t>有组织收集效率为99.5%，</w:t>
            </w:r>
            <w:r>
              <w:rPr>
                <w:rFonts w:hint="default"/>
                <w:color w:val="auto"/>
                <w:spacing w:val="0"/>
                <w:sz w:val="21"/>
                <w:highlight w:val="none"/>
              </w:rPr>
              <w:t>末端设置脉冲式布袋除尘器，除尘效率为99.7%，处理达标后经</w:t>
            </w:r>
            <w:r>
              <w:rPr>
                <w:rFonts w:hint="eastAsia"/>
                <w:color w:val="auto"/>
                <w:spacing w:val="0"/>
                <w:sz w:val="21"/>
                <w:highlight w:val="none"/>
                <w:lang w:val="en-US" w:eastAsia="zh-CN"/>
              </w:rPr>
              <w:t>1根</w:t>
            </w:r>
            <w:r>
              <w:rPr>
                <w:rFonts w:hint="default"/>
                <w:color w:val="auto"/>
                <w:spacing w:val="0"/>
                <w:sz w:val="21"/>
                <w:highlight w:val="none"/>
              </w:rPr>
              <w:t>15m高排气筒</w:t>
            </w:r>
            <w:r>
              <w:rPr>
                <w:rFonts w:hint="eastAsia"/>
                <w:color w:val="auto"/>
                <w:spacing w:val="0"/>
                <w:sz w:val="21"/>
                <w:highlight w:val="none"/>
                <w:lang w:val="en-US" w:eastAsia="zh-CN"/>
              </w:rPr>
              <w:t>有组织</w:t>
            </w:r>
            <w:r>
              <w:rPr>
                <w:rFonts w:hint="default"/>
                <w:color w:val="auto"/>
                <w:spacing w:val="0"/>
                <w:sz w:val="21"/>
                <w:highlight w:val="none"/>
              </w:rPr>
              <w:t>排放</w:t>
            </w:r>
            <w:r>
              <w:rPr>
                <w:rFonts w:hint="eastAsia"/>
                <w:color w:val="auto"/>
                <w:spacing w:val="0"/>
                <w:sz w:val="21"/>
                <w:highlight w:val="none"/>
                <w:lang w:eastAsia="zh-CN"/>
              </w:rPr>
              <w:t>（</w:t>
            </w:r>
            <w:r>
              <w:rPr>
                <w:rFonts w:hint="default"/>
                <w:color w:val="auto"/>
                <w:spacing w:val="0"/>
                <w:sz w:val="21"/>
                <w:highlight w:val="none"/>
              </w:rPr>
              <w:t>DA001</w:t>
            </w:r>
            <w:r>
              <w:rPr>
                <w:rFonts w:hint="eastAsia"/>
                <w:color w:val="auto"/>
                <w:spacing w:val="0"/>
                <w:sz w:val="21"/>
                <w:highlight w:val="none"/>
                <w:lang w:eastAsia="zh-CN"/>
              </w:rPr>
              <w:t>）；</w:t>
            </w:r>
            <w:r>
              <w:rPr>
                <w:rFonts w:hint="eastAsia"/>
                <w:color w:val="auto"/>
                <w:spacing w:val="0"/>
                <w:sz w:val="21"/>
                <w:highlight w:val="none"/>
                <w:lang w:val="en-US" w:eastAsia="zh-CN"/>
              </w:rPr>
              <w:t>其余未收集粉尘通过</w:t>
            </w:r>
            <w:r>
              <w:rPr>
                <w:rFonts w:hint="default" w:eastAsia="宋体"/>
                <w:color w:val="auto"/>
                <w:spacing w:val="0"/>
                <w:sz w:val="21"/>
                <w:highlight w:val="none"/>
                <w:lang w:val="en-US" w:eastAsia="zh-CN"/>
              </w:rPr>
              <w:t>喷雾降尘</w:t>
            </w:r>
            <w:r>
              <w:rPr>
                <w:rFonts w:hint="eastAsia"/>
                <w:color w:val="auto"/>
                <w:spacing w:val="0"/>
                <w:sz w:val="21"/>
                <w:highlight w:val="none"/>
                <w:lang w:val="en-US" w:eastAsia="zh-CN"/>
              </w:rPr>
              <w:t>设施</w:t>
            </w:r>
            <w:r>
              <w:rPr>
                <w:rFonts w:hint="default" w:eastAsia="宋体"/>
                <w:color w:val="auto"/>
                <w:spacing w:val="0"/>
                <w:sz w:val="21"/>
                <w:highlight w:val="none"/>
                <w:lang w:val="en-US" w:eastAsia="zh-CN"/>
              </w:rPr>
              <w:t>+封闭厂房</w:t>
            </w:r>
            <w:r>
              <w:rPr>
                <w:rFonts w:hint="eastAsia"/>
                <w:color w:val="auto"/>
                <w:spacing w:val="0"/>
                <w:sz w:val="21"/>
                <w:highlight w:val="none"/>
                <w:lang w:val="en-US" w:eastAsia="zh-CN"/>
              </w:rPr>
              <w:t>处理后无组织排放</w:t>
            </w:r>
            <w:r>
              <w:rPr>
                <w:rFonts w:hint="default" w:eastAsia="宋体"/>
                <w:color w:val="auto"/>
                <w:spacing w:val="0"/>
                <w:sz w:val="21"/>
                <w:highlight w:val="none"/>
                <w:lang w:val="en-US" w:eastAsia="zh-CN"/>
              </w:rPr>
              <w:t>，除尘效率90%</w:t>
            </w:r>
          </w:p>
        </w:tc>
        <w:tc>
          <w:tcPr>
            <w:tcW w:w="716" w:type="pct"/>
            <w:vMerge w:val="continue"/>
            <w:tcBorders>
              <w:tl2br w:val="nil"/>
              <w:tr2bl w:val="nil"/>
            </w:tcBorders>
            <w:shd w:val="clear" w:color="auto" w:fill="auto"/>
            <w:noWrap w:val="0"/>
            <w:vAlign w:val="center"/>
          </w:tcPr>
          <w:p w14:paraId="3A8C8933">
            <w:pPr>
              <w:pStyle w:val="40"/>
              <w:bidi w:val="0"/>
              <w:jc w:val="center"/>
              <w:rPr>
                <w:rFonts w:hint="eastAsia"/>
                <w:b w:val="0"/>
                <w:color w:val="auto"/>
                <w:spacing w:val="-6"/>
                <w:sz w:val="21"/>
                <w:highlight w:val="none"/>
              </w:rPr>
            </w:pPr>
          </w:p>
        </w:tc>
      </w:tr>
      <w:tr w14:paraId="520A86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4" w:type="pct"/>
            <w:vMerge w:val="continue"/>
            <w:tcBorders>
              <w:tl2br w:val="nil"/>
              <w:tr2bl w:val="nil"/>
            </w:tcBorders>
            <w:shd w:val="clear" w:color="auto" w:fill="auto"/>
            <w:noWrap w:val="0"/>
            <w:vAlign w:val="center"/>
          </w:tcPr>
          <w:p w14:paraId="1E9C1382">
            <w:pPr>
              <w:pStyle w:val="40"/>
              <w:bidi w:val="0"/>
              <w:jc w:val="center"/>
              <w:rPr>
                <w:rFonts w:hint="eastAsia"/>
                <w:b w:val="0"/>
                <w:color w:val="auto"/>
                <w:spacing w:val="-6"/>
                <w:sz w:val="21"/>
                <w:highlight w:val="none"/>
              </w:rPr>
            </w:pPr>
          </w:p>
        </w:tc>
        <w:tc>
          <w:tcPr>
            <w:tcW w:w="216" w:type="pct"/>
            <w:vMerge w:val="continue"/>
            <w:tcBorders>
              <w:tl2br w:val="nil"/>
              <w:tr2bl w:val="nil"/>
            </w:tcBorders>
            <w:shd w:val="clear" w:color="auto" w:fill="auto"/>
            <w:noWrap w:val="0"/>
            <w:vAlign w:val="center"/>
          </w:tcPr>
          <w:p w14:paraId="2DF7E0BE">
            <w:pPr>
              <w:pStyle w:val="40"/>
              <w:bidi w:val="0"/>
              <w:jc w:val="center"/>
              <w:rPr>
                <w:rFonts w:hint="eastAsia"/>
                <w:b w:val="0"/>
                <w:color w:val="auto"/>
                <w:highlight w:val="none"/>
                <w:lang w:val="en-US" w:eastAsia="zh-CN"/>
              </w:rPr>
            </w:pPr>
          </w:p>
        </w:tc>
        <w:tc>
          <w:tcPr>
            <w:tcW w:w="371" w:type="pct"/>
            <w:tcBorders>
              <w:tl2br w:val="nil"/>
              <w:tr2bl w:val="nil"/>
            </w:tcBorders>
            <w:shd w:val="clear" w:color="auto" w:fill="auto"/>
            <w:noWrap w:val="0"/>
            <w:vAlign w:val="center"/>
          </w:tcPr>
          <w:p w14:paraId="3CE13A2C">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G5</w:t>
            </w:r>
          </w:p>
        </w:tc>
        <w:tc>
          <w:tcPr>
            <w:tcW w:w="617" w:type="pct"/>
            <w:tcBorders>
              <w:tl2br w:val="nil"/>
              <w:tr2bl w:val="nil"/>
            </w:tcBorders>
            <w:shd w:val="clear" w:color="auto" w:fill="auto"/>
            <w:noWrap w:val="0"/>
            <w:vAlign w:val="center"/>
          </w:tcPr>
          <w:p w14:paraId="7F8F8233">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颗粒物</w:t>
            </w:r>
          </w:p>
        </w:tc>
        <w:tc>
          <w:tcPr>
            <w:tcW w:w="2593" w:type="pct"/>
            <w:tcBorders>
              <w:tl2br w:val="nil"/>
              <w:tr2bl w:val="nil"/>
            </w:tcBorders>
            <w:shd w:val="clear" w:color="auto" w:fill="auto"/>
            <w:noWrap w:val="0"/>
            <w:vAlign w:val="center"/>
          </w:tcPr>
          <w:p w14:paraId="356FF4CE">
            <w:pPr>
              <w:pStyle w:val="40"/>
              <w:bidi w:val="0"/>
              <w:ind w:firstLine="0" w:firstLineChars="0"/>
              <w:jc w:val="center"/>
              <w:rPr>
                <w:rFonts w:hint="eastAsia" w:ascii="Times New Roman" w:hAnsi="Times New Roman" w:eastAsia="宋体" w:cs="Times New Roman"/>
                <w:b w:val="0"/>
                <w:bCs w:val="0"/>
                <w:color w:val="auto"/>
                <w:spacing w:val="0"/>
                <w:kern w:val="2"/>
                <w:sz w:val="21"/>
                <w:szCs w:val="21"/>
                <w:highlight w:val="none"/>
                <w:lang w:val="en-US" w:eastAsia="zh-CN" w:bidi="ar-SA"/>
              </w:rPr>
            </w:pPr>
            <w:r>
              <w:rPr>
                <w:rFonts w:hint="eastAsia"/>
                <w:color w:val="auto"/>
                <w:spacing w:val="0"/>
                <w:sz w:val="21"/>
                <w:highlight w:val="none"/>
                <w:lang w:val="en-US" w:eastAsia="zh-CN"/>
              </w:rPr>
              <w:t>同G1</w:t>
            </w:r>
          </w:p>
        </w:tc>
        <w:tc>
          <w:tcPr>
            <w:tcW w:w="716" w:type="pct"/>
            <w:vMerge w:val="continue"/>
            <w:tcBorders>
              <w:tl2br w:val="nil"/>
              <w:tr2bl w:val="nil"/>
            </w:tcBorders>
            <w:shd w:val="clear" w:color="auto" w:fill="auto"/>
            <w:noWrap w:val="0"/>
            <w:vAlign w:val="center"/>
          </w:tcPr>
          <w:p w14:paraId="43C2B466">
            <w:pPr>
              <w:pStyle w:val="40"/>
              <w:bidi w:val="0"/>
              <w:jc w:val="center"/>
              <w:rPr>
                <w:rFonts w:hint="eastAsia"/>
                <w:b w:val="0"/>
                <w:color w:val="auto"/>
                <w:spacing w:val="-6"/>
                <w:sz w:val="21"/>
                <w:highlight w:val="none"/>
              </w:rPr>
            </w:pPr>
          </w:p>
        </w:tc>
      </w:tr>
      <w:tr w14:paraId="0A3007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4" w:type="pct"/>
            <w:vMerge w:val="continue"/>
            <w:tcBorders>
              <w:tl2br w:val="nil"/>
              <w:tr2bl w:val="nil"/>
            </w:tcBorders>
            <w:shd w:val="clear" w:color="auto" w:fill="auto"/>
            <w:noWrap w:val="0"/>
            <w:vAlign w:val="center"/>
          </w:tcPr>
          <w:p w14:paraId="30AD709D">
            <w:pPr>
              <w:pStyle w:val="40"/>
              <w:bidi w:val="0"/>
              <w:jc w:val="center"/>
              <w:rPr>
                <w:rFonts w:hint="eastAsia"/>
                <w:b w:val="0"/>
                <w:color w:val="auto"/>
                <w:spacing w:val="-6"/>
                <w:sz w:val="21"/>
                <w:highlight w:val="none"/>
              </w:rPr>
            </w:pPr>
          </w:p>
        </w:tc>
        <w:tc>
          <w:tcPr>
            <w:tcW w:w="216" w:type="pct"/>
            <w:vMerge w:val="continue"/>
            <w:tcBorders>
              <w:tl2br w:val="nil"/>
              <w:tr2bl w:val="nil"/>
            </w:tcBorders>
            <w:shd w:val="clear" w:color="auto" w:fill="auto"/>
            <w:noWrap w:val="0"/>
            <w:vAlign w:val="center"/>
          </w:tcPr>
          <w:p w14:paraId="705E869B">
            <w:pPr>
              <w:pStyle w:val="40"/>
              <w:bidi w:val="0"/>
              <w:jc w:val="center"/>
              <w:rPr>
                <w:rFonts w:hint="eastAsia"/>
                <w:b w:val="0"/>
                <w:color w:val="auto"/>
                <w:highlight w:val="none"/>
                <w:lang w:val="en-US" w:eastAsia="zh-CN"/>
              </w:rPr>
            </w:pPr>
          </w:p>
        </w:tc>
        <w:tc>
          <w:tcPr>
            <w:tcW w:w="371" w:type="pct"/>
            <w:tcBorders>
              <w:tl2br w:val="nil"/>
              <w:tr2bl w:val="nil"/>
            </w:tcBorders>
            <w:shd w:val="clear" w:color="auto" w:fill="auto"/>
            <w:noWrap w:val="0"/>
            <w:vAlign w:val="center"/>
          </w:tcPr>
          <w:p w14:paraId="2E4957B5">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G6</w:t>
            </w:r>
          </w:p>
        </w:tc>
        <w:tc>
          <w:tcPr>
            <w:tcW w:w="617" w:type="pct"/>
            <w:tcBorders>
              <w:tl2br w:val="nil"/>
              <w:tr2bl w:val="nil"/>
            </w:tcBorders>
            <w:shd w:val="clear" w:color="auto" w:fill="auto"/>
            <w:noWrap w:val="0"/>
            <w:vAlign w:val="center"/>
          </w:tcPr>
          <w:p w14:paraId="78B98CEA">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颗粒物</w:t>
            </w:r>
          </w:p>
        </w:tc>
        <w:tc>
          <w:tcPr>
            <w:tcW w:w="2593" w:type="pct"/>
            <w:tcBorders>
              <w:tl2br w:val="nil"/>
              <w:tr2bl w:val="nil"/>
            </w:tcBorders>
            <w:shd w:val="clear" w:color="auto" w:fill="auto"/>
            <w:noWrap w:val="0"/>
            <w:vAlign w:val="center"/>
          </w:tcPr>
          <w:p w14:paraId="564B54CF">
            <w:pPr>
              <w:pStyle w:val="40"/>
              <w:bidi w:val="0"/>
              <w:ind w:firstLine="0" w:firstLineChars="0"/>
              <w:jc w:val="center"/>
              <w:rPr>
                <w:rFonts w:hint="eastAsia" w:ascii="Times New Roman" w:hAnsi="Times New Roman" w:eastAsia="宋体" w:cs="Times New Roman"/>
                <w:b w:val="0"/>
                <w:bCs w:val="0"/>
                <w:color w:val="auto"/>
                <w:spacing w:val="0"/>
                <w:kern w:val="2"/>
                <w:sz w:val="21"/>
                <w:szCs w:val="21"/>
                <w:highlight w:val="none"/>
                <w:lang w:val="en-US" w:eastAsia="zh-CN" w:bidi="ar-SA"/>
              </w:rPr>
            </w:pPr>
            <w:r>
              <w:rPr>
                <w:rFonts w:hint="eastAsia"/>
                <w:color w:val="auto"/>
                <w:spacing w:val="0"/>
                <w:sz w:val="21"/>
                <w:highlight w:val="none"/>
                <w:lang w:val="en-US" w:eastAsia="zh-CN"/>
              </w:rPr>
              <w:t>同G1</w:t>
            </w:r>
          </w:p>
        </w:tc>
        <w:tc>
          <w:tcPr>
            <w:tcW w:w="716" w:type="pct"/>
            <w:vMerge w:val="continue"/>
            <w:tcBorders>
              <w:tl2br w:val="nil"/>
              <w:tr2bl w:val="nil"/>
            </w:tcBorders>
            <w:shd w:val="clear" w:color="auto" w:fill="auto"/>
            <w:noWrap w:val="0"/>
            <w:vAlign w:val="center"/>
          </w:tcPr>
          <w:p w14:paraId="273AA469">
            <w:pPr>
              <w:pStyle w:val="40"/>
              <w:bidi w:val="0"/>
              <w:jc w:val="center"/>
              <w:rPr>
                <w:rFonts w:hint="eastAsia"/>
                <w:b w:val="0"/>
                <w:color w:val="auto"/>
                <w:spacing w:val="-6"/>
                <w:sz w:val="21"/>
                <w:highlight w:val="none"/>
              </w:rPr>
            </w:pPr>
          </w:p>
        </w:tc>
      </w:tr>
      <w:tr w14:paraId="23CCD3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4" w:type="pct"/>
            <w:vMerge w:val="continue"/>
            <w:tcBorders>
              <w:tl2br w:val="nil"/>
              <w:tr2bl w:val="nil"/>
            </w:tcBorders>
            <w:shd w:val="clear" w:color="auto" w:fill="auto"/>
            <w:noWrap w:val="0"/>
            <w:vAlign w:val="center"/>
          </w:tcPr>
          <w:p w14:paraId="67C1A255">
            <w:pPr>
              <w:pStyle w:val="40"/>
              <w:bidi w:val="0"/>
              <w:jc w:val="center"/>
              <w:rPr>
                <w:rFonts w:hint="eastAsia"/>
                <w:b w:val="0"/>
                <w:color w:val="auto"/>
                <w:spacing w:val="-6"/>
                <w:sz w:val="21"/>
                <w:highlight w:val="none"/>
              </w:rPr>
            </w:pPr>
          </w:p>
        </w:tc>
        <w:tc>
          <w:tcPr>
            <w:tcW w:w="216" w:type="pct"/>
            <w:vMerge w:val="continue"/>
            <w:tcBorders>
              <w:tl2br w:val="nil"/>
              <w:tr2bl w:val="nil"/>
            </w:tcBorders>
            <w:shd w:val="clear" w:color="auto" w:fill="auto"/>
            <w:noWrap w:val="0"/>
            <w:vAlign w:val="center"/>
          </w:tcPr>
          <w:p w14:paraId="52811A28">
            <w:pPr>
              <w:pStyle w:val="40"/>
              <w:bidi w:val="0"/>
              <w:jc w:val="center"/>
              <w:rPr>
                <w:rFonts w:hint="eastAsia"/>
                <w:b w:val="0"/>
                <w:color w:val="auto"/>
                <w:highlight w:val="none"/>
                <w:lang w:val="en-US" w:eastAsia="zh-CN"/>
              </w:rPr>
            </w:pPr>
          </w:p>
        </w:tc>
        <w:tc>
          <w:tcPr>
            <w:tcW w:w="371" w:type="pct"/>
            <w:tcBorders>
              <w:tl2br w:val="nil"/>
              <w:tr2bl w:val="nil"/>
            </w:tcBorders>
            <w:shd w:val="clear" w:color="auto" w:fill="auto"/>
            <w:noWrap w:val="0"/>
            <w:vAlign w:val="center"/>
          </w:tcPr>
          <w:p w14:paraId="6C91ADC0">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G7</w:t>
            </w:r>
          </w:p>
        </w:tc>
        <w:tc>
          <w:tcPr>
            <w:tcW w:w="617" w:type="pct"/>
            <w:tcBorders>
              <w:tl2br w:val="nil"/>
              <w:tr2bl w:val="nil"/>
            </w:tcBorders>
            <w:shd w:val="clear" w:color="auto" w:fill="auto"/>
            <w:noWrap w:val="0"/>
            <w:vAlign w:val="center"/>
          </w:tcPr>
          <w:p w14:paraId="35068D98">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颗粒物</w:t>
            </w:r>
          </w:p>
        </w:tc>
        <w:tc>
          <w:tcPr>
            <w:tcW w:w="2593" w:type="pct"/>
            <w:tcBorders>
              <w:tl2br w:val="nil"/>
              <w:tr2bl w:val="nil"/>
            </w:tcBorders>
            <w:shd w:val="clear" w:color="auto" w:fill="auto"/>
            <w:noWrap w:val="0"/>
            <w:vAlign w:val="center"/>
          </w:tcPr>
          <w:p w14:paraId="2A31CE29">
            <w:pPr>
              <w:pStyle w:val="40"/>
              <w:bidi w:val="0"/>
              <w:ind w:firstLine="0" w:firstLineChars="0"/>
              <w:rPr>
                <w:rFonts w:hint="eastAsia" w:ascii="Times New Roman" w:hAnsi="Times New Roman" w:eastAsia="宋体" w:cs="Times New Roman"/>
                <w:b w:val="0"/>
                <w:bCs w:val="0"/>
                <w:color w:val="auto"/>
                <w:spacing w:val="0"/>
                <w:kern w:val="2"/>
                <w:sz w:val="21"/>
                <w:szCs w:val="21"/>
                <w:highlight w:val="none"/>
                <w:lang w:val="en-US" w:eastAsia="zh-CN" w:bidi="ar-SA"/>
              </w:rPr>
            </w:pPr>
            <w:r>
              <w:rPr>
                <w:rFonts w:hint="eastAsia" w:cs="Times New Roman"/>
                <w:b w:val="0"/>
                <w:bCs w:val="0"/>
                <w:color w:val="auto"/>
                <w:spacing w:val="0"/>
                <w:kern w:val="2"/>
                <w:sz w:val="21"/>
                <w:szCs w:val="21"/>
                <w:highlight w:val="none"/>
                <w:lang w:val="en-US" w:eastAsia="zh-CN" w:bidi="ar-SA"/>
              </w:rPr>
              <w:t>同G4</w:t>
            </w:r>
          </w:p>
        </w:tc>
        <w:tc>
          <w:tcPr>
            <w:tcW w:w="716" w:type="pct"/>
            <w:vMerge w:val="continue"/>
            <w:tcBorders>
              <w:tl2br w:val="nil"/>
              <w:tr2bl w:val="nil"/>
            </w:tcBorders>
            <w:shd w:val="clear" w:color="auto" w:fill="auto"/>
            <w:noWrap w:val="0"/>
            <w:vAlign w:val="center"/>
          </w:tcPr>
          <w:p w14:paraId="03FB51CB">
            <w:pPr>
              <w:pStyle w:val="40"/>
              <w:bidi w:val="0"/>
              <w:jc w:val="center"/>
              <w:rPr>
                <w:rFonts w:hint="eastAsia"/>
                <w:b w:val="0"/>
                <w:color w:val="auto"/>
                <w:spacing w:val="-6"/>
                <w:sz w:val="21"/>
                <w:highlight w:val="none"/>
              </w:rPr>
            </w:pPr>
          </w:p>
        </w:tc>
      </w:tr>
      <w:tr w14:paraId="075EA2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484" w:type="pct"/>
            <w:vMerge w:val="continue"/>
            <w:tcBorders>
              <w:tl2br w:val="nil"/>
              <w:tr2bl w:val="nil"/>
            </w:tcBorders>
            <w:shd w:val="clear" w:color="auto" w:fill="auto"/>
            <w:noWrap w:val="0"/>
            <w:vAlign w:val="center"/>
          </w:tcPr>
          <w:p w14:paraId="4D7ECBAB">
            <w:pPr>
              <w:pStyle w:val="40"/>
              <w:bidi w:val="0"/>
              <w:jc w:val="center"/>
              <w:rPr>
                <w:rFonts w:hint="eastAsia"/>
                <w:b w:val="0"/>
                <w:color w:val="auto"/>
                <w:spacing w:val="-6"/>
                <w:sz w:val="21"/>
                <w:highlight w:val="none"/>
              </w:rPr>
            </w:pPr>
          </w:p>
        </w:tc>
        <w:tc>
          <w:tcPr>
            <w:tcW w:w="216" w:type="pct"/>
            <w:vMerge w:val="continue"/>
            <w:tcBorders>
              <w:tl2br w:val="nil"/>
              <w:tr2bl w:val="nil"/>
            </w:tcBorders>
            <w:shd w:val="clear" w:color="auto" w:fill="auto"/>
            <w:noWrap w:val="0"/>
            <w:vAlign w:val="center"/>
          </w:tcPr>
          <w:p w14:paraId="5C5B14DB">
            <w:pPr>
              <w:pStyle w:val="40"/>
              <w:bidi w:val="0"/>
              <w:jc w:val="center"/>
              <w:rPr>
                <w:rFonts w:hint="eastAsia"/>
                <w:b w:val="0"/>
                <w:color w:val="auto"/>
                <w:highlight w:val="none"/>
                <w:lang w:val="en-US" w:eastAsia="zh-CN"/>
              </w:rPr>
            </w:pPr>
          </w:p>
        </w:tc>
        <w:tc>
          <w:tcPr>
            <w:tcW w:w="371" w:type="pct"/>
            <w:tcBorders>
              <w:tl2br w:val="nil"/>
              <w:tr2bl w:val="nil"/>
            </w:tcBorders>
            <w:shd w:val="clear" w:color="auto" w:fill="auto"/>
            <w:noWrap w:val="0"/>
            <w:vAlign w:val="center"/>
          </w:tcPr>
          <w:p w14:paraId="1DD63D5A">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G8</w:t>
            </w:r>
          </w:p>
        </w:tc>
        <w:tc>
          <w:tcPr>
            <w:tcW w:w="617" w:type="pct"/>
            <w:tcBorders>
              <w:tl2br w:val="nil"/>
              <w:tr2bl w:val="nil"/>
            </w:tcBorders>
            <w:shd w:val="clear" w:color="auto" w:fill="auto"/>
            <w:noWrap w:val="0"/>
            <w:vAlign w:val="center"/>
          </w:tcPr>
          <w:p w14:paraId="217024EC">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颗粒物</w:t>
            </w:r>
          </w:p>
        </w:tc>
        <w:tc>
          <w:tcPr>
            <w:tcW w:w="2593" w:type="pct"/>
            <w:tcBorders>
              <w:tl2br w:val="nil"/>
              <w:tr2bl w:val="nil"/>
            </w:tcBorders>
            <w:shd w:val="clear" w:color="auto" w:fill="auto"/>
            <w:noWrap w:val="0"/>
            <w:vAlign w:val="center"/>
          </w:tcPr>
          <w:p w14:paraId="62C10571">
            <w:pPr>
              <w:pStyle w:val="40"/>
              <w:bidi w:val="0"/>
              <w:ind w:firstLine="0" w:firstLineChars="0"/>
              <w:rPr>
                <w:rFonts w:hint="eastAsia" w:ascii="Times New Roman" w:hAnsi="Times New Roman" w:eastAsia="宋体" w:cs="Times New Roman"/>
                <w:b w:val="0"/>
                <w:bCs w:val="0"/>
                <w:color w:val="auto"/>
                <w:spacing w:val="0"/>
                <w:kern w:val="2"/>
                <w:sz w:val="21"/>
                <w:szCs w:val="21"/>
                <w:highlight w:val="none"/>
                <w:lang w:val="en-US" w:eastAsia="zh-CN" w:bidi="ar-SA"/>
              </w:rPr>
            </w:pPr>
            <w:r>
              <w:rPr>
                <w:rFonts w:hint="eastAsia"/>
                <w:color w:val="auto"/>
                <w:spacing w:val="0"/>
                <w:sz w:val="21"/>
                <w:highlight w:val="none"/>
                <w:lang w:val="en-US" w:eastAsia="zh-CN"/>
              </w:rPr>
              <w:t>同G1</w:t>
            </w:r>
          </w:p>
        </w:tc>
        <w:tc>
          <w:tcPr>
            <w:tcW w:w="716" w:type="pct"/>
            <w:vMerge w:val="continue"/>
            <w:tcBorders>
              <w:tl2br w:val="nil"/>
              <w:tr2bl w:val="nil"/>
            </w:tcBorders>
            <w:shd w:val="clear" w:color="auto" w:fill="auto"/>
            <w:noWrap w:val="0"/>
            <w:vAlign w:val="center"/>
          </w:tcPr>
          <w:p w14:paraId="01F6BDD9">
            <w:pPr>
              <w:pStyle w:val="40"/>
              <w:bidi w:val="0"/>
              <w:jc w:val="center"/>
              <w:rPr>
                <w:rFonts w:hint="eastAsia"/>
                <w:b w:val="0"/>
                <w:color w:val="auto"/>
                <w:spacing w:val="-6"/>
                <w:sz w:val="21"/>
                <w:highlight w:val="none"/>
              </w:rPr>
            </w:pPr>
          </w:p>
        </w:tc>
      </w:tr>
      <w:tr w14:paraId="66711F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484" w:type="pct"/>
            <w:vMerge w:val="continue"/>
            <w:tcBorders>
              <w:tl2br w:val="nil"/>
              <w:tr2bl w:val="nil"/>
            </w:tcBorders>
            <w:shd w:val="clear" w:color="auto" w:fill="auto"/>
            <w:noWrap w:val="0"/>
            <w:vAlign w:val="center"/>
          </w:tcPr>
          <w:p w14:paraId="71B4EAB8">
            <w:pPr>
              <w:pStyle w:val="40"/>
              <w:bidi w:val="0"/>
              <w:jc w:val="center"/>
              <w:rPr>
                <w:rFonts w:hint="eastAsia"/>
                <w:b w:val="0"/>
                <w:color w:val="auto"/>
                <w:spacing w:val="-6"/>
                <w:sz w:val="21"/>
                <w:highlight w:val="none"/>
              </w:rPr>
            </w:pPr>
          </w:p>
        </w:tc>
        <w:tc>
          <w:tcPr>
            <w:tcW w:w="216" w:type="pct"/>
            <w:vMerge w:val="continue"/>
            <w:tcBorders>
              <w:tl2br w:val="nil"/>
              <w:tr2bl w:val="nil"/>
            </w:tcBorders>
            <w:shd w:val="clear" w:color="auto" w:fill="auto"/>
            <w:noWrap w:val="0"/>
            <w:vAlign w:val="center"/>
          </w:tcPr>
          <w:p w14:paraId="13269885">
            <w:pPr>
              <w:pStyle w:val="40"/>
              <w:bidi w:val="0"/>
              <w:jc w:val="center"/>
              <w:rPr>
                <w:rFonts w:hint="default" w:eastAsia="宋体"/>
                <w:b w:val="0"/>
                <w:color w:val="auto"/>
                <w:highlight w:val="none"/>
                <w:lang w:val="en-US" w:eastAsia="zh-CN"/>
              </w:rPr>
            </w:pPr>
          </w:p>
        </w:tc>
        <w:tc>
          <w:tcPr>
            <w:tcW w:w="371" w:type="pct"/>
            <w:tcBorders>
              <w:tl2br w:val="nil"/>
              <w:tr2bl w:val="nil"/>
            </w:tcBorders>
            <w:shd w:val="clear" w:color="auto" w:fill="auto"/>
            <w:noWrap w:val="0"/>
            <w:vAlign w:val="center"/>
          </w:tcPr>
          <w:p w14:paraId="73538390">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G9</w:t>
            </w:r>
          </w:p>
        </w:tc>
        <w:tc>
          <w:tcPr>
            <w:tcW w:w="617" w:type="pct"/>
            <w:tcBorders>
              <w:tl2br w:val="nil"/>
              <w:tr2bl w:val="nil"/>
            </w:tcBorders>
            <w:shd w:val="clear" w:color="auto" w:fill="auto"/>
            <w:noWrap w:val="0"/>
            <w:vAlign w:val="center"/>
          </w:tcPr>
          <w:p w14:paraId="50934630">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颗粒物</w:t>
            </w:r>
          </w:p>
        </w:tc>
        <w:tc>
          <w:tcPr>
            <w:tcW w:w="2593" w:type="pct"/>
            <w:tcBorders>
              <w:tl2br w:val="nil"/>
              <w:tr2bl w:val="nil"/>
            </w:tcBorders>
            <w:shd w:val="clear" w:color="auto" w:fill="auto"/>
            <w:noWrap w:val="0"/>
            <w:vAlign w:val="center"/>
          </w:tcPr>
          <w:p w14:paraId="1BD7522B">
            <w:pPr>
              <w:pStyle w:val="40"/>
              <w:bidi w:val="0"/>
              <w:ind w:firstLine="0" w:firstLineChars="0"/>
              <w:rPr>
                <w:rFonts w:hint="eastAsia" w:ascii="Times New Roman" w:hAnsi="Times New Roman" w:eastAsia="宋体" w:cs="Times New Roman"/>
                <w:b w:val="0"/>
                <w:bCs w:val="0"/>
                <w:color w:val="auto"/>
                <w:spacing w:val="0"/>
                <w:kern w:val="2"/>
                <w:sz w:val="21"/>
                <w:szCs w:val="21"/>
                <w:highlight w:val="none"/>
                <w:lang w:val="en-US" w:eastAsia="zh-CN" w:bidi="ar-SA"/>
              </w:rPr>
            </w:pPr>
            <w:r>
              <w:rPr>
                <w:rFonts w:hint="default"/>
                <w:color w:val="auto"/>
                <w:spacing w:val="0"/>
                <w:sz w:val="21"/>
                <w:highlight w:val="none"/>
              </w:rPr>
              <w:t>搅拌机有固定排放口直接与风管连接，有组织收集效率为90%</w:t>
            </w:r>
            <w:r>
              <w:rPr>
                <w:rFonts w:hint="eastAsia"/>
                <w:color w:val="auto"/>
                <w:spacing w:val="0"/>
                <w:sz w:val="21"/>
                <w:highlight w:val="none"/>
                <w:lang w:eastAsia="zh-CN"/>
              </w:rPr>
              <w:t>，</w:t>
            </w:r>
            <w:r>
              <w:rPr>
                <w:rFonts w:hint="default"/>
                <w:color w:val="auto"/>
                <w:spacing w:val="0"/>
                <w:sz w:val="21"/>
                <w:highlight w:val="none"/>
              </w:rPr>
              <w:t>末端设置</w:t>
            </w:r>
            <w:r>
              <w:rPr>
                <w:rFonts w:hint="eastAsia"/>
                <w:color w:val="auto"/>
                <w:spacing w:val="0"/>
                <w:sz w:val="21"/>
                <w:highlight w:val="none"/>
                <w:lang w:val="en-US" w:eastAsia="zh-CN"/>
              </w:rPr>
              <w:t>脉冲式布袋除尘器</w:t>
            </w:r>
            <w:r>
              <w:rPr>
                <w:rFonts w:hint="default"/>
                <w:color w:val="auto"/>
                <w:spacing w:val="0"/>
                <w:sz w:val="21"/>
                <w:highlight w:val="none"/>
              </w:rPr>
              <w:t>，除尘效率为99.7%，处理达标后经1根15m高排气筒</w:t>
            </w:r>
            <w:r>
              <w:rPr>
                <w:rFonts w:hint="eastAsia"/>
                <w:color w:val="auto"/>
                <w:spacing w:val="0"/>
                <w:sz w:val="21"/>
                <w:highlight w:val="none"/>
                <w:lang w:val="en-US" w:eastAsia="zh-CN"/>
              </w:rPr>
              <w:t>有组织</w:t>
            </w:r>
            <w:r>
              <w:rPr>
                <w:rFonts w:hint="default"/>
                <w:color w:val="auto"/>
                <w:spacing w:val="0"/>
                <w:sz w:val="21"/>
                <w:highlight w:val="none"/>
              </w:rPr>
              <w:t>排放（DA00</w:t>
            </w:r>
            <w:r>
              <w:rPr>
                <w:rFonts w:hint="eastAsia"/>
                <w:color w:val="auto"/>
                <w:spacing w:val="0"/>
                <w:sz w:val="21"/>
                <w:highlight w:val="none"/>
                <w:lang w:val="en-US" w:eastAsia="zh-CN"/>
              </w:rPr>
              <w:t>2</w:t>
            </w:r>
            <w:r>
              <w:rPr>
                <w:rFonts w:hint="default"/>
                <w:color w:val="auto"/>
                <w:spacing w:val="0"/>
                <w:sz w:val="21"/>
                <w:highlight w:val="none"/>
              </w:rPr>
              <w:t>）</w:t>
            </w:r>
            <w:r>
              <w:rPr>
                <w:rFonts w:hint="eastAsia"/>
                <w:color w:val="auto"/>
                <w:spacing w:val="0"/>
                <w:sz w:val="21"/>
                <w:highlight w:val="none"/>
                <w:lang w:eastAsia="zh-CN"/>
              </w:rPr>
              <w:t>；</w:t>
            </w:r>
            <w:r>
              <w:rPr>
                <w:rFonts w:hint="eastAsia"/>
                <w:color w:val="auto"/>
                <w:spacing w:val="0"/>
                <w:sz w:val="21"/>
                <w:highlight w:val="none"/>
                <w:lang w:val="en-US" w:eastAsia="zh-CN"/>
              </w:rPr>
              <w:t>其余未收集粉尘通过</w:t>
            </w:r>
            <w:r>
              <w:rPr>
                <w:rFonts w:hint="default" w:eastAsia="宋体"/>
                <w:color w:val="auto"/>
                <w:spacing w:val="0"/>
                <w:sz w:val="21"/>
                <w:highlight w:val="none"/>
                <w:lang w:val="en-US" w:eastAsia="zh-CN"/>
              </w:rPr>
              <w:t>喷雾降尘</w:t>
            </w:r>
            <w:r>
              <w:rPr>
                <w:rFonts w:hint="eastAsia"/>
                <w:color w:val="auto"/>
                <w:spacing w:val="0"/>
                <w:sz w:val="21"/>
                <w:highlight w:val="none"/>
                <w:lang w:val="en-US" w:eastAsia="zh-CN"/>
              </w:rPr>
              <w:t>设施</w:t>
            </w:r>
            <w:r>
              <w:rPr>
                <w:rFonts w:hint="default" w:eastAsia="宋体"/>
                <w:color w:val="auto"/>
                <w:spacing w:val="0"/>
                <w:sz w:val="21"/>
                <w:highlight w:val="none"/>
                <w:lang w:val="en-US" w:eastAsia="zh-CN"/>
              </w:rPr>
              <w:t>+封闭厂房</w:t>
            </w:r>
            <w:r>
              <w:rPr>
                <w:rFonts w:hint="eastAsia"/>
                <w:color w:val="auto"/>
                <w:spacing w:val="0"/>
                <w:sz w:val="21"/>
                <w:highlight w:val="none"/>
                <w:lang w:val="en-US" w:eastAsia="zh-CN"/>
              </w:rPr>
              <w:t>处理后无组织排放</w:t>
            </w:r>
            <w:r>
              <w:rPr>
                <w:rFonts w:hint="default" w:eastAsia="宋体"/>
                <w:color w:val="auto"/>
                <w:spacing w:val="0"/>
                <w:sz w:val="21"/>
                <w:highlight w:val="none"/>
                <w:lang w:val="en-US" w:eastAsia="zh-CN"/>
              </w:rPr>
              <w:t>，除尘效率90%</w:t>
            </w:r>
          </w:p>
        </w:tc>
        <w:tc>
          <w:tcPr>
            <w:tcW w:w="716" w:type="pct"/>
            <w:vMerge w:val="continue"/>
            <w:tcBorders>
              <w:tl2br w:val="nil"/>
              <w:tr2bl w:val="nil"/>
            </w:tcBorders>
            <w:shd w:val="clear" w:color="auto" w:fill="auto"/>
            <w:noWrap w:val="0"/>
            <w:vAlign w:val="center"/>
          </w:tcPr>
          <w:p w14:paraId="31AE5FD0">
            <w:pPr>
              <w:pStyle w:val="40"/>
              <w:bidi w:val="0"/>
              <w:jc w:val="center"/>
              <w:rPr>
                <w:rFonts w:hint="eastAsia"/>
                <w:b w:val="0"/>
                <w:color w:val="auto"/>
                <w:spacing w:val="-6"/>
                <w:sz w:val="21"/>
                <w:highlight w:val="none"/>
              </w:rPr>
            </w:pPr>
          </w:p>
        </w:tc>
      </w:tr>
      <w:tr w14:paraId="491AB9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4" w:type="pct"/>
            <w:vMerge w:val="continue"/>
            <w:tcBorders>
              <w:tl2br w:val="nil"/>
              <w:tr2bl w:val="nil"/>
            </w:tcBorders>
            <w:shd w:val="clear" w:color="auto" w:fill="auto"/>
            <w:noWrap w:val="0"/>
            <w:vAlign w:val="center"/>
          </w:tcPr>
          <w:p w14:paraId="725D6013">
            <w:pPr>
              <w:pStyle w:val="40"/>
              <w:bidi w:val="0"/>
              <w:jc w:val="center"/>
              <w:rPr>
                <w:rFonts w:hint="eastAsia"/>
                <w:b w:val="0"/>
                <w:color w:val="auto"/>
                <w:spacing w:val="-6"/>
                <w:sz w:val="21"/>
                <w:highlight w:val="none"/>
              </w:rPr>
            </w:pPr>
          </w:p>
        </w:tc>
        <w:tc>
          <w:tcPr>
            <w:tcW w:w="216" w:type="pct"/>
            <w:vMerge w:val="continue"/>
            <w:tcBorders>
              <w:tl2br w:val="nil"/>
              <w:tr2bl w:val="nil"/>
            </w:tcBorders>
            <w:shd w:val="clear" w:color="auto" w:fill="auto"/>
            <w:noWrap w:val="0"/>
            <w:vAlign w:val="center"/>
          </w:tcPr>
          <w:p w14:paraId="26BD7243">
            <w:pPr>
              <w:pStyle w:val="40"/>
              <w:bidi w:val="0"/>
              <w:jc w:val="center"/>
              <w:rPr>
                <w:rFonts w:hint="eastAsia"/>
                <w:b w:val="0"/>
                <w:color w:val="auto"/>
                <w:highlight w:val="none"/>
                <w:lang w:val="en-US" w:eastAsia="zh-CN"/>
              </w:rPr>
            </w:pPr>
          </w:p>
        </w:tc>
        <w:tc>
          <w:tcPr>
            <w:tcW w:w="371" w:type="pct"/>
            <w:tcBorders>
              <w:tl2br w:val="nil"/>
              <w:tr2bl w:val="nil"/>
            </w:tcBorders>
            <w:shd w:val="clear" w:color="auto" w:fill="auto"/>
            <w:noWrap w:val="0"/>
            <w:vAlign w:val="center"/>
          </w:tcPr>
          <w:p w14:paraId="0B781F26">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G10</w:t>
            </w:r>
          </w:p>
        </w:tc>
        <w:tc>
          <w:tcPr>
            <w:tcW w:w="617" w:type="pct"/>
            <w:tcBorders>
              <w:tl2br w:val="nil"/>
              <w:tr2bl w:val="nil"/>
            </w:tcBorders>
            <w:shd w:val="clear" w:color="auto" w:fill="auto"/>
            <w:noWrap w:val="0"/>
            <w:vAlign w:val="center"/>
          </w:tcPr>
          <w:p w14:paraId="31559C85">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颗粒物</w:t>
            </w:r>
          </w:p>
        </w:tc>
        <w:tc>
          <w:tcPr>
            <w:tcW w:w="2593" w:type="pct"/>
            <w:tcBorders>
              <w:tl2br w:val="nil"/>
              <w:tr2bl w:val="nil"/>
            </w:tcBorders>
            <w:shd w:val="clear" w:color="auto" w:fill="auto"/>
            <w:noWrap w:val="0"/>
            <w:vAlign w:val="center"/>
          </w:tcPr>
          <w:p w14:paraId="33F36076">
            <w:pPr>
              <w:pStyle w:val="40"/>
              <w:bidi w:val="0"/>
              <w:ind w:firstLine="0" w:firstLineChars="0"/>
              <w:rPr>
                <w:rFonts w:hint="eastAsia" w:ascii="Times New Roman" w:hAnsi="Times New Roman" w:eastAsia="宋体" w:cs="Times New Roman"/>
                <w:b w:val="0"/>
                <w:bCs w:val="0"/>
                <w:color w:val="auto"/>
                <w:spacing w:val="0"/>
                <w:kern w:val="2"/>
                <w:sz w:val="21"/>
                <w:szCs w:val="21"/>
                <w:highlight w:val="none"/>
                <w:lang w:val="en-US" w:eastAsia="zh-CN" w:bidi="ar-SA"/>
              </w:rPr>
            </w:pPr>
            <w:r>
              <w:rPr>
                <w:rFonts w:hint="default"/>
                <w:color w:val="auto"/>
                <w:spacing w:val="0"/>
                <w:sz w:val="21"/>
                <w:highlight w:val="none"/>
              </w:rPr>
              <w:t>成球机和包膜机有固定排放口直接与风管连接，有组织收集效率为90%</w:t>
            </w:r>
            <w:r>
              <w:rPr>
                <w:rFonts w:hint="eastAsia"/>
                <w:color w:val="auto"/>
                <w:spacing w:val="0"/>
                <w:sz w:val="21"/>
                <w:highlight w:val="none"/>
                <w:lang w:eastAsia="zh-CN"/>
              </w:rPr>
              <w:t>，</w:t>
            </w:r>
            <w:r>
              <w:rPr>
                <w:rFonts w:hint="default"/>
                <w:color w:val="auto"/>
                <w:spacing w:val="0"/>
                <w:sz w:val="21"/>
                <w:highlight w:val="none"/>
              </w:rPr>
              <w:t>末端设置</w:t>
            </w:r>
            <w:r>
              <w:rPr>
                <w:rFonts w:hint="eastAsia"/>
                <w:color w:val="auto"/>
                <w:spacing w:val="0"/>
                <w:sz w:val="21"/>
                <w:highlight w:val="none"/>
                <w:lang w:val="en-US" w:eastAsia="zh-CN"/>
              </w:rPr>
              <w:t>脉冲式布袋除尘器</w:t>
            </w:r>
            <w:r>
              <w:rPr>
                <w:rFonts w:hint="default"/>
                <w:color w:val="auto"/>
                <w:spacing w:val="0"/>
                <w:sz w:val="21"/>
                <w:highlight w:val="none"/>
              </w:rPr>
              <w:t>，除尘效率为99.7%，处理达标后经1根15m高排气筒</w:t>
            </w:r>
            <w:r>
              <w:rPr>
                <w:rFonts w:hint="eastAsia"/>
                <w:color w:val="auto"/>
                <w:spacing w:val="0"/>
                <w:sz w:val="21"/>
                <w:highlight w:val="none"/>
                <w:lang w:val="en-US" w:eastAsia="zh-CN"/>
              </w:rPr>
              <w:t>有组织</w:t>
            </w:r>
            <w:r>
              <w:rPr>
                <w:rFonts w:hint="default"/>
                <w:color w:val="auto"/>
                <w:spacing w:val="0"/>
                <w:sz w:val="21"/>
                <w:highlight w:val="none"/>
              </w:rPr>
              <w:t>排放（DA00</w:t>
            </w:r>
            <w:r>
              <w:rPr>
                <w:rFonts w:hint="eastAsia"/>
                <w:color w:val="auto"/>
                <w:spacing w:val="0"/>
                <w:sz w:val="21"/>
                <w:highlight w:val="none"/>
                <w:lang w:val="en-US" w:eastAsia="zh-CN"/>
              </w:rPr>
              <w:t>3</w:t>
            </w:r>
            <w:r>
              <w:rPr>
                <w:rFonts w:hint="default"/>
                <w:color w:val="auto"/>
                <w:spacing w:val="0"/>
                <w:sz w:val="21"/>
                <w:highlight w:val="none"/>
              </w:rPr>
              <w:t>）</w:t>
            </w:r>
            <w:r>
              <w:rPr>
                <w:rFonts w:hint="eastAsia"/>
                <w:color w:val="auto"/>
                <w:spacing w:val="0"/>
                <w:sz w:val="21"/>
                <w:highlight w:val="none"/>
                <w:lang w:eastAsia="zh-CN"/>
              </w:rPr>
              <w:t>；</w:t>
            </w:r>
            <w:r>
              <w:rPr>
                <w:rFonts w:hint="eastAsia"/>
                <w:color w:val="auto"/>
                <w:spacing w:val="0"/>
                <w:sz w:val="21"/>
                <w:highlight w:val="none"/>
                <w:lang w:val="en-US" w:eastAsia="zh-CN"/>
              </w:rPr>
              <w:t>其余未收集粉尘通过</w:t>
            </w:r>
            <w:r>
              <w:rPr>
                <w:rFonts w:hint="default" w:eastAsia="宋体"/>
                <w:color w:val="auto"/>
                <w:spacing w:val="0"/>
                <w:sz w:val="21"/>
                <w:highlight w:val="none"/>
                <w:lang w:val="en-US" w:eastAsia="zh-CN"/>
              </w:rPr>
              <w:t>喷雾降尘</w:t>
            </w:r>
            <w:r>
              <w:rPr>
                <w:rFonts w:hint="eastAsia"/>
                <w:color w:val="auto"/>
                <w:spacing w:val="0"/>
                <w:sz w:val="21"/>
                <w:highlight w:val="none"/>
                <w:lang w:val="en-US" w:eastAsia="zh-CN"/>
              </w:rPr>
              <w:t>设施</w:t>
            </w:r>
            <w:r>
              <w:rPr>
                <w:rFonts w:hint="default" w:eastAsia="宋体"/>
                <w:color w:val="auto"/>
                <w:spacing w:val="0"/>
                <w:sz w:val="21"/>
                <w:highlight w:val="none"/>
                <w:lang w:val="en-US" w:eastAsia="zh-CN"/>
              </w:rPr>
              <w:t>+封闭厂房</w:t>
            </w:r>
            <w:r>
              <w:rPr>
                <w:rFonts w:hint="eastAsia"/>
                <w:color w:val="auto"/>
                <w:spacing w:val="0"/>
                <w:sz w:val="21"/>
                <w:highlight w:val="none"/>
                <w:lang w:val="en-US" w:eastAsia="zh-CN"/>
              </w:rPr>
              <w:t>处理后无组织排放</w:t>
            </w:r>
            <w:r>
              <w:rPr>
                <w:rFonts w:hint="default" w:eastAsia="宋体"/>
                <w:color w:val="auto"/>
                <w:spacing w:val="0"/>
                <w:sz w:val="21"/>
                <w:highlight w:val="none"/>
                <w:lang w:val="en-US" w:eastAsia="zh-CN"/>
              </w:rPr>
              <w:t>，除尘效率90%</w:t>
            </w:r>
          </w:p>
        </w:tc>
        <w:tc>
          <w:tcPr>
            <w:tcW w:w="716" w:type="pct"/>
            <w:vMerge w:val="continue"/>
            <w:tcBorders>
              <w:tl2br w:val="nil"/>
              <w:tr2bl w:val="nil"/>
            </w:tcBorders>
            <w:shd w:val="clear" w:color="auto" w:fill="auto"/>
            <w:noWrap w:val="0"/>
            <w:vAlign w:val="center"/>
          </w:tcPr>
          <w:p w14:paraId="2DB49393">
            <w:pPr>
              <w:pStyle w:val="40"/>
              <w:bidi w:val="0"/>
              <w:jc w:val="center"/>
              <w:rPr>
                <w:b w:val="0"/>
                <w:color w:val="auto"/>
                <w:spacing w:val="-6"/>
                <w:sz w:val="21"/>
                <w:highlight w:val="none"/>
              </w:rPr>
            </w:pPr>
          </w:p>
        </w:tc>
      </w:tr>
      <w:tr w14:paraId="7C169D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484" w:type="pct"/>
            <w:vMerge w:val="continue"/>
            <w:tcBorders>
              <w:tl2br w:val="nil"/>
              <w:tr2bl w:val="nil"/>
            </w:tcBorders>
            <w:shd w:val="clear" w:color="auto" w:fill="auto"/>
            <w:noWrap w:val="0"/>
            <w:vAlign w:val="center"/>
          </w:tcPr>
          <w:p w14:paraId="4B312FA5">
            <w:pPr>
              <w:pStyle w:val="40"/>
              <w:bidi w:val="0"/>
              <w:jc w:val="center"/>
              <w:rPr>
                <w:rFonts w:hint="eastAsia"/>
                <w:b w:val="0"/>
                <w:color w:val="auto"/>
                <w:spacing w:val="-6"/>
                <w:sz w:val="21"/>
                <w:highlight w:val="none"/>
              </w:rPr>
            </w:pPr>
          </w:p>
        </w:tc>
        <w:tc>
          <w:tcPr>
            <w:tcW w:w="216" w:type="pct"/>
            <w:vMerge w:val="continue"/>
            <w:tcBorders>
              <w:tl2br w:val="nil"/>
              <w:tr2bl w:val="nil"/>
            </w:tcBorders>
            <w:shd w:val="clear" w:color="auto" w:fill="auto"/>
            <w:noWrap w:val="0"/>
            <w:vAlign w:val="center"/>
          </w:tcPr>
          <w:p w14:paraId="598D9E9A">
            <w:pPr>
              <w:pStyle w:val="40"/>
              <w:bidi w:val="0"/>
              <w:jc w:val="center"/>
              <w:rPr>
                <w:rFonts w:hint="eastAsia"/>
                <w:b w:val="0"/>
                <w:color w:val="auto"/>
                <w:highlight w:val="none"/>
                <w:lang w:val="en-US" w:eastAsia="zh-CN"/>
              </w:rPr>
            </w:pPr>
          </w:p>
        </w:tc>
        <w:tc>
          <w:tcPr>
            <w:tcW w:w="371" w:type="pct"/>
            <w:tcBorders>
              <w:tl2br w:val="nil"/>
              <w:tr2bl w:val="nil"/>
            </w:tcBorders>
            <w:shd w:val="clear" w:color="auto" w:fill="auto"/>
            <w:noWrap w:val="0"/>
            <w:vAlign w:val="center"/>
          </w:tcPr>
          <w:p w14:paraId="6DDC29D6">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G11</w:t>
            </w:r>
          </w:p>
        </w:tc>
        <w:tc>
          <w:tcPr>
            <w:tcW w:w="617" w:type="pct"/>
            <w:tcBorders>
              <w:tl2br w:val="nil"/>
              <w:tr2bl w:val="nil"/>
            </w:tcBorders>
            <w:shd w:val="clear" w:color="auto" w:fill="auto"/>
            <w:noWrap w:val="0"/>
            <w:vAlign w:val="center"/>
          </w:tcPr>
          <w:p w14:paraId="1D6AE7D6">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颗粒物</w:t>
            </w:r>
          </w:p>
        </w:tc>
        <w:tc>
          <w:tcPr>
            <w:tcW w:w="2593" w:type="pct"/>
            <w:tcBorders>
              <w:tl2br w:val="nil"/>
              <w:tr2bl w:val="nil"/>
            </w:tcBorders>
            <w:shd w:val="clear" w:color="auto" w:fill="auto"/>
            <w:noWrap w:val="0"/>
            <w:vAlign w:val="center"/>
          </w:tcPr>
          <w:p w14:paraId="1B618B27">
            <w:pPr>
              <w:pStyle w:val="40"/>
              <w:bidi w:val="0"/>
              <w:ind w:firstLine="0" w:firstLineChars="0"/>
              <w:rPr>
                <w:rFonts w:hint="eastAsia" w:ascii="Times New Roman" w:hAnsi="Times New Roman" w:eastAsia="宋体" w:cs="Times New Roman"/>
                <w:b w:val="0"/>
                <w:bCs w:val="0"/>
                <w:color w:val="auto"/>
                <w:spacing w:val="0"/>
                <w:kern w:val="2"/>
                <w:sz w:val="21"/>
                <w:szCs w:val="21"/>
                <w:highlight w:val="none"/>
                <w:lang w:val="en-US" w:eastAsia="zh-CN" w:bidi="ar-SA"/>
              </w:rPr>
            </w:pPr>
            <w:r>
              <w:rPr>
                <w:rFonts w:hint="default"/>
                <w:color w:val="auto"/>
                <w:spacing w:val="0"/>
                <w:sz w:val="21"/>
                <w:highlight w:val="none"/>
                <w:lang w:val="en-US" w:eastAsia="zh-CN"/>
              </w:rPr>
              <w:t>振动筛机有固定排放口直接与风管连接，</w:t>
            </w:r>
            <w:r>
              <w:rPr>
                <w:rFonts w:hint="default"/>
                <w:color w:val="auto"/>
                <w:spacing w:val="0"/>
                <w:sz w:val="21"/>
                <w:highlight w:val="none"/>
              </w:rPr>
              <w:t>有组织收集效率为90%</w:t>
            </w:r>
            <w:r>
              <w:rPr>
                <w:rFonts w:hint="eastAsia"/>
                <w:color w:val="auto"/>
                <w:spacing w:val="0"/>
                <w:sz w:val="21"/>
                <w:highlight w:val="none"/>
                <w:lang w:eastAsia="zh-CN"/>
              </w:rPr>
              <w:t>，</w:t>
            </w:r>
            <w:r>
              <w:rPr>
                <w:rFonts w:hint="default"/>
                <w:color w:val="auto"/>
                <w:spacing w:val="0"/>
                <w:sz w:val="21"/>
                <w:highlight w:val="none"/>
                <w:lang w:val="en-US" w:eastAsia="zh-CN"/>
              </w:rPr>
              <w:t>末端设置</w:t>
            </w:r>
            <w:r>
              <w:rPr>
                <w:rFonts w:hint="eastAsia"/>
                <w:color w:val="auto"/>
                <w:spacing w:val="0"/>
                <w:sz w:val="21"/>
                <w:highlight w:val="none"/>
                <w:lang w:val="en-US" w:eastAsia="zh-CN"/>
              </w:rPr>
              <w:t>脉冲式布袋除尘器</w:t>
            </w:r>
            <w:r>
              <w:rPr>
                <w:rFonts w:hint="default"/>
                <w:color w:val="auto"/>
                <w:spacing w:val="0"/>
                <w:sz w:val="21"/>
                <w:highlight w:val="none"/>
                <w:lang w:val="en-US" w:eastAsia="zh-CN"/>
              </w:rPr>
              <w:t>，除尘效率为99.7%，</w:t>
            </w:r>
            <w:r>
              <w:rPr>
                <w:rFonts w:hint="default"/>
                <w:color w:val="auto"/>
                <w:spacing w:val="0"/>
                <w:sz w:val="21"/>
                <w:highlight w:val="none"/>
              </w:rPr>
              <w:t>处理达标后经1根15m高排气筒</w:t>
            </w:r>
            <w:r>
              <w:rPr>
                <w:rFonts w:hint="eastAsia"/>
                <w:color w:val="auto"/>
                <w:spacing w:val="0"/>
                <w:sz w:val="21"/>
                <w:highlight w:val="none"/>
                <w:lang w:val="en-US" w:eastAsia="zh-CN"/>
              </w:rPr>
              <w:t>有组织</w:t>
            </w:r>
            <w:r>
              <w:rPr>
                <w:rFonts w:hint="default"/>
                <w:color w:val="auto"/>
                <w:spacing w:val="0"/>
                <w:sz w:val="21"/>
                <w:highlight w:val="none"/>
              </w:rPr>
              <w:t>排放（DA00</w:t>
            </w:r>
            <w:r>
              <w:rPr>
                <w:rFonts w:hint="eastAsia"/>
                <w:color w:val="auto"/>
                <w:spacing w:val="0"/>
                <w:sz w:val="21"/>
                <w:highlight w:val="none"/>
                <w:lang w:val="en-US" w:eastAsia="zh-CN"/>
              </w:rPr>
              <w:t>4</w:t>
            </w:r>
            <w:r>
              <w:rPr>
                <w:rFonts w:hint="default"/>
                <w:color w:val="auto"/>
                <w:spacing w:val="0"/>
                <w:sz w:val="21"/>
                <w:highlight w:val="none"/>
              </w:rPr>
              <w:t>）</w:t>
            </w:r>
            <w:r>
              <w:rPr>
                <w:rFonts w:hint="eastAsia"/>
                <w:color w:val="auto"/>
                <w:spacing w:val="0"/>
                <w:sz w:val="21"/>
                <w:highlight w:val="none"/>
                <w:lang w:eastAsia="zh-CN"/>
              </w:rPr>
              <w:t>；</w:t>
            </w:r>
            <w:r>
              <w:rPr>
                <w:rFonts w:hint="eastAsia"/>
                <w:color w:val="auto"/>
                <w:spacing w:val="0"/>
                <w:sz w:val="21"/>
                <w:highlight w:val="none"/>
                <w:lang w:val="en-US" w:eastAsia="zh-CN"/>
              </w:rPr>
              <w:t>其余未收集粉尘通过</w:t>
            </w:r>
            <w:r>
              <w:rPr>
                <w:rFonts w:hint="default" w:eastAsia="宋体"/>
                <w:color w:val="auto"/>
                <w:spacing w:val="0"/>
                <w:sz w:val="21"/>
                <w:highlight w:val="none"/>
                <w:lang w:val="en-US" w:eastAsia="zh-CN"/>
              </w:rPr>
              <w:t>喷雾降尘</w:t>
            </w:r>
            <w:r>
              <w:rPr>
                <w:rFonts w:hint="eastAsia"/>
                <w:color w:val="auto"/>
                <w:spacing w:val="0"/>
                <w:sz w:val="21"/>
                <w:highlight w:val="none"/>
                <w:lang w:val="en-US" w:eastAsia="zh-CN"/>
              </w:rPr>
              <w:t>设施</w:t>
            </w:r>
            <w:r>
              <w:rPr>
                <w:rFonts w:hint="default" w:eastAsia="宋体"/>
                <w:color w:val="auto"/>
                <w:spacing w:val="0"/>
                <w:sz w:val="21"/>
                <w:highlight w:val="none"/>
                <w:lang w:val="en-US" w:eastAsia="zh-CN"/>
              </w:rPr>
              <w:t>+封闭厂房</w:t>
            </w:r>
            <w:r>
              <w:rPr>
                <w:rFonts w:hint="eastAsia"/>
                <w:color w:val="auto"/>
                <w:spacing w:val="0"/>
                <w:sz w:val="21"/>
                <w:highlight w:val="none"/>
                <w:lang w:val="en-US" w:eastAsia="zh-CN"/>
              </w:rPr>
              <w:t>处理后无组织排放</w:t>
            </w:r>
            <w:r>
              <w:rPr>
                <w:rFonts w:hint="default" w:eastAsia="宋体"/>
                <w:color w:val="auto"/>
                <w:spacing w:val="0"/>
                <w:sz w:val="21"/>
                <w:highlight w:val="none"/>
                <w:lang w:val="en-US" w:eastAsia="zh-CN"/>
              </w:rPr>
              <w:t>，除尘效率90%</w:t>
            </w:r>
          </w:p>
        </w:tc>
        <w:tc>
          <w:tcPr>
            <w:tcW w:w="716" w:type="pct"/>
            <w:vMerge w:val="continue"/>
            <w:tcBorders>
              <w:tl2br w:val="nil"/>
              <w:tr2bl w:val="nil"/>
            </w:tcBorders>
            <w:shd w:val="clear" w:color="auto" w:fill="auto"/>
            <w:noWrap w:val="0"/>
            <w:vAlign w:val="center"/>
          </w:tcPr>
          <w:p w14:paraId="4D4110D8">
            <w:pPr>
              <w:pStyle w:val="40"/>
              <w:bidi w:val="0"/>
              <w:jc w:val="center"/>
              <w:rPr>
                <w:b w:val="0"/>
                <w:color w:val="auto"/>
                <w:spacing w:val="-6"/>
                <w:sz w:val="21"/>
                <w:highlight w:val="none"/>
              </w:rPr>
            </w:pPr>
          </w:p>
        </w:tc>
      </w:tr>
      <w:tr w14:paraId="17A2DF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484" w:type="pct"/>
            <w:vMerge w:val="continue"/>
            <w:tcBorders>
              <w:tl2br w:val="nil"/>
              <w:tr2bl w:val="nil"/>
            </w:tcBorders>
            <w:shd w:val="clear" w:color="auto" w:fill="auto"/>
            <w:noWrap w:val="0"/>
            <w:vAlign w:val="center"/>
          </w:tcPr>
          <w:p w14:paraId="0E0EED1A">
            <w:pPr>
              <w:pStyle w:val="40"/>
              <w:bidi w:val="0"/>
              <w:jc w:val="center"/>
              <w:rPr>
                <w:rFonts w:hint="eastAsia"/>
                <w:b w:val="0"/>
                <w:color w:val="auto"/>
                <w:spacing w:val="-6"/>
                <w:sz w:val="21"/>
                <w:highlight w:val="none"/>
              </w:rPr>
            </w:pPr>
          </w:p>
        </w:tc>
        <w:tc>
          <w:tcPr>
            <w:tcW w:w="216" w:type="pct"/>
            <w:vMerge w:val="continue"/>
            <w:tcBorders>
              <w:tl2br w:val="nil"/>
              <w:tr2bl w:val="nil"/>
            </w:tcBorders>
            <w:shd w:val="clear" w:color="auto" w:fill="auto"/>
            <w:noWrap w:val="0"/>
            <w:vAlign w:val="center"/>
          </w:tcPr>
          <w:p w14:paraId="3F7087EB">
            <w:pPr>
              <w:pStyle w:val="40"/>
              <w:bidi w:val="0"/>
              <w:jc w:val="center"/>
              <w:rPr>
                <w:rFonts w:hint="eastAsia"/>
                <w:b w:val="0"/>
                <w:color w:val="auto"/>
                <w:highlight w:val="none"/>
                <w:lang w:val="en-US" w:eastAsia="zh-CN"/>
              </w:rPr>
            </w:pPr>
          </w:p>
        </w:tc>
        <w:tc>
          <w:tcPr>
            <w:tcW w:w="371" w:type="pct"/>
            <w:vMerge w:val="restart"/>
            <w:tcBorders>
              <w:tl2br w:val="nil"/>
              <w:tr2bl w:val="nil"/>
            </w:tcBorders>
            <w:shd w:val="clear" w:color="auto" w:fill="auto"/>
            <w:noWrap w:val="0"/>
            <w:vAlign w:val="center"/>
          </w:tcPr>
          <w:p w14:paraId="471254F5">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G12</w:t>
            </w:r>
          </w:p>
        </w:tc>
        <w:tc>
          <w:tcPr>
            <w:tcW w:w="617" w:type="pct"/>
            <w:tcBorders>
              <w:tl2br w:val="nil"/>
              <w:tr2bl w:val="nil"/>
            </w:tcBorders>
            <w:shd w:val="clear" w:color="auto" w:fill="auto"/>
            <w:noWrap w:val="0"/>
            <w:vAlign w:val="center"/>
          </w:tcPr>
          <w:p w14:paraId="3FFF5633">
            <w:pPr>
              <w:pStyle w:val="40"/>
              <w:bidi w:val="0"/>
              <w:ind w:firstLine="0" w:firstLineChars="0"/>
              <w:jc w:val="center"/>
              <w:rPr>
                <w:rFonts w:hint="eastAsia"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sz w:val="21"/>
                <w:highlight w:val="none"/>
                <w:lang w:val="en-US" w:eastAsia="zh-CN"/>
              </w:rPr>
              <w:t>SO</w:t>
            </w:r>
            <w:r>
              <w:rPr>
                <w:rFonts w:hint="eastAsia"/>
                <w:color w:val="auto"/>
                <w:spacing w:val="-6"/>
                <w:sz w:val="21"/>
                <w:highlight w:val="none"/>
                <w:vertAlign w:val="subscript"/>
                <w:lang w:val="en-US" w:eastAsia="zh-CN"/>
              </w:rPr>
              <w:t>2</w:t>
            </w:r>
          </w:p>
        </w:tc>
        <w:tc>
          <w:tcPr>
            <w:tcW w:w="2593" w:type="pct"/>
            <w:vMerge w:val="restart"/>
            <w:tcBorders>
              <w:tl2br w:val="nil"/>
              <w:tr2bl w:val="nil"/>
            </w:tcBorders>
            <w:shd w:val="clear" w:color="auto" w:fill="auto"/>
            <w:noWrap w:val="0"/>
            <w:vAlign w:val="center"/>
          </w:tcPr>
          <w:p w14:paraId="6E822896">
            <w:pPr>
              <w:pStyle w:val="40"/>
              <w:bidi w:val="0"/>
              <w:ind w:firstLine="0" w:firstLineChars="0"/>
              <w:rPr>
                <w:rFonts w:hint="eastAsia" w:ascii="Times New Roman" w:hAnsi="Times New Roman" w:eastAsia="宋体" w:cs="Times New Roman"/>
                <w:b w:val="0"/>
                <w:bCs w:val="0"/>
                <w:color w:val="auto"/>
                <w:spacing w:val="0"/>
                <w:kern w:val="2"/>
                <w:sz w:val="21"/>
                <w:szCs w:val="21"/>
                <w:highlight w:val="none"/>
                <w:lang w:val="en-US" w:eastAsia="zh-CN" w:bidi="ar-SA"/>
              </w:rPr>
            </w:pPr>
            <w:r>
              <w:rPr>
                <w:rFonts w:hint="default"/>
                <w:color w:val="auto"/>
                <w:spacing w:val="0"/>
                <w:sz w:val="21"/>
                <w:highlight w:val="none"/>
              </w:rPr>
              <w:t>低氮燃烧+多管除尘器+脉冲布袋除尘器，氮氧化物产生量降低30%，颗粒物除尘效率90%，处理达标后经1根</w:t>
            </w:r>
            <w:r>
              <w:rPr>
                <w:rFonts w:hint="eastAsia"/>
                <w:color w:val="auto"/>
                <w:spacing w:val="0"/>
                <w:sz w:val="21"/>
                <w:highlight w:val="none"/>
                <w:lang w:val="en-US" w:eastAsia="zh-CN"/>
              </w:rPr>
              <w:t>40</w:t>
            </w:r>
            <w:r>
              <w:rPr>
                <w:rFonts w:hint="default"/>
                <w:color w:val="auto"/>
                <w:spacing w:val="0"/>
                <w:sz w:val="21"/>
                <w:highlight w:val="none"/>
              </w:rPr>
              <w:t>m高排气筒</w:t>
            </w:r>
            <w:r>
              <w:rPr>
                <w:rFonts w:hint="eastAsia"/>
                <w:color w:val="auto"/>
                <w:spacing w:val="0"/>
                <w:sz w:val="21"/>
                <w:highlight w:val="none"/>
                <w:lang w:val="en-US" w:eastAsia="zh-CN"/>
              </w:rPr>
              <w:t>有组织</w:t>
            </w:r>
            <w:r>
              <w:rPr>
                <w:rFonts w:hint="default"/>
                <w:color w:val="auto"/>
                <w:spacing w:val="0"/>
                <w:sz w:val="21"/>
                <w:highlight w:val="none"/>
              </w:rPr>
              <w:t>排放（DA00</w:t>
            </w:r>
            <w:r>
              <w:rPr>
                <w:rFonts w:hint="eastAsia"/>
                <w:color w:val="auto"/>
                <w:spacing w:val="0"/>
                <w:sz w:val="21"/>
                <w:highlight w:val="none"/>
                <w:lang w:val="en-US" w:eastAsia="zh-CN"/>
              </w:rPr>
              <w:t>5</w:t>
            </w:r>
            <w:r>
              <w:rPr>
                <w:rFonts w:hint="default"/>
                <w:color w:val="auto"/>
                <w:spacing w:val="0"/>
                <w:sz w:val="21"/>
                <w:highlight w:val="none"/>
              </w:rPr>
              <w:t>）</w:t>
            </w:r>
          </w:p>
        </w:tc>
        <w:tc>
          <w:tcPr>
            <w:tcW w:w="716" w:type="pct"/>
            <w:vMerge w:val="continue"/>
            <w:tcBorders>
              <w:tl2br w:val="nil"/>
              <w:tr2bl w:val="nil"/>
            </w:tcBorders>
            <w:shd w:val="clear" w:color="auto" w:fill="auto"/>
            <w:noWrap w:val="0"/>
            <w:vAlign w:val="center"/>
          </w:tcPr>
          <w:p w14:paraId="156B0E19">
            <w:pPr>
              <w:pStyle w:val="40"/>
              <w:bidi w:val="0"/>
              <w:jc w:val="center"/>
              <w:rPr>
                <w:b w:val="0"/>
                <w:color w:val="auto"/>
                <w:spacing w:val="-6"/>
                <w:sz w:val="21"/>
                <w:highlight w:val="none"/>
              </w:rPr>
            </w:pPr>
          </w:p>
        </w:tc>
      </w:tr>
      <w:tr w14:paraId="54E3A6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4" w:type="pct"/>
            <w:vMerge w:val="continue"/>
            <w:tcBorders>
              <w:tl2br w:val="nil"/>
              <w:tr2bl w:val="nil"/>
            </w:tcBorders>
            <w:shd w:val="clear" w:color="auto" w:fill="auto"/>
            <w:noWrap w:val="0"/>
            <w:vAlign w:val="center"/>
          </w:tcPr>
          <w:p w14:paraId="2D4ED603">
            <w:pPr>
              <w:pStyle w:val="40"/>
              <w:bidi w:val="0"/>
              <w:jc w:val="center"/>
              <w:rPr>
                <w:rFonts w:hint="eastAsia"/>
                <w:b w:val="0"/>
                <w:color w:val="auto"/>
                <w:spacing w:val="-6"/>
                <w:sz w:val="21"/>
                <w:highlight w:val="none"/>
              </w:rPr>
            </w:pPr>
          </w:p>
        </w:tc>
        <w:tc>
          <w:tcPr>
            <w:tcW w:w="216" w:type="pct"/>
            <w:vMerge w:val="continue"/>
            <w:tcBorders>
              <w:tl2br w:val="nil"/>
              <w:tr2bl w:val="nil"/>
            </w:tcBorders>
            <w:shd w:val="clear" w:color="auto" w:fill="auto"/>
            <w:noWrap w:val="0"/>
            <w:vAlign w:val="center"/>
          </w:tcPr>
          <w:p w14:paraId="6B663C96">
            <w:pPr>
              <w:pStyle w:val="40"/>
              <w:bidi w:val="0"/>
              <w:jc w:val="center"/>
              <w:rPr>
                <w:rFonts w:hint="eastAsia"/>
                <w:b w:val="0"/>
                <w:color w:val="auto"/>
                <w:highlight w:val="none"/>
                <w:lang w:val="en-US" w:eastAsia="zh-CN"/>
              </w:rPr>
            </w:pPr>
          </w:p>
        </w:tc>
        <w:tc>
          <w:tcPr>
            <w:tcW w:w="371" w:type="pct"/>
            <w:vMerge w:val="continue"/>
            <w:tcBorders>
              <w:tl2br w:val="nil"/>
              <w:tr2bl w:val="nil"/>
            </w:tcBorders>
            <w:shd w:val="clear" w:color="auto" w:fill="auto"/>
            <w:noWrap w:val="0"/>
            <w:vAlign w:val="center"/>
          </w:tcPr>
          <w:p w14:paraId="3ECE20A0">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p>
        </w:tc>
        <w:tc>
          <w:tcPr>
            <w:tcW w:w="617" w:type="pct"/>
            <w:tcBorders>
              <w:tl2br w:val="nil"/>
              <w:tr2bl w:val="nil"/>
            </w:tcBorders>
            <w:shd w:val="clear" w:color="auto" w:fill="auto"/>
            <w:noWrap w:val="0"/>
            <w:vAlign w:val="center"/>
          </w:tcPr>
          <w:p w14:paraId="6C2B4E98">
            <w:pPr>
              <w:pStyle w:val="40"/>
              <w:bidi w:val="0"/>
              <w:ind w:firstLine="0" w:firstLineChars="0"/>
              <w:jc w:val="center"/>
              <w:rPr>
                <w:rFonts w:hint="eastAsia"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sz w:val="21"/>
                <w:highlight w:val="none"/>
                <w:lang w:val="en-US" w:eastAsia="zh-CN"/>
              </w:rPr>
              <w:t>颗粒物</w:t>
            </w:r>
          </w:p>
        </w:tc>
        <w:tc>
          <w:tcPr>
            <w:tcW w:w="2593" w:type="pct"/>
            <w:vMerge w:val="continue"/>
            <w:tcBorders>
              <w:tl2br w:val="nil"/>
              <w:tr2bl w:val="nil"/>
            </w:tcBorders>
            <w:shd w:val="clear" w:color="auto" w:fill="auto"/>
            <w:noWrap w:val="0"/>
            <w:vAlign w:val="center"/>
          </w:tcPr>
          <w:p w14:paraId="6C6D770C">
            <w:pPr>
              <w:pStyle w:val="40"/>
              <w:bidi w:val="0"/>
              <w:ind w:firstLine="0" w:firstLineChars="0"/>
              <w:rPr>
                <w:rFonts w:hint="eastAsia" w:ascii="Times New Roman" w:hAnsi="Times New Roman" w:eastAsia="宋体" w:cs="Times New Roman"/>
                <w:b w:val="0"/>
                <w:bCs w:val="0"/>
                <w:color w:val="auto"/>
                <w:spacing w:val="0"/>
                <w:kern w:val="2"/>
                <w:sz w:val="21"/>
                <w:szCs w:val="21"/>
                <w:highlight w:val="none"/>
                <w:lang w:val="en-US" w:eastAsia="zh-CN" w:bidi="ar-SA"/>
              </w:rPr>
            </w:pPr>
          </w:p>
        </w:tc>
        <w:tc>
          <w:tcPr>
            <w:tcW w:w="716" w:type="pct"/>
            <w:vMerge w:val="continue"/>
            <w:tcBorders>
              <w:tl2br w:val="nil"/>
              <w:tr2bl w:val="nil"/>
            </w:tcBorders>
            <w:shd w:val="clear" w:color="auto" w:fill="auto"/>
            <w:noWrap w:val="0"/>
            <w:vAlign w:val="center"/>
          </w:tcPr>
          <w:p w14:paraId="0AFA7209">
            <w:pPr>
              <w:pStyle w:val="40"/>
              <w:bidi w:val="0"/>
              <w:jc w:val="center"/>
              <w:rPr>
                <w:b w:val="0"/>
                <w:color w:val="auto"/>
                <w:spacing w:val="-6"/>
                <w:sz w:val="21"/>
                <w:highlight w:val="none"/>
              </w:rPr>
            </w:pPr>
          </w:p>
        </w:tc>
      </w:tr>
      <w:tr w14:paraId="4A6223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4" w:type="pct"/>
            <w:vMerge w:val="continue"/>
            <w:tcBorders>
              <w:tl2br w:val="nil"/>
              <w:tr2bl w:val="nil"/>
            </w:tcBorders>
            <w:shd w:val="clear" w:color="auto" w:fill="auto"/>
            <w:noWrap w:val="0"/>
            <w:vAlign w:val="center"/>
          </w:tcPr>
          <w:p w14:paraId="3CD1A9D5">
            <w:pPr>
              <w:pStyle w:val="40"/>
              <w:bidi w:val="0"/>
              <w:jc w:val="center"/>
              <w:rPr>
                <w:rFonts w:hint="eastAsia"/>
                <w:b w:val="0"/>
                <w:color w:val="auto"/>
                <w:spacing w:val="-6"/>
                <w:sz w:val="21"/>
                <w:highlight w:val="none"/>
              </w:rPr>
            </w:pPr>
          </w:p>
        </w:tc>
        <w:tc>
          <w:tcPr>
            <w:tcW w:w="216" w:type="pct"/>
            <w:vMerge w:val="continue"/>
            <w:tcBorders>
              <w:tl2br w:val="nil"/>
              <w:tr2bl w:val="nil"/>
            </w:tcBorders>
            <w:shd w:val="clear" w:color="auto" w:fill="auto"/>
            <w:noWrap w:val="0"/>
            <w:vAlign w:val="center"/>
          </w:tcPr>
          <w:p w14:paraId="08CB1F83">
            <w:pPr>
              <w:pStyle w:val="40"/>
              <w:bidi w:val="0"/>
              <w:jc w:val="center"/>
              <w:rPr>
                <w:rFonts w:hint="default"/>
                <w:b w:val="0"/>
                <w:color w:val="auto"/>
                <w:highlight w:val="none"/>
                <w:lang w:val="en-US" w:eastAsia="zh-CN"/>
              </w:rPr>
            </w:pPr>
          </w:p>
        </w:tc>
        <w:tc>
          <w:tcPr>
            <w:tcW w:w="371" w:type="pct"/>
            <w:vMerge w:val="continue"/>
            <w:tcBorders>
              <w:tl2br w:val="nil"/>
              <w:tr2bl w:val="nil"/>
            </w:tcBorders>
            <w:shd w:val="clear" w:color="auto" w:fill="auto"/>
            <w:noWrap w:val="0"/>
            <w:vAlign w:val="center"/>
          </w:tcPr>
          <w:p w14:paraId="0AE0A47B">
            <w:pPr>
              <w:pStyle w:val="40"/>
              <w:bidi w:val="0"/>
              <w:ind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617" w:type="pct"/>
            <w:tcBorders>
              <w:tl2br w:val="nil"/>
              <w:tr2bl w:val="nil"/>
            </w:tcBorders>
            <w:shd w:val="clear" w:color="auto" w:fill="auto"/>
            <w:noWrap w:val="0"/>
            <w:vAlign w:val="center"/>
          </w:tcPr>
          <w:p w14:paraId="61235047">
            <w:pPr>
              <w:pStyle w:val="40"/>
              <w:bidi w:val="0"/>
              <w:ind w:firstLine="0" w:firstLineChars="0"/>
              <w:jc w:val="center"/>
              <w:rPr>
                <w:rFonts w:hint="eastAsia"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sz w:val="21"/>
                <w:highlight w:val="none"/>
                <w:lang w:val="en-US" w:eastAsia="zh-CN"/>
              </w:rPr>
              <w:t>NO</w:t>
            </w:r>
            <w:r>
              <w:rPr>
                <w:rFonts w:hint="eastAsia"/>
                <w:color w:val="auto"/>
                <w:spacing w:val="-6"/>
                <w:sz w:val="21"/>
                <w:highlight w:val="none"/>
                <w:vertAlign w:val="subscript"/>
                <w:lang w:val="en-US" w:eastAsia="zh-CN"/>
              </w:rPr>
              <w:t>X</w:t>
            </w:r>
          </w:p>
        </w:tc>
        <w:tc>
          <w:tcPr>
            <w:tcW w:w="2593" w:type="pct"/>
            <w:vMerge w:val="continue"/>
            <w:tcBorders>
              <w:tl2br w:val="nil"/>
              <w:tr2bl w:val="nil"/>
            </w:tcBorders>
            <w:shd w:val="clear" w:color="auto" w:fill="auto"/>
            <w:noWrap w:val="0"/>
            <w:vAlign w:val="center"/>
          </w:tcPr>
          <w:p w14:paraId="2C34B0FE">
            <w:pPr>
              <w:pStyle w:val="40"/>
              <w:bidi w:val="0"/>
              <w:ind w:firstLine="0" w:firstLineChars="0"/>
              <w:rPr>
                <w:rFonts w:hint="eastAsia"/>
                <w:b w:val="0"/>
                <w:color w:val="auto"/>
                <w:spacing w:val="0"/>
                <w:sz w:val="21"/>
                <w:highlight w:val="none"/>
                <w:lang w:val="en-US" w:eastAsia="zh-CN"/>
              </w:rPr>
            </w:pPr>
          </w:p>
        </w:tc>
        <w:tc>
          <w:tcPr>
            <w:tcW w:w="716" w:type="pct"/>
            <w:vMerge w:val="continue"/>
            <w:tcBorders>
              <w:tl2br w:val="nil"/>
              <w:tr2bl w:val="nil"/>
            </w:tcBorders>
            <w:shd w:val="clear" w:color="auto" w:fill="auto"/>
            <w:noWrap w:val="0"/>
            <w:vAlign w:val="center"/>
          </w:tcPr>
          <w:p w14:paraId="3110BD70">
            <w:pPr>
              <w:pStyle w:val="40"/>
              <w:bidi w:val="0"/>
              <w:ind w:firstLine="0" w:firstLineChars="0"/>
              <w:jc w:val="center"/>
              <w:rPr>
                <w:rFonts w:hint="eastAsia" w:ascii="Times New Roman" w:hAnsi="Times New Roman" w:eastAsia="宋体" w:cs="Times New Roman"/>
                <w:b w:val="0"/>
                <w:bCs w:val="0"/>
                <w:color w:val="auto"/>
                <w:spacing w:val="-6"/>
                <w:kern w:val="2"/>
                <w:sz w:val="21"/>
                <w:szCs w:val="21"/>
                <w:highlight w:val="none"/>
                <w:lang w:val="en-US" w:eastAsia="zh-CN" w:bidi="ar-SA"/>
              </w:rPr>
            </w:pPr>
          </w:p>
        </w:tc>
      </w:tr>
      <w:tr w14:paraId="28700D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484" w:type="pct"/>
            <w:vMerge w:val="continue"/>
            <w:tcBorders>
              <w:tl2br w:val="nil"/>
              <w:tr2bl w:val="nil"/>
            </w:tcBorders>
            <w:shd w:val="clear" w:color="auto" w:fill="auto"/>
            <w:noWrap w:val="0"/>
            <w:vAlign w:val="center"/>
          </w:tcPr>
          <w:p w14:paraId="580EC602">
            <w:pPr>
              <w:pStyle w:val="40"/>
              <w:bidi w:val="0"/>
              <w:jc w:val="center"/>
              <w:rPr>
                <w:rFonts w:hint="eastAsia"/>
                <w:b w:val="0"/>
                <w:color w:val="auto"/>
                <w:spacing w:val="-6"/>
                <w:sz w:val="21"/>
                <w:highlight w:val="none"/>
              </w:rPr>
            </w:pPr>
          </w:p>
        </w:tc>
        <w:tc>
          <w:tcPr>
            <w:tcW w:w="216" w:type="pct"/>
            <w:vMerge w:val="continue"/>
            <w:tcBorders>
              <w:tl2br w:val="nil"/>
              <w:tr2bl w:val="nil"/>
            </w:tcBorders>
            <w:shd w:val="clear" w:color="auto" w:fill="auto"/>
            <w:noWrap w:val="0"/>
            <w:vAlign w:val="center"/>
          </w:tcPr>
          <w:p w14:paraId="62D6FEE4">
            <w:pPr>
              <w:pStyle w:val="40"/>
              <w:bidi w:val="0"/>
              <w:jc w:val="center"/>
              <w:rPr>
                <w:rFonts w:hint="eastAsia"/>
                <w:b w:val="0"/>
                <w:color w:val="auto"/>
                <w:highlight w:val="none"/>
                <w:lang w:val="en-US" w:eastAsia="zh-CN"/>
              </w:rPr>
            </w:pPr>
          </w:p>
        </w:tc>
        <w:tc>
          <w:tcPr>
            <w:tcW w:w="371" w:type="pct"/>
            <w:tcBorders>
              <w:tl2br w:val="nil"/>
              <w:tr2bl w:val="nil"/>
            </w:tcBorders>
            <w:shd w:val="clear" w:color="auto" w:fill="auto"/>
            <w:noWrap w:val="0"/>
            <w:vAlign w:val="center"/>
          </w:tcPr>
          <w:p w14:paraId="33856BF4">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G13</w:t>
            </w:r>
          </w:p>
        </w:tc>
        <w:tc>
          <w:tcPr>
            <w:tcW w:w="617" w:type="pct"/>
            <w:tcBorders>
              <w:tl2br w:val="nil"/>
              <w:tr2bl w:val="nil"/>
            </w:tcBorders>
            <w:shd w:val="clear" w:color="auto" w:fill="auto"/>
            <w:noWrap w:val="0"/>
            <w:vAlign w:val="center"/>
          </w:tcPr>
          <w:p w14:paraId="55C3A391">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颗粒物</w:t>
            </w:r>
          </w:p>
        </w:tc>
        <w:tc>
          <w:tcPr>
            <w:tcW w:w="2593" w:type="pct"/>
            <w:tcBorders>
              <w:tl2br w:val="nil"/>
              <w:tr2bl w:val="nil"/>
            </w:tcBorders>
            <w:shd w:val="clear" w:color="auto" w:fill="auto"/>
            <w:noWrap w:val="0"/>
            <w:vAlign w:val="center"/>
          </w:tcPr>
          <w:p w14:paraId="58819414">
            <w:pPr>
              <w:pStyle w:val="40"/>
              <w:bidi w:val="0"/>
              <w:ind w:firstLine="0" w:firstLineChars="0"/>
              <w:jc w:val="center"/>
              <w:rPr>
                <w:rFonts w:hint="eastAsia" w:ascii="Times New Roman" w:hAnsi="Times New Roman" w:eastAsia="宋体" w:cs="Times New Roman"/>
                <w:b w:val="0"/>
                <w:bCs w:val="0"/>
                <w:color w:val="auto"/>
                <w:spacing w:val="0"/>
                <w:kern w:val="2"/>
                <w:sz w:val="21"/>
                <w:szCs w:val="21"/>
                <w:highlight w:val="none"/>
                <w:lang w:val="en-US" w:eastAsia="zh-CN" w:bidi="ar-SA"/>
              </w:rPr>
            </w:pPr>
            <w:r>
              <w:rPr>
                <w:rFonts w:hint="eastAsia"/>
                <w:color w:val="auto"/>
                <w:spacing w:val="0"/>
                <w:sz w:val="21"/>
                <w:highlight w:val="none"/>
                <w:lang w:val="en-US" w:eastAsia="zh-CN"/>
              </w:rPr>
              <w:t>同G11</w:t>
            </w:r>
          </w:p>
        </w:tc>
        <w:tc>
          <w:tcPr>
            <w:tcW w:w="716" w:type="pct"/>
            <w:vMerge w:val="continue"/>
            <w:tcBorders>
              <w:tl2br w:val="nil"/>
              <w:tr2bl w:val="nil"/>
            </w:tcBorders>
            <w:shd w:val="clear" w:color="auto" w:fill="auto"/>
            <w:noWrap w:val="0"/>
            <w:vAlign w:val="center"/>
          </w:tcPr>
          <w:p w14:paraId="1F9265C4">
            <w:pPr>
              <w:pStyle w:val="40"/>
              <w:bidi w:val="0"/>
              <w:jc w:val="center"/>
              <w:rPr>
                <w:rFonts w:hint="eastAsia"/>
                <w:b w:val="0"/>
                <w:color w:val="auto"/>
                <w:spacing w:val="-6"/>
                <w:sz w:val="21"/>
                <w:highlight w:val="none"/>
              </w:rPr>
            </w:pPr>
          </w:p>
        </w:tc>
      </w:tr>
      <w:tr w14:paraId="1FDA40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484" w:type="pct"/>
            <w:vMerge w:val="continue"/>
            <w:tcBorders>
              <w:tl2br w:val="nil"/>
              <w:tr2bl w:val="nil"/>
            </w:tcBorders>
            <w:shd w:val="clear" w:color="auto" w:fill="auto"/>
            <w:noWrap w:val="0"/>
            <w:vAlign w:val="center"/>
          </w:tcPr>
          <w:p w14:paraId="18F0557B">
            <w:pPr>
              <w:pStyle w:val="40"/>
              <w:bidi w:val="0"/>
              <w:jc w:val="center"/>
              <w:rPr>
                <w:rFonts w:hint="eastAsia"/>
                <w:b w:val="0"/>
                <w:color w:val="auto"/>
                <w:spacing w:val="-6"/>
                <w:sz w:val="21"/>
                <w:highlight w:val="none"/>
              </w:rPr>
            </w:pPr>
          </w:p>
        </w:tc>
        <w:tc>
          <w:tcPr>
            <w:tcW w:w="216" w:type="pct"/>
            <w:vMerge w:val="restart"/>
            <w:tcBorders>
              <w:tl2br w:val="nil"/>
              <w:tr2bl w:val="nil"/>
            </w:tcBorders>
            <w:shd w:val="clear" w:color="auto" w:fill="auto"/>
            <w:noWrap w:val="0"/>
            <w:vAlign w:val="center"/>
          </w:tcPr>
          <w:p w14:paraId="74B02DC3">
            <w:pPr>
              <w:pStyle w:val="40"/>
              <w:bidi w:val="0"/>
              <w:jc w:val="center"/>
              <w:rPr>
                <w:rFonts w:hint="default"/>
                <w:b w:val="0"/>
                <w:color w:val="auto"/>
                <w:highlight w:val="none"/>
                <w:lang w:val="en-US" w:eastAsia="zh-CN"/>
              </w:rPr>
            </w:pPr>
            <w:r>
              <w:rPr>
                <w:rFonts w:hint="eastAsia"/>
                <w:b w:val="0"/>
                <w:color w:val="auto"/>
                <w:highlight w:val="none"/>
                <w:lang w:val="en-US" w:eastAsia="zh-CN"/>
              </w:rPr>
              <w:t>混凝土生产线</w:t>
            </w:r>
          </w:p>
        </w:tc>
        <w:tc>
          <w:tcPr>
            <w:tcW w:w="371" w:type="pct"/>
            <w:tcBorders>
              <w:tl2br w:val="nil"/>
              <w:tr2bl w:val="nil"/>
            </w:tcBorders>
            <w:shd w:val="clear" w:color="auto" w:fill="auto"/>
            <w:noWrap w:val="0"/>
            <w:vAlign w:val="center"/>
          </w:tcPr>
          <w:p w14:paraId="1F5E3EB6">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G14</w:t>
            </w:r>
          </w:p>
        </w:tc>
        <w:tc>
          <w:tcPr>
            <w:tcW w:w="617" w:type="pct"/>
            <w:tcBorders>
              <w:tl2br w:val="nil"/>
              <w:tr2bl w:val="nil"/>
            </w:tcBorders>
            <w:shd w:val="clear" w:color="auto" w:fill="auto"/>
            <w:noWrap w:val="0"/>
            <w:vAlign w:val="center"/>
          </w:tcPr>
          <w:p w14:paraId="41BE4C45">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颗粒物</w:t>
            </w:r>
          </w:p>
        </w:tc>
        <w:tc>
          <w:tcPr>
            <w:tcW w:w="2593" w:type="pct"/>
            <w:tcBorders>
              <w:tl2br w:val="nil"/>
              <w:tr2bl w:val="nil"/>
            </w:tcBorders>
            <w:shd w:val="clear" w:color="auto" w:fill="auto"/>
            <w:noWrap w:val="0"/>
            <w:vAlign w:val="center"/>
          </w:tcPr>
          <w:p w14:paraId="4D9818FE">
            <w:pPr>
              <w:pStyle w:val="40"/>
              <w:bidi w:val="0"/>
              <w:ind w:firstLine="0" w:firstLineChars="0"/>
              <w:jc w:val="center"/>
              <w:rPr>
                <w:rFonts w:hint="eastAsia" w:ascii="Times New Roman" w:hAnsi="Times New Roman" w:eastAsia="宋体" w:cs="Times New Roman"/>
                <w:b w:val="0"/>
                <w:bCs w:val="0"/>
                <w:color w:val="auto"/>
                <w:spacing w:val="0"/>
                <w:kern w:val="2"/>
                <w:sz w:val="21"/>
                <w:szCs w:val="21"/>
                <w:highlight w:val="none"/>
                <w:lang w:val="en-US" w:eastAsia="zh-CN" w:bidi="ar-SA"/>
              </w:rPr>
            </w:pPr>
            <w:r>
              <w:rPr>
                <w:rFonts w:hint="default"/>
                <w:color w:val="auto"/>
                <w:spacing w:val="-6"/>
                <w:sz w:val="21"/>
                <w:highlight w:val="none"/>
              </w:rPr>
              <w:t>仓顶自带脉冲式布袋除尘器</w:t>
            </w:r>
            <w:r>
              <w:rPr>
                <w:color w:val="auto"/>
                <w:spacing w:val="-6"/>
                <w:sz w:val="21"/>
                <w:highlight w:val="none"/>
              </w:rPr>
              <w:t>（</w:t>
            </w:r>
            <w:r>
              <w:rPr>
                <w:rFonts w:hint="eastAsia"/>
                <w:color w:val="auto"/>
                <w:spacing w:val="-6"/>
                <w:sz w:val="21"/>
                <w:highlight w:val="none"/>
                <w:lang w:val="en-US" w:eastAsia="zh-CN"/>
              </w:rPr>
              <w:t>2</w:t>
            </w:r>
            <w:r>
              <w:rPr>
                <w:color w:val="auto"/>
                <w:spacing w:val="-6"/>
                <w:sz w:val="21"/>
                <w:highlight w:val="none"/>
              </w:rPr>
              <w:t>套）</w:t>
            </w:r>
            <w:r>
              <w:rPr>
                <w:rFonts w:hint="default"/>
                <w:color w:val="auto"/>
                <w:spacing w:val="-6"/>
                <w:sz w:val="21"/>
                <w:highlight w:val="none"/>
              </w:rPr>
              <w:t>，除尘效率为99.7%</w:t>
            </w:r>
            <w:r>
              <w:rPr>
                <w:rFonts w:hint="eastAsia"/>
                <w:color w:val="auto"/>
                <w:spacing w:val="-6"/>
                <w:sz w:val="21"/>
                <w:highlight w:val="none"/>
                <w:lang w:eastAsia="zh-CN"/>
              </w:rPr>
              <w:t>，</w:t>
            </w:r>
            <w:r>
              <w:rPr>
                <w:rFonts w:hint="eastAsia"/>
                <w:color w:val="auto"/>
                <w:spacing w:val="-6"/>
                <w:sz w:val="21"/>
                <w:highlight w:val="none"/>
              </w:rPr>
              <w:t>粉尘</w:t>
            </w:r>
            <w:r>
              <w:rPr>
                <w:color w:val="auto"/>
                <w:spacing w:val="-6"/>
                <w:sz w:val="21"/>
                <w:highlight w:val="none"/>
              </w:rPr>
              <w:t>经</w:t>
            </w:r>
            <w:r>
              <w:rPr>
                <w:rFonts w:hint="eastAsia"/>
                <w:color w:val="auto"/>
                <w:spacing w:val="-6"/>
                <w:sz w:val="21"/>
                <w:highlight w:val="none"/>
              </w:rPr>
              <w:t>处理后</w:t>
            </w:r>
            <w:r>
              <w:rPr>
                <w:rFonts w:hint="eastAsia"/>
                <w:color w:val="auto"/>
                <w:spacing w:val="-6"/>
                <w:sz w:val="21"/>
                <w:highlight w:val="none"/>
                <w:lang w:val="en-US" w:eastAsia="zh-CN"/>
              </w:rPr>
              <w:t>由</w:t>
            </w:r>
            <w:r>
              <w:rPr>
                <w:color w:val="auto"/>
                <w:spacing w:val="-6"/>
                <w:sz w:val="21"/>
                <w:highlight w:val="none"/>
              </w:rPr>
              <w:t>各</w:t>
            </w:r>
            <w:r>
              <w:rPr>
                <w:rFonts w:hint="eastAsia"/>
                <w:color w:val="auto"/>
                <w:spacing w:val="-6"/>
                <w:sz w:val="21"/>
                <w:highlight w:val="none"/>
              </w:rPr>
              <w:t>除尘器出口</w:t>
            </w:r>
            <w:r>
              <w:rPr>
                <w:rFonts w:hint="eastAsia"/>
                <w:color w:val="auto"/>
                <w:spacing w:val="-6"/>
                <w:sz w:val="21"/>
                <w:highlight w:val="none"/>
                <w:lang w:val="en-US" w:eastAsia="zh-CN"/>
              </w:rPr>
              <w:t>无组织</w:t>
            </w:r>
            <w:r>
              <w:rPr>
                <w:rFonts w:hint="eastAsia"/>
                <w:color w:val="auto"/>
                <w:spacing w:val="-6"/>
                <w:sz w:val="21"/>
                <w:highlight w:val="none"/>
              </w:rPr>
              <w:t>排放</w:t>
            </w:r>
          </w:p>
        </w:tc>
        <w:tc>
          <w:tcPr>
            <w:tcW w:w="716" w:type="pct"/>
            <w:vMerge w:val="continue"/>
            <w:tcBorders>
              <w:tl2br w:val="nil"/>
              <w:tr2bl w:val="nil"/>
            </w:tcBorders>
            <w:shd w:val="clear" w:color="auto" w:fill="auto"/>
            <w:noWrap w:val="0"/>
            <w:vAlign w:val="center"/>
          </w:tcPr>
          <w:p w14:paraId="5ADE32BE">
            <w:pPr>
              <w:pStyle w:val="40"/>
              <w:bidi w:val="0"/>
              <w:jc w:val="center"/>
              <w:rPr>
                <w:rFonts w:hint="eastAsia"/>
                <w:b w:val="0"/>
                <w:color w:val="auto"/>
                <w:spacing w:val="-6"/>
                <w:sz w:val="21"/>
                <w:highlight w:val="none"/>
              </w:rPr>
            </w:pPr>
          </w:p>
        </w:tc>
      </w:tr>
      <w:tr w14:paraId="6B5290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4" w:type="pct"/>
            <w:vMerge w:val="continue"/>
            <w:tcBorders>
              <w:tl2br w:val="nil"/>
              <w:tr2bl w:val="nil"/>
            </w:tcBorders>
            <w:shd w:val="clear" w:color="auto" w:fill="auto"/>
            <w:noWrap w:val="0"/>
            <w:vAlign w:val="center"/>
          </w:tcPr>
          <w:p w14:paraId="0390BBFB">
            <w:pPr>
              <w:pStyle w:val="40"/>
              <w:bidi w:val="0"/>
              <w:jc w:val="center"/>
              <w:rPr>
                <w:rFonts w:hint="eastAsia"/>
                <w:b w:val="0"/>
                <w:color w:val="auto"/>
                <w:spacing w:val="-6"/>
                <w:sz w:val="21"/>
                <w:highlight w:val="none"/>
              </w:rPr>
            </w:pPr>
          </w:p>
        </w:tc>
        <w:tc>
          <w:tcPr>
            <w:tcW w:w="216" w:type="pct"/>
            <w:vMerge w:val="continue"/>
            <w:tcBorders>
              <w:tl2br w:val="nil"/>
              <w:tr2bl w:val="nil"/>
            </w:tcBorders>
            <w:shd w:val="clear" w:color="auto" w:fill="auto"/>
            <w:noWrap w:val="0"/>
            <w:vAlign w:val="center"/>
          </w:tcPr>
          <w:p w14:paraId="75207C71">
            <w:pPr>
              <w:pStyle w:val="40"/>
              <w:bidi w:val="0"/>
              <w:jc w:val="center"/>
              <w:rPr>
                <w:rFonts w:hint="eastAsia"/>
                <w:b w:val="0"/>
                <w:color w:val="auto"/>
                <w:highlight w:val="none"/>
                <w:lang w:val="en-US" w:eastAsia="zh-CN"/>
              </w:rPr>
            </w:pPr>
          </w:p>
        </w:tc>
        <w:tc>
          <w:tcPr>
            <w:tcW w:w="371" w:type="pct"/>
            <w:tcBorders>
              <w:tl2br w:val="nil"/>
              <w:tr2bl w:val="nil"/>
            </w:tcBorders>
            <w:shd w:val="clear" w:color="auto" w:fill="auto"/>
            <w:noWrap w:val="0"/>
            <w:vAlign w:val="center"/>
          </w:tcPr>
          <w:p w14:paraId="07895E78">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G15</w:t>
            </w:r>
          </w:p>
        </w:tc>
        <w:tc>
          <w:tcPr>
            <w:tcW w:w="617" w:type="pct"/>
            <w:tcBorders>
              <w:tl2br w:val="nil"/>
              <w:tr2bl w:val="nil"/>
            </w:tcBorders>
            <w:shd w:val="clear" w:color="auto" w:fill="auto"/>
            <w:noWrap w:val="0"/>
            <w:vAlign w:val="center"/>
          </w:tcPr>
          <w:p w14:paraId="46ABA80B">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颗粒物</w:t>
            </w:r>
          </w:p>
        </w:tc>
        <w:tc>
          <w:tcPr>
            <w:tcW w:w="2593" w:type="pct"/>
            <w:tcBorders>
              <w:tl2br w:val="nil"/>
              <w:tr2bl w:val="nil"/>
            </w:tcBorders>
            <w:shd w:val="clear" w:color="auto" w:fill="auto"/>
            <w:noWrap w:val="0"/>
            <w:vAlign w:val="center"/>
          </w:tcPr>
          <w:p w14:paraId="1E2F5E6C">
            <w:pPr>
              <w:pStyle w:val="40"/>
              <w:bidi w:val="0"/>
              <w:ind w:firstLine="0" w:firstLineChars="0"/>
              <w:jc w:val="center"/>
              <w:rPr>
                <w:rFonts w:hint="eastAsia" w:ascii="Times New Roman" w:hAnsi="Times New Roman" w:eastAsia="宋体" w:cs="Times New Roman"/>
                <w:b w:val="0"/>
                <w:bCs w:val="0"/>
                <w:color w:val="auto"/>
                <w:spacing w:val="-6"/>
                <w:kern w:val="2"/>
                <w:sz w:val="21"/>
                <w:szCs w:val="21"/>
                <w:highlight w:val="none"/>
                <w:lang w:val="en-US" w:eastAsia="zh-CN" w:bidi="ar-SA"/>
              </w:rPr>
            </w:pPr>
            <w:r>
              <w:rPr>
                <w:rFonts w:hint="default"/>
                <w:color w:val="auto"/>
                <w:spacing w:val="-6"/>
                <w:sz w:val="21"/>
                <w:highlight w:val="none"/>
              </w:rPr>
              <w:t>仓顶自带脉冲式布袋除尘器</w:t>
            </w:r>
            <w:r>
              <w:rPr>
                <w:color w:val="auto"/>
                <w:spacing w:val="-6"/>
                <w:sz w:val="21"/>
                <w:highlight w:val="none"/>
              </w:rPr>
              <w:t>（</w:t>
            </w:r>
            <w:r>
              <w:rPr>
                <w:rFonts w:hint="eastAsia"/>
                <w:color w:val="auto"/>
                <w:spacing w:val="-6"/>
                <w:sz w:val="21"/>
                <w:highlight w:val="none"/>
                <w:lang w:val="en-US" w:eastAsia="zh-CN"/>
              </w:rPr>
              <w:t>6</w:t>
            </w:r>
            <w:r>
              <w:rPr>
                <w:color w:val="auto"/>
                <w:spacing w:val="-6"/>
                <w:sz w:val="21"/>
                <w:highlight w:val="none"/>
              </w:rPr>
              <w:t>套）</w:t>
            </w:r>
            <w:r>
              <w:rPr>
                <w:rFonts w:hint="default"/>
                <w:color w:val="auto"/>
                <w:spacing w:val="-6"/>
                <w:sz w:val="21"/>
                <w:highlight w:val="none"/>
              </w:rPr>
              <w:t>，除尘效率为99.7%</w:t>
            </w:r>
            <w:r>
              <w:rPr>
                <w:rFonts w:hint="eastAsia"/>
                <w:color w:val="auto"/>
                <w:spacing w:val="-6"/>
                <w:sz w:val="21"/>
                <w:highlight w:val="none"/>
                <w:lang w:eastAsia="zh-CN"/>
              </w:rPr>
              <w:t>，</w:t>
            </w:r>
            <w:r>
              <w:rPr>
                <w:rFonts w:hint="eastAsia"/>
                <w:color w:val="auto"/>
                <w:spacing w:val="-6"/>
                <w:sz w:val="21"/>
                <w:highlight w:val="none"/>
              </w:rPr>
              <w:t>粉尘</w:t>
            </w:r>
            <w:r>
              <w:rPr>
                <w:color w:val="auto"/>
                <w:spacing w:val="-6"/>
                <w:sz w:val="21"/>
                <w:highlight w:val="none"/>
              </w:rPr>
              <w:t>经</w:t>
            </w:r>
            <w:r>
              <w:rPr>
                <w:rFonts w:hint="eastAsia"/>
                <w:color w:val="auto"/>
                <w:spacing w:val="-6"/>
                <w:sz w:val="21"/>
                <w:highlight w:val="none"/>
              </w:rPr>
              <w:t>处理后</w:t>
            </w:r>
            <w:r>
              <w:rPr>
                <w:rFonts w:hint="eastAsia"/>
                <w:color w:val="auto"/>
                <w:spacing w:val="-6"/>
                <w:sz w:val="21"/>
                <w:highlight w:val="none"/>
                <w:lang w:val="en-US" w:eastAsia="zh-CN"/>
              </w:rPr>
              <w:t>由</w:t>
            </w:r>
            <w:r>
              <w:rPr>
                <w:color w:val="auto"/>
                <w:spacing w:val="-6"/>
                <w:sz w:val="21"/>
                <w:highlight w:val="none"/>
              </w:rPr>
              <w:t>各</w:t>
            </w:r>
            <w:r>
              <w:rPr>
                <w:rFonts w:hint="eastAsia"/>
                <w:color w:val="auto"/>
                <w:spacing w:val="-6"/>
                <w:sz w:val="21"/>
                <w:highlight w:val="none"/>
              </w:rPr>
              <w:t>除尘器出口</w:t>
            </w:r>
            <w:r>
              <w:rPr>
                <w:rFonts w:hint="eastAsia"/>
                <w:color w:val="auto"/>
                <w:spacing w:val="-6"/>
                <w:sz w:val="21"/>
                <w:highlight w:val="none"/>
                <w:lang w:val="en-US" w:eastAsia="zh-CN"/>
              </w:rPr>
              <w:t>无组织</w:t>
            </w:r>
            <w:r>
              <w:rPr>
                <w:rFonts w:hint="eastAsia"/>
                <w:color w:val="auto"/>
                <w:spacing w:val="-6"/>
                <w:sz w:val="21"/>
                <w:highlight w:val="none"/>
              </w:rPr>
              <w:t>排放</w:t>
            </w:r>
          </w:p>
        </w:tc>
        <w:tc>
          <w:tcPr>
            <w:tcW w:w="716" w:type="pct"/>
            <w:vMerge w:val="continue"/>
            <w:tcBorders>
              <w:tl2br w:val="nil"/>
              <w:tr2bl w:val="nil"/>
            </w:tcBorders>
            <w:shd w:val="clear" w:color="auto" w:fill="auto"/>
            <w:noWrap w:val="0"/>
            <w:vAlign w:val="center"/>
          </w:tcPr>
          <w:p w14:paraId="3BBAB1F3">
            <w:pPr>
              <w:pStyle w:val="40"/>
              <w:bidi w:val="0"/>
              <w:jc w:val="center"/>
              <w:rPr>
                <w:rFonts w:hint="eastAsia"/>
                <w:b w:val="0"/>
                <w:color w:val="auto"/>
                <w:spacing w:val="-6"/>
                <w:sz w:val="21"/>
                <w:highlight w:val="none"/>
              </w:rPr>
            </w:pPr>
          </w:p>
        </w:tc>
      </w:tr>
      <w:tr w14:paraId="05C613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4" w:type="pct"/>
            <w:vMerge w:val="continue"/>
            <w:tcBorders>
              <w:tl2br w:val="nil"/>
              <w:tr2bl w:val="nil"/>
            </w:tcBorders>
            <w:shd w:val="clear" w:color="auto" w:fill="auto"/>
            <w:noWrap w:val="0"/>
            <w:vAlign w:val="center"/>
          </w:tcPr>
          <w:p w14:paraId="60494B3C">
            <w:pPr>
              <w:pStyle w:val="40"/>
              <w:bidi w:val="0"/>
              <w:jc w:val="center"/>
              <w:rPr>
                <w:rFonts w:hint="eastAsia"/>
                <w:b w:val="0"/>
                <w:color w:val="auto"/>
                <w:spacing w:val="-6"/>
                <w:sz w:val="21"/>
                <w:highlight w:val="none"/>
              </w:rPr>
            </w:pPr>
          </w:p>
        </w:tc>
        <w:tc>
          <w:tcPr>
            <w:tcW w:w="216" w:type="pct"/>
            <w:vMerge w:val="continue"/>
            <w:tcBorders>
              <w:tl2br w:val="nil"/>
              <w:tr2bl w:val="nil"/>
            </w:tcBorders>
            <w:shd w:val="clear" w:color="auto" w:fill="auto"/>
            <w:noWrap w:val="0"/>
            <w:vAlign w:val="center"/>
          </w:tcPr>
          <w:p w14:paraId="2F815CAF">
            <w:pPr>
              <w:pStyle w:val="40"/>
              <w:bidi w:val="0"/>
              <w:jc w:val="center"/>
              <w:rPr>
                <w:rFonts w:hint="eastAsia"/>
                <w:b w:val="0"/>
                <w:color w:val="auto"/>
                <w:highlight w:val="none"/>
                <w:lang w:val="en-US" w:eastAsia="zh-CN"/>
              </w:rPr>
            </w:pPr>
          </w:p>
        </w:tc>
        <w:tc>
          <w:tcPr>
            <w:tcW w:w="371" w:type="pct"/>
            <w:tcBorders>
              <w:tl2br w:val="nil"/>
              <w:tr2bl w:val="nil"/>
            </w:tcBorders>
            <w:shd w:val="clear" w:color="auto" w:fill="auto"/>
            <w:noWrap w:val="0"/>
            <w:vAlign w:val="center"/>
          </w:tcPr>
          <w:p w14:paraId="3A3278B1">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G16</w:t>
            </w:r>
          </w:p>
        </w:tc>
        <w:tc>
          <w:tcPr>
            <w:tcW w:w="617" w:type="pct"/>
            <w:tcBorders>
              <w:tl2br w:val="nil"/>
              <w:tr2bl w:val="nil"/>
            </w:tcBorders>
            <w:shd w:val="clear" w:color="auto" w:fill="auto"/>
            <w:noWrap w:val="0"/>
            <w:vAlign w:val="center"/>
          </w:tcPr>
          <w:p w14:paraId="5E0507A3">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颗粒物</w:t>
            </w:r>
          </w:p>
        </w:tc>
        <w:tc>
          <w:tcPr>
            <w:tcW w:w="2593" w:type="pct"/>
            <w:tcBorders>
              <w:tl2br w:val="nil"/>
              <w:tr2bl w:val="nil"/>
            </w:tcBorders>
            <w:shd w:val="clear" w:color="auto" w:fill="auto"/>
            <w:noWrap w:val="0"/>
            <w:vAlign w:val="center"/>
          </w:tcPr>
          <w:p w14:paraId="26CE3FAB">
            <w:pPr>
              <w:pStyle w:val="40"/>
              <w:bidi w:val="0"/>
              <w:ind w:firstLine="0" w:firstLineChars="0"/>
              <w:jc w:val="center"/>
              <w:rPr>
                <w:rFonts w:hint="eastAsia" w:ascii="Times New Roman" w:hAnsi="Times New Roman" w:eastAsia="宋体" w:cs="Times New Roman"/>
                <w:b w:val="0"/>
                <w:bCs w:val="0"/>
                <w:color w:val="auto"/>
                <w:spacing w:val="0"/>
                <w:kern w:val="2"/>
                <w:sz w:val="21"/>
                <w:szCs w:val="21"/>
                <w:highlight w:val="none"/>
                <w:lang w:val="en-US" w:eastAsia="zh-CN" w:bidi="ar-SA"/>
              </w:rPr>
            </w:pPr>
            <w:r>
              <w:rPr>
                <w:rFonts w:hint="eastAsia"/>
                <w:color w:val="auto"/>
                <w:spacing w:val="0"/>
                <w:sz w:val="21"/>
                <w:highlight w:val="none"/>
                <w:lang w:val="en-US" w:eastAsia="zh-CN"/>
              </w:rPr>
              <w:t>同G2</w:t>
            </w:r>
          </w:p>
        </w:tc>
        <w:tc>
          <w:tcPr>
            <w:tcW w:w="716" w:type="pct"/>
            <w:vMerge w:val="continue"/>
            <w:tcBorders>
              <w:tl2br w:val="nil"/>
              <w:tr2bl w:val="nil"/>
            </w:tcBorders>
            <w:shd w:val="clear" w:color="auto" w:fill="auto"/>
            <w:noWrap w:val="0"/>
            <w:vAlign w:val="center"/>
          </w:tcPr>
          <w:p w14:paraId="43FC0C47">
            <w:pPr>
              <w:pStyle w:val="40"/>
              <w:bidi w:val="0"/>
              <w:jc w:val="center"/>
              <w:rPr>
                <w:rFonts w:hint="eastAsia"/>
                <w:b w:val="0"/>
                <w:color w:val="auto"/>
                <w:spacing w:val="-6"/>
                <w:sz w:val="21"/>
                <w:highlight w:val="none"/>
              </w:rPr>
            </w:pPr>
          </w:p>
        </w:tc>
      </w:tr>
      <w:tr w14:paraId="5CF68B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4" w:type="pct"/>
            <w:vMerge w:val="continue"/>
            <w:tcBorders>
              <w:tl2br w:val="nil"/>
              <w:tr2bl w:val="nil"/>
            </w:tcBorders>
            <w:shd w:val="clear" w:color="auto" w:fill="auto"/>
            <w:noWrap w:val="0"/>
            <w:vAlign w:val="center"/>
          </w:tcPr>
          <w:p w14:paraId="2FF7E89E">
            <w:pPr>
              <w:pStyle w:val="40"/>
              <w:bidi w:val="0"/>
              <w:jc w:val="center"/>
              <w:rPr>
                <w:rFonts w:hint="eastAsia"/>
                <w:b w:val="0"/>
                <w:color w:val="auto"/>
                <w:spacing w:val="-6"/>
                <w:sz w:val="21"/>
                <w:highlight w:val="none"/>
              </w:rPr>
            </w:pPr>
          </w:p>
        </w:tc>
        <w:tc>
          <w:tcPr>
            <w:tcW w:w="216" w:type="pct"/>
            <w:vMerge w:val="continue"/>
            <w:tcBorders>
              <w:tl2br w:val="nil"/>
              <w:tr2bl w:val="nil"/>
            </w:tcBorders>
            <w:shd w:val="clear" w:color="auto" w:fill="auto"/>
            <w:noWrap w:val="0"/>
            <w:vAlign w:val="center"/>
          </w:tcPr>
          <w:p w14:paraId="03997C25">
            <w:pPr>
              <w:pStyle w:val="40"/>
              <w:bidi w:val="0"/>
              <w:jc w:val="center"/>
              <w:rPr>
                <w:rFonts w:hint="eastAsia"/>
                <w:b w:val="0"/>
                <w:color w:val="auto"/>
                <w:highlight w:val="none"/>
                <w:lang w:val="en-US" w:eastAsia="zh-CN"/>
              </w:rPr>
            </w:pPr>
          </w:p>
        </w:tc>
        <w:tc>
          <w:tcPr>
            <w:tcW w:w="371" w:type="pct"/>
            <w:tcBorders>
              <w:tl2br w:val="nil"/>
              <w:tr2bl w:val="nil"/>
            </w:tcBorders>
            <w:shd w:val="clear" w:color="auto" w:fill="auto"/>
            <w:noWrap w:val="0"/>
            <w:vAlign w:val="center"/>
          </w:tcPr>
          <w:p w14:paraId="7F029B1A">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G17</w:t>
            </w:r>
          </w:p>
        </w:tc>
        <w:tc>
          <w:tcPr>
            <w:tcW w:w="617" w:type="pct"/>
            <w:tcBorders>
              <w:tl2br w:val="nil"/>
              <w:tr2bl w:val="nil"/>
            </w:tcBorders>
            <w:shd w:val="clear" w:color="auto" w:fill="auto"/>
            <w:noWrap w:val="0"/>
            <w:vAlign w:val="center"/>
          </w:tcPr>
          <w:p w14:paraId="3B44F911">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颗粒物</w:t>
            </w:r>
          </w:p>
        </w:tc>
        <w:tc>
          <w:tcPr>
            <w:tcW w:w="2593" w:type="pct"/>
            <w:tcBorders>
              <w:tl2br w:val="nil"/>
              <w:tr2bl w:val="nil"/>
            </w:tcBorders>
            <w:shd w:val="clear" w:color="auto" w:fill="auto"/>
            <w:noWrap w:val="0"/>
            <w:vAlign w:val="center"/>
          </w:tcPr>
          <w:p w14:paraId="028A515D">
            <w:pPr>
              <w:pStyle w:val="40"/>
              <w:bidi w:val="0"/>
              <w:ind w:firstLine="0" w:firstLineChars="0"/>
              <w:jc w:val="center"/>
              <w:rPr>
                <w:rFonts w:hint="eastAsia" w:ascii="Times New Roman" w:hAnsi="Times New Roman" w:eastAsia="宋体" w:cs="Times New Roman"/>
                <w:b w:val="0"/>
                <w:bCs w:val="0"/>
                <w:color w:val="auto"/>
                <w:spacing w:val="0"/>
                <w:kern w:val="2"/>
                <w:sz w:val="21"/>
                <w:szCs w:val="21"/>
                <w:highlight w:val="none"/>
                <w:lang w:val="en-US" w:eastAsia="zh-CN" w:bidi="ar-SA"/>
              </w:rPr>
            </w:pPr>
            <w:r>
              <w:rPr>
                <w:rFonts w:hint="default"/>
                <w:color w:val="auto"/>
                <w:spacing w:val="0"/>
                <w:sz w:val="21"/>
                <w:highlight w:val="none"/>
              </w:rPr>
              <w:t>搅拌机有固定排放口直接与风管连接，有组织收集效率为90%</w:t>
            </w:r>
            <w:r>
              <w:rPr>
                <w:rFonts w:hint="eastAsia"/>
                <w:color w:val="auto"/>
                <w:spacing w:val="0"/>
                <w:sz w:val="21"/>
                <w:highlight w:val="none"/>
                <w:lang w:eastAsia="zh-CN"/>
              </w:rPr>
              <w:t>，</w:t>
            </w:r>
            <w:r>
              <w:rPr>
                <w:rFonts w:hint="default"/>
                <w:color w:val="auto"/>
                <w:spacing w:val="0"/>
                <w:sz w:val="21"/>
                <w:highlight w:val="none"/>
              </w:rPr>
              <w:t>末端设置</w:t>
            </w:r>
            <w:r>
              <w:rPr>
                <w:rFonts w:hint="eastAsia"/>
                <w:color w:val="auto"/>
                <w:spacing w:val="0"/>
                <w:sz w:val="21"/>
                <w:highlight w:val="none"/>
                <w:lang w:val="en-US" w:eastAsia="zh-CN"/>
              </w:rPr>
              <w:t>脉冲式布袋除尘器</w:t>
            </w:r>
            <w:r>
              <w:rPr>
                <w:rFonts w:hint="default"/>
                <w:color w:val="auto"/>
                <w:spacing w:val="0"/>
                <w:sz w:val="21"/>
                <w:highlight w:val="none"/>
              </w:rPr>
              <w:t>，除尘效率为99.7%，处理后同其他</w:t>
            </w:r>
            <w:r>
              <w:rPr>
                <w:rFonts w:hint="eastAsia"/>
                <w:color w:val="auto"/>
                <w:spacing w:val="0"/>
                <w:sz w:val="21"/>
                <w:highlight w:val="none"/>
                <w:lang w:val="en-US" w:eastAsia="zh-CN"/>
              </w:rPr>
              <w:t>未</w:t>
            </w:r>
            <w:r>
              <w:rPr>
                <w:rFonts w:hint="default"/>
                <w:color w:val="auto"/>
                <w:spacing w:val="0"/>
                <w:sz w:val="21"/>
                <w:highlight w:val="none"/>
              </w:rPr>
              <w:t>收集的粉尘在封闭搅拌楼无组织排放，搅拌楼内设置喷雾降尘设施，处理效率为90%</w:t>
            </w:r>
          </w:p>
        </w:tc>
        <w:tc>
          <w:tcPr>
            <w:tcW w:w="716" w:type="pct"/>
            <w:vMerge w:val="continue"/>
            <w:tcBorders>
              <w:tl2br w:val="nil"/>
              <w:tr2bl w:val="nil"/>
            </w:tcBorders>
            <w:shd w:val="clear" w:color="auto" w:fill="auto"/>
            <w:noWrap w:val="0"/>
            <w:vAlign w:val="center"/>
          </w:tcPr>
          <w:p w14:paraId="5EFB5DF7">
            <w:pPr>
              <w:pStyle w:val="40"/>
              <w:bidi w:val="0"/>
              <w:jc w:val="center"/>
              <w:rPr>
                <w:rFonts w:hint="eastAsia"/>
                <w:b w:val="0"/>
                <w:color w:val="auto"/>
                <w:spacing w:val="-6"/>
                <w:sz w:val="21"/>
                <w:highlight w:val="none"/>
              </w:rPr>
            </w:pPr>
          </w:p>
        </w:tc>
      </w:tr>
      <w:tr w14:paraId="5F44C9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484" w:type="pct"/>
            <w:vMerge w:val="continue"/>
            <w:tcBorders>
              <w:tl2br w:val="nil"/>
              <w:tr2bl w:val="nil"/>
            </w:tcBorders>
            <w:shd w:val="clear" w:color="auto" w:fill="auto"/>
            <w:noWrap w:val="0"/>
            <w:vAlign w:val="center"/>
          </w:tcPr>
          <w:p w14:paraId="4E2A0710">
            <w:pPr>
              <w:pStyle w:val="40"/>
              <w:bidi w:val="0"/>
              <w:jc w:val="center"/>
              <w:rPr>
                <w:rFonts w:hint="eastAsia"/>
                <w:b w:val="0"/>
                <w:color w:val="auto"/>
                <w:spacing w:val="-6"/>
                <w:sz w:val="21"/>
                <w:highlight w:val="none"/>
              </w:rPr>
            </w:pPr>
          </w:p>
        </w:tc>
        <w:tc>
          <w:tcPr>
            <w:tcW w:w="588" w:type="pct"/>
            <w:gridSpan w:val="2"/>
            <w:tcBorders>
              <w:tl2br w:val="nil"/>
              <w:tr2bl w:val="nil"/>
            </w:tcBorders>
            <w:shd w:val="clear" w:color="auto" w:fill="auto"/>
            <w:noWrap w:val="0"/>
            <w:vAlign w:val="center"/>
          </w:tcPr>
          <w:p w14:paraId="0730326E">
            <w:pPr>
              <w:pStyle w:val="40"/>
              <w:bidi w:val="0"/>
              <w:ind w:firstLine="0" w:firstLineChars="0"/>
              <w:jc w:val="center"/>
              <w:rPr>
                <w:rFonts w:hint="eastAsia" w:eastAsia="宋体"/>
                <w:b w:val="0"/>
                <w:color w:val="auto"/>
                <w:spacing w:val="-6"/>
                <w:sz w:val="21"/>
                <w:highlight w:val="none"/>
                <w:lang w:val="en-US" w:eastAsia="zh-CN"/>
              </w:rPr>
            </w:pPr>
            <w:r>
              <w:rPr>
                <w:rFonts w:hint="eastAsia"/>
                <w:b w:val="0"/>
                <w:color w:val="auto"/>
                <w:spacing w:val="-6"/>
                <w:sz w:val="21"/>
                <w:highlight w:val="none"/>
                <w:lang w:val="en-US" w:eastAsia="zh-CN"/>
              </w:rPr>
              <w:t>物料输送</w:t>
            </w:r>
          </w:p>
        </w:tc>
        <w:tc>
          <w:tcPr>
            <w:tcW w:w="617" w:type="pct"/>
            <w:tcBorders>
              <w:tl2br w:val="nil"/>
              <w:tr2bl w:val="nil"/>
            </w:tcBorders>
            <w:shd w:val="clear" w:color="auto" w:fill="auto"/>
            <w:noWrap w:val="0"/>
            <w:vAlign w:val="center"/>
          </w:tcPr>
          <w:p w14:paraId="5F7AE414">
            <w:pPr>
              <w:pStyle w:val="40"/>
              <w:bidi w:val="0"/>
              <w:ind w:firstLine="0" w:firstLineChars="0"/>
              <w:jc w:val="center"/>
              <w:rPr>
                <w:rFonts w:hint="default"/>
                <w:b w:val="0"/>
                <w:color w:val="auto"/>
                <w:highlight w:val="none"/>
                <w:lang w:val="en-US" w:eastAsia="zh-CN"/>
              </w:rPr>
            </w:pPr>
            <w:r>
              <w:rPr>
                <w:rFonts w:hint="eastAsia"/>
                <w:b w:val="0"/>
                <w:color w:val="auto"/>
                <w:highlight w:val="none"/>
                <w:lang w:val="en-US" w:eastAsia="zh-CN"/>
              </w:rPr>
              <w:t>颗粒物</w:t>
            </w:r>
          </w:p>
        </w:tc>
        <w:tc>
          <w:tcPr>
            <w:tcW w:w="2593" w:type="pct"/>
            <w:tcBorders>
              <w:tl2br w:val="nil"/>
              <w:tr2bl w:val="nil"/>
            </w:tcBorders>
            <w:shd w:val="clear" w:color="auto" w:fill="auto"/>
            <w:noWrap w:val="0"/>
            <w:vAlign w:val="center"/>
          </w:tcPr>
          <w:p w14:paraId="1C2C1A51">
            <w:pPr>
              <w:pStyle w:val="40"/>
              <w:bidi w:val="0"/>
              <w:ind w:firstLine="0" w:firstLineChars="0"/>
              <w:jc w:val="center"/>
              <w:rPr>
                <w:b w:val="0"/>
                <w:color w:val="auto"/>
                <w:spacing w:val="0"/>
                <w:sz w:val="21"/>
                <w:highlight w:val="none"/>
              </w:rPr>
            </w:pPr>
            <w:r>
              <w:rPr>
                <w:rFonts w:hint="eastAsia"/>
                <w:b w:val="0"/>
                <w:color w:val="auto"/>
                <w:spacing w:val="0"/>
                <w:sz w:val="21"/>
                <w:highlight w:val="none"/>
                <w:lang w:val="en-US" w:eastAsia="zh-CN"/>
              </w:rPr>
              <w:t>两条生产线分别</w:t>
            </w:r>
            <w:r>
              <w:rPr>
                <w:b w:val="0"/>
                <w:color w:val="auto"/>
                <w:spacing w:val="0"/>
                <w:sz w:val="21"/>
                <w:highlight w:val="none"/>
              </w:rPr>
              <w:t>设置</w:t>
            </w:r>
            <w:r>
              <w:rPr>
                <w:rFonts w:hint="eastAsia"/>
                <w:b w:val="0"/>
                <w:color w:val="auto"/>
                <w:spacing w:val="0"/>
                <w:sz w:val="21"/>
                <w:highlight w:val="none"/>
                <w:lang w:val="en-US" w:eastAsia="zh-CN"/>
              </w:rPr>
              <w:t>1条</w:t>
            </w:r>
            <w:r>
              <w:rPr>
                <w:rFonts w:hint="eastAsia"/>
                <w:b w:val="0"/>
                <w:color w:val="auto"/>
                <w:spacing w:val="0"/>
                <w:sz w:val="21"/>
                <w:highlight w:val="none"/>
              </w:rPr>
              <w:t>封闭</w:t>
            </w:r>
            <w:r>
              <w:rPr>
                <w:b w:val="0"/>
                <w:color w:val="auto"/>
                <w:spacing w:val="0"/>
                <w:sz w:val="21"/>
                <w:highlight w:val="none"/>
              </w:rPr>
              <w:t>物料输送带</w:t>
            </w:r>
          </w:p>
        </w:tc>
        <w:tc>
          <w:tcPr>
            <w:tcW w:w="716" w:type="pct"/>
            <w:vMerge w:val="continue"/>
            <w:tcBorders>
              <w:tl2br w:val="nil"/>
              <w:tr2bl w:val="nil"/>
            </w:tcBorders>
            <w:shd w:val="clear" w:color="auto" w:fill="auto"/>
            <w:noWrap w:val="0"/>
            <w:vAlign w:val="center"/>
          </w:tcPr>
          <w:p w14:paraId="1486A007">
            <w:pPr>
              <w:pStyle w:val="40"/>
              <w:bidi w:val="0"/>
              <w:jc w:val="center"/>
              <w:rPr>
                <w:rFonts w:hint="eastAsia"/>
                <w:b w:val="0"/>
                <w:color w:val="auto"/>
                <w:spacing w:val="-6"/>
                <w:sz w:val="21"/>
                <w:highlight w:val="none"/>
              </w:rPr>
            </w:pPr>
          </w:p>
        </w:tc>
      </w:tr>
      <w:tr w14:paraId="29F14A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484" w:type="pct"/>
            <w:vMerge w:val="continue"/>
            <w:tcBorders>
              <w:tl2br w:val="nil"/>
              <w:tr2bl w:val="nil"/>
            </w:tcBorders>
            <w:shd w:val="clear" w:color="auto" w:fill="auto"/>
            <w:noWrap w:val="0"/>
            <w:vAlign w:val="center"/>
          </w:tcPr>
          <w:p w14:paraId="1E21E651">
            <w:pPr>
              <w:pStyle w:val="40"/>
              <w:bidi w:val="0"/>
              <w:jc w:val="center"/>
              <w:rPr>
                <w:rFonts w:hint="eastAsia"/>
                <w:b w:val="0"/>
                <w:color w:val="auto"/>
                <w:spacing w:val="-6"/>
                <w:sz w:val="21"/>
                <w:highlight w:val="none"/>
              </w:rPr>
            </w:pPr>
          </w:p>
        </w:tc>
        <w:tc>
          <w:tcPr>
            <w:tcW w:w="588" w:type="pct"/>
            <w:gridSpan w:val="2"/>
            <w:tcBorders>
              <w:tl2br w:val="nil"/>
              <w:tr2bl w:val="nil"/>
            </w:tcBorders>
            <w:shd w:val="clear" w:color="auto" w:fill="auto"/>
            <w:noWrap w:val="0"/>
            <w:vAlign w:val="center"/>
          </w:tcPr>
          <w:p w14:paraId="05883F4F">
            <w:pPr>
              <w:pStyle w:val="40"/>
              <w:bidi w:val="0"/>
              <w:ind w:firstLine="0" w:firstLineChars="0"/>
              <w:jc w:val="center"/>
              <w:rPr>
                <w:rFonts w:hint="eastAsia" w:ascii="Times New Roman" w:hAnsi="Times New Roman" w:eastAsia="宋体" w:cs="Times New Roman"/>
                <w:b w:val="0"/>
                <w:bCs w:val="0"/>
                <w:color w:val="auto"/>
                <w:spacing w:val="-6"/>
                <w:kern w:val="2"/>
                <w:sz w:val="21"/>
                <w:szCs w:val="21"/>
                <w:highlight w:val="none"/>
                <w:lang w:val="en-US" w:eastAsia="zh-CN" w:bidi="ar-SA"/>
              </w:rPr>
            </w:pPr>
            <w:r>
              <w:rPr>
                <w:b w:val="0"/>
                <w:color w:val="auto"/>
                <w:spacing w:val="-6"/>
                <w:sz w:val="21"/>
                <w:highlight w:val="none"/>
              </w:rPr>
              <w:t>运输道路</w:t>
            </w:r>
          </w:p>
        </w:tc>
        <w:tc>
          <w:tcPr>
            <w:tcW w:w="617" w:type="pct"/>
            <w:tcBorders>
              <w:tl2br w:val="nil"/>
              <w:tr2bl w:val="nil"/>
            </w:tcBorders>
            <w:shd w:val="clear" w:color="auto" w:fill="auto"/>
            <w:noWrap w:val="0"/>
            <w:vAlign w:val="center"/>
          </w:tcPr>
          <w:p w14:paraId="03B5DDE6">
            <w:pPr>
              <w:pStyle w:val="40"/>
              <w:bidi w:val="0"/>
              <w:ind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lang w:val="en-US" w:eastAsia="zh-CN"/>
              </w:rPr>
              <w:t>颗粒物</w:t>
            </w:r>
          </w:p>
        </w:tc>
        <w:tc>
          <w:tcPr>
            <w:tcW w:w="2593" w:type="pct"/>
            <w:tcBorders>
              <w:tl2br w:val="nil"/>
              <w:tr2bl w:val="nil"/>
            </w:tcBorders>
            <w:shd w:val="clear" w:color="auto" w:fill="auto"/>
            <w:noWrap w:val="0"/>
            <w:vAlign w:val="center"/>
          </w:tcPr>
          <w:p w14:paraId="215E2964">
            <w:pPr>
              <w:pStyle w:val="40"/>
              <w:bidi w:val="0"/>
              <w:ind w:firstLine="0" w:firstLineChars="0"/>
              <w:jc w:val="center"/>
              <w:rPr>
                <w:rFonts w:hint="eastAsia" w:ascii="Times New Roman" w:hAnsi="Times New Roman" w:eastAsia="宋体" w:cs="Times New Roman"/>
                <w:b w:val="0"/>
                <w:bCs w:val="0"/>
                <w:color w:val="auto"/>
                <w:spacing w:val="0"/>
                <w:kern w:val="2"/>
                <w:sz w:val="21"/>
                <w:szCs w:val="21"/>
                <w:highlight w:val="none"/>
                <w:lang w:val="en-US" w:eastAsia="zh-CN" w:bidi="ar-SA"/>
              </w:rPr>
            </w:pPr>
            <w:r>
              <w:rPr>
                <w:b w:val="0"/>
                <w:color w:val="auto"/>
                <w:spacing w:val="0"/>
                <w:sz w:val="21"/>
                <w:highlight w:val="none"/>
              </w:rPr>
              <w:t>水泥、粉煤灰采用罐车运输，砂子和石子运输车辆要严密遮盖，</w:t>
            </w:r>
            <w:r>
              <w:rPr>
                <w:rFonts w:hint="eastAsia"/>
                <w:b w:val="0"/>
                <w:color w:val="auto"/>
                <w:spacing w:val="0"/>
                <w:sz w:val="21"/>
                <w:highlight w:val="none"/>
              </w:rPr>
              <w:t>道路硬化，</w:t>
            </w:r>
            <w:r>
              <w:rPr>
                <w:b w:val="0"/>
                <w:color w:val="auto"/>
                <w:spacing w:val="0"/>
                <w:sz w:val="21"/>
                <w:highlight w:val="none"/>
              </w:rPr>
              <w:t>对进厂道路及时</w:t>
            </w:r>
            <w:r>
              <w:rPr>
                <w:rFonts w:hint="eastAsia"/>
                <w:b w:val="0"/>
                <w:color w:val="auto"/>
                <w:spacing w:val="0"/>
                <w:sz w:val="21"/>
                <w:highlight w:val="none"/>
              </w:rPr>
              <w:t>洒水抑尘</w:t>
            </w:r>
          </w:p>
        </w:tc>
        <w:tc>
          <w:tcPr>
            <w:tcW w:w="716" w:type="pct"/>
            <w:vMerge w:val="continue"/>
            <w:tcBorders>
              <w:tl2br w:val="nil"/>
              <w:tr2bl w:val="nil"/>
            </w:tcBorders>
            <w:shd w:val="clear" w:color="auto" w:fill="auto"/>
            <w:noWrap w:val="0"/>
            <w:vAlign w:val="center"/>
          </w:tcPr>
          <w:p w14:paraId="045D25D8">
            <w:pPr>
              <w:pStyle w:val="40"/>
              <w:bidi w:val="0"/>
              <w:jc w:val="center"/>
              <w:rPr>
                <w:rFonts w:hint="eastAsia"/>
                <w:b w:val="0"/>
                <w:color w:val="auto"/>
                <w:spacing w:val="-6"/>
                <w:sz w:val="21"/>
                <w:highlight w:val="none"/>
              </w:rPr>
            </w:pPr>
          </w:p>
        </w:tc>
      </w:tr>
      <w:tr w14:paraId="4782E4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484" w:type="pct"/>
            <w:vMerge w:val="restart"/>
            <w:tcBorders>
              <w:tl2br w:val="nil"/>
              <w:tr2bl w:val="nil"/>
            </w:tcBorders>
            <w:shd w:val="clear" w:color="auto" w:fill="auto"/>
            <w:noWrap w:val="0"/>
            <w:vAlign w:val="center"/>
          </w:tcPr>
          <w:p w14:paraId="0507DC44">
            <w:pPr>
              <w:pStyle w:val="40"/>
              <w:bidi w:val="0"/>
              <w:jc w:val="center"/>
              <w:rPr>
                <w:rFonts w:hint="eastAsia"/>
                <w:b w:val="0"/>
                <w:color w:val="auto"/>
                <w:spacing w:val="-6"/>
                <w:sz w:val="21"/>
                <w:highlight w:val="none"/>
              </w:rPr>
            </w:pPr>
            <w:r>
              <w:rPr>
                <w:rFonts w:hint="eastAsia"/>
                <w:b w:val="0"/>
                <w:color w:val="auto"/>
                <w:spacing w:val="-6"/>
                <w:sz w:val="21"/>
                <w:highlight w:val="none"/>
              </w:rPr>
              <w:t>地表水</w:t>
            </w:r>
          </w:p>
          <w:p w14:paraId="685A96BF">
            <w:pPr>
              <w:pStyle w:val="40"/>
              <w:bidi w:val="0"/>
              <w:jc w:val="center"/>
              <w:rPr>
                <w:rFonts w:hint="eastAsia"/>
                <w:b w:val="0"/>
                <w:color w:val="auto"/>
                <w:spacing w:val="-6"/>
                <w:sz w:val="21"/>
                <w:highlight w:val="none"/>
              </w:rPr>
            </w:pPr>
            <w:r>
              <w:rPr>
                <w:rFonts w:hint="eastAsia"/>
                <w:b w:val="0"/>
                <w:color w:val="auto"/>
                <w:spacing w:val="-6"/>
                <w:sz w:val="21"/>
                <w:highlight w:val="none"/>
              </w:rPr>
              <w:t>环境</w:t>
            </w:r>
          </w:p>
        </w:tc>
        <w:tc>
          <w:tcPr>
            <w:tcW w:w="588" w:type="pct"/>
            <w:gridSpan w:val="2"/>
            <w:tcBorders>
              <w:tl2br w:val="nil"/>
              <w:tr2bl w:val="nil"/>
            </w:tcBorders>
            <w:shd w:val="clear" w:color="auto" w:fill="auto"/>
            <w:noWrap w:val="0"/>
            <w:vAlign w:val="center"/>
          </w:tcPr>
          <w:p w14:paraId="72A3BF03">
            <w:pPr>
              <w:pStyle w:val="40"/>
              <w:bidi w:val="0"/>
              <w:jc w:val="center"/>
              <w:rPr>
                <w:rFonts w:hint="default"/>
                <w:b w:val="0"/>
                <w:color w:val="auto"/>
                <w:highlight w:val="none"/>
                <w:lang w:val="en-US" w:eastAsia="zh-CN"/>
              </w:rPr>
            </w:pPr>
            <w:r>
              <w:rPr>
                <w:rFonts w:hint="eastAsia"/>
                <w:b w:val="0"/>
                <w:color w:val="auto"/>
                <w:highlight w:val="none"/>
                <w:lang w:val="en-US" w:eastAsia="zh-CN"/>
              </w:rPr>
              <w:t>生活污水</w:t>
            </w:r>
          </w:p>
        </w:tc>
        <w:tc>
          <w:tcPr>
            <w:tcW w:w="617" w:type="pct"/>
            <w:tcBorders>
              <w:tl2br w:val="nil"/>
              <w:tr2bl w:val="nil"/>
            </w:tcBorders>
            <w:shd w:val="clear" w:color="auto" w:fill="auto"/>
            <w:noWrap w:val="0"/>
            <w:vAlign w:val="center"/>
          </w:tcPr>
          <w:p w14:paraId="59FAE60C">
            <w:pPr>
              <w:pStyle w:val="40"/>
              <w:bidi w:val="0"/>
              <w:jc w:val="center"/>
              <w:rPr>
                <w:rFonts w:hint="eastAsia"/>
                <w:b w:val="0"/>
                <w:color w:val="auto"/>
                <w:highlight w:val="none"/>
                <w:lang w:val="en-US" w:eastAsia="zh-CN"/>
              </w:rPr>
            </w:pPr>
            <w:r>
              <w:rPr>
                <w:rFonts w:hint="eastAsia"/>
                <w:b w:val="0"/>
                <w:color w:val="auto"/>
                <w:spacing w:val="-11"/>
                <w:sz w:val="21"/>
                <w:highlight w:val="none"/>
                <w:lang w:val="en-US" w:eastAsia="zh-CN"/>
              </w:rPr>
              <w:t>COD、BOD</w:t>
            </w:r>
            <w:r>
              <w:rPr>
                <w:rFonts w:hint="eastAsia"/>
                <w:b w:val="0"/>
                <w:color w:val="auto"/>
                <w:spacing w:val="-11"/>
                <w:sz w:val="21"/>
                <w:highlight w:val="none"/>
                <w:vertAlign w:val="subscript"/>
                <w:lang w:val="en-US" w:eastAsia="zh-CN"/>
              </w:rPr>
              <w:t>5</w:t>
            </w:r>
            <w:r>
              <w:rPr>
                <w:rFonts w:hint="eastAsia"/>
                <w:b w:val="0"/>
                <w:color w:val="auto"/>
                <w:spacing w:val="-11"/>
                <w:sz w:val="21"/>
                <w:highlight w:val="none"/>
                <w:lang w:val="en-US" w:eastAsia="zh-CN"/>
              </w:rPr>
              <w:t>、SS、NH</w:t>
            </w:r>
            <w:r>
              <w:rPr>
                <w:rFonts w:hint="eastAsia"/>
                <w:b w:val="0"/>
                <w:color w:val="auto"/>
                <w:spacing w:val="-11"/>
                <w:sz w:val="21"/>
                <w:highlight w:val="none"/>
                <w:vertAlign w:val="subscript"/>
                <w:lang w:val="en-US" w:eastAsia="zh-CN"/>
              </w:rPr>
              <w:t>3</w:t>
            </w:r>
            <w:r>
              <w:rPr>
                <w:rFonts w:hint="eastAsia"/>
                <w:b w:val="0"/>
                <w:color w:val="auto"/>
                <w:spacing w:val="-11"/>
                <w:sz w:val="21"/>
                <w:highlight w:val="none"/>
                <w:lang w:val="en-US" w:eastAsia="zh-CN"/>
              </w:rPr>
              <w:t>-N</w:t>
            </w:r>
          </w:p>
        </w:tc>
        <w:tc>
          <w:tcPr>
            <w:tcW w:w="2593" w:type="pct"/>
            <w:tcBorders>
              <w:tl2br w:val="nil"/>
              <w:tr2bl w:val="nil"/>
            </w:tcBorders>
            <w:shd w:val="clear" w:color="auto" w:fill="auto"/>
            <w:noWrap w:val="0"/>
            <w:vAlign w:val="center"/>
          </w:tcPr>
          <w:p w14:paraId="545AA25D">
            <w:pPr>
              <w:pStyle w:val="40"/>
              <w:bidi w:val="0"/>
              <w:jc w:val="center"/>
              <w:rPr>
                <w:rFonts w:hint="eastAsia"/>
                <w:b w:val="0"/>
                <w:color w:val="auto"/>
                <w:spacing w:val="0"/>
                <w:sz w:val="21"/>
                <w:highlight w:val="none"/>
                <w:lang w:val="en-US" w:eastAsia="zh-CN"/>
              </w:rPr>
            </w:pPr>
            <w:r>
              <w:rPr>
                <w:rFonts w:hint="eastAsia"/>
                <w:color w:val="auto"/>
                <w:highlight w:val="none"/>
                <w:lang w:val="en-US" w:eastAsia="zh-CN"/>
              </w:rPr>
              <w:t>设置</w:t>
            </w:r>
            <w:r>
              <w:rPr>
                <w:rFonts w:hint="eastAsia"/>
                <w:color w:val="auto"/>
                <w:highlight w:val="none"/>
              </w:rPr>
              <w:t>卫生防渗旱厕，</w:t>
            </w:r>
            <w:r>
              <w:rPr>
                <w:color w:val="auto"/>
                <w:highlight w:val="none"/>
              </w:rPr>
              <w:t>定期清掏外运用作农肥</w:t>
            </w:r>
            <w:r>
              <w:rPr>
                <w:rFonts w:hint="eastAsia"/>
                <w:color w:val="auto"/>
                <w:highlight w:val="none"/>
              </w:rPr>
              <w:t>，</w:t>
            </w:r>
            <w:r>
              <w:rPr>
                <w:color w:val="auto"/>
                <w:highlight w:val="none"/>
              </w:rPr>
              <w:t>不外排</w:t>
            </w:r>
            <w:r>
              <w:rPr>
                <w:rFonts w:hint="eastAsia"/>
                <w:color w:val="auto"/>
                <w:highlight w:val="none"/>
              </w:rPr>
              <w:t>；</w:t>
            </w:r>
            <w:r>
              <w:rPr>
                <w:color w:val="auto"/>
                <w:highlight w:val="none"/>
              </w:rPr>
              <w:t>生活污水</w:t>
            </w:r>
            <w:r>
              <w:rPr>
                <w:rFonts w:hint="eastAsia"/>
                <w:color w:val="auto"/>
                <w:highlight w:val="none"/>
              </w:rPr>
              <w:t>主要为生活盥洗废水和食堂废水，</w:t>
            </w:r>
            <w:r>
              <w:rPr>
                <w:rFonts w:hint="eastAsia"/>
                <w:color w:val="auto"/>
                <w:spacing w:val="-6"/>
                <w:sz w:val="21"/>
                <w:highlight w:val="none"/>
              </w:rPr>
              <w:t>经沉淀池（</w:t>
            </w:r>
            <w:r>
              <w:rPr>
                <w:rFonts w:hint="eastAsia"/>
                <w:color w:val="auto"/>
                <w:spacing w:val="-6"/>
                <w:sz w:val="21"/>
                <w:highlight w:val="none"/>
                <w:lang w:val="en-US" w:eastAsia="zh-CN"/>
              </w:rPr>
              <w:t>2</w:t>
            </w:r>
            <w:r>
              <w:rPr>
                <w:rFonts w:hint="eastAsia"/>
                <w:color w:val="auto"/>
                <w:spacing w:val="-6"/>
                <w:sz w:val="21"/>
                <w:highlight w:val="none"/>
              </w:rPr>
              <w:t>m</w:t>
            </w:r>
            <w:r>
              <w:rPr>
                <w:rFonts w:hint="eastAsia"/>
                <w:color w:val="auto"/>
                <w:spacing w:val="-6"/>
                <w:sz w:val="21"/>
                <w:highlight w:val="none"/>
                <w:vertAlign w:val="superscript"/>
              </w:rPr>
              <w:t>3</w:t>
            </w:r>
            <w:r>
              <w:rPr>
                <w:rFonts w:hint="eastAsia"/>
                <w:color w:val="auto"/>
                <w:spacing w:val="-6"/>
                <w:sz w:val="21"/>
                <w:highlight w:val="none"/>
              </w:rPr>
              <w:t>）处理后用于厂区洒水抑尘，不外排</w:t>
            </w:r>
          </w:p>
        </w:tc>
        <w:tc>
          <w:tcPr>
            <w:tcW w:w="716" w:type="pct"/>
            <w:vMerge w:val="restart"/>
            <w:tcBorders>
              <w:tl2br w:val="nil"/>
              <w:tr2bl w:val="nil"/>
            </w:tcBorders>
            <w:shd w:val="clear" w:color="auto" w:fill="auto"/>
            <w:noWrap w:val="0"/>
            <w:vAlign w:val="center"/>
          </w:tcPr>
          <w:p w14:paraId="2A2BF1FC">
            <w:pPr>
              <w:pStyle w:val="40"/>
              <w:bidi w:val="0"/>
              <w:jc w:val="center"/>
              <w:rPr>
                <w:rFonts w:hint="eastAsia"/>
                <w:b w:val="0"/>
                <w:color w:val="auto"/>
                <w:spacing w:val="-6"/>
                <w:sz w:val="21"/>
                <w:highlight w:val="none"/>
              </w:rPr>
            </w:pPr>
            <w:r>
              <w:rPr>
                <w:b w:val="0"/>
                <w:color w:val="auto"/>
                <w:spacing w:val="-6"/>
                <w:sz w:val="21"/>
                <w:highlight w:val="none"/>
              </w:rPr>
              <w:t>综合利用，不外排</w:t>
            </w:r>
          </w:p>
        </w:tc>
      </w:tr>
      <w:tr w14:paraId="2C3138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484" w:type="pct"/>
            <w:vMerge w:val="continue"/>
            <w:tcBorders>
              <w:tl2br w:val="nil"/>
              <w:tr2bl w:val="nil"/>
            </w:tcBorders>
            <w:shd w:val="clear" w:color="auto" w:fill="auto"/>
            <w:noWrap w:val="0"/>
            <w:vAlign w:val="center"/>
          </w:tcPr>
          <w:p w14:paraId="50D08EB1">
            <w:pPr>
              <w:pStyle w:val="40"/>
              <w:bidi w:val="0"/>
              <w:jc w:val="center"/>
              <w:rPr>
                <w:rFonts w:hint="eastAsia"/>
                <w:b w:val="0"/>
                <w:color w:val="auto"/>
                <w:spacing w:val="-6"/>
                <w:sz w:val="21"/>
                <w:highlight w:val="none"/>
              </w:rPr>
            </w:pPr>
          </w:p>
        </w:tc>
        <w:tc>
          <w:tcPr>
            <w:tcW w:w="588" w:type="pct"/>
            <w:gridSpan w:val="2"/>
            <w:tcBorders>
              <w:tl2br w:val="nil"/>
              <w:tr2bl w:val="nil"/>
            </w:tcBorders>
            <w:shd w:val="clear" w:color="auto" w:fill="auto"/>
            <w:noWrap w:val="0"/>
            <w:vAlign w:val="center"/>
          </w:tcPr>
          <w:p w14:paraId="5D08C3A3">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W1</w:t>
            </w:r>
          </w:p>
        </w:tc>
        <w:tc>
          <w:tcPr>
            <w:tcW w:w="617" w:type="pct"/>
            <w:tcBorders>
              <w:tl2br w:val="nil"/>
              <w:tr2bl w:val="nil"/>
            </w:tcBorders>
            <w:shd w:val="clear" w:color="auto" w:fill="auto"/>
            <w:noWrap w:val="0"/>
            <w:vAlign w:val="center"/>
          </w:tcPr>
          <w:p w14:paraId="0B1FCC81">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rPr>
              <w:t>SS</w:t>
            </w:r>
          </w:p>
        </w:tc>
        <w:tc>
          <w:tcPr>
            <w:tcW w:w="2593" w:type="pct"/>
            <w:vMerge w:val="restart"/>
            <w:tcBorders>
              <w:tl2br w:val="nil"/>
              <w:tr2bl w:val="nil"/>
            </w:tcBorders>
            <w:shd w:val="clear" w:color="auto" w:fill="auto"/>
            <w:noWrap w:val="0"/>
            <w:vAlign w:val="center"/>
          </w:tcPr>
          <w:p w14:paraId="7821A844">
            <w:pPr>
              <w:pStyle w:val="40"/>
              <w:bidi w:val="0"/>
              <w:ind w:firstLine="0" w:firstLineChars="0"/>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color w:val="auto"/>
                <w:spacing w:val="0"/>
                <w:sz w:val="21"/>
                <w:highlight w:val="none"/>
                <w:lang w:val="en-US" w:eastAsia="zh-CN"/>
              </w:rPr>
              <w:t>经暂存池</w:t>
            </w:r>
            <w:r>
              <w:rPr>
                <w:rFonts w:hint="eastAsia"/>
                <w:color w:val="auto"/>
                <w:highlight w:val="none"/>
                <w:lang w:eastAsia="zh-CN"/>
              </w:rPr>
              <w:t>（</w:t>
            </w:r>
            <w:r>
              <w:rPr>
                <w:rFonts w:hint="eastAsia"/>
                <w:color w:val="auto"/>
                <w:highlight w:val="none"/>
                <w:lang w:val="en-US" w:eastAsia="zh-CN"/>
              </w:rPr>
              <w:t>10</w:t>
            </w:r>
            <w:r>
              <w:rPr>
                <w:rFonts w:hint="eastAsia"/>
                <w:color w:val="auto"/>
                <w:highlight w:val="none"/>
              </w:rPr>
              <w:t>m</w:t>
            </w:r>
            <w:r>
              <w:rPr>
                <w:rFonts w:hint="eastAsia"/>
                <w:color w:val="auto"/>
                <w:highlight w:val="none"/>
                <w:vertAlign w:val="superscript"/>
              </w:rPr>
              <w:t>3</w:t>
            </w:r>
            <w:r>
              <w:rPr>
                <w:rFonts w:hint="eastAsia"/>
                <w:color w:val="auto"/>
                <w:highlight w:val="none"/>
                <w:lang w:eastAsia="zh-CN"/>
              </w:rPr>
              <w:t>）</w:t>
            </w:r>
            <w:r>
              <w:rPr>
                <w:rFonts w:hint="eastAsia"/>
                <w:color w:val="auto"/>
                <w:spacing w:val="0"/>
                <w:sz w:val="21"/>
                <w:highlight w:val="none"/>
                <w:lang w:val="en-US" w:eastAsia="zh-CN"/>
              </w:rPr>
              <w:t>收集后回用于混凝土搅拌工序</w:t>
            </w:r>
          </w:p>
        </w:tc>
        <w:tc>
          <w:tcPr>
            <w:tcW w:w="716" w:type="pct"/>
            <w:vMerge w:val="continue"/>
            <w:tcBorders>
              <w:tl2br w:val="nil"/>
              <w:tr2bl w:val="nil"/>
            </w:tcBorders>
            <w:shd w:val="clear" w:color="auto" w:fill="auto"/>
            <w:noWrap w:val="0"/>
            <w:vAlign w:val="center"/>
          </w:tcPr>
          <w:p w14:paraId="21F70C37">
            <w:pPr>
              <w:pStyle w:val="40"/>
              <w:bidi w:val="0"/>
              <w:jc w:val="center"/>
              <w:rPr>
                <w:rFonts w:hint="eastAsia"/>
                <w:b w:val="0"/>
                <w:color w:val="auto"/>
                <w:spacing w:val="-6"/>
                <w:sz w:val="21"/>
                <w:highlight w:val="none"/>
              </w:rPr>
            </w:pPr>
          </w:p>
        </w:tc>
      </w:tr>
      <w:tr w14:paraId="70D5D2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4" w:type="pct"/>
            <w:vMerge w:val="continue"/>
            <w:tcBorders>
              <w:tl2br w:val="nil"/>
              <w:tr2bl w:val="nil"/>
            </w:tcBorders>
            <w:shd w:val="clear" w:color="auto" w:fill="auto"/>
            <w:noWrap w:val="0"/>
            <w:vAlign w:val="center"/>
          </w:tcPr>
          <w:p w14:paraId="1A497A42">
            <w:pPr>
              <w:pStyle w:val="40"/>
              <w:bidi w:val="0"/>
              <w:jc w:val="center"/>
              <w:rPr>
                <w:rFonts w:hint="eastAsia"/>
                <w:b w:val="0"/>
                <w:color w:val="auto"/>
                <w:spacing w:val="-6"/>
                <w:sz w:val="21"/>
                <w:highlight w:val="none"/>
              </w:rPr>
            </w:pPr>
          </w:p>
        </w:tc>
        <w:tc>
          <w:tcPr>
            <w:tcW w:w="588" w:type="pct"/>
            <w:gridSpan w:val="2"/>
            <w:tcBorders>
              <w:tl2br w:val="nil"/>
              <w:tr2bl w:val="nil"/>
            </w:tcBorders>
            <w:shd w:val="clear" w:color="auto" w:fill="auto"/>
            <w:noWrap w:val="0"/>
            <w:vAlign w:val="center"/>
          </w:tcPr>
          <w:p w14:paraId="23894371">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W2</w:t>
            </w:r>
          </w:p>
        </w:tc>
        <w:tc>
          <w:tcPr>
            <w:tcW w:w="617" w:type="pct"/>
            <w:tcBorders>
              <w:tl2br w:val="nil"/>
              <w:tr2bl w:val="nil"/>
            </w:tcBorders>
            <w:shd w:val="clear" w:color="auto" w:fill="auto"/>
            <w:noWrap w:val="0"/>
            <w:vAlign w:val="center"/>
          </w:tcPr>
          <w:p w14:paraId="6F08B4DF">
            <w:pPr>
              <w:pStyle w:val="40"/>
              <w:bidi w:val="0"/>
              <w:ind w:firstLine="0" w:firstLineChars="0"/>
              <w:rPr>
                <w:rFonts w:hint="default" w:ascii="Times New Roman" w:hAnsi="Times New Roman" w:eastAsia="宋体" w:cs="Times New Roman"/>
                <w:b w:val="0"/>
                <w:bCs w:val="0"/>
                <w:color w:val="auto"/>
                <w:spacing w:val="-11"/>
                <w:kern w:val="2"/>
                <w:sz w:val="21"/>
                <w:szCs w:val="21"/>
                <w:highlight w:val="none"/>
                <w:lang w:val="en-US" w:eastAsia="zh-CN" w:bidi="ar-SA"/>
              </w:rPr>
            </w:pPr>
            <w:r>
              <w:rPr>
                <w:rFonts w:hint="eastAsia"/>
                <w:color w:val="auto"/>
                <w:spacing w:val="-11"/>
                <w:sz w:val="21"/>
                <w:highlight w:val="none"/>
                <w:lang w:val="en-US" w:eastAsia="zh-CN"/>
              </w:rPr>
              <w:t>SS</w:t>
            </w:r>
          </w:p>
        </w:tc>
        <w:tc>
          <w:tcPr>
            <w:tcW w:w="2593" w:type="pct"/>
            <w:vMerge w:val="continue"/>
            <w:tcBorders>
              <w:tl2br w:val="nil"/>
              <w:tr2bl w:val="nil"/>
            </w:tcBorders>
            <w:shd w:val="clear" w:color="auto" w:fill="auto"/>
            <w:noWrap w:val="0"/>
            <w:vAlign w:val="center"/>
          </w:tcPr>
          <w:p w14:paraId="35A37AEE">
            <w:pPr>
              <w:pStyle w:val="40"/>
              <w:bidi w:val="0"/>
              <w:jc w:val="center"/>
              <w:rPr>
                <w:rFonts w:hint="eastAsia" w:eastAsia="宋体"/>
                <w:b w:val="0"/>
                <w:color w:val="auto"/>
                <w:spacing w:val="0"/>
                <w:sz w:val="21"/>
                <w:highlight w:val="none"/>
                <w:lang w:eastAsia="zh-CN"/>
              </w:rPr>
            </w:pPr>
          </w:p>
        </w:tc>
        <w:tc>
          <w:tcPr>
            <w:tcW w:w="716" w:type="pct"/>
            <w:vMerge w:val="continue"/>
            <w:tcBorders>
              <w:tl2br w:val="nil"/>
              <w:tr2bl w:val="nil"/>
            </w:tcBorders>
            <w:shd w:val="clear" w:color="auto" w:fill="auto"/>
            <w:noWrap w:val="0"/>
            <w:vAlign w:val="center"/>
          </w:tcPr>
          <w:p w14:paraId="022B273A">
            <w:pPr>
              <w:pStyle w:val="40"/>
              <w:bidi w:val="0"/>
              <w:jc w:val="center"/>
              <w:rPr>
                <w:rFonts w:hint="eastAsia"/>
                <w:b w:val="0"/>
                <w:color w:val="auto"/>
                <w:spacing w:val="-6"/>
                <w:sz w:val="21"/>
                <w:highlight w:val="none"/>
              </w:rPr>
            </w:pPr>
          </w:p>
        </w:tc>
      </w:tr>
      <w:tr w14:paraId="255260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4" w:type="pct"/>
            <w:vMerge w:val="continue"/>
            <w:tcBorders>
              <w:tl2br w:val="nil"/>
              <w:tr2bl w:val="nil"/>
            </w:tcBorders>
            <w:shd w:val="clear" w:color="auto" w:fill="auto"/>
            <w:noWrap w:val="0"/>
            <w:vAlign w:val="center"/>
          </w:tcPr>
          <w:p w14:paraId="7AFB13C7">
            <w:pPr>
              <w:pStyle w:val="40"/>
              <w:bidi w:val="0"/>
              <w:jc w:val="center"/>
              <w:rPr>
                <w:rFonts w:hint="eastAsia"/>
                <w:b w:val="0"/>
                <w:color w:val="auto"/>
                <w:spacing w:val="-6"/>
                <w:sz w:val="21"/>
                <w:highlight w:val="none"/>
              </w:rPr>
            </w:pPr>
          </w:p>
        </w:tc>
        <w:tc>
          <w:tcPr>
            <w:tcW w:w="588" w:type="pct"/>
            <w:gridSpan w:val="2"/>
            <w:tcBorders>
              <w:tl2br w:val="nil"/>
              <w:tr2bl w:val="nil"/>
            </w:tcBorders>
            <w:shd w:val="clear" w:color="auto" w:fill="auto"/>
            <w:noWrap w:val="0"/>
            <w:vAlign w:val="center"/>
          </w:tcPr>
          <w:p w14:paraId="7425AB58">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W3</w:t>
            </w:r>
          </w:p>
        </w:tc>
        <w:tc>
          <w:tcPr>
            <w:tcW w:w="617" w:type="pct"/>
            <w:tcBorders>
              <w:tl2br w:val="nil"/>
              <w:tr2bl w:val="nil"/>
            </w:tcBorders>
            <w:shd w:val="clear" w:color="auto" w:fill="auto"/>
            <w:noWrap w:val="0"/>
            <w:vAlign w:val="center"/>
          </w:tcPr>
          <w:p w14:paraId="2DC92E4E">
            <w:pPr>
              <w:pStyle w:val="40"/>
              <w:bidi w:val="0"/>
              <w:ind w:firstLine="0" w:firstLineChars="0"/>
              <w:rPr>
                <w:rFonts w:hint="eastAsia" w:ascii="Times New Roman" w:hAnsi="Times New Roman" w:eastAsia="宋体" w:cs="Times New Roman"/>
                <w:b w:val="0"/>
                <w:bCs w:val="0"/>
                <w:color w:val="auto"/>
                <w:spacing w:val="-11"/>
                <w:kern w:val="2"/>
                <w:sz w:val="21"/>
                <w:szCs w:val="21"/>
                <w:highlight w:val="none"/>
                <w:lang w:val="en-US" w:eastAsia="zh-CN" w:bidi="ar-SA"/>
              </w:rPr>
            </w:pPr>
            <w:r>
              <w:rPr>
                <w:rFonts w:hint="eastAsia"/>
                <w:color w:val="auto"/>
                <w:spacing w:val="-11"/>
                <w:sz w:val="21"/>
                <w:highlight w:val="none"/>
                <w:lang w:val="en-US" w:eastAsia="zh-CN"/>
              </w:rPr>
              <w:t>Ca</w:t>
            </w:r>
            <w:r>
              <w:rPr>
                <w:rFonts w:hint="eastAsia"/>
                <w:color w:val="auto"/>
                <w:spacing w:val="-11"/>
                <w:sz w:val="21"/>
                <w:highlight w:val="none"/>
                <w:vertAlign w:val="superscript"/>
                <w:lang w:val="en-US" w:eastAsia="zh-CN"/>
              </w:rPr>
              <w:t>2+</w:t>
            </w:r>
            <w:r>
              <w:rPr>
                <w:rFonts w:hint="eastAsia"/>
                <w:color w:val="auto"/>
                <w:spacing w:val="-11"/>
                <w:sz w:val="21"/>
                <w:highlight w:val="none"/>
                <w:lang w:val="en-US" w:eastAsia="zh-CN"/>
              </w:rPr>
              <w:t>、Mg</w:t>
            </w:r>
            <w:r>
              <w:rPr>
                <w:rFonts w:hint="eastAsia"/>
                <w:color w:val="auto"/>
                <w:spacing w:val="-11"/>
                <w:sz w:val="21"/>
                <w:highlight w:val="none"/>
                <w:vertAlign w:val="superscript"/>
                <w:lang w:val="en-US" w:eastAsia="zh-CN"/>
              </w:rPr>
              <w:t>2+</w:t>
            </w:r>
          </w:p>
        </w:tc>
        <w:tc>
          <w:tcPr>
            <w:tcW w:w="2593" w:type="pct"/>
            <w:vMerge w:val="continue"/>
            <w:tcBorders>
              <w:tl2br w:val="nil"/>
              <w:tr2bl w:val="nil"/>
            </w:tcBorders>
            <w:shd w:val="clear" w:color="auto" w:fill="auto"/>
            <w:noWrap w:val="0"/>
            <w:vAlign w:val="center"/>
          </w:tcPr>
          <w:p w14:paraId="6B9873A2">
            <w:pPr>
              <w:pStyle w:val="40"/>
              <w:bidi w:val="0"/>
              <w:jc w:val="center"/>
              <w:rPr>
                <w:b w:val="0"/>
                <w:color w:val="auto"/>
                <w:spacing w:val="0"/>
                <w:sz w:val="21"/>
                <w:szCs w:val="21"/>
                <w:highlight w:val="none"/>
              </w:rPr>
            </w:pPr>
          </w:p>
        </w:tc>
        <w:tc>
          <w:tcPr>
            <w:tcW w:w="716" w:type="pct"/>
            <w:vMerge w:val="continue"/>
            <w:tcBorders>
              <w:tl2br w:val="nil"/>
              <w:tr2bl w:val="nil"/>
            </w:tcBorders>
            <w:shd w:val="clear" w:color="auto" w:fill="auto"/>
            <w:noWrap w:val="0"/>
            <w:vAlign w:val="center"/>
          </w:tcPr>
          <w:p w14:paraId="78619304">
            <w:pPr>
              <w:pStyle w:val="40"/>
              <w:bidi w:val="0"/>
              <w:jc w:val="center"/>
              <w:rPr>
                <w:rFonts w:hint="eastAsia"/>
                <w:b w:val="0"/>
                <w:color w:val="auto"/>
                <w:spacing w:val="-6"/>
                <w:sz w:val="21"/>
                <w:highlight w:val="none"/>
              </w:rPr>
            </w:pPr>
          </w:p>
        </w:tc>
      </w:tr>
      <w:tr w14:paraId="3903B3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484" w:type="pct"/>
            <w:vMerge w:val="continue"/>
            <w:tcBorders>
              <w:tl2br w:val="nil"/>
              <w:tr2bl w:val="nil"/>
            </w:tcBorders>
            <w:shd w:val="clear" w:color="auto" w:fill="auto"/>
            <w:noWrap w:val="0"/>
            <w:vAlign w:val="center"/>
          </w:tcPr>
          <w:p w14:paraId="2330ABBA">
            <w:pPr>
              <w:pStyle w:val="40"/>
              <w:bidi w:val="0"/>
              <w:jc w:val="center"/>
              <w:rPr>
                <w:rFonts w:hint="eastAsia"/>
                <w:b w:val="0"/>
                <w:color w:val="auto"/>
                <w:spacing w:val="-6"/>
                <w:sz w:val="21"/>
                <w:highlight w:val="none"/>
              </w:rPr>
            </w:pPr>
          </w:p>
        </w:tc>
        <w:tc>
          <w:tcPr>
            <w:tcW w:w="588" w:type="pct"/>
            <w:gridSpan w:val="2"/>
            <w:tcBorders>
              <w:tl2br w:val="nil"/>
              <w:tr2bl w:val="nil"/>
            </w:tcBorders>
            <w:shd w:val="clear" w:color="auto" w:fill="auto"/>
            <w:noWrap w:val="0"/>
            <w:vAlign w:val="center"/>
          </w:tcPr>
          <w:p w14:paraId="056350CB">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W4</w:t>
            </w:r>
          </w:p>
        </w:tc>
        <w:tc>
          <w:tcPr>
            <w:tcW w:w="617" w:type="pct"/>
            <w:tcBorders>
              <w:tl2br w:val="nil"/>
              <w:tr2bl w:val="nil"/>
            </w:tcBorders>
            <w:shd w:val="clear" w:color="auto" w:fill="auto"/>
            <w:noWrap w:val="0"/>
            <w:vAlign w:val="center"/>
          </w:tcPr>
          <w:p w14:paraId="3285613F">
            <w:pPr>
              <w:pStyle w:val="40"/>
              <w:bidi w:val="0"/>
              <w:ind w:firstLine="0" w:firstLineChars="0"/>
              <w:rPr>
                <w:rFonts w:hint="eastAsia"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sz w:val="21"/>
                <w:highlight w:val="none"/>
                <w:lang w:val="en-US" w:eastAsia="zh-CN"/>
              </w:rPr>
              <w:t>SS</w:t>
            </w:r>
          </w:p>
        </w:tc>
        <w:tc>
          <w:tcPr>
            <w:tcW w:w="2593" w:type="pct"/>
            <w:tcBorders>
              <w:tl2br w:val="nil"/>
              <w:tr2bl w:val="nil"/>
            </w:tcBorders>
            <w:shd w:val="clear" w:color="auto" w:fill="auto"/>
            <w:noWrap w:val="0"/>
            <w:vAlign w:val="center"/>
          </w:tcPr>
          <w:p w14:paraId="6F37F72D">
            <w:pPr>
              <w:pStyle w:val="40"/>
              <w:bidi w:val="0"/>
              <w:ind w:firstLine="0" w:firstLineChars="0"/>
              <w:jc w:val="center"/>
              <w:rPr>
                <w:b w:val="0"/>
                <w:color w:val="auto"/>
                <w:spacing w:val="0"/>
                <w:sz w:val="21"/>
                <w:szCs w:val="21"/>
                <w:highlight w:val="none"/>
              </w:rPr>
            </w:pPr>
            <w:r>
              <w:rPr>
                <w:color w:val="auto"/>
                <w:spacing w:val="0"/>
                <w:sz w:val="21"/>
                <w:szCs w:val="21"/>
                <w:highlight w:val="none"/>
              </w:rPr>
              <w:t>设置</w:t>
            </w:r>
            <w:r>
              <w:rPr>
                <w:rFonts w:hint="eastAsia"/>
                <w:color w:val="auto"/>
                <w:spacing w:val="0"/>
                <w:sz w:val="21"/>
                <w:szCs w:val="21"/>
                <w:highlight w:val="none"/>
                <w:lang w:val="en-US" w:eastAsia="zh-CN"/>
              </w:rPr>
              <w:t>三级</w:t>
            </w:r>
            <w:r>
              <w:rPr>
                <w:color w:val="auto"/>
                <w:spacing w:val="0"/>
                <w:sz w:val="21"/>
                <w:szCs w:val="21"/>
                <w:highlight w:val="none"/>
              </w:rPr>
              <w:t>沉淀池</w:t>
            </w:r>
            <w:r>
              <w:rPr>
                <w:rFonts w:hint="eastAsia"/>
                <w:color w:val="auto"/>
                <w:sz w:val="21"/>
                <w:szCs w:val="21"/>
                <w:highlight w:val="none"/>
                <w:lang w:eastAsia="zh-CN"/>
              </w:rPr>
              <w:t>（</w:t>
            </w:r>
            <w:r>
              <w:rPr>
                <w:rFonts w:hint="eastAsia"/>
                <w:color w:val="auto"/>
                <w:sz w:val="21"/>
                <w:szCs w:val="21"/>
                <w:highlight w:val="none"/>
                <w:lang w:val="en-US" w:eastAsia="zh-CN"/>
              </w:rPr>
              <w:t>3×20m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w:t>
            </w:r>
            <w:r>
              <w:rPr>
                <w:color w:val="auto"/>
                <w:spacing w:val="0"/>
                <w:sz w:val="21"/>
                <w:szCs w:val="21"/>
                <w:highlight w:val="none"/>
              </w:rPr>
              <w:t>1座，</w:t>
            </w:r>
            <w:r>
              <w:rPr>
                <w:rFonts w:hint="eastAsia"/>
                <w:color w:val="auto"/>
                <w:spacing w:val="0"/>
                <w:sz w:val="21"/>
                <w:szCs w:val="21"/>
                <w:highlight w:val="none"/>
                <w:lang w:val="en-US" w:eastAsia="zh-CN"/>
              </w:rPr>
              <w:t>砂石分离机1台。</w:t>
            </w:r>
            <w:r>
              <w:rPr>
                <w:rFonts w:hint="eastAsia"/>
                <w:color w:val="auto"/>
                <w:spacing w:val="0"/>
                <w:sz w:val="21"/>
                <w:szCs w:val="21"/>
                <w:highlight w:val="none"/>
              </w:rPr>
              <w:t>设备</w:t>
            </w:r>
            <w:r>
              <w:rPr>
                <w:rFonts w:hint="eastAsia"/>
                <w:color w:val="auto"/>
                <w:spacing w:val="0"/>
                <w:sz w:val="21"/>
                <w:szCs w:val="21"/>
                <w:highlight w:val="none"/>
                <w:lang w:val="en-US" w:eastAsia="zh-CN"/>
              </w:rPr>
              <w:t>清洗</w:t>
            </w:r>
            <w:r>
              <w:rPr>
                <w:color w:val="auto"/>
                <w:spacing w:val="0"/>
                <w:sz w:val="21"/>
                <w:szCs w:val="21"/>
                <w:highlight w:val="none"/>
              </w:rPr>
              <w:t>废水经砂石分离</w:t>
            </w:r>
            <w:r>
              <w:rPr>
                <w:rFonts w:hint="eastAsia"/>
                <w:color w:val="auto"/>
                <w:spacing w:val="0"/>
                <w:sz w:val="21"/>
                <w:szCs w:val="21"/>
                <w:highlight w:val="none"/>
              </w:rPr>
              <w:t>机</w:t>
            </w:r>
            <w:r>
              <w:rPr>
                <w:color w:val="auto"/>
                <w:spacing w:val="0"/>
                <w:sz w:val="21"/>
                <w:szCs w:val="21"/>
                <w:highlight w:val="none"/>
              </w:rPr>
              <w:t>、</w:t>
            </w:r>
            <w:r>
              <w:rPr>
                <w:rFonts w:hint="eastAsia"/>
                <w:color w:val="auto"/>
                <w:spacing w:val="0"/>
                <w:sz w:val="21"/>
                <w:szCs w:val="21"/>
                <w:highlight w:val="none"/>
                <w:lang w:val="en-US" w:eastAsia="zh-CN"/>
              </w:rPr>
              <w:t>三级</w:t>
            </w:r>
            <w:r>
              <w:rPr>
                <w:color w:val="auto"/>
                <w:spacing w:val="0"/>
                <w:sz w:val="21"/>
                <w:szCs w:val="21"/>
                <w:highlight w:val="none"/>
              </w:rPr>
              <w:t>沉淀池沉淀处理后</w:t>
            </w:r>
            <w:r>
              <w:rPr>
                <w:rFonts w:hint="eastAsia"/>
                <w:color w:val="auto"/>
                <w:spacing w:val="0"/>
                <w:sz w:val="21"/>
                <w:szCs w:val="21"/>
                <w:highlight w:val="none"/>
                <w:lang w:val="en-US" w:eastAsia="zh-CN"/>
              </w:rPr>
              <w:t>回</w:t>
            </w:r>
            <w:r>
              <w:rPr>
                <w:color w:val="auto"/>
                <w:spacing w:val="0"/>
                <w:sz w:val="21"/>
                <w:szCs w:val="21"/>
                <w:highlight w:val="none"/>
              </w:rPr>
              <w:t>用于搅拌工序</w:t>
            </w:r>
          </w:p>
        </w:tc>
        <w:tc>
          <w:tcPr>
            <w:tcW w:w="716" w:type="pct"/>
            <w:vMerge w:val="continue"/>
            <w:tcBorders>
              <w:tl2br w:val="nil"/>
              <w:tr2bl w:val="nil"/>
            </w:tcBorders>
            <w:shd w:val="clear" w:color="auto" w:fill="auto"/>
            <w:noWrap w:val="0"/>
            <w:vAlign w:val="center"/>
          </w:tcPr>
          <w:p w14:paraId="477E708F">
            <w:pPr>
              <w:pStyle w:val="40"/>
              <w:bidi w:val="0"/>
              <w:jc w:val="center"/>
              <w:rPr>
                <w:rFonts w:hint="eastAsia"/>
                <w:b w:val="0"/>
                <w:color w:val="auto"/>
                <w:spacing w:val="-6"/>
                <w:sz w:val="21"/>
                <w:highlight w:val="none"/>
              </w:rPr>
            </w:pPr>
          </w:p>
        </w:tc>
      </w:tr>
      <w:tr w14:paraId="551C7E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4" w:type="pct"/>
            <w:vMerge w:val="continue"/>
            <w:tcBorders>
              <w:tl2br w:val="nil"/>
              <w:tr2bl w:val="nil"/>
            </w:tcBorders>
            <w:shd w:val="clear" w:color="auto" w:fill="auto"/>
            <w:noWrap w:val="0"/>
            <w:vAlign w:val="center"/>
          </w:tcPr>
          <w:p w14:paraId="0AC1186E">
            <w:pPr>
              <w:pStyle w:val="40"/>
              <w:bidi w:val="0"/>
              <w:jc w:val="center"/>
              <w:rPr>
                <w:rFonts w:hint="eastAsia"/>
                <w:b w:val="0"/>
                <w:color w:val="auto"/>
                <w:spacing w:val="-6"/>
                <w:sz w:val="21"/>
                <w:highlight w:val="none"/>
              </w:rPr>
            </w:pPr>
          </w:p>
        </w:tc>
        <w:tc>
          <w:tcPr>
            <w:tcW w:w="588" w:type="pct"/>
            <w:gridSpan w:val="2"/>
            <w:tcBorders>
              <w:tl2br w:val="nil"/>
              <w:tr2bl w:val="nil"/>
            </w:tcBorders>
            <w:shd w:val="clear" w:color="auto" w:fill="auto"/>
            <w:noWrap w:val="0"/>
            <w:vAlign w:val="center"/>
          </w:tcPr>
          <w:p w14:paraId="2D2020BA">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W5</w:t>
            </w:r>
          </w:p>
        </w:tc>
        <w:tc>
          <w:tcPr>
            <w:tcW w:w="617" w:type="pct"/>
            <w:tcBorders>
              <w:tl2br w:val="nil"/>
              <w:tr2bl w:val="nil"/>
            </w:tcBorders>
            <w:shd w:val="clear" w:color="auto" w:fill="auto"/>
            <w:noWrap w:val="0"/>
            <w:vAlign w:val="center"/>
          </w:tcPr>
          <w:p w14:paraId="3474DA28">
            <w:pPr>
              <w:pStyle w:val="40"/>
              <w:bidi w:val="0"/>
              <w:ind w:firstLine="0" w:firstLineChars="0"/>
              <w:rPr>
                <w:rFonts w:hint="eastAsia"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sz w:val="21"/>
                <w:highlight w:val="none"/>
                <w:lang w:val="en-US" w:eastAsia="zh-CN"/>
              </w:rPr>
              <w:t>SS</w:t>
            </w:r>
          </w:p>
        </w:tc>
        <w:tc>
          <w:tcPr>
            <w:tcW w:w="2593" w:type="pct"/>
            <w:tcBorders>
              <w:tl2br w:val="nil"/>
              <w:tr2bl w:val="nil"/>
            </w:tcBorders>
            <w:shd w:val="clear" w:color="auto" w:fill="auto"/>
            <w:noWrap w:val="0"/>
            <w:vAlign w:val="center"/>
          </w:tcPr>
          <w:p w14:paraId="25E6A85E">
            <w:pPr>
              <w:pStyle w:val="40"/>
              <w:bidi w:val="0"/>
              <w:ind w:firstLine="0" w:firstLineChars="0"/>
              <w:jc w:val="center"/>
              <w:rPr>
                <w:rFonts w:hint="eastAsia" w:ascii="Times New Roman" w:hAnsi="Times New Roman" w:eastAsia="宋体" w:cs="Times New Roman"/>
                <w:b w:val="0"/>
                <w:bCs w:val="0"/>
                <w:color w:val="auto"/>
                <w:spacing w:val="0"/>
                <w:kern w:val="2"/>
                <w:sz w:val="21"/>
                <w:szCs w:val="21"/>
                <w:highlight w:val="none"/>
                <w:lang w:val="en-US" w:eastAsia="zh-CN" w:bidi="ar-SA"/>
              </w:rPr>
            </w:pPr>
            <w:r>
              <w:rPr>
                <w:color w:val="auto"/>
                <w:spacing w:val="0"/>
                <w:sz w:val="21"/>
                <w:szCs w:val="21"/>
                <w:highlight w:val="none"/>
              </w:rPr>
              <w:t>设置</w:t>
            </w:r>
            <w:r>
              <w:rPr>
                <w:rFonts w:hint="eastAsia"/>
                <w:color w:val="auto"/>
                <w:spacing w:val="0"/>
                <w:sz w:val="21"/>
                <w:szCs w:val="21"/>
                <w:highlight w:val="none"/>
                <w:lang w:val="en-US" w:eastAsia="zh-CN"/>
              </w:rPr>
              <w:t>沉淀池</w:t>
            </w:r>
            <w:r>
              <w:rPr>
                <w:rFonts w:hint="eastAsia"/>
                <w:color w:val="auto"/>
                <w:spacing w:val="0"/>
                <w:sz w:val="21"/>
                <w:szCs w:val="21"/>
                <w:highlight w:val="none"/>
                <w:lang w:eastAsia="zh-CN"/>
              </w:rPr>
              <w:t>（</w:t>
            </w:r>
            <w:r>
              <w:rPr>
                <w:rFonts w:hint="eastAsia"/>
                <w:color w:val="auto"/>
                <w:spacing w:val="0"/>
                <w:sz w:val="21"/>
                <w:szCs w:val="21"/>
                <w:highlight w:val="none"/>
                <w:lang w:val="en-US" w:eastAsia="zh-CN"/>
              </w:rPr>
              <w:t>20m</w:t>
            </w:r>
            <w:r>
              <w:rPr>
                <w:rFonts w:hint="eastAsia"/>
                <w:color w:val="auto"/>
                <w:spacing w:val="0"/>
                <w:sz w:val="21"/>
                <w:szCs w:val="21"/>
                <w:highlight w:val="none"/>
                <w:vertAlign w:val="superscript"/>
                <w:lang w:val="en-US" w:eastAsia="zh-CN"/>
              </w:rPr>
              <w:t>3</w:t>
            </w:r>
            <w:r>
              <w:rPr>
                <w:rFonts w:hint="eastAsia"/>
                <w:color w:val="auto"/>
                <w:spacing w:val="0"/>
                <w:sz w:val="21"/>
                <w:szCs w:val="21"/>
                <w:highlight w:val="none"/>
                <w:lang w:val="en-US" w:eastAsia="zh-CN"/>
              </w:rPr>
              <w:t>）</w:t>
            </w:r>
            <w:r>
              <w:rPr>
                <w:color w:val="auto"/>
                <w:spacing w:val="0"/>
                <w:sz w:val="21"/>
                <w:szCs w:val="21"/>
                <w:highlight w:val="none"/>
              </w:rPr>
              <w:t>1座</w:t>
            </w:r>
            <w:r>
              <w:rPr>
                <w:rFonts w:hint="eastAsia"/>
                <w:color w:val="auto"/>
                <w:spacing w:val="0"/>
                <w:sz w:val="21"/>
                <w:szCs w:val="21"/>
                <w:highlight w:val="none"/>
                <w:lang w:eastAsia="zh-CN"/>
              </w:rPr>
              <w:t>，</w:t>
            </w:r>
            <w:r>
              <w:rPr>
                <w:color w:val="auto"/>
                <w:spacing w:val="0"/>
                <w:sz w:val="21"/>
                <w:szCs w:val="21"/>
                <w:highlight w:val="none"/>
              </w:rPr>
              <w:t>车辆冲洗废水</w:t>
            </w:r>
            <w:r>
              <w:rPr>
                <w:rFonts w:hint="eastAsia"/>
                <w:color w:val="auto"/>
                <w:spacing w:val="0"/>
                <w:sz w:val="21"/>
                <w:szCs w:val="21"/>
                <w:highlight w:val="none"/>
              </w:rPr>
              <w:t>经</w:t>
            </w:r>
            <w:r>
              <w:rPr>
                <w:color w:val="auto"/>
                <w:spacing w:val="0"/>
                <w:sz w:val="21"/>
                <w:szCs w:val="21"/>
                <w:highlight w:val="none"/>
              </w:rPr>
              <w:t>沉淀池</w:t>
            </w:r>
            <w:r>
              <w:rPr>
                <w:color w:val="auto"/>
                <w:spacing w:val="0"/>
                <w:sz w:val="21"/>
                <w:szCs w:val="21"/>
                <w:highlight w:val="none"/>
                <w:lang w:val="zh-TW"/>
              </w:rPr>
              <w:t>沉淀</w:t>
            </w:r>
            <w:r>
              <w:rPr>
                <w:rFonts w:hint="eastAsia"/>
                <w:color w:val="auto"/>
                <w:spacing w:val="0"/>
                <w:sz w:val="21"/>
                <w:szCs w:val="21"/>
                <w:highlight w:val="none"/>
              </w:rPr>
              <w:t>后</w:t>
            </w:r>
            <w:r>
              <w:rPr>
                <w:color w:val="auto"/>
                <w:spacing w:val="0"/>
                <w:sz w:val="21"/>
                <w:szCs w:val="21"/>
                <w:highlight w:val="none"/>
                <w:lang w:val="zh-TW"/>
              </w:rPr>
              <w:t>循环使用</w:t>
            </w:r>
          </w:p>
        </w:tc>
        <w:tc>
          <w:tcPr>
            <w:tcW w:w="716" w:type="pct"/>
            <w:vMerge w:val="continue"/>
            <w:tcBorders>
              <w:tl2br w:val="nil"/>
              <w:tr2bl w:val="nil"/>
            </w:tcBorders>
            <w:shd w:val="clear" w:color="auto" w:fill="auto"/>
            <w:noWrap w:val="0"/>
            <w:vAlign w:val="center"/>
          </w:tcPr>
          <w:p w14:paraId="4670F3A5">
            <w:pPr>
              <w:pStyle w:val="40"/>
              <w:bidi w:val="0"/>
              <w:jc w:val="center"/>
              <w:rPr>
                <w:rFonts w:hint="eastAsia"/>
                <w:b w:val="0"/>
                <w:color w:val="auto"/>
                <w:spacing w:val="-6"/>
                <w:sz w:val="21"/>
                <w:highlight w:val="none"/>
              </w:rPr>
            </w:pPr>
          </w:p>
        </w:tc>
      </w:tr>
      <w:tr w14:paraId="5E6759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4" w:type="pct"/>
            <w:vMerge w:val="continue"/>
            <w:tcBorders>
              <w:tl2br w:val="nil"/>
              <w:tr2bl w:val="nil"/>
            </w:tcBorders>
            <w:shd w:val="clear" w:color="auto" w:fill="auto"/>
            <w:noWrap w:val="0"/>
            <w:vAlign w:val="center"/>
          </w:tcPr>
          <w:p w14:paraId="5CBA618E">
            <w:pPr>
              <w:pStyle w:val="40"/>
              <w:bidi w:val="0"/>
              <w:jc w:val="center"/>
              <w:rPr>
                <w:rFonts w:hint="eastAsia"/>
                <w:b w:val="0"/>
                <w:color w:val="auto"/>
                <w:spacing w:val="-6"/>
                <w:sz w:val="21"/>
                <w:highlight w:val="none"/>
              </w:rPr>
            </w:pPr>
          </w:p>
        </w:tc>
        <w:tc>
          <w:tcPr>
            <w:tcW w:w="588" w:type="pct"/>
            <w:gridSpan w:val="2"/>
            <w:tcBorders>
              <w:tl2br w:val="nil"/>
              <w:tr2bl w:val="nil"/>
            </w:tcBorders>
            <w:shd w:val="clear" w:color="auto" w:fill="auto"/>
            <w:noWrap w:val="0"/>
            <w:vAlign w:val="center"/>
          </w:tcPr>
          <w:p w14:paraId="4D2AC68C">
            <w:pPr>
              <w:pStyle w:val="40"/>
              <w:bidi w:val="0"/>
              <w:jc w:val="center"/>
              <w:rPr>
                <w:rFonts w:hint="default"/>
                <w:b w:val="0"/>
                <w:color w:val="auto"/>
                <w:highlight w:val="none"/>
                <w:lang w:val="en-US" w:eastAsia="zh-CN"/>
              </w:rPr>
            </w:pPr>
            <w:r>
              <w:rPr>
                <w:rFonts w:hint="eastAsia"/>
                <w:b w:val="0"/>
                <w:color w:val="auto"/>
                <w:highlight w:val="none"/>
                <w:lang w:val="en-US" w:eastAsia="zh-CN"/>
              </w:rPr>
              <w:t>初期雨水</w:t>
            </w:r>
          </w:p>
        </w:tc>
        <w:tc>
          <w:tcPr>
            <w:tcW w:w="617" w:type="pct"/>
            <w:tcBorders>
              <w:tl2br w:val="nil"/>
              <w:tr2bl w:val="nil"/>
            </w:tcBorders>
            <w:shd w:val="clear" w:color="auto" w:fill="auto"/>
            <w:noWrap w:val="0"/>
            <w:vAlign w:val="center"/>
          </w:tcPr>
          <w:p w14:paraId="0B9FAE2C">
            <w:pPr>
              <w:pStyle w:val="40"/>
              <w:bidi w:val="0"/>
              <w:jc w:val="center"/>
              <w:rPr>
                <w:rFonts w:hint="default" w:eastAsia="宋体"/>
                <w:b w:val="0"/>
                <w:color w:val="auto"/>
                <w:highlight w:val="none"/>
                <w:lang w:val="en-US" w:eastAsia="zh-CN"/>
              </w:rPr>
            </w:pPr>
            <w:r>
              <w:rPr>
                <w:rFonts w:hint="eastAsia"/>
                <w:b w:val="0"/>
                <w:color w:val="auto"/>
                <w:highlight w:val="none"/>
                <w:lang w:val="en-US" w:eastAsia="zh-CN"/>
              </w:rPr>
              <w:t>SS</w:t>
            </w:r>
          </w:p>
        </w:tc>
        <w:tc>
          <w:tcPr>
            <w:tcW w:w="2593" w:type="pct"/>
            <w:tcBorders>
              <w:tl2br w:val="nil"/>
              <w:tr2bl w:val="nil"/>
            </w:tcBorders>
            <w:shd w:val="clear" w:color="auto" w:fill="auto"/>
            <w:noWrap w:val="0"/>
            <w:vAlign w:val="center"/>
          </w:tcPr>
          <w:p w14:paraId="1EE73575">
            <w:pPr>
              <w:pStyle w:val="40"/>
              <w:bidi w:val="0"/>
              <w:jc w:val="center"/>
              <w:rPr>
                <w:rFonts w:hint="eastAsia"/>
                <w:b w:val="0"/>
                <w:color w:val="auto"/>
                <w:spacing w:val="0"/>
                <w:sz w:val="21"/>
                <w:szCs w:val="21"/>
                <w:highlight w:val="none"/>
              </w:rPr>
            </w:pPr>
            <w:r>
              <w:rPr>
                <w:b w:val="0"/>
                <w:color w:val="auto"/>
                <w:spacing w:val="0"/>
                <w:sz w:val="21"/>
                <w:szCs w:val="21"/>
                <w:highlight w:val="none"/>
              </w:rPr>
              <w:t>设容积6</w:t>
            </w:r>
            <w:r>
              <w:rPr>
                <w:rFonts w:hint="eastAsia"/>
                <w:b w:val="0"/>
                <w:color w:val="auto"/>
                <w:spacing w:val="0"/>
                <w:sz w:val="21"/>
                <w:szCs w:val="21"/>
                <w:highlight w:val="none"/>
                <w:lang w:val="en-US" w:eastAsia="zh-CN"/>
              </w:rPr>
              <w:t>0</w:t>
            </w:r>
            <w:r>
              <w:rPr>
                <w:b w:val="0"/>
                <w:color w:val="auto"/>
                <w:spacing w:val="0"/>
                <w:sz w:val="21"/>
                <w:szCs w:val="21"/>
                <w:highlight w:val="none"/>
              </w:rPr>
              <w:t>0m</w:t>
            </w:r>
            <w:r>
              <w:rPr>
                <w:b w:val="0"/>
                <w:color w:val="auto"/>
                <w:spacing w:val="0"/>
                <w:sz w:val="21"/>
                <w:szCs w:val="21"/>
                <w:highlight w:val="none"/>
                <w:vertAlign w:val="superscript"/>
              </w:rPr>
              <w:t>3</w:t>
            </w:r>
            <w:r>
              <w:rPr>
                <w:b w:val="0"/>
                <w:color w:val="auto"/>
                <w:spacing w:val="0"/>
                <w:sz w:val="21"/>
                <w:szCs w:val="21"/>
                <w:highlight w:val="none"/>
              </w:rPr>
              <w:t>初期雨水收集池1座，并配套铺设收集管网，</w:t>
            </w:r>
            <w:r>
              <w:rPr>
                <w:rFonts w:hint="eastAsia"/>
                <w:b w:val="0"/>
                <w:color w:val="auto"/>
                <w:spacing w:val="-6"/>
                <w:sz w:val="21"/>
                <w:szCs w:val="21"/>
                <w:highlight w:val="none"/>
                <w:lang w:val="en-US" w:eastAsia="zh-CN"/>
              </w:rPr>
              <w:t>经</w:t>
            </w:r>
            <w:r>
              <w:rPr>
                <w:b w:val="0"/>
                <w:color w:val="auto"/>
                <w:spacing w:val="-6"/>
                <w:sz w:val="21"/>
                <w:szCs w:val="21"/>
                <w:highlight w:val="none"/>
              </w:rPr>
              <w:t>沉淀</w:t>
            </w:r>
            <w:r>
              <w:rPr>
                <w:rFonts w:hint="eastAsia"/>
                <w:b w:val="0"/>
                <w:color w:val="auto"/>
                <w:spacing w:val="-6"/>
                <w:sz w:val="21"/>
                <w:szCs w:val="21"/>
                <w:highlight w:val="none"/>
                <w:lang w:val="en-US" w:eastAsia="zh-CN"/>
              </w:rPr>
              <w:t>处理</w:t>
            </w:r>
            <w:r>
              <w:rPr>
                <w:b w:val="0"/>
                <w:color w:val="auto"/>
                <w:spacing w:val="-6"/>
                <w:sz w:val="21"/>
                <w:szCs w:val="21"/>
                <w:highlight w:val="none"/>
              </w:rPr>
              <w:t>后</w:t>
            </w:r>
            <w:r>
              <w:rPr>
                <w:rFonts w:hint="eastAsia"/>
                <w:b w:val="0"/>
                <w:color w:val="auto"/>
                <w:spacing w:val="-6"/>
                <w:sz w:val="21"/>
                <w:szCs w:val="21"/>
                <w:highlight w:val="none"/>
              </w:rPr>
              <w:t>回用于项目场地降尘用水</w:t>
            </w:r>
          </w:p>
        </w:tc>
        <w:tc>
          <w:tcPr>
            <w:tcW w:w="716" w:type="pct"/>
            <w:vMerge w:val="continue"/>
            <w:tcBorders>
              <w:tl2br w:val="nil"/>
              <w:tr2bl w:val="nil"/>
            </w:tcBorders>
            <w:shd w:val="clear" w:color="auto" w:fill="auto"/>
            <w:noWrap w:val="0"/>
            <w:vAlign w:val="center"/>
          </w:tcPr>
          <w:p w14:paraId="3A055E44">
            <w:pPr>
              <w:pStyle w:val="40"/>
              <w:bidi w:val="0"/>
              <w:jc w:val="center"/>
              <w:rPr>
                <w:rFonts w:hint="eastAsia"/>
                <w:b w:val="0"/>
                <w:color w:val="auto"/>
                <w:spacing w:val="-6"/>
                <w:sz w:val="21"/>
                <w:highlight w:val="none"/>
              </w:rPr>
            </w:pPr>
          </w:p>
        </w:tc>
      </w:tr>
      <w:tr w14:paraId="68B0D5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4" w:type="pct"/>
            <w:tcBorders>
              <w:tl2br w:val="nil"/>
              <w:tr2bl w:val="nil"/>
            </w:tcBorders>
            <w:shd w:val="clear" w:color="auto" w:fill="auto"/>
            <w:noWrap w:val="0"/>
            <w:vAlign w:val="center"/>
          </w:tcPr>
          <w:p w14:paraId="27D3C208">
            <w:pPr>
              <w:pStyle w:val="40"/>
              <w:bidi w:val="0"/>
              <w:jc w:val="center"/>
              <w:rPr>
                <w:rFonts w:hint="eastAsia"/>
                <w:b w:val="0"/>
                <w:color w:val="auto"/>
                <w:spacing w:val="-6"/>
                <w:sz w:val="21"/>
                <w:highlight w:val="none"/>
              </w:rPr>
            </w:pPr>
            <w:r>
              <w:rPr>
                <w:rFonts w:hint="eastAsia"/>
                <w:b w:val="0"/>
                <w:color w:val="auto"/>
                <w:spacing w:val="-6"/>
                <w:sz w:val="21"/>
                <w:highlight w:val="none"/>
              </w:rPr>
              <w:t>声环境</w:t>
            </w:r>
          </w:p>
        </w:tc>
        <w:tc>
          <w:tcPr>
            <w:tcW w:w="588" w:type="pct"/>
            <w:gridSpan w:val="2"/>
            <w:tcBorders>
              <w:tl2br w:val="nil"/>
              <w:tr2bl w:val="nil"/>
            </w:tcBorders>
            <w:shd w:val="clear" w:color="auto" w:fill="auto"/>
            <w:noWrap w:val="0"/>
            <w:vAlign w:val="center"/>
          </w:tcPr>
          <w:p w14:paraId="21AF1429">
            <w:pPr>
              <w:pStyle w:val="40"/>
              <w:bidi w:val="0"/>
              <w:jc w:val="center"/>
              <w:rPr>
                <w:rFonts w:hint="eastAsia" w:eastAsia="宋体"/>
                <w:b w:val="0"/>
                <w:color w:val="auto"/>
                <w:highlight w:val="none"/>
                <w:lang w:val="en-US" w:eastAsia="zh-CN"/>
              </w:rPr>
            </w:pPr>
            <w:r>
              <w:rPr>
                <w:rFonts w:hint="eastAsia"/>
                <w:color w:val="auto"/>
                <w:highlight w:val="none"/>
                <w:lang w:val="en-US" w:eastAsia="zh-CN"/>
              </w:rPr>
              <w:t>生产设备</w:t>
            </w:r>
          </w:p>
        </w:tc>
        <w:tc>
          <w:tcPr>
            <w:tcW w:w="617" w:type="pct"/>
            <w:tcBorders>
              <w:tl2br w:val="nil"/>
              <w:tr2bl w:val="nil"/>
            </w:tcBorders>
            <w:shd w:val="clear" w:color="auto" w:fill="auto"/>
            <w:noWrap w:val="0"/>
            <w:vAlign w:val="center"/>
          </w:tcPr>
          <w:p w14:paraId="0BD0A862">
            <w:pPr>
              <w:pStyle w:val="40"/>
              <w:bidi w:val="0"/>
              <w:ind w:firstLine="0" w:firstLineChars="0"/>
              <w:rPr>
                <w:rFonts w:hint="eastAsia" w:eastAsia="宋体"/>
                <w:b w:val="0"/>
                <w:color w:val="auto"/>
                <w:highlight w:val="none"/>
                <w:lang w:val="en-US" w:eastAsia="zh-CN"/>
              </w:rPr>
            </w:pPr>
            <w:r>
              <w:rPr>
                <w:rFonts w:hint="eastAsia"/>
                <w:color w:val="auto"/>
                <w:highlight w:val="none"/>
                <w:lang w:val="en-US" w:eastAsia="zh-CN"/>
              </w:rPr>
              <w:t>噪声</w:t>
            </w:r>
          </w:p>
        </w:tc>
        <w:tc>
          <w:tcPr>
            <w:tcW w:w="2593" w:type="pct"/>
            <w:tcBorders>
              <w:tl2br w:val="nil"/>
              <w:tr2bl w:val="nil"/>
            </w:tcBorders>
            <w:shd w:val="clear" w:color="auto" w:fill="auto"/>
            <w:noWrap w:val="0"/>
            <w:vAlign w:val="center"/>
          </w:tcPr>
          <w:p w14:paraId="74675958">
            <w:pPr>
              <w:pStyle w:val="40"/>
              <w:bidi w:val="0"/>
              <w:ind w:firstLine="0" w:firstLineChars="0"/>
              <w:rPr>
                <w:rFonts w:hint="eastAsia"/>
                <w:b w:val="0"/>
                <w:color w:val="auto"/>
                <w:spacing w:val="0"/>
                <w:sz w:val="21"/>
                <w:highlight w:val="none"/>
              </w:rPr>
            </w:pPr>
            <w:r>
              <w:rPr>
                <w:rFonts w:hint="eastAsia"/>
                <w:color w:val="auto"/>
                <w:spacing w:val="0"/>
                <w:sz w:val="21"/>
                <w:szCs w:val="21"/>
                <w:highlight w:val="none"/>
              </w:rPr>
              <w:t>选用低噪声设备</w:t>
            </w:r>
            <w:r>
              <w:rPr>
                <w:rFonts w:hint="eastAsia"/>
                <w:color w:val="auto"/>
                <w:spacing w:val="0"/>
                <w:sz w:val="21"/>
                <w:szCs w:val="21"/>
                <w:highlight w:val="none"/>
                <w:lang w:eastAsia="zh-CN"/>
              </w:rPr>
              <w:t>，</w:t>
            </w:r>
            <w:r>
              <w:rPr>
                <w:rFonts w:hint="eastAsia"/>
                <w:color w:val="auto"/>
                <w:spacing w:val="0"/>
                <w:sz w:val="21"/>
                <w:szCs w:val="21"/>
                <w:highlight w:val="none"/>
                <w:lang w:val="en-US" w:eastAsia="zh-CN"/>
              </w:rPr>
              <w:t>厂房隔声</w:t>
            </w:r>
            <w:r>
              <w:rPr>
                <w:color w:val="auto"/>
                <w:spacing w:val="0"/>
                <w:sz w:val="21"/>
                <w:szCs w:val="21"/>
                <w:highlight w:val="none"/>
              </w:rPr>
              <w:t>，并采取减</w:t>
            </w:r>
            <w:r>
              <w:rPr>
                <w:rFonts w:hint="eastAsia"/>
                <w:color w:val="auto"/>
                <w:spacing w:val="0"/>
                <w:sz w:val="21"/>
                <w:szCs w:val="21"/>
                <w:highlight w:val="none"/>
              </w:rPr>
              <w:t>振</w:t>
            </w:r>
            <w:r>
              <w:rPr>
                <w:color w:val="auto"/>
                <w:spacing w:val="0"/>
                <w:sz w:val="21"/>
                <w:szCs w:val="21"/>
                <w:highlight w:val="none"/>
              </w:rPr>
              <w:t>、隔声、消声等措施</w:t>
            </w:r>
          </w:p>
        </w:tc>
        <w:tc>
          <w:tcPr>
            <w:tcW w:w="716" w:type="pct"/>
            <w:tcBorders>
              <w:tl2br w:val="nil"/>
              <w:tr2bl w:val="nil"/>
            </w:tcBorders>
            <w:shd w:val="clear" w:color="auto" w:fill="auto"/>
            <w:noWrap w:val="0"/>
            <w:vAlign w:val="center"/>
          </w:tcPr>
          <w:p w14:paraId="5B023D49">
            <w:pPr>
              <w:pStyle w:val="40"/>
              <w:bidi w:val="0"/>
              <w:jc w:val="center"/>
              <w:rPr>
                <w:rFonts w:hint="eastAsia"/>
                <w:b w:val="0"/>
                <w:color w:val="auto"/>
                <w:spacing w:val="-6"/>
                <w:sz w:val="21"/>
                <w:highlight w:val="none"/>
              </w:rPr>
            </w:pPr>
            <w:r>
              <w:rPr>
                <w:b w:val="0"/>
                <w:color w:val="auto"/>
                <w:spacing w:val="-6"/>
                <w:sz w:val="21"/>
                <w:szCs w:val="21"/>
                <w:highlight w:val="none"/>
              </w:rPr>
              <w:t>《工业企业厂界环境噪声排放标准》</w:t>
            </w:r>
            <w:r>
              <w:rPr>
                <w:rFonts w:hint="eastAsia"/>
                <w:b w:val="0"/>
                <w:color w:val="auto"/>
                <w:spacing w:val="-6"/>
                <w:sz w:val="21"/>
                <w:szCs w:val="21"/>
                <w:highlight w:val="none"/>
              </w:rPr>
              <w:t>（</w:t>
            </w:r>
            <w:r>
              <w:rPr>
                <w:b w:val="0"/>
                <w:color w:val="auto"/>
                <w:spacing w:val="-6"/>
                <w:sz w:val="21"/>
                <w:szCs w:val="21"/>
                <w:highlight w:val="none"/>
              </w:rPr>
              <w:t>GB</w:t>
            </w:r>
            <w:r>
              <w:rPr>
                <w:rFonts w:hint="eastAsia"/>
                <w:b w:val="0"/>
                <w:color w:val="auto"/>
                <w:spacing w:val="-6"/>
                <w:sz w:val="21"/>
                <w:szCs w:val="21"/>
                <w:highlight w:val="none"/>
                <w:lang w:val="en-US" w:eastAsia="zh-CN"/>
              </w:rPr>
              <w:t xml:space="preserve"> </w:t>
            </w:r>
            <w:r>
              <w:rPr>
                <w:b w:val="0"/>
                <w:color w:val="auto"/>
                <w:spacing w:val="-6"/>
                <w:sz w:val="21"/>
                <w:szCs w:val="21"/>
                <w:highlight w:val="none"/>
              </w:rPr>
              <w:t>12348-2008）</w:t>
            </w:r>
            <w:r>
              <w:rPr>
                <w:rFonts w:hint="eastAsia"/>
                <w:b w:val="0"/>
                <w:color w:val="auto"/>
                <w:spacing w:val="-6"/>
                <w:sz w:val="21"/>
                <w:szCs w:val="21"/>
                <w:highlight w:val="none"/>
                <w:lang w:val="en-US" w:eastAsia="zh-CN"/>
              </w:rPr>
              <w:t>3</w:t>
            </w:r>
            <w:r>
              <w:rPr>
                <w:b w:val="0"/>
                <w:color w:val="auto"/>
                <w:spacing w:val="-6"/>
                <w:sz w:val="21"/>
                <w:szCs w:val="21"/>
                <w:highlight w:val="none"/>
              </w:rPr>
              <w:t>类标准</w:t>
            </w:r>
          </w:p>
        </w:tc>
      </w:tr>
      <w:tr w14:paraId="3A9254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4" w:type="pct"/>
            <w:tcBorders>
              <w:tl2br w:val="nil"/>
              <w:tr2bl w:val="nil"/>
            </w:tcBorders>
            <w:shd w:val="clear" w:color="auto" w:fill="auto"/>
            <w:noWrap w:val="0"/>
            <w:vAlign w:val="center"/>
          </w:tcPr>
          <w:p w14:paraId="20E21394">
            <w:pPr>
              <w:pStyle w:val="40"/>
              <w:bidi w:val="0"/>
              <w:jc w:val="center"/>
              <w:rPr>
                <w:rFonts w:hint="eastAsia"/>
                <w:b w:val="0"/>
                <w:color w:val="auto"/>
                <w:spacing w:val="-6"/>
                <w:sz w:val="21"/>
                <w:highlight w:val="none"/>
              </w:rPr>
            </w:pPr>
            <w:r>
              <w:rPr>
                <w:rFonts w:hint="eastAsia"/>
                <w:b w:val="0"/>
                <w:color w:val="auto"/>
                <w:spacing w:val="-6"/>
                <w:sz w:val="21"/>
                <w:highlight w:val="none"/>
              </w:rPr>
              <w:t>电磁</w:t>
            </w:r>
          </w:p>
          <w:p w14:paraId="6EE08E40">
            <w:pPr>
              <w:pStyle w:val="40"/>
              <w:bidi w:val="0"/>
              <w:jc w:val="center"/>
              <w:rPr>
                <w:rFonts w:hint="eastAsia"/>
                <w:b w:val="0"/>
                <w:color w:val="auto"/>
                <w:spacing w:val="-6"/>
                <w:sz w:val="21"/>
                <w:highlight w:val="none"/>
              </w:rPr>
            </w:pPr>
            <w:r>
              <w:rPr>
                <w:rFonts w:hint="eastAsia"/>
                <w:b w:val="0"/>
                <w:color w:val="auto"/>
                <w:spacing w:val="-6"/>
                <w:sz w:val="21"/>
                <w:highlight w:val="none"/>
              </w:rPr>
              <w:t>辐射</w:t>
            </w:r>
          </w:p>
        </w:tc>
        <w:tc>
          <w:tcPr>
            <w:tcW w:w="588" w:type="pct"/>
            <w:gridSpan w:val="2"/>
            <w:tcBorders>
              <w:tl2br w:val="nil"/>
              <w:tr2bl w:val="nil"/>
            </w:tcBorders>
            <w:shd w:val="clear" w:color="auto" w:fill="auto"/>
            <w:noWrap w:val="0"/>
            <w:vAlign w:val="center"/>
          </w:tcPr>
          <w:p w14:paraId="1920C6EC">
            <w:pPr>
              <w:pStyle w:val="40"/>
              <w:bidi w:val="0"/>
              <w:jc w:val="center"/>
              <w:rPr>
                <w:rFonts w:hint="eastAsia" w:eastAsia="宋体"/>
                <w:b w:val="0"/>
                <w:color w:val="auto"/>
                <w:highlight w:val="none"/>
                <w:lang w:val="en-US" w:eastAsia="zh-CN"/>
              </w:rPr>
            </w:pPr>
            <w:r>
              <w:rPr>
                <w:rFonts w:hint="eastAsia"/>
                <w:b w:val="0"/>
                <w:color w:val="auto"/>
                <w:highlight w:val="none"/>
                <w:lang w:val="en-US" w:eastAsia="zh-CN"/>
              </w:rPr>
              <w:t>/</w:t>
            </w:r>
          </w:p>
        </w:tc>
        <w:tc>
          <w:tcPr>
            <w:tcW w:w="617" w:type="pct"/>
            <w:tcBorders>
              <w:tl2br w:val="nil"/>
              <w:tr2bl w:val="nil"/>
            </w:tcBorders>
            <w:shd w:val="clear" w:color="auto" w:fill="auto"/>
            <w:noWrap w:val="0"/>
            <w:vAlign w:val="center"/>
          </w:tcPr>
          <w:p w14:paraId="7DB9051A">
            <w:pPr>
              <w:pStyle w:val="40"/>
              <w:bidi w:val="0"/>
              <w:jc w:val="center"/>
              <w:rPr>
                <w:rFonts w:hint="eastAsia" w:eastAsia="宋体"/>
                <w:b w:val="0"/>
                <w:color w:val="auto"/>
                <w:highlight w:val="none"/>
                <w:lang w:val="en-US" w:eastAsia="zh-CN"/>
              </w:rPr>
            </w:pPr>
            <w:r>
              <w:rPr>
                <w:rFonts w:hint="eastAsia"/>
                <w:b w:val="0"/>
                <w:color w:val="auto"/>
                <w:highlight w:val="none"/>
                <w:lang w:val="en-US" w:eastAsia="zh-CN"/>
              </w:rPr>
              <w:t>/</w:t>
            </w:r>
          </w:p>
        </w:tc>
        <w:tc>
          <w:tcPr>
            <w:tcW w:w="2593" w:type="pct"/>
            <w:tcBorders>
              <w:tl2br w:val="nil"/>
              <w:tr2bl w:val="nil"/>
            </w:tcBorders>
            <w:shd w:val="clear" w:color="auto" w:fill="auto"/>
            <w:noWrap w:val="0"/>
            <w:vAlign w:val="center"/>
          </w:tcPr>
          <w:p w14:paraId="56E1EB95">
            <w:pPr>
              <w:pStyle w:val="40"/>
              <w:bidi w:val="0"/>
              <w:jc w:val="center"/>
              <w:rPr>
                <w:rFonts w:hint="eastAsia" w:eastAsia="宋体"/>
                <w:b w:val="0"/>
                <w:color w:val="auto"/>
                <w:spacing w:val="0"/>
                <w:sz w:val="21"/>
                <w:highlight w:val="none"/>
                <w:lang w:val="en-US" w:eastAsia="zh-CN"/>
              </w:rPr>
            </w:pPr>
            <w:r>
              <w:rPr>
                <w:rFonts w:hint="eastAsia"/>
                <w:b w:val="0"/>
                <w:color w:val="auto"/>
                <w:spacing w:val="0"/>
                <w:sz w:val="21"/>
                <w:highlight w:val="none"/>
                <w:lang w:val="en-US" w:eastAsia="zh-CN"/>
              </w:rPr>
              <w:t>/</w:t>
            </w:r>
          </w:p>
        </w:tc>
        <w:tc>
          <w:tcPr>
            <w:tcW w:w="716" w:type="pct"/>
            <w:tcBorders>
              <w:tl2br w:val="nil"/>
              <w:tr2bl w:val="nil"/>
            </w:tcBorders>
            <w:shd w:val="clear" w:color="auto" w:fill="auto"/>
            <w:noWrap w:val="0"/>
            <w:vAlign w:val="center"/>
          </w:tcPr>
          <w:p w14:paraId="59A07C18">
            <w:pPr>
              <w:pStyle w:val="40"/>
              <w:bidi w:val="0"/>
              <w:jc w:val="center"/>
              <w:rPr>
                <w:rFonts w:hint="eastAsia" w:eastAsia="宋体"/>
                <w:b w:val="0"/>
                <w:color w:val="auto"/>
                <w:spacing w:val="-6"/>
                <w:sz w:val="21"/>
                <w:highlight w:val="none"/>
                <w:lang w:val="en-US" w:eastAsia="zh-CN"/>
              </w:rPr>
            </w:pPr>
            <w:r>
              <w:rPr>
                <w:rFonts w:hint="eastAsia"/>
                <w:b w:val="0"/>
                <w:color w:val="auto"/>
                <w:spacing w:val="-6"/>
                <w:sz w:val="21"/>
                <w:highlight w:val="none"/>
                <w:lang w:val="en-US" w:eastAsia="zh-CN"/>
              </w:rPr>
              <w:t>/</w:t>
            </w:r>
          </w:p>
        </w:tc>
      </w:tr>
      <w:tr w14:paraId="1E3B12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4" w:type="pct"/>
            <w:vMerge w:val="restart"/>
            <w:tcBorders>
              <w:tl2br w:val="nil"/>
              <w:tr2bl w:val="nil"/>
            </w:tcBorders>
            <w:shd w:val="clear" w:color="auto" w:fill="auto"/>
            <w:noWrap w:val="0"/>
            <w:vAlign w:val="center"/>
          </w:tcPr>
          <w:p w14:paraId="3C4BCB08">
            <w:pPr>
              <w:pStyle w:val="40"/>
              <w:bidi w:val="0"/>
              <w:jc w:val="center"/>
              <w:rPr>
                <w:rFonts w:hint="eastAsia"/>
                <w:b w:val="0"/>
                <w:color w:val="auto"/>
                <w:spacing w:val="-6"/>
                <w:sz w:val="21"/>
                <w:highlight w:val="none"/>
              </w:rPr>
            </w:pPr>
            <w:r>
              <w:rPr>
                <w:rFonts w:hint="eastAsia"/>
                <w:b w:val="0"/>
                <w:color w:val="auto"/>
                <w:spacing w:val="-6"/>
                <w:sz w:val="21"/>
                <w:highlight w:val="none"/>
              </w:rPr>
              <w:t>固体</w:t>
            </w:r>
          </w:p>
          <w:p w14:paraId="51FD9189">
            <w:pPr>
              <w:pStyle w:val="40"/>
              <w:bidi w:val="0"/>
              <w:jc w:val="center"/>
              <w:rPr>
                <w:rFonts w:hint="eastAsia"/>
                <w:b w:val="0"/>
                <w:color w:val="auto"/>
                <w:spacing w:val="-6"/>
                <w:sz w:val="21"/>
                <w:highlight w:val="none"/>
              </w:rPr>
            </w:pPr>
            <w:r>
              <w:rPr>
                <w:rFonts w:hint="eastAsia"/>
                <w:b w:val="0"/>
                <w:color w:val="auto"/>
                <w:spacing w:val="-6"/>
                <w:sz w:val="21"/>
                <w:highlight w:val="none"/>
              </w:rPr>
              <w:t>废物</w:t>
            </w:r>
          </w:p>
        </w:tc>
        <w:tc>
          <w:tcPr>
            <w:tcW w:w="1205" w:type="pct"/>
            <w:gridSpan w:val="3"/>
            <w:tcBorders>
              <w:tl2br w:val="nil"/>
              <w:tr2bl w:val="nil"/>
            </w:tcBorders>
            <w:shd w:val="clear" w:color="auto" w:fill="auto"/>
            <w:noWrap w:val="0"/>
            <w:vAlign w:val="center"/>
          </w:tcPr>
          <w:p w14:paraId="29BE09BC">
            <w:pPr>
              <w:pStyle w:val="40"/>
              <w:bidi w:val="0"/>
              <w:ind w:firstLine="0" w:firstLineChars="0"/>
              <w:rPr>
                <w:rFonts w:hint="eastAsia"/>
                <w:b w:val="0"/>
                <w:color w:val="auto"/>
                <w:highlight w:val="none"/>
                <w:lang w:val="en-US" w:eastAsia="zh-CN"/>
              </w:rPr>
            </w:pPr>
            <w:r>
              <w:rPr>
                <w:color w:val="auto"/>
                <w:highlight w:val="none"/>
              </w:rPr>
              <w:t>生活垃圾</w:t>
            </w:r>
          </w:p>
        </w:tc>
        <w:tc>
          <w:tcPr>
            <w:tcW w:w="2593" w:type="pct"/>
            <w:tcBorders>
              <w:tl2br w:val="nil"/>
              <w:tr2bl w:val="nil"/>
            </w:tcBorders>
            <w:shd w:val="clear" w:color="auto" w:fill="auto"/>
            <w:noWrap w:val="0"/>
            <w:vAlign w:val="center"/>
          </w:tcPr>
          <w:p w14:paraId="3D1957C9">
            <w:pPr>
              <w:pStyle w:val="40"/>
              <w:bidi w:val="0"/>
              <w:ind w:firstLine="0" w:firstLineChars="0"/>
              <w:rPr>
                <w:rFonts w:hint="eastAsia"/>
                <w:b w:val="0"/>
                <w:color w:val="auto"/>
                <w:spacing w:val="0"/>
                <w:sz w:val="21"/>
                <w:highlight w:val="none"/>
                <w:lang w:val="en-US" w:eastAsia="zh-CN"/>
              </w:rPr>
            </w:pPr>
            <w:r>
              <w:rPr>
                <w:rFonts w:hint="eastAsia"/>
                <w:color w:val="auto"/>
                <w:sz w:val="21"/>
                <w:szCs w:val="21"/>
                <w:highlight w:val="none"/>
                <w:lang w:val="en-US" w:eastAsia="zh-CN"/>
              </w:rPr>
              <w:t>分类</w:t>
            </w:r>
            <w:r>
              <w:rPr>
                <w:color w:val="auto"/>
                <w:sz w:val="21"/>
                <w:szCs w:val="21"/>
                <w:highlight w:val="none"/>
              </w:rPr>
              <w:t>收集后</w:t>
            </w:r>
            <w:r>
              <w:rPr>
                <w:rFonts w:hint="eastAsia"/>
                <w:color w:val="auto"/>
                <w:sz w:val="21"/>
                <w:szCs w:val="21"/>
                <w:highlight w:val="none"/>
                <w:lang w:val="en-US" w:eastAsia="zh-CN"/>
              </w:rPr>
              <w:t>交由环卫部门处置</w:t>
            </w:r>
          </w:p>
        </w:tc>
        <w:tc>
          <w:tcPr>
            <w:tcW w:w="716" w:type="pct"/>
            <w:tcBorders>
              <w:tl2br w:val="nil"/>
              <w:tr2bl w:val="nil"/>
            </w:tcBorders>
            <w:shd w:val="clear" w:color="auto" w:fill="auto"/>
            <w:noWrap w:val="0"/>
            <w:vAlign w:val="center"/>
          </w:tcPr>
          <w:p w14:paraId="64FDBA72">
            <w:pPr>
              <w:pStyle w:val="40"/>
              <w:bidi w:val="0"/>
              <w:jc w:val="center"/>
              <w:rPr>
                <w:rFonts w:hint="default"/>
                <w:b w:val="0"/>
                <w:color w:val="auto"/>
                <w:spacing w:val="-6"/>
                <w:sz w:val="21"/>
                <w:highlight w:val="none"/>
                <w:lang w:val="en-US" w:eastAsia="zh-CN"/>
              </w:rPr>
            </w:pPr>
            <w:r>
              <w:rPr>
                <w:rFonts w:hint="eastAsia"/>
                <w:b w:val="0"/>
                <w:color w:val="auto"/>
                <w:spacing w:val="-6"/>
                <w:sz w:val="21"/>
                <w:highlight w:val="none"/>
                <w:lang w:val="en-US" w:eastAsia="zh-CN"/>
              </w:rPr>
              <w:t>/</w:t>
            </w:r>
          </w:p>
        </w:tc>
      </w:tr>
      <w:tr w14:paraId="5CF8F2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4" w:type="pct"/>
            <w:vMerge w:val="continue"/>
            <w:tcBorders>
              <w:tl2br w:val="nil"/>
              <w:tr2bl w:val="nil"/>
            </w:tcBorders>
            <w:shd w:val="clear" w:color="auto" w:fill="auto"/>
            <w:noWrap w:val="0"/>
            <w:vAlign w:val="center"/>
          </w:tcPr>
          <w:p w14:paraId="1099F633">
            <w:pPr>
              <w:pStyle w:val="40"/>
              <w:bidi w:val="0"/>
              <w:jc w:val="center"/>
              <w:rPr>
                <w:rFonts w:hint="eastAsia"/>
                <w:b w:val="0"/>
                <w:color w:val="auto"/>
                <w:spacing w:val="-6"/>
                <w:sz w:val="21"/>
                <w:highlight w:val="none"/>
              </w:rPr>
            </w:pPr>
          </w:p>
        </w:tc>
        <w:tc>
          <w:tcPr>
            <w:tcW w:w="1205" w:type="pct"/>
            <w:gridSpan w:val="3"/>
            <w:tcBorders>
              <w:tl2br w:val="nil"/>
              <w:tr2bl w:val="nil"/>
            </w:tcBorders>
            <w:shd w:val="clear" w:color="auto" w:fill="auto"/>
            <w:noWrap w:val="0"/>
            <w:vAlign w:val="center"/>
          </w:tcPr>
          <w:p w14:paraId="7B96C382">
            <w:pPr>
              <w:pStyle w:val="40"/>
              <w:bidi w:val="0"/>
              <w:ind w:firstLine="0" w:firstLineChars="0"/>
              <w:rPr>
                <w:color w:val="auto"/>
                <w:highlight w:val="none"/>
              </w:rPr>
            </w:pPr>
            <w:r>
              <w:rPr>
                <w:rFonts w:hint="eastAsia"/>
                <w:color w:val="auto"/>
                <w:highlight w:val="none"/>
              </w:rPr>
              <w:t>废机油</w:t>
            </w:r>
          </w:p>
        </w:tc>
        <w:tc>
          <w:tcPr>
            <w:tcW w:w="2593" w:type="pct"/>
            <w:tcBorders>
              <w:tl2br w:val="nil"/>
              <w:tr2bl w:val="nil"/>
            </w:tcBorders>
            <w:shd w:val="clear" w:color="auto" w:fill="auto"/>
            <w:noWrap w:val="0"/>
            <w:vAlign w:val="center"/>
          </w:tcPr>
          <w:p w14:paraId="2B15A7D5">
            <w:pPr>
              <w:pStyle w:val="40"/>
              <w:bidi w:val="0"/>
              <w:ind w:firstLine="0" w:firstLineChars="0"/>
              <w:rPr>
                <w:color w:val="auto"/>
                <w:spacing w:val="0"/>
                <w:sz w:val="21"/>
                <w:highlight w:val="none"/>
              </w:rPr>
            </w:pPr>
            <w:r>
              <w:rPr>
                <w:rFonts w:hint="eastAsia"/>
                <w:color w:val="auto"/>
                <w:spacing w:val="0"/>
                <w:sz w:val="21"/>
                <w:szCs w:val="21"/>
                <w:highlight w:val="none"/>
              </w:rPr>
              <w:t>废机油暂存于危险废物贮存点，定期交由有资质的单位处置</w:t>
            </w:r>
          </w:p>
        </w:tc>
        <w:tc>
          <w:tcPr>
            <w:tcW w:w="716" w:type="pct"/>
            <w:tcBorders>
              <w:tl2br w:val="nil"/>
              <w:tr2bl w:val="nil"/>
            </w:tcBorders>
            <w:shd w:val="clear" w:color="auto" w:fill="auto"/>
            <w:noWrap w:val="0"/>
            <w:vAlign w:val="center"/>
          </w:tcPr>
          <w:p w14:paraId="1131EDDB">
            <w:pPr>
              <w:pStyle w:val="40"/>
              <w:bidi w:val="0"/>
              <w:jc w:val="center"/>
              <w:rPr>
                <w:rFonts w:hint="eastAsia"/>
                <w:b w:val="0"/>
                <w:color w:val="auto"/>
                <w:spacing w:val="-6"/>
                <w:sz w:val="21"/>
                <w:highlight w:val="none"/>
                <w:lang w:val="en-US" w:eastAsia="zh-CN"/>
              </w:rPr>
            </w:pPr>
            <w:r>
              <w:rPr>
                <w:rFonts w:hint="eastAsia"/>
                <w:color w:val="auto"/>
                <w:spacing w:val="-6"/>
                <w:highlight w:val="none"/>
              </w:rPr>
              <w:t>《危险废物贮存污染控制标准》（GB 18597-2023）</w:t>
            </w:r>
          </w:p>
        </w:tc>
      </w:tr>
      <w:tr w14:paraId="166C37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4" w:type="pct"/>
            <w:vMerge w:val="continue"/>
            <w:tcBorders>
              <w:tl2br w:val="nil"/>
              <w:tr2bl w:val="nil"/>
            </w:tcBorders>
            <w:shd w:val="clear" w:color="auto" w:fill="auto"/>
            <w:noWrap w:val="0"/>
            <w:vAlign w:val="center"/>
          </w:tcPr>
          <w:p w14:paraId="784111D7">
            <w:pPr>
              <w:pStyle w:val="40"/>
              <w:bidi w:val="0"/>
              <w:jc w:val="center"/>
              <w:rPr>
                <w:rFonts w:hint="eastAsia"/>
                <w:b w:val="0"/>
                <w:color w:val="auto"/>
                <w:spacing w:val="-6"/>
                <w:sz w:val="21"/>
                <w:highlight w:val="none"/>
              </w:rPr>
            </w:pPr>
          </w:p>
        </w:tc>
        <w:tc>
          <w:tcPr>
            <w:tcW w:w="216" w:type="pct"/>
            <w:vMerge w:val="restart"/>
            <w:tcBorders>
              <w:tl2br w:val="nil"/>
              <w:tr2bl w:val="nil"/>
            </w:tcBorders>
            <w:shd w:val="clear" w:color="auto" w:fill="auto"/>
            <w:noWrap w:val="0"/>
            <w:vAlign w:val="center"/>
          </w:tcPr>
          <w:p w14:paraId="160B0EEE">
            <w:pPr>
              <w:pStyle w:val="40"/>
              <w:bidi w:val="0"/>
              <w:ind w:firstLine="0" w:firstLineChars="0"/>
              <w:rPr>
                <w:rFonts w:hint="default"/>
                <w:b w:val="0"/>
                <w:color w:val="auto"/>
                <w:highlight w:val="none"/>
                <w:lang w:val="en-US" w:eastAsia="zh-CN"/>
              </w:rPr>
            </w:pPr>
            <w:r>
              <w:rPr>
                <w:rFonts w:hint="eastAsia"/>
                <w:b w:val="0"/>
                <w:color w:val="auto"/>
                <w:highlight w:val="none"/>
                <w:lang w:val="en-US" w:eastAsia="zh-CN"/>
              </w:rPr>
              <w:t>锅炉</w:t>
            </w:r>
          </w:p>
        </w:tc>
        <w:tc>
          <w:tcPr>
            <w:tcW w:w="989" w:type="pct"/>
            <w:gridSpan w:val="2"/>
            <w:tcBorders>
              <w:tl2br w:val="nil"/>
              <w:tr2bl w:val="nil"/>
            </w:tcBorders>
            <w:shd w:val="clear" w:color="auto" w:fill="auto"/>
            <w:noWrap w:val="0"/>
            <w:vAlign w:val="center"/>
          </w:tcPr>
          <w:p w14:paraId="506CBECE">
            <w:pPr>
              <w:pStyle w:val="40"/>
              <w:bidi w:val="0"/>
              <w:ind w:firstLine="0" w:firstLineChars="0"/>
              <w:jc w:val="center"/>
              <w:rPr>
                <w:rFonts w:hint="eastAsia"/>
                <w:b w:val="0"/>
                <w:color w:val="auto"/>
                <w:highlight w:val="none"/>
                <w:lang w:eastAsia="zh-CN"/>
              </w:rPr>
            </w:pPr>
            <w:r>
              <w:rPr>
                <w:rFonts w:hint="eastAsia"/>
                <w:color w:val="auto"/>
                <w:spacing w:val="-6"/>
                <w:sz w:val="21"/>
                <w:highlight w:val="none"/>
                <w:lang w:val="en-US" w:eastAsia="zh-CN"/>
              </w:rPr>
              <w:t>灰渣</w:t>
            </w:r>
          </w:p>
        </w:tc>
        <w:tc>
          <w:tcPr>
            <w:tcW w:w="2593" w:type="pct"/>
            <w:tcBorders>
              <w:tl2br w:val="nil"/>
              <w:tr2bl w:val="nil"/>
            </w:tcBorders>
            <w:shd w:val="clear" w:color="auto" w:fill="auto"/>
            <w:noWrap w:val="0"/>
            <w:vAlign w:val="center"/>
          </w:tcPr>
          <w:p w14:paraId="4B7D38D6">
            <w:pPr>
              <w:pStyle w:val="40"/>
              <w:bidi w:val="0"/>
              <w:ind w:firstLine="0" w:firstLineChars="0"/>
              <w:jc w:val="center"/>
              <w:rPr>
                <w:rFonts w:hint="default" w:eastAsia="宋体"/>
                <w:b w:val="0"/>
                <w:color w:val="auto"/>
                <w:spacing w:val="0"/>
                <w:kern w:val="0"/>
                <w:sz w:val="21"/>
                <w:szCs w:val="21"/>
                <w:highlight w:val="none"/>
                <w:lang w:val="en-US" w:eastAsia="zh-CN"/>
              </w:rPr>
            </w:pPr>
            <w:r>
              <w:rPr>
                <w:rFonts w:hint="eastAsia"/>
                <w:bCs/>
                <w:color w:val="auto"/>
                <w:spacing w:val="0"/>
                <w:sz w:val="21"/>
                <w:szCs w:val="21"/>
                <w:highlight w:val="none"/>
                <w:lang w:val="en-US" w:eastAsia="zh-CN"/>
              </w:rPr>
              <w:t>储存于灰渣储库，</w:t>
            </w:r>
            <w:r>
              <w:rPr>
                <w:bCs/>
                <w:color w:val="auto"/>
                <w:spacing w:val="0"/>
                <w:sz w:val="21"/>
                <w:szCs w:val="21"/>
                <w:highlight w:val="none"/>
              </w:rPr>
              <w:t>定期</w:t>
            </w:r>
            <w:r>
              <w:rPr>
                <w:rFonts w:hint="eastAsia"/>
                <w:bCs/>
                <w:color w:val="auto"/>
                <w:sz w:val="21"/>
                <w:szCs w:val="21"/>
                <w:highlight w:val="none"/>
                <w:lang w:val="en-US" w:eastAsia="zh-CN"/>
              </w:rPr>
              <w:t>交由当地农业合作社用作</w:t>
            </w:r>
            <w:r>
              <w:rPr>
                <w:rFonts w:hint="eastAsia"/>
                <w:color w:val="auto"/>
                <w:highlight w:val="none"/>
                <w:lang w:val="en-US" w:eastAsia="zh-CN"/>
              </w:rPr>
              <w:t>农家肥</w:t>
            </w:r>
          </w:p>
        </w:tc>
        <w:tc>
          <w:tcPr>
            <w:tcW w:w="716" w:type="pct"/>
            <w:vMerge w:val="restart"/>
            <w:tcBorders>
              <w:tl2br w:val="nil"/>
              <w:tr2bl w:val="nil"/>
            </w:tcBorders>
            <w:shd w:val="clear" w:color="auto" w:fill="auto"/>
            <w:noWrap w:val="0"/>
            <w:vAlign w:val="center"/>
          </w:tcPr>
          <w:p w14:paraId="6B8665E6">
            <w:pPr>
              <w:pStyle w:val="40"/>
              <w:bidi w:val="0"/>
              <w:jc w:val="center"/>
              <w:rPr>
                <w:rFonts w:hint="eastAsia" w:eastAsia="宋体"/>
                <w:b w:val="0"/>
                <w:color w:val="auto"/>
                <w:spacing w:val="-6"/>
                <w:sz w:val="21"/>
                <w:highlight w:val="none"/>
                <w:lang w:val="en-US" w:eastAsia="zh-CN"/>
              </w:rPr>
            </w:pPr>
            <w:r>
              <w:rPr>
                <w:rFonts w:hint="eastAsia"/>
                <w:b w:val="0"/>
                <w:color w:val="auto"/>
                <w:spacing w:val="-6"/>
                <w:sz w:val="21"/>
                <w:highlight w:val="none"/>
                <w:lang w:val="en-US" w:eastAsia="zh-CN"/>
              </w:rPr>
              <w:t>/</w:t>
            </w:r>
          </w:p>
        </w:tc>
      </w:tr>
      <w:tr w14:paraId="05A074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4" w:type="pct"/>
            <w:vMerge w:val="continue"/>
            <w:tcBorders>
              <w:tl2br w:val="nil"/>
              <w:tr2bl w:val="nil"/>
            </w:tcBorders>
            <w:shd w:val="clear" w:color="auto" w:fill="auto"/>
            <w:noWrap w:val="0"/>
            <w:vAlign w:val="center"/>
          </w:tcPr>
          <w:p w14:paraId="784D75E9">
            <w:pPr>
              <w:pStyle w:val="40"/>
              <w:bidi w:val="0"/>
              <w:jc w:val="center"/>
              <w:rPr>
                <w:rFonts w:hint="eastAsia"/>
                <w:b w:val="0"/>
                <w:color w:val="auto"/>
                <w:spacing w:val="-6"/>
                <w:sz w:val="21"/>
                <w:highlight w:val="none"/>
              </w:rPr>
            </w:pPr>
          </w:p>
        </w:tc>
        <w:tc>
          <w:tcPr>
            <w:tcW w:w="216" w:type="pct"/>
            <w:vMerge w:val="continue"/>
            <w:tcBorders>
              <w:tl2br w:val="nil"/>
              <w:tr2bl w:val="nil"/>
            </w:tcBorders>
            <w:shd w:val="clear" w:color="auto" w:fill="auto"/>
            <w:noWrap w:val="0"/>
            <w:vAlign w:val="center"/>
          </w:tcPr>
          <w:p w14:paraId="6EC8DDE3">
            <w:pPr>
              <w:pStyle w:val="40"/>
              <w:bidi w:val="0"/>
              <w:ind w:firstLine="0" w:firstLineChars="0"/>
              <w:rPr>
                <w:rFonts w:hint="eastAsia"/>
                <w:b w:val="0"/>
                <w:color w:val="auto"/>
                <w:highlight w:val="none"/>
                <w:lang w:val="en-US" w:eastAsia="zh-CN"/>
              </w:rPr>
            </w:pPr>
          </w:p>
        </w:tc>
        <w:tc>
          <w:tcPr>
            <w:tcW w:w="989" w:type="pct"/>
            <w:gridSpan w:val="2"/>
            <w:tcBorders>
              <w:tl2br w:val="nil"/>
              <w:tr2bl w:val="nil"/>
            </w:tcBorders>
            <w:shd w:val="clear" w:color="auto" w:fill="auto"/>
            <w:noWrap w:val="0"/>
            <w:vAlign w:val="center"/>
          </w:tcPr>
          <w:p w14:paraId="0970347F">
            <w:pPr>
              <w:pStyle w:val="40"/>
              <w:bidi w:val="0"/>
              <w:ind w:firstLine="0" w:firstLineChars="0"/>
              <w:jc w:val="center"/>
              <w:rPr>
                <w:rFonts w:hint="eastAsia"/>
                <w:b w:val="0"/>
                <w:color w:val="auto"/>
                <w:highlight w:val="none"/>
                <w:lang w:eastAsia="zh-CN"/>
              </w:rPr>
            </w:pPr>
            <w:r>
              <w:rPr>
                <w:rFonts w:hint="eastAsia"/>
                <w:color w:val="auto"/>
                <w:spacing w:val="-6"/>
                <w:sz w:val="21"/>
                <w:highlight w:val="none"/>
                <w:lang w:val="en-US" w:eastAsia="zh-CN"/>
              </w:rPr>
              <w:t>烟气除尘灰</w:t>
            </w:r>
          </w:p>
        </w:tc>
        <w:tc>
          <w:tcPr>
            <w:tcW w:w="2593" w:type="pct"/>
            <w:tcBorders>
              <w:tl2br w:val="nil"/>
              <w:tr2bl w:val="nil"/>
            </w:tcBorders>
            <w:shd w:val="clear" w:color="auto" w:fill="auto"/>
            <w:noWrap w:val="0"/>
            <w:vAlign w:val="center"/>
          </w:tcPr>
          <w:p w14:paraId="1D544229">
            <w:pPr>
              <w:pStyle w:val="40"/>
              <w:bidi w:val="0"/>
              <w:ind w:firstLine="0" w:firstLineChars="0"/>
              <w:jc w:val="center"/>
              <w:rPr>
                <w:rFonts w:hint="eastAsia" w:eastAsia="宋体"/>
                <w:b w:val="0"/>
                <w:color w:val="auto"/>
                <w:spacing w:val="0"/>
                <w:kern w:val="0"/>
                <w:sz w:val="21"/>
                <w:szCs w:val="21"/>
                <w:highlight w:val="none"/>
                <w:lang w:val="en-US" w:eastAsia="zh-CN"/>
              </w:rPr>
            </w:pPr>
            <w:r>
              <w:rPr>
                <w:rFonts w:hint="eastAsia"/>
                <w:color w:val="auto"/>
                <w:spacing w:val="0"/>
                <w:sz w:val="21"/>
                <w:szCs w:val="21"/>
                <w:highlight w:val="none"/>
                <w:lang w:val="en-US" w:eastAsia="zh-CN"/>
              </w:rPr>
              <w:t>储存于烟气除尘灰筒仓</w:t>
            </w:r>
            <w:r>
              <w:rPr>
                <w:rFonts w:hint="default"/>
                <w:color w:val="auto"/>
                <w:spacing w:val="0"/>
                <w:sz w:val="21"/>
                <w:szCs w:val="21"/>
                <w:highlight w:val="none"/>
              </w:rPr>
              <w:t>，</w:t>
            </w:r>
            <w:r>
              <w:rPr>
                <w:bCs/>
                <w:color w:val="auto"/>
                <w:spacing w:val="0"/>
                <w:sz w:val="21"/>
                <w:szCs w:val="21"/>
                <w:highlight w:val="none"/>
              </w:rPr>
              <w:t>定期</w:t>
            </w:r>
            <w:r>
              <w:rPr>
                <w:rFonts w:hint="eastAsia"/>
                <w:bCs/>
                <w:color w:val="auto"/>
                <w:sz w:val="21"/>
                <w:szCs w:val="21"/>
                <w:highlight w:val="none"/>
                <w:lang w:val="en-US" w:eastAsia="zh-CN"/>
              </w:rPr>
              <w:t>交由当地农业合作社用作</w:t>
            </w:r>
            <w:r>
              <w:rPr>
                <w:rFonts w:hint="eastAsia"/>
                <w:color w:val="auto"/>
                <w:highlight w:val="none"/>
                <w:lang w:val="en-US" w:eastAsia="zh-CN"/>
              </w:rPr>
              <w:t>农家肥</w:t>
            </w:r>
          </w:p>
        </w:tc>
        <w:tc>
          <w:tcPr>
            <w:tcW w:w="716" w:type="pct"/>
            <w:vMerge w:val="continue"/>
            <w:tcBorders>
              <w:tl2br w:val="nil"/>
              <w:tr2bl w:val="nil"/>
            </w:tcBorders>
            <w:shd w:val="clear" w:color="auto" w:fill="auto"/>
            <w:noWrap w:val="0"/>
            <w:vAlign w:val="center"/>
          </w:tcPr>
          <w:p w14:paraId="7E94B104">
            <w:pPr>
              <w:pStyle w:val="40"/>
              <w:bidi w:val="0"/>
              <w:jc w:val="center"/>
              <w:rPr>
                <w:rFonts w:hint="eastAsia"/>
                <w:b w:val="0"/>
                <w:color w:val="auto"/>
                <w:spacing w:val="-6"/>
                <w:sz w:val="21"/>
                <w:highlight w:val="none"/>
              </w:rPr>
            </w:pPr>
          </w:p>
        </w:tc>
      </w:tr>
      <w:tr w14:paraId="340070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4" w:type="pct"/>
            <w:vMerge w:val="continue"/>
            <w:tcBorders>
              <w:tl2br w:val="nil"/>
              <w:tr2bl w:val="nil"/>
            </w:tcBorders>
            <w:shd w:val="clear" w:color="auto" w:fill="auto"/>
            <w:noWrap w:val="0"/>
            <w:vAlign w:val="center"/>
          </w:tcPr>
          <w:p w14:paraId="413CC67D">
            <w:pPr>
              <w:pStyle w:val="40"/>
              <w:bidi w:val="0"/>
              <w:jc w:val="center"/>
              <w:rPr>
                <w:rFonts w:hint="eastAsia"/>
                <w:b w:val="0"/>
                <w:color w:val="auto"/>
                <w:spacing w:val="-6"/>
                <w:sz w:val="21"/>
                <w:highlight w:val="none"/>
              </w:rPr>
            </w:pPr>
          </w:p>
        </w:tc>
        <w:tc>
          <w:tcPr>
            <w:tcW w:w="216" w:type="pct"/>
            <w:vMerge w:val="continue"/>
            <w:tcBorders>
              <w:tl2br w:val="nil"/>
              <w:tr2bl w:val="nil"/>
            </w:tcBorders>
            <w:shd w:val="clear" w:color="auto" w:fill="auto"/>
            <w:noWrap w:val="0"/>
            <w:vAlign w:val="center"/>
          </w:tcPr>
          <w:p w14:paraId="35E6D8B2">
            <w:pPr>
              <w:pStyle w:val="40"/>
              <w:bidi w:val="0"/>
              <w:ind w:firstLine="0" w:firstLineChars="0"/>
              <w:rPr>
                <w:rFonts w:hint="eastAsia"/>
                <w:b w:val="0"/>
                <w:color w:val="auto"/>
                <w:highlight w:val="none"/>
                <w:lang w:val="en-US" w:eastAsia="zh-CN"/>
              </w:rPr>
            </w:pPr>
          </w:p>
        </w:tc>
        <w:tc>
          <w:tcPr>
            <w:tcW w:w="989" w:type="pct"/>
            <w:gridSpan w:val="2"/>
            <w:tcBorders>
              <w:tl2br w:val="nil"/>
              <w:tr2bl w:val="nil"/>
            </w:tcBorders>
            <w:shd w:val="clear" w:color="auto" w:fill="auto"/>
            <w:noWrap w:val="0"/>
            <w:vAlign w:val="center"/>
          </w:tcPr>
          <w:p w14:paraId="25294416">
            <w:pPr>
              <w:pStyle w:val="40"/>
              <w:bidi w:val="0"/>
              <w:ind w:firstLine="0" w:firstLineChars="0"/>
              <w:jc w:val="center"/>
              <w:rPr>
                <w:rFonts w:hint="default"/>
                <w:color w:val="auto"/>
                <w:spacing w:val="-6"/>
                <w:sz w:val="21"/>
                <w:highlight w:val="none"/>
                <w:lang w:val="en-US" w:eastAsia="zh-CN"/>
              </w:rPr>
            </w:pPr>
            <w:r>
              <w:rPr>
                <w:rFonts w:hint="eastAsia"/>
                <w:color w:val="auto"/>
                <w:spacing w:val="-6"/>
                <w:sz w:val="21"/>
                <w:highlight w:val="none"/>
                <w:lang w:val="en-US" w:eastAsia="zh-CN"/>
              </w:rPr>
              <w:t>废离子交换树脂</w:t>
            </w:r>
          </w:p>
        </w:tc>
        <w:tc>
          <w:tcPr>
            <w:tcW w:w="2593" w:type="pct"/>
            <w:tcBorders>
              <w:tl2br w:val="nil"/>
              <w:tr2bl w:val="nil"/>
            </w:tcBorders>
            <w:shd w:val="clear" w:color="auto" w:fill="auto"/>
            <w:noWrap w:val="0"/>
            <w:vAlign w:val="center"/>
          </w:tcPr>
          <w:p w14:paraId="1374D43E">
            <w:pPr>
              <w:pStyle w:val="40"/>
              <w:bidi w:val="0"/>
              <w:ind w:firstLine="0" w:firstLineChars="0"/>
              <w:jc w:val="center"/>
              <w:rPr>
                <w:rFonts w:hint="default" w:eastAsia="宋体"/>
                <w:color w:val="auto"/>
                <w:spacing w:val="0"/>
                <w:sz w:val="21"/>
                <w:szCs w:val="21"/>
                <w:highlight w:val="none"/>
                <w:lang w:val="en-US" w:eastAsia="zh-CN"/>
              </w:rPr>
            </w:pPr>
            <w:r>
              <w:rPr>
                <w:rFonts w:hint="eastAsia"/>
                <w:bCs/>
                <w:color w:val="auto"/>
                <w:spacing w:val="0"/>
                <w:sz w:val="21"/>
                <w:szCs w:val="21"/>
                <w:highlight w:val="none"/>
                <w:lang w:val="en-US" w:eastAsia="zh-CN"/>
              </w:rPr>
              <w:t>储存于灰渣储库，</w:t>
            </w:r>
            <w:r>
              <w:rPr>
                <w:rFonts w:hint="eastAsia"/>
                <w:color w:val="auto"/>
                <w:spacing w:val="0"/>
                <w:sz w:val="21"/>
                <w:szCs w:val="21"/>
                <w:highlight w:val="none"/>
                <w:lang w:val="en-US" w:eastAsia="zh-CN"/>
              </w:rPr>
              <w:t>收集后交由厂家回收</w:t>
            </w:r>
          </w:p>
        </w:tc>
        <w:tc>
          <w:tcPr>
            <w:tcW w:w="716" w:type="pct"/>
            <w:vMerge w:val="continue"/>
            <w:tcBorders>
              <w:tl2br w:val="nil"/>
              <w:tr2bl w:val="nil"/>
            </w:tcBorders>
            <w:shd w:val="clear" w:color="auto" w:fill="auto"/>
            <w:noWrap w:val="0"/>
            <w:vAlign w:val="center"/>
          </w:tcPr>
          <w:p w14:paraId="7A2BE568">
            <w:pPr>
              <w:pStyle w:val="40"/>
              <w:bidi w:val="0"/>
              <w:jc w:val="center"/>
              <w:rPr>
                <w:rFonts w:hint="eastAsia"/>
                <w:b w:val="0"/>
                <w:color w:val="auto"/>
                <w:spacing w:val="-6"/>
                <w:sz w:val="21"/>
                <w:highlight w:val="none"/>
              </w:rPr>
            </w:pPr>
          </w:p>
        </w:tc>
      </w:tr>
      <w:tr w14:paraId="675108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484" w:type="pct"/>
            <w:tcBorders>
              <w:tl2br w:val="nil"/>
              <w:tr2bl w:val="nil"/>
            </w:tcBorders>
            <w:shd w:val="clear" w:color="auto" w:fill="auto"/>
            <w:noWrap w:val="0"/>
            <w:vAlign w:val="center"/>
          </w:tcPr>
          <w:p w14:paraId="371D96F1">
            <w:pPr>
              <w:pStyle w:val="40"/>
              <w:bidi w:val="0"/>
              <w:jc w:val="center"/>
              <w:rPr>
                <w:rFonts w:hint="eastAsia"/>
                <w:b w:val="0"/>
                <w:color w:val="auto"/>
                <w:spacing w:val="-6"/>
                <w:sz w:val="21"/>
                <w:highlight w:val="none"/>
              </w:rPr>
            </w:pPr>
            <w:r>
              <w:rPr>
                <w:rFonts w:hint="eastAsia"/>
                <w:b w:val="0"/>
                <w:color w:val="auto"/>
                <w:spacing w:val="-6"/>
                <w:sz w:val="21"/>
                <w:highlight w:val="none"/>
              </w:rPr>
              <w:t>土壤及地下水污染防治措施</w:t>
            </w:r>
          </w:p>
        </w:tc>
        <w:tc>
          <w:tcPr>
            <w:tcW w:w="4515" w:type="pct"/>
            <w:gridSpan w:val="5"/>
            <w:tcBorders>
              <w:tl2br w:val="nil"/>
              <w:tr2bl w:val="nil"/>
            </w:tcBorders>
            <w:shd w:val="clear" w:color="auto" w:fill="auto"/>
            <w:noWrap w:val="0"/>
            <w:vAlign w:val="center"/>
          </w:tcPr>
          <w:p w14:paraId="6D8AC2E9">
            <w:pPr>
              <w:pStyle w:val="40"/>
              <w:numPr>
                <w:ilvl w:val="0"/>
                <w:numId w:val="0"/>
              </w:numPr>
              <w:bidi w:val="0"/>
              <w:ind w:firstLine="0" w:firstLineChars="0"/>
              <w:jc w:val="both"/>
              <w:rPr>
                <w:rFonts w:hint="eastAsia"/>
                <w:b w:val="0"/>
                <w:color w:val="auto"/>
                <w:spacing w:val="0"/>
                <w:sz w:val="21"/>
                <w:highlight w:val="none"/>
                <w:lang w:eastAsia="zh-CN"/>
              </w:rPr>
            </w:pPr>
            <w:r>
              <w:rPr>
                <w:rFonts w:hint="eastAsia" w:ascii="Times New Roman" w:hAnsi="Times New Roman" w:eastAsia="宋体" w:cs="Times New Roman"/>
                <w:b w:val="0"/>
                <w:bCs w:val="0"/>
                <w:color w:val="auto"/>
                <w:spacing w:val="0"/>
                <w:kern w:val="2"/>
                <w:sz w:val="21"/>
                <w:szCs w:val="21"/>
                <w:highlight w:val="none"/>
                <w:lang w:val="en-US" w:eastAsia="zh-CN" w:bidi="ar-SA"/>
              </w:rPr>
              <w:t>1、</w:t>
            </w:r>
            <w:r>
              <w:rPr>
                <w:rFonts w:hint="eastAsia"/>
                <w:b w:val="0"/>
                <w:color w:val="auto"/>
                <w:spacing w:val="0"/>
                <w:sz w:val="21"/>
                <w:highlight w:val="none"/>
                <w:lang w:val="en-US" w:eastAsia="zh-CN"/>
              </w:rPr>
              <w:t>本项目</w:t>
            </w:r>
            <w:r>
              <w:rPr>
                <w:rFonts w:hint="eastAsia"/>
                <w:b w:val="0"/>
                <w:color w:val="auto"/>
                <w:spacing w:val="0"/>
                <w:sz w:val="21"/>
                <w:highlight w:val="none"/>
              </w:rPr>
              <w:t>采取仓顶脉冲式布袋除尘器</w:t>
            </w:r>
            <w:r>
              <w:rPr>
                <w:rFonts w:hint="eastAsia"/>
                <w:b w:val="0"/>
                <w:color w:val="auto"/>
                <w:spacing w:val="0"/>
                <w:sz w:val="21"/>
                <w:highlight w:val="none"/>
                <w:lang w:eastAsia="zh-CN"/>
              </w:rPr>
              <w:t>、</w:t>
            </w:r>
            <w:r>
              <w:rPr>
                <w:rFonts w:hint="eastAsia"/>
                <w:b w:val="0"/>
                <w:color w:val="auto"/>
                <w:spacing w:val="0"/>
                <w:sz w:val="21"/>
                <w:highlight w:val="none"/>
                <w:lang w:val="en-US" w:eastAsia="zh-CN"/>
              </w:rPr>
              <w:t>全封闭车间</w:t>
            </w:r>
            <w:r>
              <w:rPr>
                <w:rFonts w:hint="eastAsia"/>
                <w:b w:val="0"/>
                <w:color w:val="auto"/>
                <w:spacing w:val="0"/>
                <w:sz w:val="21"/>
                <w:highlight w:val="none"/>
              </w:rPr>
              <w:t>和喷雾降尘等污染防治措施</w:t>
            </w:r>
            <w:r>
              <w:rPr>
                <w:rFonts w:hint="eastAsia"/>
                <w:b w:val="0"/>
                <w:color w:val="auto"/>
                <w:spacing w:val="0"/>
                <w:sz w:val="21"/>
                <w:highlight w:val="none"/>
                <w:lang w:eastAsia="zh-CN"/>
              </w:rPr>
              <w:t>，</w:t>
            </w:r>
            <w:r>
              <w:rPr>
                <w:rFonts w:hint="eastAsia"/>
                <w:b w:val="0"/>
                <w:color w:val="auto"/>
                <w:spacing w:val="0"/>
                <w:sz w:val="21"/>
                <w:highlight w:val="none"/>
              </w:rPr>
              <w:t>降低大气沉降对土壤的影响</w:t>
            </w:r>
            <w:r>
              <w:rPr>
                <w:rFonts w:hint="eastAsia"/>
                <w:b w:val="0"/>
                <w:color w:val="auto"/>
                <w:spacing w:val="0"/>
                <w:sz w:val="21"/>
                <w:highlight w:val="none"/>
                <w:lang w:eastAsia="zh-CN"/>
              </w:rPr>
              <w:t>；</w:t>
            </w:r>
          </w:p>
          <w:p w14:paraId="41FC6E6B">
            <w:pPr>
              <w:pStyle w:val="40"/>
              <w:numPr>
                <w:ilvl w:val="0"/>
                <w:numId w:val="0"/>
              </w:numPr>
              <w:bidi w:val="0"/>
              <w:ind w:firstLine="0" w:firstLineChars="0"/>
              <w:jc w:val="both"/>
              <w:rPr>
                <w:rFonts w:hint="eastAsia"/>
                <w:b w:val="0"/>
                <w:color w:val="auto"/>
                <w:spacing w:val="0"/>
                <w:sz w:val="21"/>
                <w:highlight w:val="none"/>
                <w:lang w:val="en-US" w:eastAsia="zh-CN"/>
              </w:rPr>
            </w:pPr>
            <w:r>
              <w:rPr>
                <w:rFonts w:hint="eastAsia" w:ascii="Times New Roman" w:hAnsi="Times New Roman" w:eastAsia="宋体" w:cs="Times New Roman"/>
                <w:b w:val="0"/>
                <w:bCs w:val="0"/>
                <w:color w:val="auto"/>
                <w:spacing w:val="0"/>
                <w:kern w:val="2"/>
                <w:sz w:val="21"/>
                <w:szCs w:val="21"/>
                <w:highlight w:val="none"/>
                <w:lang w:val="en-US" w:eastAsia="zh-CN" w:bidi="ar-SA"/>
              </w:rPr>
              <w:t>2、</w:t>
            </w:r>
            <w:r>
              <w:rPr>
                <w:rFonts w:hint="eastAsia"/>
                <w:b w:val="0"/>
                <w:color w:val="auto"/>
                <w:spacing w:val="0"/>
                <w:sz w:val="21"/>
                <w:highlight w:val="none"/>
              </w:rPr>
              <w:t>本项目危废贮存点</w:t>
            </w:r>
            <w:r>
              <w:rPr>
                <w:rFonts w:hint="eastAsia"/>
                <w:b w:val="0"/>
                <w:color w:val="auto"/>
                <w:spacing w:val="0"/>
                <w:sz w:val="21"/>
                <w:highlight w:val="none"/>
                <w:lang w:val="en-US" w:eastAsia="zh-CN"/>
              </w:rPr>
              <w:t>防渗要求执行《危险废物贮存污染控制标准》（GB 18597-2023）</w:t>
            </w:r>
            <w:r>
              <w:rPr>
                <w:rFonts w:hint="eastAsia"/>
                <w:b w:val="0"/>
                <w:color w:val="auto"/>
                <w:spacing w:val="0"/>
                <w:sz w:val="21"/>
                <w:highlight w:val="none"/>
                <w:lang w:eastAsia="zh-CN"/>
              </w:rPr>
              <w:t>；生产车间、原料棚、添加剂储罐区、初期雨水收集池、沉淀池、三级沉淀池、暂存池、洗车台、机修间、灰渣储库、生物质颗粒储库</w:t>
            </w:r>
            <w:r>
              <w:rPr>
                <w:rFonts w:hint="eastAsia"/>
                <w:b w:val="0"/>
                <w:color w:val="auto"/>
                <w:spacing w:val="0"/>
                <w:sz w:val="21"/>
                <w:highlight w:val="none"/>
                <w:lang w:val="en-US" w:eastAsia="zh-CN"/>
              </w:rPr>
              <w:t>为一般防渗区；</w:t>
            </w:r>
            <w:r>
              <w:rPr>
                <w:rFonts w:hint="eastAsia" w:ascii="Times New Roman" w:hAnsi="Times New Roman" w:eastAsia="宋体" w:cs="Times New Roman"/>
                <w:b w:val="0"/>
                <w:color w:val="auto"/>
                <w:spacing w:val="0"/>
                <w:kern w:val="0"/>
                <w:sz w:val="21"/>
                <w:szCs w:val="21"/>
                <w:highlight w:val="none"/>
                <w:lang w:val="en-US" w:eastAsia="zh-CN"/>
              </w:rPr>
              <w:t>其他区域设置为</w:t>
            </w:r>
            <w:r>
              <w:rPr>
                <w:rFonts w:hint="eastAsia"/>
                <w:b w:val="0"/>
                <w:color w:val="auto"/>
                <w:spacing w:val="0"/>
                <w:sz w:val="21"/>
                <w:szCs w:val="21"/>
                <w:highlight w:val="none"/>
              </w:rPr>
              <w:t>简单防渗区</w:t>
            </w:r>
            <w:r>
              <w:rPr>
                <w:rFonts w:hint="eastAsia"/>
                <w:b w:val="0"/>
                <w:color w:val="auto"/>
                <w:spacing w:val="0"/>
                <w:sz w:val="21"/>
                <w:szCs w:val="21"/>
                <w:highlight w:val="none"/>
                <w:lang w:eastAsia="zh-CN"/>
              </w:rPr>
              <w:t>。</w:t>
            </w:r>
            <w:r>
              <w:rPr>
                <w:rFonts w:hint="eastAsia"/>
                <w:b w:val="0"/>
                <w:color w:val="auto"/>
                <w:spacing w:val="0"/>
                <w:sz w:val="21"/>
                <w:highlight w:val="none"/>
              </w:rPr>
              <w:t>在采取以上提出的分区防控措施后，本项目不会对土壤和地下水造成污染。</w:t>
            </w:r>
          </w:p>
        </w:tc>
      </w:tr>
      <w:tr w14:paraId="6428DF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4" w:type="pct"/>
            <w:tcBorders>
              <w:tl2br w:val="nil"/>
              <w:tr2bl w:val="nil"/>
            </w:tcBorders>
            <w:shd w:val="clear" w:color="auto" w:fill="auto"/>
            <w:noWrap w:val="0"/>
            <w:vAlign w:val="center"/>
          </w:tcPr>
          <w:p w14:paraId="31FD559D">
            <w:pPr>
              <w:pStyle w:val="40"/>
              <w:bidi w:val="0"/>
              <w:jc w:val="center"/>
              <w:rPr>
                <w:rFonts w:hint="eastAsia"/>
                <w:b w:val="0"/>
                <w:color w:val="auto"/>
                <w:spacing w:val="-6"/>
                <w:sz w:val="21"/>
                <w:highlight w:val="none"/>
              </w:rPr>
            </w:pPr>
            <w:r>
              <w:rPr>
                <w:rFonts w:hint="eastAsia"/>
                <w:b w:val="0"/>
                <w:color w:val="auto"/>
                <w:spacing w:val="-6"/>
                <w:sz w:val="21"/>
                <w:highlight w:val="none"/>
              </w:rPr>
              <w:t>生态保护措施</w:t>
            </w:r>
          </w:p>
        </w:tc>
        <w:tc>
          <w:tcPr>
            <w:tcW w:w="4515" w:type="pct"/>
            <w:gridSpan w:val="5"/>
            <w:tcBorders>
              <w:tl2br w:val="nil"/>
              <w:tr2bl w:val="nil"/>
            </w:tcBorders>
            <w:shd w:val="clear" w:color="auto" w:fill="auto"/>
            <w:noWrap w:val="0"/>
            <w:vAlign w:val="center"/>
          </w:tcPr>
          <w:p w14:paraId="45167587">
            <w:pPr>
              <w:pStyle w:val="40"/>
              <w:bidi w:val="0"/>
              <w:jc w:val="center"/>
              <w:rPr>
                <w:rFonts w:hint="eastAsia"/>
                <w:b w:val="0"/>
                <w:color w:val="auto"/>
                <w:spacing w:val="0"/>
                <w:sz w:val="21"/>
                <w:highlight w:val="none"/>
              </w:rPr>
            </w:pPr>
            <w:r>
              <w:rPr>
                <w:rFonts w:hint="eastAsia"/>
                <w:b w:val="0"/>
                <w:color w:val="auto"/>
                <w:spacing w:val="0"/>
                <w:sz w:val="21"/>
                <w:highlight w:val="none"/>
              </w:rPr>
              <w:t>做好厂内绿化及地面硬化</w:t>
            </w:r>
          </w:p>
        </w:tc>
      </w:tr>
      <w:tr w14:paraId="52F2D0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484" w:type="pct"/>
            <w:tcBorders>
              <w:tl2br w:val="nil"/>
              <w:tr2bl w:val="nil"/>
            </w:tcBorders>
            <w:shd w:val="clear" w:color="auto" w:fill="auto"/>
            <w:noWrap w:val="0"/>
            <w:vAlign w:val="center"/>
          </w:tcPr>
          <w:p w14:paraId="0FCC021E">
            <w:pPr>
              <w:pStyle w:val="40"/>
              <w:bidi w:val="0"/>
              <w:jc w:val="center"/>
              <w:rPr>
                <w:rFonts w:hint="eastAsia"/>
                <w:b w:val="0"/>
                <w:color w:val="auto"/>
                <w:spacing w:val="-6"/>
                <w:sz w:val="21"/>
                <w:highlight w:val="none"/>
              </w:rPr>
            </w:pPr>
            <w:r>
              <w:rPr>
                <w:rFonts w:hint="eastAsia"/>
                <w:b w:val="0"/>
                <w:color w:val="auto"/>
                <w:spacing w:val="-6"/>
                <w:sz w:val="21"/>
                <w:highlight w:val="none"/>
              </w:rPr>
              <w:t>环境风险防范措施</w:t>
            </w:r>
          </w:p>
        </w:tc>
        <w:tc>
          <w:tcPr>
            <w:tcW w:w="4515" w:type="pct"/>
            <w:gridSpan w:val="5"/>
            <w:tcBorders>
              <w:tl2br w:val="nil"/>
              <w:tr2bl w:val="nil"/>
            </w:tcBorders>
            <w:shd w:val="clear" w:color="auto" w:fill="auto"/>
            <w:noWrap w:val="0"/>
            <w:vAlign w:val="center"/>
          </w:tcPr>
          <w:p w14:paraId="5A3EBE50">
            <w:pPr>
              <w:pStyle w:val="40"/>
              <w:numPr>
                <w:ilvl w:val="0"/>
                <w:numId w:val="0"/>
              </w:numPr>
              <w:bidi w:val="0"/>
              <w:ind w:firstLine="0" w:firstLineChars="0"/>
              <w:jc w:val="both"/>
              <w:rPr>
                <w:rFonts w:hint="default" w:ascii="Times New Roman" w:hAnsi="Times New Roman" w:cs="Times New Roman"/>
                <w:b w:val="0"/>
                <w:color w:val="auto"/>
                <w:spacing w:val="0"/>
                <w:sz w:val="21"/>
                <w:highlight w:val="none"/>
              </w:rPr>
            </w:pPr>
            <w:r>
              <w:rPr>
                <w:rFonts w:hint="default" w:ascii="Times New Roman" w:hAnsi="Times New Roman" w:eastAsia="宋体" w:cs="Times New Roman"/>
                <w:b w:val="0"/>
                <w:bCs w:val="0"/>
                <w:color w:val="auto"/>
                <w:spacing w:val="0"/>
                <w:kern w:val="2"/>
                <w:sz w:val="21"/>
                <w:szCs w:val="21"/>
                <w:highlight w:val="none"/>
                <w:lang w:val="en-US" w:eastAsia="zh-CN" w:bidi="ar-SA"/>
              </w:rPr>
              <w:t>1、</w:t>
            </w:r>
            <w:r>
              <w:rPr>
                <w:rFonts w:hint="default" w:ascii="Times New Roman" w:hAnsi="Times New Roman" w:cs="Times New Roman"/>
                <w:b w:val="0"/>
                <w:color w:val="auto"/>
                <w:spacing w:val="0"/>
                <w:sz w:val="21"/>
                <w:highlight w:val="none"/>
              </w:rPr>
              <w:t>废机油收集于专用收集油桶内，在危废贮存点暂存，</w:t>
            </w:r>
            <w:r>
              <w:rPr>
                <w:rFonts w:hint="eastAsia" w:cs="Times New Roman"/>
                <w:b w:val="0"/>
                <w:color w:val="auto"/>
                <w:spacing w:val="0"/>
                <w:sz w:val="21"/>
                <w:highlight w:val="none"/>
                <w:lang w:val="en-US" w:eastAsia="zh-CN"/>
              </w:rPr>
              <w:t>贮存点</w:t>
            </w:r>
            <w:r>
              <w:rPr>
                <w:rFonts w:hint="default" w:ascii="Times New Roman" w:hAnsi="Times New Roman" w:cs="Times New Roman"/>
                <w:b w:val="0"/>
                <w:color w:val="auto"/>
                <w:spacing w:val="0"/>
                <w:sz w:val="21"/>
                <w:highlight w:val="none"/>
              </w:rPr>
              <w:t>地面硬化，并作防渗处理</w:t>
            </w:r>
            <w:r>
              <w:rPr>
                <w:rFonts w:hint="default" w:ascii="Times New Roman" w:hAnsi="Times New Roman" w:cs="Times New Roman"/>
                <w:b w:val="0"/>
                <w:color w:val="auto"/>
                <w:spacing w:val="0"/>
                <w:sz w:val="21"/>
                <w:highlight w:val="none"/>
                <w:lang w:eastAsia="zh-CN"/>
              </w:rPr>
              <w:t>，</w:t>
            </w:r>
            <w:r>
              <w:rPr>
                <w:rFonts w:hint="default" w:ascii="Times New Roman" w:hAnsi="Times New Roman" w:cs="Times New Roman"/>
                <w:b w:val="0"/>
                <w:color w:val="auto"/>
                <w:spacing w:val="0"/>
                <w:sz w:val="21"/>
                <w:highlight w:val="none"/>
              </w:rPr>
              <w:t>定期检查</w:t>
            </w:r>
            <w:r>
              <w:rPr>
                <w:rFonts w:hint="default" w:ascii="Times New Roman" w:hAnsi="Times New Roman" w:cs="Times New Roman"/>
                <w:b w:val="0"/>
                <w:color w:val="auto"/>
                <w:spacing w:val="0"/>
                <w:sz w:val="21"/>
                <w:highlight w:val="none"/>
                <w:lang w:val="en-US" w:eastAsia="zh-CN"/>
              </w:rPr>
              <w:t>废机油</w:t>
            </w:r>
            <w:r>
              <w:rPr>
                <w:rFonts w:hint="default" w:ascii="Times New Roman" w:hAnsi="Times New Roman" w:cs="Times New Roman"/>
                <w:b w:val="0"/>
                <w:color w:val="auto"/>
                <w:spacing w:val="0"/>
                <w:sz w:val="21"/>
                <w:highlight w:val="none"/>
              </w:rPr>
              <w:t>包装，发现破裂迹象及时转桶；</w:t>
            </w:r>
          </w:p>
          <w:p w14:paraId="22EC824B">
            <w:pPr>
              <w:pStyle w:val="40"/>
              <w:numPr>
                <w:ilvl w:val="0"/>
                <w:numId w:val="0"/>
              </w:numPr>
              <w:bidi w:val="0"/>
              <w:ind w:firstLine="0" w:firstLineChars="0"/>
              <w:jc w:val="both"/>
              <w:rPr>
                <w:rFonts w:hint="default" w:ascii="Times New Roman" w:hAnsi="Times New Roman" w:cs="Times New Roman"/>
                <w:b w:val="0"/>
                <w:color w:val="auto"/>
                <w:spacing w:val="0"/>
                <w:sz w:val="21"/>
                <w:highlight w:val="none"/>
              </w:rPr>
            </w:pPr>
            <w:r>
              <w:rPr>
                <w:rFonts w:hint="default" w:ascii="Times New Roman" w:hAnsi="Times New Roman" w:eastAsia="宋体" w:cs="Times New Roman"/>
                <w:b w:val="0"/>
                <w:bCs w:val="0"/>
                <w:color w:val="auto"/>
                <w:spacing w:val="0"/>
                <w:kern w:val="2"/>
                <w:sz w:val="21"/>
                <w:szCs w:val="21"/>
                <w:highlight w:val="none"/>
                <w:lang w:val="en-US" w:eastAsia="zh-CN" w:bidi="ar-SA"/>
              </w:rPr>
              <w:t>2、</w:t>
            </w:r>
            <w:r>
              <w:rPr>
                <w:rFonts w:hint="default" w:ascii="Times New Roman" w:hAnsi="Times New Roman" w:cs="Times New Roman"/>
                <w:b w:val="0"/>
                <w:color w:val="auto"/>
                <w:spacing w:val="0"/>
                <w:sz w:val="21"/>
                <w:highlight w:val="none"/>
              </w:rPr>
              <w:t>添加剂储存罐应选用耐腐蚀材质，在储存处应做好地面防渗，以防止储存罐发生泄漏；在添加剂储存罐四周应建设围堰等风险防范措施；</w:t>
            </w:r>
          </w:p>
          <w:p w14:paraId="2BEBFEB3">
            <w:pPr>
              <w:pStyle w:val="40"/>
              <w:numPr>
                <w:ilvl w:val="0"/>
                <w:numId w:val="0"/>
              </w:numPr>
              <w:bidi w:val="0"/>
              <w:ind w:firstLine="0" w:firstLineChars="0"/>
              <w:jc w:val="both"/>
              <w:rPr>
                <w:rFonts w:hint="default" w:ascii="Times New Roman" w:hAnsi="Times New Roman" w:cs="Times New Roman"/>
                <w:b w:val="0"/>
                <w:color w:val="auto"/>
                <w:spacing w:val="0"/>
                <w:sz w:val="21"/>
                <w:szCs w:val="21"/>
                <w:highlight w:val="none"/>
              </w:rPr>
            </w:pPr>
            <w:r>
              <w:rPr>
                <w:rFonts w:hint="eastAsia" w:ascii="Times New Roman" w:hAnsi="Times New Roman" w:cs="Times New Roman"/>
                <w:b w:val="0"/>
                <w:color w:val="auto"/>
                <w:spacing w:val="0"/>
                <w:sz w:val="21"/>
                <w:highlight w:val="none"/>
                <w:lang w:val="en-US" w:eastAsia="zh-CN"/>
              </w:rPr>
              <w:t>3、</w:t>
            </w:r>
            <w:r>
              <w:rPr>
                <w:rFonts w:hint="default" w:ascii="Times New Roman" w:hAnsi="Times New Roman" w:cs="Times New Roman"/>
                <w:b w:val="0"/>
                <w:color w:val="auto"/>
                <w:spacing w:val="0"/>
                <w:sz w:val="21"/>
                <w:highlight w:val="none"/>
              </w:rPr>
              <w:t>企业应做好管理工作，定期检查。</w:t>
            </w:r>
          </w:p>
        </w:tc>
      </w:tr>
      <w:tr w14:paraId="603007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602" w:hRule="atLeast"/>
          <w:jc w:val="center"/>
        </w:trPr>
        <w:tc>
          <w:tcPr>
            <w:tcW w:w="484" w:type="pct"/>
            <w:tcBorders>
              <w:tl2br w:val="nil"/>
              <w:tr2bl w:val="nil"/>
            </w:tcBorders>
            <w:shd w:val="clear" w:color="auto" w:fill="auto"/>
            <w:noWrap w:val="0"/>
            <w:vAlign w:val="center"/>
          </w:tcPr>
          <w:p w14:paraId="3034D397">
            <w:pPr>
              <w:pStyle w:val="40"/>
              <w:bidi w:val="0"/>
              <w:jc w:val="center"/>
              <w:rPr>
                <w:rFonts w:hint="eastAsia"/>
                <w:b w:val="0"/>
                <w:color w:val="auto"/>
                <w:spacing w:val="-6"/>
                <w:sz w:val="21"/>
                <w:highlight w:val="none"/>
              </w:rPr>
            </w:pPr>
            <w:r>
              <w:rPr>
                <w:rFonts w:hint="eastAsia"/>
                <w:b w:val="0"/>
                <w:color w:val="auto"/>
                <w:spacing w:val="-6"/>
                <w:sz w:val="21"/>
                <w:highlight w:val="none"/>
              </w:rPr>
              <w:t>其他环境管理要求</w:t>
            </w:r>
          </w:p>
        </w:tc>
        <w:tc>
          <w:tcPr>
            <w:tcW w:w="4515" w:type="pct"/>
            <w:gridSpan w:val="5"/>
            <w:tcBorders>
              <w:tl2br w:val="nil"/>
              <w:tr2bl w:val="nil"/>
            </w:tcBorders>
            <w:shd w:val="clear" w:color="auto" w:fill="auto"/>
            <w:noWrap w:val="0"/>
            <w:vAlign w:val="center"/>
          </w:tcPr>
          <w:p w14:paraId="2C40BEF5">
            <w:pPr>
              <w:pStyle w:val="40"/>
              <w:numPr>
                <w:ilvl w:val="0"/>
                <w:numId w:val="0"/>
              </w:numPr>
              <w:bidi w:val="0"/>
              <w:ind w:firstLine="0" w:firstLineChars="0"/>
              <w:jc w:val="both"/>
              <w:rPr>
                <w:rFonts w:hint="eastAsia"/>
                <w:b w:val="0"/>
                <w:color w:val="auto"/>
                <w:spacing w:val="0"/>
                <w:sz w:val="21"/>
                <w:highlight w:val="none"/>
              </w:rPr>
            </w:pPr>
            <w:r>
              <w:rPr>
                <w:rFonts w:hint="eastAsia" w:ascii="Times New Roman" w:hAnsi="Times New Roman" w:eastAsia="宋体" w:cs="Times New Roman"/>
                <w:b w:val="0"/>
                <w:bCs w:val="0"/>
                <w:color w:val="auto"/>
                <w:spacing w:val="0"/>
                <w:kern w:val="2"/>
                <w:sz w:val="21"/>
                <w:szCs w:val="21"/>
                <w:highlight w:val="none"/>
                <w:lang w:val="en-US" w:eastAsia="zh-CN" w:bidi="ar-SA"/>
              </w:rPr>
              <w:t>1、</w:t>
            </w:r>
            <w:r>
              <w:rPr>
                <w:rFonts w:hint="eastAsia"/>
                <w:b w:val="0"/>
                <w:color w:val="auto"/>
                <w:spacing w:val="0"/>
                <w:sz w:val="21"/>
                <w:highlight w:val="none"/>
              </w:rPr>
              <w:t>项目运营</w:t>
            </w:r>
            <w:bookmarkStart w:id="78" w:name="_GoBack"/>
            <w:bookmarkEnd w:id="78"/>
            <w:r>
              <w:rPr>
                <w:rFonts w:hint="eastAsia"/>
                <w:b w:val="0"/>
                <w:color w:val="auto"/>
                <w:spacing w:val="0"/>
                <w:sz w:val="21"/>
                <w:highlight w:val="none"/>
              </w:rPr>
              <w:t>期应严格执行各项生产及运行环境管理制度，定期检查、维护项目环保设施的正常进行，按照监测计划合理安排进行全场内污染源监测，对不达标的情况立即寻找原因，及时处理；</w:t>
            </w:r>
          </w:p>
          <w:p w14:paraId="76C454DC">
            <w:pPr>
              <w:pStyle w:val="40"/>
              <w:numPr>
                <w:ilvl w:val="0"/>
                <w:numId w:val="0"/>
              </w:numPr>
              <w:bidi w:val="0"/>
              <w:ind w:firstLine="0" w:firstLineChars="0"/>
              <w:jc w:val="both"/>
              <w:rPr>
                <w:rFonts w:hint="eastAsia"/>
                <w:b w:val="0"/>
                <w:color w:val="auto"/>
                <w:spacing w:val="0"/>
                <w:sz w:val="21"/>
                <w:highlight w:val="none"/>
              </w:rPr>
            </w:pPr>
            <w:r>
              <w:rPr>
                <w:rFonts w:hint="eastAsia" w:ascii="Times New Roman" w:hAnsi="Times New Roman" w:eastAsia="宋体" w:cs="Times New Roman"/>
                <w:b w:val="0"/>
                <w:bCs w:val="0"/>
                <w:color w:val="auto"/>
                <w:spacing w:val="0"/>
                <w:kern w:val="2"/>
                <w:sz w:val="21"/>
                <w:szCs w:val="21"/>
                <w:highlight w:val="none"/>
                <w:lang w:val="en-US" w:eastAsia="zh-CN" w:bidi="ar-SA"/>
              </w:rPr>
              <w:t>2、</w:t>
            </w:r>
            <w:r>
              <w:rPr>
                <w:rFonts w:hint="eastAsia"/>
                <w:b w:val="0"/>
                <w:color w:val="auto"/>
                <w:spacing w:val="0"/>
                <w:sz w:val="21"/>
                <w:highlight w:val="none"/>
              </w:rPr>
              <w:t>提高企业管理水平及职工环保意识，设置兼职环境保护人员，积极配合环保部门的检查、验收等，记录污染源及环保措施运转动态并纳入整体管理</w:t>
            </w:r>
            <w:r>
              <w:rPr>
                <w:rFonts w:hint="eastAsia"/>
                <w:b w:val="0"/>
                <w:color w:val="auto"/>
                <w:spacing w:val="0"/>
                <w:sz w:val="21"/>
                <w:highlight w:val="none"/>
                <w:lang w:eastAsia="zh-CN"/>
              </w:rPr>
              <w:t>；</w:t>
            </w:r>
          </w:p>
          <w:p w14:paraId="1071D8BF">
            <w:pPr>
              <w:pStyle w:val="40"/>
              <w:numPr>
                <w:ilvl w:val="0"/>
                <w:numId w:val="0"/>
              </w:numPr>
              <w:bidi w:val="0"/>
              <w:ind w:firstLine="0" w:firstLineChars="0"/>
              <w:jc w:val="both"/>
              <w:rPr>
                <w:rFonts w:hint="eastAsia"/>
                <w:b w:val="0"/>
                <w:color w:val="auto"/>
                <w:spacing w:val="0"/>
                <w:sz w:val="21"/>
                <w:highlight w:val="none"/>
              </w:rPr>
            </w:pPr>
            <w:r>
              <w:rPr>
                <w:rFonts w:hint="eastAsia" w:ascii="Times New Roman" w:hAnsi="Times New Roman" w:eastAsia="宋体" w:cs="Times New Roman"/>
                <w:b w:val="0"/>
                <w:bCs w:val="0"/>
                <w:color w:val="auto"/>
                <w:spacing w:val="0"/>
                <w:kern w:val="2"/>
                <w:sz w:val="21"/>
                <w:szCs w:val="21"/>
                <w:highlight w:val="none"/>
                <w:lang w:val="en-US" w:eastAsia="zh-CN" w:bidi="ar-SA"/>
              </w:rPr>
              <w:t>3、</w:t>
            </w:r>
            <w:r>
              <w:rPr>
                <w:rFonts w:hint="eastAsia"/>
                <w:b w:val="0"/>
                <w:color w:val="auto"/>
                <w:spacing w:val="0"/>
                <w:sz w:val="21"/>
                <w:highlight w:val="none"/>
              </w:rPr>
              <w:t>建立原料转运台账，需记录原料的来源、数量、日期，并设置专人管理，要求台账长期保存。</w:t>
            </w:r>
          </w:p>
        </w:tc>
      </w:tr>
    </w:tbl>
    <w:p w14:paraId="78532C85">
      <w:pPr>
        <w:jc w:val="center"/>
        <w:outlineLvl w:val="0"/>
        <w:rPr>
          <w:rFonts w:hint="eastAsia" w:ascii="黑体" w:hAnsi="黑体" w:eastAsia="黑体"/>
          <w:snapToGrid w:val="0"/>
          <w:color w:val="auto"/>
          <w:sz w:val="30"/>
          <w:szCs w:val="30"/>
          <w:highlight w:val="none"/>
        </w:rPr>
        <w:sectPr>
          <w:footerReference r:id="rId7"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31C7996C">
      <w:pPr>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六、结论</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11E4AC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23" w:hRule="atLeast"/>
          <w:jc w:val="center"/>
        </w:trPr>
        <w:tc>
          <w:tcPr>
            <w:tcW w:w="8865" w:type="dxa"/>
            <w:noWrap w:val="0"/>
            <w:vAlign w:val="center"/>
          </w:tcPr>
          <w:p w14:paraId="57C20B43">
            <w:pPr>
              <w:bidi w:val="0"/>
              <w:rPr>
                <w:color w:val="auto"/>
                <w:highlight w:val="none"/>
              </w:rPr>
            </w:pP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榆林汇鹏祥源新型能源有限公司100万吨/年固废资源综合利用项目</w:t>
            </w:r>
            <w:r>
              <w:rPr>
                <w:rFonts w:hint="eastAsia" w:cs="Times New Roman"/>
                <w:color w:val="auto"/>
                <w:sz w:val="24"/>
                <w:szCs w:val="24"/>
                <w:highlight w:val="none"/>
                <w:lang w:val="en-US" w:eastAsia="zh-CN"/>
              </w:rPr>
              <w:t>”位于陕西省榆林市府谷县清水川工业园区，</w:t>
            </w:r>
            <w:r>
              <w:rPr>
                <w:rFonts w:hint="eastAsia"/>
                <w:color w:val="auto"/>
                <w:highlight w:val="none"/>
              </w:rPr>
              <w:t>项目的建设符合国家产业政策和“三线一单”及环境管控要求，不涉及生态红线</w:t>
            </w:r>
            <w:r>
              <w:rPr>
                <w:rFonts w:hint="eastAsia"/>
                <w:color w:val="auto"/>
                <w:highlight w:val="none"/>
                <w:lang w:eastAsia="zh-CN"/>
              </w:rPr>
              <w:t>。</w:t>
            </w:r>
            <w:r>
              <w:rPr>
                <w:color w:val="auto"/>
                <w:highlight w:val="none"/>
              </w:rPr>
              <w:t>项目在采取环评报告中提出的各项污染防治措施后，</w:t>
            </w:r>
            <w:r>
              <w:rPr>
                <w:rFonts w:hint="eastAsia"/>
                <w:color w:val="auto"/>
                <w:highlight w:val="none"/>
              </w:rPr>
              <w:t>污染物能够达标排放，项目的建设不会对周围环境产生明显影响。从环境保护角度分析，项目建设环境影响可行。</w:t>
            </w:r>
          </w:p>
        </w:tc>
      </w:tr>
    </w:tbl>
    <w:p w14:paraId="04059F55">
      <w:pPr>
        <w:adjustRightInd w:val="0"/>
        <w:snapToGrid w:val="0"/>
        <w:spacing w:before="0" w:beforeAutospacing="0" w:after="0" w:afterAutospacing="0" w:line="648" w:lineRule="auto"/>
        <w:ind w:left="0" w:leftChars="0" w:firstLine="640" w:firstLineChars="200"/>
        <w:outlineLvl w:val="0"/>
        <w:rPr>
          <w:rFonts w:hint="eastAsia" w:ascii="黑体" w:hAnsi="黑体" w:eastAsia="黑体"/>
          <w:snapToGrid w:val="0"/>
          <w:color w:val="auto"/>
          <w:sz w:val="32"/>
          <w:szCs w:val="32"/>
          <w:highlight w:val="none"/>
        </w:rPr>
        <w:sectPr>
          <w:pgSz w:w="11906" w:h="16838"/>
          <w:pgMar w:top="1440" w:right="1080" w:bottom="1440" w:left="1080" w:header="851" w:footer="851" w:gutter="0"/>
          <w:pgBorders>
            <w:top w:val="none" w:sz="0" w:space="0"/>
            <w:left w:val="none" w:sz="0" w:space="0"/>
            <w:bottom w:val="none" w:sz="0" w:space="0"/>
            <w:right w:val="none" w:sz="0" w:space="0"/>
          </w:pgBorders>
          <w:cols w:space="720" w:num="1"/>
          <w:docGrid w:linePitch="312" w:charSpace="0"/>
        </w:sectPr>
      </w:pPr>
    </w:p>
    <w:p w14:paraId="2BC4B86F">
      <w:pPr>
        <w:adjustRightInd w:val="0"/>
        <w:snapToGrid w:val="0"/>
        <w:spacing w:before="0" w:beforeAutospacing="0" w:after="0" w:afterAutospacing="0" w:line="648" w:lineRule="auto"/>
        <w:ind w:left="0" w:leftChars="0" w:firstLine="640" w:firstLineChars="200"/>
        <w:outlineLvl w:val="0"/>
        <w:rPr>
          <w:rFonts w:ascii="黑体" w:hAnsi="黑体" w:eastAsia="黑体"/>
          <w:snapToGrid w:val="0"/>
          <w:color w:val="auto"/>
          <w:sz w:val="32"/>
          <w:szCs w:val="32"/>
          <w:highlight w:val="none"/>
        </w:rPr>
      </w:pPr>
      <w:r>
        <w:rPr>
          <w:rFonts w:hint="eastAsia" w:ascii="黑体" w:hAnsi="黑体" w:eastAsia="黑体"/>
          <w:snapToGrid w:val="0"/>
          <w:color w:val="auto"/>
          <w:sz w:val="32"/>
          <w:szCs w:val="32"/>
          <w:highlight w:val="none"/>
        </w:rPr>
        <w:t>附表</w:t>
      </w:r>
    </w:p>
    <w:p w14:paraId="4436C135">
      <w:pPr>
        <w:bidi w:val="0"/>
        <w:jc w:val="center"/>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rPr>
        <w:t>建设项目污染物排放量汇总表</w:t>
      </w:r>
      <w:r>
        <w:rPr>
          <w:rFonts w:hint="eastAsia" w:ascii="黑体" w:hAnsi="黑体" w:eastAsia="黑体" w:cs="黑体"/>
          <w:color w:val="auto"/>
          <w:sz w:val="32"/>
          <w:szCs w:val="32"/>
          <w:highlight w:val="none"/>
          <w:lang w:val="en-US" w:eastAsia="zh-CN"/>
        </w:rPr>
        <w:t xml:space="preserve">  单位：t</w:t>
      </w:r>
    </w:p>
    <w:tbl>
      <w:tblPr>
        <w:tblStyle w:val="24"/>
        <w:tblW w:w="499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072"/>
        <w:gridCol w:w="1072"/>
        <w:gridCol w:w="1696"/>
        <w:gridCol w:w="1593"/>
        <w:gridCol w:w="1523"/>
        <w:gridCol w:w="1593"/>
        <w:gridCol w:w="1556"/>
        <w:gridCol w:w="1836"/>
        <w:gridCol w:w="841"/>
      </w:tblGrid>
      <w:tr w14:paraId="3350C8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tcBorders>
              <w:tl2br w:val="single" w:color="auto" w:sz="4" w:space="0"/>
            </w:tcBorders>
            <w:noWrap w:val="0"/>
            <w:tcMar>
              <w:left w:w="28" w:type="dxa"/>
              <w:right w:w="28" w:type="dxa"/>
            </w:tcMar>
            <w:vAlign w:val="center"/>
          </w:tcPr>
          <w:p w14:paraId="0ABD35E7">
            <w:pPr>
              <w:pStyle w:val="40"/>
              <w:bidi w:val="0"/>
              <w:jc w:val="right"/>
              <w:rPr>
                <w:rFonts w:hint="eastAsia"/>
                <w:color w:val="auto"/>
                <w:highlight w:val="none"/>
              </w:rPr>
            </w:pPr>
            <w:r>
              <w:rPr>
                <w:rFonts w:hint="eastAsia"/>
                <w:color w:val="auto"/>
                <w:highlight w:val="none"/>
              </w:rPr>
              <w:t>项目</w:t>
            </w:r>
          </w:p>
          <w:p w14:paraId="14B416B2">
            <w:pPr>
              <w:pStyle w:val="40"/>
              <w:bidi w:val="0"/>
              <w:jc w:val="left"/>
              <w:rPr>
                <w:rFonts w:hint="default" w:eastAsia="宋体"/>
                <w:color w:val="auto"/>
                <w:highlight w:val="none"/>
                <w:lang w:val="en-US" w:eastAsia="zh-CN"/>
              </w:rPr>
            </w:pPr>
            <w:r>
              <w:rPr>
                <w:rFonts w:hint="eastAsia"/>
                <w:color w:val="auto"/>
                <w:highlight w:val="none"/>
              </w:rPr>
              <w:t>分类</w:t>
            </w:r>
          </w:p>
        </w:tc>
        <w:tc>
          <w:tcPr>
            <w:tcW w:w="766" w:type="pct"/>
            <w:gridSpan w:val="2"/>
            <w:noWrap w:val="0"/>
            <w:tcMar>
              <w:left w:w="28" w:type="dxa"/>
              <w:right w:w="28" w:type="dxa"/>
            </w:tcMar>
            <w:vAlign w:val="center"/>
          </w:tcPr>
          <w:p w14:paraId="1D5940C9">
            <w:pPr>
              <w:pStyle w:val="40"/>
              <w:bidi w:val="0"/>
              <w:rPr>
                <w:rFonts w:hint="eastAsia"/>
                <w:color w:val="auto"/>
                <w:highlight w:val="none"/>
              </w:rPr>
            </w:pPr>
            <w:r>
              <w:rPr>
                <w:rFonts w:hint="eastAsia"/>
                <w:color w:val="auto"/>
                <w:highlight w:val="none"/>
              </w:rPr>
              <w:t>污染物名称</w:t>
            </w:r>
          </w:p>
        </w:tc>
        <w:tc>
          <w:tcPr>
            <w:tcW w:w="606" w:type="pct"/>
            <w:noWrap w:val="0"/>
            <w:tcMar>
              <w:left w:w="28" w:type="dxa"/>
              <w:right w:w="28" w:type="dxa"/>
            </w:tcMar>
            <w:vAlign w:val="center"/>
          </w:tcPr>
          <w:p w14:paraId="4F18E02B">
            <w:pPr>
              <w:pStyle w:val="40"/>
              <w:bidi w:val="0"/>
              <w:rPr>
                <w:rFonts w:hint="eastAsia"/>
                <w:color w:val="auto"/>
                <w:spacing w:val="-6"/>
                <w:sz w:val="21"/>
                <w:highlight w:val="none"/>
              </w:rPr>
            </w:pPr>
            <w:r>
              <w:rPr>
                <w:color w:val="auto"/>
                <w:spacing w:val="-6"/>
                <w:sz w:val="21"/>
                <w:highlight w:val="none"/>
              </w:rPr>
              <w:t>现有工程</w:t>
            </w:r>
          </w:p>
          <w:p w14:paraId="51C2BED1">
            <w:pPr>
              <w:pStyle w:val="40"/>
              <w:bidi w:val="0"/>
              <w:rPr>
                <w:color w:val="auto"/>
                <w:highlight w:val="none"/>
              </w:rPr>
            </w:pPr>
            <w:r>
              <w:rPr>
                <w:color w:val="auto"/>
                <w:spacing w:val="-6"/>
                <w:sz w:val="21"/>
                <w:highlight w:val="none"/>
              </w:rPr>
              <w:t>排放量（固</w:t>
            </w:r>
            <w:r>
              <w:rPr>
                <w:rFonts w:hint="eastAsia"/>
                <w:color w:val="auto"/>
                <w:spacing w:val="-6"/>
                <w:sz w:val="21"/>
                <w:highlight w:val="none"/>
              </w:rPr>
              <w:t>体</w:t>
            </w:r>
            <w:r>
              <w:rPr>
                <w:color w:val="auto"/>
                <w:spacing w:val="-6"/>
                <w:sz w:val="21"/>
                <w:highlight w:val="none"/>
              </w:rPr>
              <w:t>废</w:t>
            </w:r>
            <w:r>
              <w:rPr>
                <w:rFonts w:hint="eastAsia"/>
                <w:color w:val="auto"/>
                <w:spacing w:val="-6"/>
                <w:sz w:val="21"/>
                <w:highlight w:val="none"/>
              </w:rPr>
              <w:t>物</w:t>
            </w:r>
            <w:r>
              <w:rPr>
                <w:color w:val="auto"/>
                <w:spacing w:val="-6"/>
                <w:sz w:val="21"/>
                <w:highlight w:val="none"/>
              </w:rPr>
              <w:t>产生量）</w:t>
            </w:r>
            <w:r>
              <w:rPr>
                <w:color w:val="auto"/>
                <w:spacing w:val="-6"/>
                <w:sz w:val="21"/>
                <w:highlight w:val="none"/>
              </w:rPr>
              <w:fldChar w:fldCharType="begin"/>
            </w:r>
            <w:r>
              <w:rPr>
                <w:color w:val="auto"/>
                <w:spacing w:val="-6"/>
                <w:sz w:val="21"/>
                <w:highlight w:val="none"/>
              </w:rPr>
              <w:instrText xml:space="preserve"> = 1 \* GB3 \* MERGEFORMAT </w:instrText>
            </w:r>
            <w:r>
              <w:rPr>
                <w:color w:val="auto"/>
                <w:spacing w:val="-6"/>
                <w:sz w:val="21"/>
                <w:highlight w:val="none"/>
              </w:rPr>
              <w:fldChar w:fldCharType="separate"/>
            </w:r>
            <w:r>
              <w:rPr>
                <w:rFonts w:hint="eastAsia"/>
                <w:color w:val="auto"/>
                <w:spacing w:val="-6"/>
                <w:sz w:val="21"/>
                <w:highlight w:val="none"/>
              </w:rPr>
              <w:t>①</w:t>
            </w:r>
            <w:r>
              <w:rPr>
                <w:color w:val="auto"/>
                <w:spacing w:val="-6"/>
                <w:sz w:val="21"/>
                <w:highlight w:val="none"/>
              </w:rPr>
              <w:fldChar w:fldCharType="end"/>
            </w:r>
          </w:p>
        </w:tc>
        <w:tc>
          <w:tcPr>
            <w:tcW w:w="569" w:type="pct"/>
            <w:noWrap w:val="0"/>
            <w:tcMar>
              <w:left w:w="28" w:type="dxa"/>
              <w:right w:w="28" w:type="dxa"/>
            </w:tcMar>
            <w:vAlign w:val="center"/>
          </w:tcPr>
          <w:p w14:paraId="53CF367D">
            <w:pPr>
              <w:pStyle w:val="40"/>
              <w:bidi w:val="0"/>
              <w:rPr>
                <w:color w:val="auto"/>
                <w:highlight w:val="none"/>
              </w:rPr>
            </w:pPr>
            <w:r>
              <w:rPr>
                <w:color w:val="auto"/>
                <w:highlight w:val="none"/>
              </w:rPr>
              <w:t>现有工程</w:t>
            </w:r>
          </w:p>
          <w:p w14:paraId="071C29BD">
            <w:pPr>
              <w:pStyle w:val="40"/>
              <w:bidi w:val="0"/>
              <w:rPr>
                <w:color w:val="auto"/>
                <w:highlight w:val="none"/>
              </w:rPr>
            </w:pPr>
            <w:r>
              <w:rPr>
                <w:color w:val="auto"/>
                <w:highlight w:val="none"/>
              </w:rPr>
              <w:t>许可排放量</w:t>
            </w:r>
          </w:p>
          <w:p w14:paraId="1BBD2383">
            <w:pPr>
              <w:pStyle w:val="40"/>
              <w:bidi w:val="0"/>
              <w:rPr>
                <w:color w:val="auto"/>
                <w:highlight w:val="none"/>
              </w:rPr>
            </w:pPr>
            <w:r>
              <w:rPr>
                <w:color w:val="auto"/>
                <w:highlight w:val="none"/>
              </w:rPr>
              <w:fldChar w:fldCharType="begin"/>
            </w:r>
            <w:r>
              <w:rPr>
                <w:color w:val="auto"/>
                <w:highlight w:val="none"/>
              </w:rPr>
              <w:instrText xml:space="preserve"> = 2 \* GB3 \* MERGEFORMAT </w:instrText>
            </w:r>
            <w:r>
              <w:rPr>
                <w:color w:val="auto"/>
                <w:highlight w:val="none"/>
              </w:rPr>
              <w:fldChar w:fldCharType="separate"/>
            </w:r>
            <w:r>
              <w:rPr>
                <w:rFonts w:hint="eastAsia"/>
                <w:color w:val="auto"/>
                <w:highlight w:val="none"/>
              </w:rPr>
              <w:t>②</w:t>
            </w:r>
            <w:r>
              <w:rPr>
                <w:color w:val="auto"/>
                <w:highlight w:val="none"/>
              </w:rPr>
              <w:fldChar w:fldCharType="end"/>
            </w:r>
          </w:p>
        </w:tc>
        <w:tc>
          <w:tcPr>
            <w:tcW w:w="544" w:type="pct"/>
            <w:noWrap w:val="0"/>
            <w:tcMar>
              <w:left w:w="28" w:type="dxa"/>
              <w:right w:w="28" w:type="dxa"/>
            </w:tcMar>
            <w:vAlign w:val="center"/>
          </w:tcPr>
          <w:p w14:paraId="4569789D">
            <w:pPr>
              <w:pStyle w:val="40"/>
              <w:bidi w:val="0"/>
              <w:rPr>
                <w:rFonts w:hint="eastAsia"/>
                <w:color w:val="auto"/>
                <w:highlight w:val="none"/>
              </w:rPr>
            </w:pPr>
            <w:r>
              <w:rPr>
                <w:color w:val="auto"/>
                <w:highlight w:val="none"/>
              </w:rPr>
              <w:t>在建工程</w:t>
            </w:r>
          </w:p>
          <w:p w14:paraId="1DD0B6EC">
            <w:pPr>
              <w:pStyle w:val="40"/>
              <w:bidi w:val="0"/>
              <w:rPr>
                <w:color w:val="auto"/>
                <w:highlight w:val="none"/>
              </w:rPr>
            </w:pPr>
            <w:r>
              <w:rPr>
                <w:color w:val="auto"/>
                <w:highlight w:val="none"/>
              </w:rPr>
              <w:t>排放量（固</w:t>
            </w:r>
            <w:r>
              <w:rPr>
                <w:rFonts w:hint="eastAsia"/>
                <w:color w:val="auto"/>
                <w:highlight w:val="none"/>
              </w:rPr>
              <w:t>体</w:t>
            </w:r>
            <w:r>
              <w:rPr>
                <w:color w:val="auto"/>
                <w:highlight w:val="none"/>
              </w:rPr>
              <w:t>废</w:t>
            </w:r>
            <w:r>
              <w:rPr>
                <w:rFonts w:hint="eastAsia"/>
                <w:color w:val="auto"/>
                <w:highlight w:val="none"/>
              </w:rPr>
              <w:t>物</w:t>
            </w:r>
            <w:r>
              <w:rPr>
                <w:color w:val="auto"/>
                <w:highlight w:val="none"/>
              </w:rPr>
              <w:t>产生量）</w:t>
            </w:r>
            <w:r>
              <w:rPr>
                <w:color w:val="auto"/>
                <w:highlight w:val="none"/>
              </w:rPr>
              <w:fldChar w:fldCharType="begin"/>
            </w:r>
            <w:r>
              <w:rPr>
                <w:color w:val="auto"/>
                <w:highlight w:val="none"/>
              </w:rPr>
              <w:instrText xml:space="preserve"> = 3 \* GB3 \* MERGEFORMAT </w:instrText>
            </w:r>
            <w:r>
              <w:rPr>
                <w:color w:val="auto"/>
                <w:highlight w:val="none"/>
              </w:rPr>
              <w:fldChar w:fldCharType="separate"/>
            </w:r>
            <w:r>
              <w:rPr>
                <w:rFonts w:hint="eastAsia"/>
                <w:color w:val="auto"/>
                <w:highlight w:val="none"/>
              </w:rPr>
              <w:t>③</w:t>
            </w:r>
            <w:r>
              <w:rPr>
                <w:color w:val="auto"/>
                <w:highlight w:val="none"/>
              </w:rPr>
              <w:fldChar w:fldCharType="end"/>
            </w:r>
          </w:p>
        </w:tc>
        <w:tc>
          <w:tcPr>
            <w:tcW w:w="569" w:type="pct"/>
            <w:noWrap w:val="0"/>
            <w:tcMar>
              <w:left w:w="28" w:type="dxa"/>
              <w:right w:w="28" w:type="dxa"/>
            </w:tcMar>
            <w:vAlign w:val="center"/>
          </w:tcPr>
          <w:p w14:paraId="42079C76">
            <w:pPr>
              <w:pStyle w:val="40"/>
              <w:bidi w:val="0"/>
              <w:rPr>
                <w:rFonts w:hint="eastAsia"/>
                <w:color w:val="auto"/>
                <w:highlight w:val="none"/>
              </w:rPr>
            </w:pPr>
            <w:r>
              <w:rPr>
                <w:color w:val="auto"/>
                <w:highlight w:val="none"/>
              </w:rPr>
              <w:t>本项目</w:t>
            </w:r>
          </w:p>
          <w:p w14:paraId="36361CAF">
            <w:pPr>
              <w:pStyle w:val="40"/>
              <w:bidi w:val="0"/>
              <w:rPr>
                <w:color w:val="auto"/>
                <w:highlight w:val="none"/>
              </w:rPr>
            </w:pPr>
            <w:r>
              <w:rPr>
                <w:color w:val="auto"/>
                <w:highlight w:val="none"/>
              </w:rPr>
              <w:t>排放量（固</w:t>
            </w:r>
            <w:r>
              <w:rPr>
                <w:rFonts w:hint="eastAsia"/>
                <w:color w:val="auto"/>
                <w:highlight w:val="none"/>
              </w:rPr>
              <w:t>体</w:t>
            </w:r>
            <w:r>
              <w:rPr>
                <w:color w:val="auto"/>
                <w:highlight w:val="none"/>
              </w:rPr>
              <w:t>废</w:t>
            </w:r>
            <w:r>
              <w:rPr>
                <w:rFonts w:hint="eastAsia"/>
                <w:color w:val="auto"/>
                <w:highlight w:val="none"/>
              </w:rPr>
              <w:t>物</w:t>
            </w:r>
            <w:r>
              <w:rPr>
                <w:color w:val="auto"/>
                <w:highlight w:val="none"/>
              </w:rPr>
              <w:t>产生量）</w:t>
            </w:r>
            <w:r>
              <w:rPr>
                <w:color w:val="auto"/>
                <w:highlight w:val="none"/>
              </w:rPr>
              <w:fldChar w:fldCharType="begin"/>
            </w:r>
            <w:r>
              <w:rPr>
                <w:color w:val="auto"/>
                <w:highlight w:val="none"/>
              </w:rPr>
              <w:instrText xml:space="preserve"> = 4 \* GB3 \* MERGEFORMAT </w:instrText>
            </w:r>
            <w:r>
              <w:rPr>
                <w:color w:val="auto"/>
                <w:highlight w:val="none"/>
              </w:rPr>
              <w:fldChar w:fldCharType="separate"/>
            </w:r>
            <w:r>
              <w:rPr>
                <w:rFonts w:hint="eastAsia"/>
                <w:color w:val="auto"/>
                <w:highlight w:val="none"/>
              </w:rPr>
              <w:t>④</w:t>
            </w:r>
            <w:r>
              <w:rPr>
                <w:color w:val="auto"/>
                <w:highlight w:val="none"/>
              </w:rPr>
              <w:fldChar w:fldCharType="end"/>
            </w:r>
          </w:p>
        </w:tc>
        <w:tc>
          <w:tcPr>
            <w:tcW w:w="556" w:type="pct"/>
            <w:noWrap w:val="0"/>
            <w:tcMar>
              <w:left w:w="28" w:type="dxa"/>
              <w:right w:w="28" w:type="dxa"/>
            </w:tcMar>
            <w:vAlign w:val="center"/>
          </w:tcPr>
          <w:p w14:paraId="2514B360">
            <w:pPr>
              <w:pStyle w:val="40"/>
              <w:bidi w:val="0"/>
              <w:rPr>
                <w:rFonts w:hint="eastAsia"/>
                <w:color w:val="auto"/>
                <w:highlight w:val="none"/>
              </w:rPr>
            </w:pPr>
            <w:r>
              <w:rPr>
                <w:color w:val="auto"/>
                <w:highlight w:val="none"/>
              </w:rPr>
              <w:t>以新带老削减量</w:t>
            </w:r>
          </w:p>
          <w:p w14:paraId="51E425D5">
            <w:pPr>
              <w:pStyle w:val="40"/>
              <w:bidi w:val="0"/>
              <w:rPr>
                <w:color w:val="auto"/>
                <w:highlight w:val="none"/>
              </w:rPr>
            </w:pPr>
            <w:r>
              <w:rPr>
                <w:color w:val="auto"/>
                <w:highlight w:val="none"/>
              </w:rPr>
              <w:t>（新建项目不填）</w:t>
            </w:r>
            <w:r>
              <w:rPr>
                <w:color w:val="auto"/>
                <w:highlight w:val="none"/>
              </w:rPr>
              <w:fldChar w:fldCharType="begin"/>
            </w:r>
            <w:r>
              <w:rPr>
                <w:color w:val="auto"/>
                <w:highlight w:val="none"/>
              </w:rPr>
              <w:instrText xml:space="preserve"> = 5 \* GB3 \* MERGEFORMAT </w:instrText>
            </w:r>
            <w:r>
              <w:rPr>
                <w:color w:val="auto"/>
                <w:highlight w:val="none"/>
              </w:rPr>
              <w:fldChar w:fldCharType="separate"/>
            </w:r>
            <w:r>
              <w:rPr>
                <w:rFonts w:hint="eastAsia"/>
                <w:color w:val="auto"/>
                <w:highlight w:val="none"/>
              </w:rPr>
              <w:t>⑤</w:t>
            </w:r>
            <w:r>
              <w:rPr>
                <w:color w:val="auto"/>
                <w:highlight w:val="none"/>
              </w:rPr>
              <w:fldChar w:fldCharType="end"/>
            </w:r>
          </w:p>
        </w:tc>
        <w:tc>
          <w:tcPr>
            <w:tcW w:w="656" w:type="pct"/>
            <w:noWrap w:val="0"/>
            <w:tcMar>
              <w:left w:w="28" w:type="dxa"/>
              <w:right w:w="28" w:type="dxa"/>
            </w:tcMar>
            <w:vAlign w:val="center"/>
          </w:tcPr>
          <w:p w14:paraId="10F29420">
            <w:pPr>
              <w:pStyle w:val="40"/>
              <w:bidi w:val="0"/>
              <w:rPr>
                <w:rFonts w:hint="eastAsia"/>
                <w:color w:val="auto"/>
                <w:highlight w:val="none"/>
              </w:rPr>
            </w:pPr>
            <w:r>
              <w:rPr>
                <w:color w:val="auto"/>
                <w:highlight w:val="none"/>
              </w:rPr>
              <w:t>本项目建成后</w:t>
            </w:r>
          </w:p>
          <w:p w14:paraId="4812498A">
            <w:pPr>
              <w:pStyle w:val="40"/>
              <w:bidi w:val="0"/>
              <w:rPr>
                <w:color w:val="auto"/>
                <w:highlight w:val="none"/>
              </w:rPr>
            </w:pPr>
            <w:r>
              <w:rPr>
                <w:rFonts w:hint="eastAsia"/>
                <w:color w:val="auto"/>
                <w:highlight w:val="none"/>
              </w:rPr>
              <w:t>全厂</w:t>
            </w:r>
            <w:r>
              <w:rPr>
                <w:color w:val="auto"/>
                <w:highlight w:val="none"/>
              </w:rPr>
              <w:t>排放量（固</w:t>
            </w:r>
            <w:r>
              <w:rPr>
                <w:rFonts w:hint="eastAsia"/>
                <w:color w:val="auto"/>
                <w:highlight w:val="none"/>
              </w:rPr>
              <w:t>体</w:t>
            </w:r>
            <w:r>
              <w:rPr>
                <w:color w:val="auto"/>
                <w:highlight w:val="none"/>
              </w:rPr>
              <w:t>废</w:t>
            </w:r>
            <w:r>
              <w:rPr>
                <w:rFonts w:hint="eastAsia"/>
                <w:color w:val="auto"/>
                <w:highlight w:val="none"/>
              </w:rPr>
              <w:t>物</w:t>
            </w:r>
            <w:r>
              <w:rPr>
                <w:color w:val="auto"/>
                <w:highlight w:val="none"/>
              </w:rPr>
              <w:t>产生量）</w:t>
            </w:r>
            <w:r>
              <w:rPr>
                <w:color w:val="auto"/>
                <w:highlight w:val="none"/>
              </w:rPr>
              <w:fldChar w:fldCharType="begin"/>
            </w:r>
            <w:r>
              <w:rPr>
                <w:color w:val="auto"/>
                <w:highlight w:val="none"/>
              </w:rPr>
              <w:instrText xml:space="preserve"> = 6 \* GB3 \* MERGEFORMAT </w:instrText>
            </w:r>
            <w:r>
              <w:rPr>
                <w:color w:val="auto"/>
                <w:highlight w:val="none"/>
              </w:rPr>
              <w:fldChar w:fldCharType="separate"/>
            </w:r>
            <w:r>
              <w:rPr>
                <w:rFonts w:hint="eastAsia"/>
                <w:color w:val="auto"/>
                <w:highlight w:val="none"/>
              </w:rPr>
              <w:t>⑥</w:t>
            </w:r>
            <w:r>
              <w:rPr>
                <w:color w:val="auto"/>
                <w:highlight w:val="none"/>
              </w:rPr>
              <w:fldChar w:fldCharType="end"/>
            </w:r>
          </w:p>
        </w:tc>
        <w:tc>
          <w:tcPr>
            <w:tcW w:w="300" w:type="pct"/>
            <w:noWrap w:val="0"/>
            <w:tcMar>
              <w:left w:w="28" w:type="dxa"/>
              <w:right w:w="28" w:type="dxa"/>
            </w:tcMar>
            <w:vAlign w:val="center"/>
          </w:tcPr>
          <w:p w14:paraId="656D574B">
            <w:pPr>
              <w:pStyle w:val="40"/>
              <w:bidi w:val="0"/>
              <w:rPr>
                <w:color w:val="auto"/>
                <w:highlight w:val="none"/>
              </w:rPr>
            </w:pPr>
            <w:r>
              <w:rPr>
                <w:color w:val="auto"/>
                <w:highlight w:val="none"/>
              </w:rPr>
              <w:t>变化量</w:t>
            </w:r>
          </w:p>
          <w:p w14:paraId="34682CF9">
            <w:pPr>
              <w:pStyle w:val="40"/>
              <w:bidi w:val="0"/>
              <w:rPr>
                <w:color w:val="auto"/>
                <w:highlight w:val="none"/>
              </w:rPr>
            </w:pPr>
            <w:r>
              <w:rPr>
                <w:color w:val="auto"/>
                <w:highlight w:val="none"/>
              </w:rPr>
              <w:fldChar w:fldCharType="begin"/>
            </w:r>
            <w:r>
              <w:rPr>
                <w:color w:val="auto"/>
                <w:highlight w:val="none"/>
              </w:rPr>
              <w:instrText xml:space="preserve"> = 7 \* GB3 \* MERGEFORMAT </w:instrText>
            </w:r>
            <w:r>
              <w:rPr>
                <w:color w:val="auto"/>
                <w:highlight w:val="none"/>
              </w:rPr>
              <w:fldChar w:fldCharType="separate"/>
            </w:r>
            <w:r>
              <w:rPr>
                <w:rFonts w:hint="eastAsia"/>
                <w:color w:val="auto"/>
                <w:highlight w:val="none"/>
              </w:rPr>
              <w:t>⑦</w:t>
            </w:r>
            <w:r>
              <w:rPr>
                <w:color w:val="auto"/>
                <w:highlight w:val="none"/>
              </w:rPr>
              <w:fldChar w:fldCharType="end"/>
            </w:r>
          </w:p>
        </w:tc>
      </w:tr>
      <w:tr w14:paraId="0DE17F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vMerge w:val="restart"/>
            <w:noWrap w:val="0"/>
            <w:vAlign w:val="center"/>
          </w:tcPr>
          <w:p w14:paraId="2A04CA96">
            <w:pPr>
              <w:pStyle w:val="40"/>
              <w:bidi w:val="0"/>
              <w:rPr>
                <w:rFonts w:hint="eastAsia" w:eastAsia="宋体"/>
                <w:color w:val="auto"/>
                <w:highlight w:val="none"/>
                <w:lang w:val="en-US" w:eastAsia="zh-CN"/>
              </w:rPr>
            </w:pPr>
            <w:r>
              <w:rPr>
                <w:rFonts w:hint="eastAsia"/>
                <w:color w:val="auto"/>
                <w:highlight w:val="none"/>
                <w:lang w:val="en-US" w:eastAsia="zh-CN"/>
              </w:rPr>
              <w:t>废气</w:t>
            </w:r>
          </w:p>
        </w:tc>
        <w:tc>
          <w:tcPr>
            <w:tcW w:w="766" w:type="pct"/>
            <w:gridSpan w:val="2"/>
            <w:shd w:val="clear" w:color="auto" w:fill="auto"/>
            <w:noWrap w:val="0"/>
            <w:vAlign w:val="center"/>
          </w:tcPr>
          <w:p w14:paraId="66B4C647">
            <w:pPr>
              <w:pStyle w:val="40"/>
              <w:bidi w:val="0"/>
              <w:ind w:firstLine="0" w:firstLineChars="0"/>
              <w:jc w:val="center"/>
              <w:rPr>
                <w:rFonts w:hint="default"/>
                <w:color w:val="auto"/>
                <w:spacing w:val="-6"/>
                <w:sz w:val="21"/>
                <w:highlight w:val="none"/>
                <w:lang w:val="en-US" w:eastAsia="zh-CN"/>
              </w:rPr>
            </w:pPr>
            <w:r>
              <w:rPr>
                <w:rFonts w:hint="eastAsia"/>
                <w:color w:val="auto"/>
                <w:spacing w:val="-6"/>
                <w:sz w:val="21"/>
                <w:highlight w:val="none"/>
                <w:lang w:val="en-US" w:eastAsia="zh-CN"/>
              </w:rPr>
              <w:t>有组织排放颗粒物</w:t>
            </w:r>
          </w:p>
        </w:tc>
        <w:tc>
          <w:tcPr>
            <w:tcW w:w="606" w:type="pct"/>
            <w:shd w:val="clear" w:color="auto" w:fill="auto"/>
            <w:noWrap w:val="0"/>
            <w:vAlign w:val="center"/>
          </w:tcPr>
          <w:p w14:paraId="28F3796D">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w:t>
            </w:r>
          </w:p>
        </w:tc>
        <w:tc>
          <w:tcPr>
            <w:tcW w:w="569" w:type="pct"/>
            <w:shd w:val="clear" w:color="auto" w:fill="auto"/>
            <w:noWrap w:val="0"/>
            <w:vAlign w:val="center"/>
          </w:tcPr>
          <w:p w14:paraId="38A68C90">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w:t>
            </w:r>
          </w:p>
        </w:tc>
        <w:tc>
          <w:tcPr>
            <w:tcW w:w="544" w:type="pct"/>
            <w:shd w:val="clear" w:color="auto" w:fill="auto"/>
            <w:noWrap w:val="0"/>
            <w:vAlign w:val="center"/>
          </w:tcPr>
          <w:p w14:paraId="675D3416">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w:t>
            </w:r>
          </w:p>
        </w:tc>
        <w:tc>
          <w:tcPr>
            <w:tcW w:w="569" w:type="pct"/>
            <w:shd w:val="clear" w:color="auto" w:fill="auto"/>
            <w:noWrap w:val="0"/>
            <w:vAlign w:val="center"/>
          </w:tcPr>
          <w:p w14:paraId="6D15A920">
            <w:pPr>
              <w:pStyle w:val="40"/>
              <w:bidi w:val="0"/>
              <w:ind w:firstLine="0" w:firstLineChars="0"/>
              <w:rPr>
                <w:rFonts w:hint="eastAsia" w:cs="Times New Roman"/>
                <w:b w:val="0"/>
                <w:bCs w:val="0"/>
                <w:color w:val="auto"/>
                <w:kern w:val="2"/>
                <w:sz w:val="21"/>
                <w:szCs w:val="21"/>
                <w:highlight w:val="none"/>
                <w:lang w:val="en-US" w:eastAsia="zh-CN" w:bidi="ar-SA"/>
              </w:rPr>
            </w:pPr>
            <w:r>
              <w:rPr>
                <w:rFonts w:hint="eastAsia"/>
                <w:color w:val="auto"/>
                <w:highlight w:val="none"/>
                <w:lang w:val="en-US" w:eastAsia="zh-CN"/>
              </w:rPr>
              <w:t>16.612</w:t>
            </w:r>
          </w:p>
        </w:tc>
        <w:tc>
          <w:tcPr>
            <w:tcW w:w="556" w:type="pct"/>
            <w:shd w:val="clear" w:color="auto" w:fill="auto"/>
            <w:noWrap w:val="0"/>
            <w:vAlign w:val="center"/>
          </w:tcPr>
          <w:p w14:paraId="6DB84A4A">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w:t>
            </w:r>
          </w:p>
        </w:tc>
        <w:tc>
          <w:tcPr>
            <w:tcW w:w="656" w:type="pct"/>
            <w:shd w:val="clear" w:color="auto" w:fill="auto"/>
            <w:noWrap w:val="0"/>
            <w:vAlign w:val="center"/>
          </w:tcPr>
          <w:p w14:paraId="60939B95">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16.612</w:t>
            </w:r>
          </w:p>
        </w:tc>
        <w:tc>
          <w:tcPr>
            <w:tcW w:w="300" w:type="pct"/>
            <w:shd w:val="clear" w:color="auto" w:fill="auto"/>
            <w:noWrap w:val="0"/>
            <w:vAlign w:val="center"/>
          </w:tcPr>
          <w:p w14:paraId="53D87B78">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w:t>
            </w:r>
          </w:p>
        </w:tc>
      </w:tr>
      <w:tr w14:paraId="490C19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vMerge w:val="continue"/>
            <w:noWrap w:val="0"/>
            <w:vAlign w:val="center"/>
          </w:tcPr>
          <w:p w14:paraId="60771251">
            <w:pPr>
              <w:pStyle w:val="40"/>
              <w:bidi w:val="0"/>
              <w:rPr>
                <w:rFonts w:hint="eastAsia"/>
                <w:color w:val="auto"/>
                <w:highlight w:val="none"/>
              </w:rPr>
            </w:pPr>
          </w:p>
        </w:tc>
        <w:tc>
          <w:tcPr>
            <w:tcW w:w="766" w:type="pct"/>
            <w:gridSpan w:val="2"/>
            <w:shd w:val="clear" w:color="auto" w:fill="auto"/>
            <w:noWrap w:val="0"/>
            <w:vAlign w:val="center"/>
          </w:tcPr>
          <w:p w14:paraId="10387342">
            <w:pPr>
              <w:pStyle w:val="40"/>
              <w:bidi w:val="0"/>
              <w:ind w:firstLine="0" w:firstLineChars="0"/>
              <w:jc w:val="center"/>
              <w:rPr>
                <w:rFonts w:hint="default"/>
                <w:color w:val="auto"/>
                <w:spacing w:val="-6"/>
                <w:sz w:val="21"/>
                <w:highlight w:val="none"/>
                <w:lang w:val="en-US" w:eastAsia="zh-CN"/>
              </w:rPr>
            </w:pPr>
            <w:r>
              <w:rPr>
                <w:rFonts w:hint="eastAsia"/>
                <w:color w:val="auto"/>
                <w:spacing w:val="-6"/>
                <w:sz w:val="21"/>
                <w:highlight w:val="none"/>
                <w:lang w:val="en-US" w:eastAsia="zh-CN"/>
              </w:rPr>
              <w:t>无组织排放颗粒物</w:t>
            </w:r>
          </w:p>
        </w:tc>
        <w:tc>
          <w:tcPr>
            <w:tcW w:w="606" w:type="pct"/>
            <w:shd w:val="clear" w:color="auto" w:fill="auto"/>
            <w:noWrap w:val="0"/>
            <w:vAlign w:val="center"/>
          </w:tcPr>
          <w:p w14:paraId="2A4273BE">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w:t>
            </w:r>
          </w:p>
        </w:tc>
        <w:tc>
          <w:tcPr>
            <w:tcW w:w="569" w:type="pct"/>
            <w:shd w:val="clear" w:color="auto" w:fill="auto"/>
            <w:noWrap w:val="0"/>
            <w:vAlign w:val="center"/>
          </w:tcPr>
          <w:p w14:paraId="604C32BC">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w:t>
            </w:r>
          </w:p>
        </w:tc>
        <w:tc>
          <w:tcPr>
            <w:tcW w:w="544" w:type="pct"/>
            <w:shd w:val="clear" w:color="auto" w:fill="auto"/>
            <w:noWrap w:val="0"/>
            <w:vAlign w:val="center"/>
          </w:tcPr>
          <w:p w14:paraId="54EF1038">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w:t>
            </w:r>
          </w:p>
        </w:tc>
        <w:tc>
          <w:tcPr>
            <w:tcW w:w="569" w:type="pct"/>
            <w:shd w:val="clear" w:color="auto" w:fill="auto"/>
            <w:noWrap w:val="0"/>
            <w:vAlign w:val="center"/>
          </w:tcPr>
          <w:p w14:paraId="111D590C">
            <w:pPr>
              <w:pStyle w:val="40"/>
              <w:bidi w:val="0"/>
              <w:ind w:firstLine="0" w:firstLineChars="0"/>
              <w:rPr>
                <w:rFonts w:hint="default"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14.657</w:t>
            </w:r>
          </w:p>
        </w:tc>
        <w:tc>
          <w:tcPr>
            <w:tcW w:w="556" w:type="pct"/>
            <w:shd w:val="clear" w:color="auto" w:fill="auto"/>
            <w:noWrap w:val="0"/>
            <w:vAlign w:val="center"/>
          </w:tcPr>
          <w:p w14:paraId="473167A8">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w:t>
            </w:r>
          </w:p>
        </w:tc>
        <w:tc>
          <w:tcPr>
            <w:tcW w:w="656" w:type="pct"/>
            <w:shd w:val="clear" w:color="auto" w:fill="auto"/>
            <w:noWrap w:val="0"/>
            <w:vAlign w:val="center"/>
          </w:tcPr>
          <w:p w14:paraId="7BDC1FAA">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14.657</w:t>
            </w:r>
          </w:p>
        </w:tc>
        <w:tc>
          <w:tcPr>
            <w:tcW w:w="300" w:type="pct"/>
            <w:shd w:val="clear" w:color="auto" w:fill="auto"/>
            <w:noWrap w:val="0"/>
            <w:vAlign w:val="center"/>
          </w:tcPr>
          <w:p w14:paraId="552192FA">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w:t>
            </w:r>
          </w:p>
        </w:tc>
      </w:tr>
      <w:tr w14:paraId="45F484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vMerge w:val="continue"/>
            <w:noWrap w:val="0"/>
            <w:vAlign w:val="center"/>
          </w:tcPr>
          <w:p w14:paraId="1B2DCECF">
            <w:pPr>
              <w:pStyle w:val="40"/>
              <w:bidi w:val="0"/>
              <w:rPr>
                <w:rFonts w:hint="eastAsia"/>
                <w:color w:val="auto"/>
                <w:highlight w:val="none"/>
              </w:rPr>
            </w:pPr>
          </w:p>
        </w:tc>
        <w:tc>
          <w:tcPr>
            <w:tcW w:w="383" w:type="pct"/>
            <w:vMerge w:val="restart"/>
            <w:shd w:val="clear" w:color="auto" w:fill="auto"/>
            <w:noWrap w:val="0"/>
            <w:vAlign w:val="center"/>
          </w:tcPr>
          <w:p w14:paraId="2345BC46">
            <w:pPr>
              <w:pStyle w:val="40"/>
              <w:bidi w:val="0"/>
              <w:ind w:firstLine="0" w:firstLineChars="0"/>
              <w:jc w:val="center"/>
              <w:rPr>
                <w:rFonts w:hint="eastAsia"/>
                <w:color w:val="auto"/>
                <w:highlight w:val="none"/>
                <w:lang w:val="en-US" w:eastAsia="zh-CN"/>
              </w:rPr>
            </w:pPr>
            <w:r>
              <w:rPr>
                <w:rFonts w:hint="eastAsia"/>
                <w:color w:val="auto"/>
                <w:spacing w:val="-6"/>
                <w:sz w:val="21"/>
                <w:highlight w:val="none"/>
                <w:lang w:val="en-US" w:eastAsia="zh-CN"/>
              </w:rPr>
              <w:t>锅炉烟气</w:t>
            </w:r>
          </w:p>
        </w:tc>
        <w:tc>
          <w:tcPr>
            <w:tcW w:w="383" w:type="pct"/>
            <w:shd w:val="clear" w:color="auto" w:fill="auto"/>
            <w:noWrap w:val="0"/>
            <w:vAlign w:val="center"/>
          </w:tcPr>
          <w:p w14:paraId="794A1850">
            <w:pPr>
              <w:pStyle w:val="40"/>
              <w:bidi w:val="0"/>
              <w:ind w:firstLine="0" w:firstLineChars="0"/>
              <w:jc w:val="center"/>
              <w:rPr>
                <w:rFonts w:hint="eastAsia"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sz w:val="21"/>
                <w:highlight w:val="none"/>
                <w:lang w:val="en-US" w:eastAsia="zh-CN"/>
              </w:rPr>
              <w:t>SO</w:t>
            </w:r>
            <w:r>
              <w:rPr>
                <w:rFonts w:hint="eastAsia"/>
                <w:color w:val="auto"/>
                <w:spacing w:val="-6"/>
                <w:sz w:val="21"/>
                <w:highlight w:val="none"/>
                <w:vertAlign w:val="subscript"/>
                <w:lang w:val="en-US" w:eastAsia="zh-CN"/>
              </w:rPr>
              <w:t>2</w:t>
            </w:r>
          </w:p>
        </w:tc>
        <w:tc>
          <w:tcPr>
            <w:tcW w:w="606" w:type="pct"/>
            <w:shd w:val="clear" w:color="auto" w:fill="auto"/>
            <w:noWrap w:val="0"/>
            <w:vAlign w:val="center"/>
          </w:tcPr>
          <w:p w14:paraId="33D73259">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w:t>
            </w:r>
          </w:p>
        </w:tc>
        <w:tc>
          <w:tcPr>
            <w:tcW w:w="569" w:type="pct"/>
            <w:shd w:val="clear" w:color="auto" w:fill="auto"/>
            <w:noWrap w:val="0"/>
            <w:vAlign w:val="center"/>
          </w:tcPr>
          <w:p w14:paraId="4D3C2D5D">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w:t>
            </w:r>
          </w:p>
        </w:tc>
        <w:tc>
          <w:tcPr>
            <w:tcW w:w="544" w:type="pct"/>
            <w:shd w:val="clear" w:color="auto" w:fill="auto"/>
            <w:noWrap w:val="0"/>
            <w:vAlign w:val="center"/>
          </w:tcPr>
          <w:p w14:paraId="5199678C">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w:t>
            </w:r>
          </w:p>
        </w:tc>
        <w:tc>
          <w:tcPr>
            <w:tcW w:w="1593" w:type="dxa"/>
            <w:shd w:val="clear" w:color="auto" w:fill="auto"/>
            <w:noWrap w:val="0"/>
            <w:vAlign w:val="center"/>
          </w:tcPr>
          <w:p w14:paraId="56437FA7">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spacing w:val="-6"/>
                <w:sz w:val="21"/>
                <w:highlight w:val="none"/>
                <w:lang w:val="en-US" w:eastAsia="zh-CN"/>
              </w:rPr>
              <w:t>3.77</w:t>
            </w:r>
          </w:p>
        </w:tc>
        <w:tc>
          <w:tcPr>
            <w:tcW w:w="556" w:type="pct"/>
            <w:shd w:val="clear" w:color="auto" w:fill="auto"/>
            <w:noWrap w:val="0"/>
            <w:vAlign w:val="center"/>
          </w:tcPr>
          <w:p w14:paraId="19C6B54B">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w:t>
            </w:r>
          </w:p>
        </w:tc>
        <w:tc>
          <w:tcPr>
            <w:tcW w:w="1836" w:type="dxa"/>
            <w:shd w:val="clear" w:color="auto" w:fill="auto"/>
            <w:noWrap w:val="0"/>
            <w:vAlign w:val="center"/>
          </w:tcPr>
          <w:p w14:paraId="11414839">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spacing w:val="-6"/>
                <w:sz w:val="21"/>
                <w:highlight w:val="none"/>
                <w:lang w:val="en-US" w:eastAsia="zh-CN"/>
              </w:rPr>
              <w:t>3.77</w:t>
            </w:r>
          </w:p>
        </w:tc>
        <w:tc>
          <w:tcPr>
            <w:tcW w:w="300" w:type="pct"/>
            <w:shd w:val="clear" w:color="auto" w:fill="auto"/>
            <w:noWrap w:val="0"/>
            <w:vAlign w:val="center"/>
          </w:tcPr>
          <w:p w14:paraId="40AD0014">
            <w:pPr>
              <w:pStyle w:val="40"/>
              <w:bidi w:val="0"/>
              <w:ind w:firstLine="0" w:firstLineChars="0"/>
              <w:rPr>
                <w:rFonts w:hint="eastAsia"/>
                <w:color w:val="auto"/>
                <w:highlight w:val="none"/>
                <w:lang w:val="en-US" w:eastAsia="zh-CN"/>
              </w:rPr>
            </w:pPr>
            <w:r>
              <w:rPr>
                <w:rFonts w:hint="eastAsia"/>
                <w:color w:val="auto"/>
                <w:highlight w:val="none"/>
                <w:lang w:val="en-US" w:eastAsia="zh-CN"/>
              </w:rPr>
              <w:t>/</w:t>
            </w:r>
          </w:p>
        </w:tc>
      </w:tr>
      <w:tr w14:paraId="2D265E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vMerge w:val="continue"/>
            <w:noWrap w:val="0"/>
            <w:vAlign w:val="center"/>
          </w:tcPr>
          <w:p w14:paraId="73C2B76E">
            <w:pPr>
              <w:pStyle w:val="40"/>
              <w:bidi w:val="0"/>
              <w:rPr>
                <w:rFonts w:hint="eastAsia"/>
                <w:color w:val="auto"/>
                <w:highlight w:val="none"/>
              </w:rPr>
            </w:pPr>
          </w:p>
        </w:tc>
        <w:tc>
          <w:tcPr>
            <w:tcW w:w="383" w:type="pct"/>
            <w:vMerge w:val="continue"/>
            <w:shd w:val="clear" w:color="auto" w:fill="auto"/>
            <w:noWrap w:val="0"/>
            <w:vAlign w:val="center"/>
          </w:tcPr>
          <w:p w14:paraId="0AA1B7DB">
            <w:pPr>
              <w:pStyle w:val="40"/>
              <w:bidi w:val="0"/>
              <w:ind w:firstLine="0" w:firstLineChars="0"/>
              <w:rPr>
                <w:rFonts w:hint="eastAsia"/>
                <w:color w:val="auto"/>
                <w:highlight w:val="none"/>
              </w:rPr>
            </w:pPr>
          </w:p>
        </w:tc>
        <w:tc>
          <w:tcPr>
            <w:tcW w:w="383" w:type="pct"/>
            <w:shd w:val="clear" w:color="auto" w:fill="auto"/>
            <w:noWrap w:val="0"/>
            <w:vAlign w:val="center"/>
          </w:tcPr>
          <w:p w14:paraId="415AC5FC">
            <w:pPr>
              <w:pStyle w:val="40"/>
              <w:bidi w:val="0"/>
              <w:ind w:firstLine="0" w:firstLineChars="0"/>
              <w:jc w:val="center"/>
              <w:rPr>
                <w:rFonts w:hint="eastAsia"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sz w:val="21"/>
                <w:highlight w:val="none"/>
                <w:lang w:val="en-US" w:eastAsia="zh-CN"/>
              </w:rPr>
              <w:t>颗粒物</w:t>
            </w:r>
          </w:p>
        </w:tc>
        <w:tc>
          <w:tcPr>
            <w:tcW w:w="606" w:type="pct"/>
            <w:shd w:val="clear" w:color="auto" w:fill="auto"/>
            <w:noWrap w:val="0"/>
            <w:vAlign w:val="center"/>
          </w:tcPr>
          <w:p w14:paraId="6AB031CA">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w:t>
            </w:r>
          </w:p>
        </w:tc>
        <w:tc>
          <w:tcPr>
            <w:tcW w:w="569" w:type="pct"/>
            <w:shd w:val="clear" w:color="auto" w:fill="auto"/>
            <w:noWrap w:val="0"/>
            <w:vAlign w:val="center"/>
          </w:tcPr>
          <w:p w14:paraId="7449B2D2">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w:t>
            </w:r>
          </w:p>
        </w:tc>
        <w:tc>
          <w:tcPr>
            <w:tcW w:w="544" w:type="pct"/>
            <w:shd w:val="clear" w:color="auto" w:fill="auto"/>
            <w:noWrap w:val="0"/>
            <w:vAlign w:val="center"/>
          </w:tcPr>
          <w:p w14:paraId="75C5A9CE">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w:t>
            </w:r>
          </w:p>
        </w:tc>
        <w:tc>
          <w:tcPr>
            <w:tcW w:w="1593" w:type="dxa"/>
            <w:noWrap w:val="0"/>
            <w:vAlign w:val="center"/>
          </w:tcPr>
          <w:p w14:paraId="7917F8A4">
            <w:pPr>
              <w:pStyle w:val="40"/>
              <w:bidi w:val="0"/>
              <w:ind w:firstLine="0" w:firstLineChars="0"/>
              <w:rPr>
                <w:rFonts w:hint="default"/>
                <w:color w:val="auto"/>
                <w:highlight w:val="none"/>
                <w:lang w:val="en-US" w:eastAsia="zh-CN"/>
              </w:rPr>
            </w:pPr>
            <w:r>
              <w:rPr>
                <w:rFonts w:hint="eastAsia"/>
                <w:color w:val="auto"/>
                <w:spacing w:val="-6"/>
                <w:sz w:val="21"/>
                <w:highlight w:val="none"/>
                <w:lang w:val="en-US" w:eastAsia="zh-CN"/>
              </w:rPr>
              <w:t>0.914</w:t>
            </w:r>
          </w:p>
        </w:tc>
        <w:tc>
          <w:tcPr>
            <w:tcW w:w="556" w:type="pct"/>
            <w:shd w:val="clear" w:color="auto" w:fill="auto"/>
            <w:noWrap w:val="0"/>
            <w:vAlign w:val="center"/>
          </w:tcPr>
          <w:p w14:paraId="23F1A5F0">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w:t>
            </w:r>
          </w:p>
        </w:tc>
        <w:tc>
          <w:tcPr>
            <w:tcW w:w="1836" w:type="dxa"/>
            <w:shd w:val="clear" w:color="auto" w:fill="auto"/>
            <w:noWrap w:val="0"/>
            <w:vAlign w:val="center"/>
          </w:tcPr>
          <w:p w14:paraId="0C3D5410">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spacing w:val="-6"/>
                <w:sz w:val="21"/>
                <w:highlight w:val="none"/>
                <w:lang w:val="en-US" w:eastAsia="zh-CN"/>
              </w:rPr>
              <w:t>0.914</w:t>
            </w:r>
          </w:p>
        </w:tc>
        <w:tc>
          <w:tcPr>
            <w:tcW w:w="300" w:type="pct"/>
            <w:shd w:val="clear" w:color="auto" w:fill="auto"/>
            <w:noWrap w:val="0"/>
            <w:vAlign w:val="center"/>
          </w:tcPr>
          <w:p w14:paraId="4F04FF1D">
            <w:pPr>
              <w:pStyle w:val="40"/>
              <w:bidi w:val="0"/>
              <w:ind w:firstLine="0" w:firstLineChars="0"/>
              <w:rPr>
                <w:rFonts w:hint="eastAsia"/>
                <w:color w:val="auto"/>
                <w:highlight w:val="none"/>
                <w:lang w:val="en-US" w:eastAsia="zh-CN"/>
              </w:rPr>
            </w:pPr>
            <w:r>
              <w:rPr>
                <w:rFonts w:hint="eastAsia"/>
                <w:color w:val="auto"/>
                <w:highlight w:val="none"/>
                <w:lang w:val="en-US" w:eastAsia="zh-CN"/>
              </w:rPr>
              <w:t>/</w:t>
            </w:r>
          </w:p>
        </w:tc>
      </w:tr>
      <w:tr w14:paraId="2BB507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vMerge w:val="continue"/>
            <w:noWrap w:val="0"/>
            <w:vAlign w:val="center"/>
          </w:tcPr>
          <w:p w14:paraId="4CF9003F">
            <w:pPr>
              <w:pStyle w:val="40"/>
              <w:bidi w:val="0"/>
              <w:rPr>
                <w:rFonts w:hint="eastAsia"/>
                <w:color w:val="auto"/>
                <w:highlight w:val="none"/>
              </w:rPr>
            </w:pPr>
          </w:p>
        </w:tc>
        <w:tc>
          <w:tcPr>
            <w:tcW w:w="383" w:type="pct"/>
            <w:vMerge w:val="continue"/>
            <w:shd w:val="clear" w:color="auto" w:fill="auto"/>
            <w:noWrap w:val="0"/>
            <w:vAlign w:val="center"/>
          </w:tcPr>
          <w:p w14:paraId="488C6D2A">
            <w:pPr>
              <w:pStyle w:val="40"/>
              <w:bidi w:val="0"/>
              <w:ind w:firstLine="0" w:firstLineChars="0"/>
              <w:jc w:val="center"/>
              <w:rPr>
                <w:rFonts w:hint="eastAsia" w:ascii="Times New Roman" w:hAnsi="Times New Roman" w:eastAsia="宋体" w:cs="Times New Roman"/>
                <w:b w:val="0"/>
                <w:bCs w:val="0"/>
                <w:color w:val="auto"/>
                <w:spacing w:val="-6"/>
                <w:kern w:val="2"/>
                <w:sz w:val="21"/>
                <w:szCs w:val="21"/>
                <w:highlight w:val="none"/>
                <w:lang w:val="en-US" w:eastAsia="zh-CN" w:bidi="ar-SA"/>
              </w:rPr>
            </w:pPr>
          </w:p>
        </w:tc>
        <w:tc>
          <w:tcPr>
            <w:tcW w:w="383" w:type="pct"/>
            <w:shd w:val="clear" w:color="auto" w:fill="auto"/>
            <w:noWrap w:val="0"/>
            <w:vAlign w:val="center"/>
          </w:tcPr>
          <w:p w14:paraId="07AD716C">
            <w:pPr>
              <w:pStyle w:val="40"/>
              <w:bidi w:val="0"/>
              <w:ind w:firstLine="0" w:firstLineChars="0"/>
              <w:jc w:val="center"/>
              <w:rPr>
                <w:rFonts w:hint="eastAsia" w:ascii="Times New Roman" w:hAnsi="Times New Roman" w:eastAsia="宋体" w:cs="Times New Roman"/>
                <w:b w:val="0"/>
                <w:bCs w:val="0"/>
                <w:color w:val="auto"/>
                <w:spacing w:val="-6"/>
                <w:kern w:val="2"/>
                <w:sz w:val="21"/>
                <w:szCs w:val="21"/>
                <w:highlight w:val="none"/>
                <w:lang w:val="en-US" w:eastAsia="zh-CN" w:bidi="ar-SA"/>
              </w:rPr>
            </w:pPr>
            <w:r>
              <w:rPr>
                <w:rFonts w:hint="eastAsia"/>
                <w:color w:val="auto"/>
                <w:spacing w:val="-6"/>
                <w:sz w:val="21"/>
                <w:highlight w:val="none"/>
                <w:lang w:val="en-US" w:eastAsia="zh-CN"/>
              </w:rPr>
              <w:t>NO</w:t>
            </w:r>
            <w:r>
              <w:rPr>
                <w:rFonts w:hint="eastAsia"/>
                <w:color w:val="auto"/>
                <w:spacing w:val="-6"/>
                <w:sz w:val="21"/>
                <w:highlight w:val="none"/>
                <w:vertAlign w:val="subscript"/>
                <w:lang w:val="en-US" w:eastAsia="zh-CN"/>
              </w:rPr>
              <w:t>X</w:t>
            </w:r>
          </w:p>
        </w:tc>
        <w:tc>
          <w:tcPr>
            <w:tcW w:w="606" w:type="pct"/>
            <w:shd w:val="clear" w:color="auto" w:fill="auto"/>
            <w:noWrap w:val="0"/>
            <w:vAlign w:val="center"/>
          </w:tcPr>
          <w:p w14:paraId="0F8A13D5">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w:t>
            </w:r>
          </w:p>
        </w:tc>
        <w:tc>
          <w:tcPr>
            <w:tcW w:w="569" w:type="pct"/>
            <w:shd w:val="clear" w:color="auto" w:fill="auto"/>
            <w:noWrap w:val="0"/>
            <w:vAlign w:val="center"/>
          </w:tcPr>
          <w:p w14:paraId="6CD8098C">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w:t>
            </w:r>
          </w:p>
        </w:tc>
        <w:tc>
          <w:tcPr>
            <w:tcW w:w="544" w:type="pct"/>
            <w:shd w:val="clear" w:color="auto" w:fill="auto"/>
            <w:noWrap w:val="0"/>
            <w:vAlign w:val="center"/>
          </w:tcPr>
          <w:p w14:paraId="39C851D2">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w:t>
            </w:r>
          </w:p>
        </w:tc>
        <w:tc>
          <w:tcPr>
            <w:tcW w:w="1593" w:type="dxa"/>
            <w:noWrap w:val="0"/>
            <w:vAlign w:val="center"/>
          </w:tcPr>
          <w:p w14:paraId="0D8A2751">
            <w:pPr>
              <w:pStyle w:val="40"/>
              <w:bidi w:val="0"/>
              <w:ind w:firstLine="0" w:firstLineChars="0"/>
              <w:rPr>
                <w:rFonts w:hint="default"/>
                <w:color w:val="auto"/>
                <w:highlight w:val="none"/>
                <w:lang w:val="en-US" w:eastAsia="zh-CN"/>
              </w:rPr>
            </w:pPr>
            <w:r>
              <w:rPr>
                <w:rFonts w:hint="eastAsia"/>
                <w:color w:val="auto"/>
                <w:spacing w:val="-6"/>
                <w:sz w:val="21"/>
                <w:highlight w:val="none"/>
                <w:lang w:val="en-US" w:eastAsia="zh-CN"/>
              </w:rPr>
              <w:t>12.97</w:t>
            </w:r>
          </w:p>
        </w:tc>
        <w:tc>
          <w:tcPr>
            <w:tcW w:w="556" w:type="pct"/>
            <w:shd w:val="clear" w:color="auto" w:fill="auto"/>
            <w:noWrap w:val="0"/>
            <w:vAlign w:val="center"/>
          </w:tcPr>
          <w:p w14:paraId="64C13824">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w:t>
            </w:r>
          </w:p>
        </w:tc>
        <w:tc>
          <w:tcPr>
            <w:tcW w:w="1836" w:type="dxa"/>
            <w:shd w:val="clear" w:color="auto" w:fill="auto"/>
            <w:noWrap w:val="0"/>
            <w:vAlign w:val="center"/>
          </w:tcPr>
          <w:p w14:paraId="2F102150">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spacing w:val="-6"/>
                <w:sz w:val="21"/>
                <w:highlight w:val="none"/>
                <w:lang w:val="en-US" w:eastAsia="zh-CN"/>
              </w:rPr>
              <w:t>12.97</w:t>
            </w:r>
          </w:p>
        </w:tc>
        <w:tc>
          <w:tcPr>
            <w:tcW w:w="300" w:type="pct"/>
            <w:shd w:val="clear" w:color="auto" w:fill="auto"/>
            <w:noWrap w:val="0"/>
            <w:vAlign w:val="center"/>
          </w:tcPr>
          <w:p w14:paraId="4960D3BB">
            <w:pPr>
              <w:pStyle w:val="40"/>
              <w:bidi w:val="0"/>
              <w:ind w:firstLine="0" w:firstLineChars="0"/>
              <w:rPr>
                <w:rFonts w:hint="eastAsia"/>
                <w:color w:val="auto"/>
                <w:highlight w:val="none"/>
                <w:lang w:val="en-US" w:eastAsia="zh-CN"/>
              </w:rPr>
            </w:pPr>
            <w:r>
              <w:rPr>
                <w:rFonts w:hint="eastAsia"/>
                <w:color w:val="auto"/>
                <w:highlight w:val="none"/>
                <w:lang w:val="en-US" w:eastAsia="zh-CN"/>
              </w:rPr>
              <w:t>/</w:t>
            </w:r>
          </w:p>
        </w:tc>
      </w:tr>
      <w:tr w14:paraId="7D4722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vMerge w:val="restart"/>
            <w:noWrap w:val="0"/>
            <w:vAlign w:val="center"/>
          </w:tcPr>
          <w:p w14:paraId="38428E5E">
            <w:pPr>
              <w:pStyle w:val="40"/>
              <w:bidi w:val="0"/>
              <w:rPr>
                <w:rFonts w:hint="eastAsia"/>
                <w:color w:val="auto"/>
                <w:highlight w:val="none"/>
              </w:rPr>
            </w:pPr>
            <w:r>
              <w:rPr>
                <w:rFonts w:hint="eastAsia"/>
                <w:color w:val="auto"/>
                <w:highlight w:val="none"/>
              </w:rPr>
              <w:t>废水</w:t>
            </w:r>
          </w:p>
        </w:tc>
        <w:tc>
          <w:tcPr>
            <w:tcW w:w="766" w:type="pct"/>
            <w:gridSpan w:val="2"/>
            <w:shd w:val="clear" w:color="auto" w:fill="auto"/>
            <w:noWrap w:val="0"/>
            <w:vAlign w:val="center"/>
          </w:tcPr>
          <w:p w14:paraId="2489B7C8">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w:t>
            </w:r>
          </w:p>
        </w:tc>
        <w:tc>
          <w:tcPr>
            <w:tcW w:w="606" w:type="pct"/>
            <w:shd w:val="clear" w:color="auto" w:fill="auto"/>
            <w:noWrap w:val="0"/>
            <w:vAlign w:val="center"/>
          </w:tcPr>
          <w:p w14:paraId="21D89489">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w:t>
            </w:r>
          </w:p>
        </w:tc>
        <w:tc>
          <w:tcPr>
            <w:tcW w:w="569" w:type="pct"/>
            <w:shd w:val="clear" w:color="auto" w:fill="auto"/>
            <w:noWrap w:val="0"/>
            <w:vAlign w:val="center"/>
          </w:tcPr>
          <w:p w14:paraId="51514513">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w:t>
            </w:r>
          </w:p>
        </w:tc>
        <w:tc>
          <w:tcPr>
            <w:tcW w:w="544" w:type="pct"/>
            <w:shd w:val="clear" w:color="auto" w:fill="auto"/>
            <w:noWrap w:val="0"/>
            <w:vAlign w:val="center"/>
          </w:tcPr>
          <w:p w14:paraId="462FAFDE">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w:t>
            </w:r>
          </w:p>
        </w:tc>
        <w:tc>
          <w:tcPr>
            <w:tcW w:w="569" w:type="pct"/>
            <w:shd w:val="clear" w:color="auto" w:fill="auto"/>
            <w:noWrap w:val="0"/>
            <w:vAlign w:val="center"/>
          </w:tcPr>
          <w:p w14:paraId="1748828A">
            <w:pPr>
              <w:pStyle w:val="40"/>
              <w:bidi w:val="0"/>
              <w:ind w:firstLine="0" w:firstLineChars="0"/>
              <w:rPr>
                <w:rFonts w:hint="default" w:ascii="Times New Roman" w:hAnsi="Times New Roman" w:eastAsia="宋体" w:cs="Times New Roman"/>
                <w:b w:val="0"/>
                <w:bCs w:val="0"/>
                <w:color w:val="auto"/>
                <w:spacing w:val="-11"/>
                <w:kern w:val="2"/>
                <w:sz w:val="21"/>
                <w:szCs w:val="21"/>
                <w:highlight w:val="none"/>
                <w:lang w:val="en-US" w:eastAsia="zh-CN" w:bidi="ar-SA"/>
              </w:rPr>
            </w:pPr>
            <w:r>
              <w:rPr>
                <w:rFonts w:hint="eastAsia" w:cs="Times New Roman"/>
                <w:b w:val="0"/>
                <w:bCs w:val="0"/>
                <w:color w:val="auto"/>
                <w:spacing w:val="-11"/>
                <w:kern w:val="2"/>
                <w:sz w:val="21"/>
                <w:szCs w:val="21"/>
                <w:highlight w:val="none"/>
                <w:lang w:val="en-US" w:eastAsia="zh-CN" w:bidi="ar-SA"/>
              </w:rPr>
              <w:t>/</w:t>
            </w:r>
          </w:p>
        </w:tc>
        <w:tc>
          <w:tcPr>
            <w:tcW w:w="556" w:type="pct"/>
            <w:shd w:val="clear" w:color="auto" w:fill="auto"/>
            <w:noWrap w:val="0"/>
            <w:vAlign w:val="center"/>
          </w:tcPr>
          <w:p w14:paraId="03B20218">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w:t>
            </w:r>
          </w:p>
        </w:tc>
        <w:tc>
          <w:tcPr>
            <w:tcW w:w="656" w:type="pct"/>
            <w:shd w:val="clear" w:color="auto" w:fill="auto"/>
            <w:noWrap w:val="0"/>
            <w:vAlign w:val="center"/>
          </w:tcPr>
          <w:p w14:paraId="7923B0A4">
            <w:pPr>
              <w:pStyle w:val="40"/>
              <w:bidi w:val="0"/>
              <w:ind w:firstLine="0" w:firstLineChars="0"/>
              <w:rPr>
                <w:rFonts w:hint="default" w:ascii="Times New Roman" w:hAnsi="Times New Roman" w:eastAsia="宋体" w:cs="Times New Roman"/>
                <w:b w:val="0"/>
                <w:bCs w:val="0"/>
                <w:color w:val="auto"/>
                <w:spacing w:val="-11"/>
                <w:kern w:val="2"/>
                <w:sz w:val="21"/>
                <w:szCs w:val="21"/>
                <w:highlight w:val="none"/>
                <w:lang w:val="en-US" w:eastAsia="zh-CN" w:bidi="ar-SA"/>
              </w:rPr>
            </w:pPr>
            <w:r>
              <w:rPr>
                <w:rFonts w:hint="eastAsia" w:cs="Times New Roman"/>
                <w:b w:val="0"/>
                <w:bCs w:val="0"/>
                <w:color w:val="auto"/>
                <w:spacing w:val="-11"/>
                <w:kern w:val="2"/>
                <w:sz w:val="21"/>
                <w:szCs w:val="21"/>
                <w:highlight w:val="none"/>
                <w:lang w:val="en-US" w:eastAsia="zh-CN" w:bidi="ar-SA"/>
              </w:rPr>
              <w:t>/</w:t>
            </w:r>
          </w:p>
        </w:tc>
        <w:tc>
          <w:tcPr>
            <w:tcW w:w="300" w:type="pct"/>
            <w:shd w:val="clear" w:color="auto" w:fill="auto"/>
            <w:noWrap w:val="0"/>
            <w:vAlign w:val="center"/>
          </w:tcPr>
          <w:p w14:paraId="09322A29">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w:t>
            </w:r>
          </w:p>
        </w:tc>
      </w:tr>
      <w:tr w14:paraId="59C5C1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vMerge w:val="continue"/>
            <w:noWrap w:val="0"/>
            <w:vAlign w:val="center"/>
          </w:tcPr>
          <w:p w14:paraId="2BBB064F">
            <w:pPr>
              <w:pStyle w:val="40"/>
              <w:bidi w:val="0"/>
              <w:rPr>
                <w:rFonts w:hint="eastAsia"/>
                <w:color w:val="auto"/>
                <w:highlight w:val="none"/>
              </w:rPr>
            </w:pPr>
          </w:p>
        </w:tc>
        <w:tc>
          <w:tcPr>
            <w:tcW w:w="766" w:type="pct"/>
            <w:gridSpan w:val="2"/>
            <w:shd w:val="clear" w:color="auto" w:fill="auto"/>
            <w:noWrap w:val="0"/>
            <w:vAlign w:val="center"/>
          </w:tcPr>
          <w:p w14:paraId="4155CFF9">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w:t>
            </w:r>
          </w:p>
        </w:tc>
        <w:tc>
          <w:tcPr>
            <w:tcW w:w="606" w:type="pct"/>
            <w:shd w:val="clear" w:color="auto" w:fill="auto"/>
            <w:noWrap w:val="0"/>
            <w:vAlign w:val="center"/>
          </w:tcPr>
          <w:p w14:paraId="188BBE37">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w:t>
            </w:r>
          </w:p>
        </w:tc>
        <w:tc>
          <w:tcPr>
            <w:tcW w:w="569" w:type="pct"/>
            <w:shd w:val="clear" w:color="auto" w:fill="auto"/>
            <w:noWrap w:val="0"/>
            <w:vAlign w:val="center"/>
          </w:tcPr>
          <w:p w14:paraId="67C8BC50">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w:t>
            </w:r>
          </w:p>
        </w:tc>
        <w:tc>
          <w:tcPr>
            <w:tcW w:w="544" w:type="pct"/>
            <w:shd w:val="clear" w:color="auto" w:fill="auto"/>
            <w:noWrap w:val="0"/>
            <w:vAlign w:val="center"/>
          </w:tcPr>
          <w:p w14:paraId="4D3EA967">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w:t>
            </w:r>
          </w:p>
        </w:tc>
        <w:tc>
          <w:tcPr>
            <w:tcW w:w="569" w:type="pct"/>
            <w:shd w:val="clear" w:color="auto" w:fill="auto"/>
            <w:noWrap w:val="0"/>
            <w:vAlign w:val="center"/>
          </w:tcPr>
          <w:p w14:paraId="7E9DCCF4">
            <w:pPr>
              <w:pStyle w:val="40"/>
              <w:bidi w:val="0"/>
              <w:ind w:firstLine="0" w:firstLineChars="0"/>
              <w:rPr>
                <w:rFonts w:hint="default" w:ascii="Times New Roman" w:hAnsi="Times New Roman" w:eastAsia="宋体" w:cs="Times New Roman"/>
                <w:b w:val="0"/>
                <w:bCs w:val="0"/>
                <w:color w:val="auto"/>
                <w:spacing w:val="-11"/>
                <w:kern w:val="2"/>
                <w:sz w:val="21"/>
                <w:szCs w:val="21"/>
                <w:highlight w:val="none"/>
                <w:lang w:val="en-US" w:eastAsia="zh-CN" w:bidi="ar-SA"/>
              </w:rPr>
            </w:pPr>
            <w:r>
              <w:rPr>
                <w:rFonts w:hint="eastAsia" w:cs="Times New Roman"/>
                <w:b w:val="0"/>
                <w:bCs w:val="0"/>
                <w:color w:val="auto"/>
                <w:spacing w:val="-11"/>
                <w:kern w:val="2"/>
                <w:sz w:val="21"/>
                <w:szCs w:val="21"/>
                <w:highlight w:val="none"/>
                <w:lang w:val="en-US" w:eastAsia="zh-CN" w:bidi="ar-SA"/>
              </w:rPr>
              <w:t>/</w:t>
            </w:r>
          </w:p>
        </w:tc>
        <w:tc>
          <w:tcPr>
            <w:tcW w:w="556" w:type="pct"/>
            <w:shd w:val="clear" w:color="auto" w:fill="auto"/>
            <w:noWrap w:val="0"/>
            <w:vAlign w:val="center"/>
          </w:tcPr>
          <w:p w14:paraId="20335C96">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w:t>
            </w:r>
          </w:p>
        </w:tc>
        <w:tc>
          <w:tcPr>
            <w:tcW w:w="656" w:type="pct"/>
            <w:shd w:val="clear" w:color="auto" w:fill="auto"/>
            <w:noWrap w:val="0"/>
            <w:vAlign w:val="center"/>
          </w:tcPr>
          <w:p w14:paraId="4CF4152D">
            <w:pPr>
              <w:pStyle w:val="40"/>
              <w:bidi w:val="0"/>
              <w:ind w:firstLine="0" w:firstLineChars="0"/>
              <w:rPr>
                <w:rFonts w:hint="default" w:ascii="Times New Roman" w:hAnsi="Times New Roman" w:eastAsia="宋体" w:cs="Times New Roman"/>
                <w:b w:val="0"/>
                <w:bCs w:val="0"/>
                <w:color w:val="auto"/>
                <w:spacing w:val="-11"/>
                <w:kern w:val="2"/>
                <w:sz w:val="21"/>
                <w:szCs w:val="21"/>
                <w:highlight w:val="none"/>
                <w:lang w:val="en-US" w:eastAsia="zh-CN" w:bidi="ar-SA"/>
              </w:rPr>
            </w:pPr>
            <w:r>
              <w:rPr>
                <w:rFonts w:hint="eastAsia" w:cs="Times New Roman"/>
                <w:b w:val="0"/>
                <w:bCs w:val="0"/>
                <w:color w:val="auto"/>
                <w:spacing w:val="-11"/>
                <w:kern w:val="2"/>
                <w:sz w:val="21"/>
                <w:szCs w:val="21"/>
                <w:highlight w:val="none"/>
                <w:lang w:val="en-US" w:eastAsia="zh-CN" w:bidi="ar-SA"/>
              </w:rPr>
              <w:t>/</w:t>
            </w:r>
          </w:p>
        </w:tc>
        <w:tc>
          <w:tcPr>
            <w:tcW w:w="300" w:type="pct"/>
            <w:shd w:val="clear" w:color="auto" w:fill="auto"/>
            <w:noWrap w:val="0"/>
            <w:vAlign w:val="center"/>
          </w:tcPr>
          <w:p w14:paraId="1CB2BAD6">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w:t>
            </w:r>
          </w:p>
        </w:tc>
      </w:tr>
      <w:tr w14:paraId="2BA9DE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vMerge w:val="restart"/>
            <w:noWrap w:val="0"/>
            <w:vAlign w:val="center"/>
          </w:tcPr>
          <w:p w14:paraId="04D58C67">
            <w:pPr>
              <w:pStyle w:val="40"/>
              <w:bidi w:val="0"/>
              <w:rPr>
                <w:color w:val="auto"/>
                <w:highlight w:val="none"/>
              </w:rPr>
            </w:pPr>
            <w:r>
              <w:rPr>
                <w:rFonts w:hint="eastAsia"/>
                <w:color w:val="auto"/>
                <w:highlight w:val="none"/>
              </w:rPr>
              <w:t>一般工业</w:t>
            </w:r>
          </w:p>
          <w:p w14:paraId="2EC1EDCD">
            <w:pPr>
              <w:pStyle w:val="40"/>
              <w:bidi w:val="0"/>
              <w:rPr>
                <w:rFonts w:hint="eastAsia"/>
                <w:color w:val="auto"/>
                <w:highlight w:val="none"/>
              </w:rPr>
            </w:pPr>
            <w:r>
              <w:rPr>
                <w:rFonts w:hint="eastAsia"/>
                <w:color w:val="auto"/>
                <w:highlight w:val="none"/>
              </w:rPr>
              <w:t>固体废物</w:t>
            </w:r>
          </w:p>
        </w:tc>
        <w:tc>
          <w:tcPr>
            <w:tcW w:w="766" w:type="pct"/>
            <w:gridSpan w:val="2"/>
            <w:shd w:val="clear" w:color="auto" w:fill="auto"/>
            <w:noWrap w:val="0"/>
            <w:vAlign w:val="center"/>
          </w:tcPr>
          <w:p w14:paraId="34996935">
            <w:pPr>
              <w:pStyle w:val="40"/>
              <w:bidi w:val="0"/>
              <w:rPr>
                <w:rFonts w:hint="eastAsia"/>
                <w:color w:val="auto"/>
                <w:highlight w:val="none"/>
                <w:lang w:val="en-US" w:eastAsia="zh-CN"/>
              </w:rPr>
            </w:pPr>
            <w:r>
              <w:rPr>
                <w:color w:val="auto"/>
                <w:highlight w:val="none"/>
                <w:lang w:val="en-US" w:eastAsia="zh-CN"/>
              </w:rPr>
              <w:t>生活垃圾</w:t>
            </w:r>
          </w:p>
        </w:tc>
        <w:tc>
          <w:tcPr>
            <w:tcW w:w="606" w:type="pct"/>
            <w:shd w:val="clear" w:color="auto" w:fill="auto"/>
            <w:noWrap w:val="0"/>
            <w:vAlign w:val="center"/>
          </w:tcPr>
          <w:p w14:paraId="68B80D6B">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w:t>
            </w:r>
          </w:p>
        </w:tc>
        <w:tc>
          <w:tcPr>
            <w:tcW w:w="569" w:type="pct"/>
            <w:noWrap w:val="0"/>
            <w:vAlign w:val="center"/>
          </w:tcPr>
          <w:p w14:paraId="1BADD6AD">
            <w:pPr>
              <w:pStyle w:val="40"/>
              <w:bidi w:val="0"/>
              <w:rPr>
                <w:rFonts w:hint="eastAsia" w:eastAsia="宋体"/>
                <w:color w:val="auto"/>
                <w:highlight w:val="none"/>
                <w:lang w:val="en-US" w:eastAsia="zh-CN"/>
              </w:rPr>
            </w:pPr>
            <w:r>
              <w:rPr>
                <w:rFonts w:hint="eastAsia"/>
                <w:color w:val="auto"/>
                <w:highlight w:val="none"/>
                <w:lang w:val="en-US" w:eastAsia="zh-CN"/>
              </w:rPr>
              <w:t>/</w:t>
            </w:r>
          </w:p>
        </w:tc>
        <w:tc>
          <w:tcPr>
            <w:tcW w:w="544" w:type="pct"/>
            <w:noWrap w:val="0"/>
            <w:vAlign w:val="center"/>
          </w:tcPr>
          <w:p w14:paraId="46930B49">
            <w:pPr>
              <w:pStyle w:val="40"/>
              <w:bidi w:val="0"/>
              <w:rPr>
                <w:rFonts w:hint="eastAsia" w:eastAsia="宋体"/>
                <w:color w:val="auto"/>
                <w:highlight w:val="none"/>
                <w:lang w:val="en-US" w:eastAsia="zh-CN"/>
              </w:rPr>
            </w:pPr>
            <w:r>
              <w:rPr>
                <w:rFonts w:hint="eastAsia"/>
                <w:color w:val="auto"/>
                <w:highlight w:val="none"/>
                <w:lang w:val="en-US" w:eastAsia="zh-CN"/>
              </w:rPr>
              <w:t>/</w:t>
            </w:r>
          </w:p>
        </w:tc>
        <w:tc>
          <w:tcPr>
            <w:tcW w:w="569" w:type="pct"/>
            <w:shd w:val="clear" w:color="auto" w:fill="auto"/>
            <w:noWrap w:val="0"/>
            <w:vAlign w:val="center"/>
          </w:tcPr>
          <w:p w14:paraId="63D31471">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5.6</w:t>
            </w:r>
          </w:p>
        </w:tc>
        <w:tc>
          <w:tcPr>
            <w:tcW w:w="556" w:type="pct"/>
            <w:shd w:val="clear" w:color="auto" w:fill="auto"/>
            <w:noWrap w:val="0"/>
            <w:vAlign w:val="center"/>
          </w:tcPr>
          <w:p w14:paraId="64CBBDF2">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w:t>
            </w:r>
          </w:p>
        </w:tc>
        <w:tc>
          <w:tcPr>
            <w:tcW w:w="656" w:type="pct"/>
            <w:shd w:val="clear" w:color="auto" w:fill="auto"/>
            <w:noWrap w:val="0"/>
            <w:vAlign w:val="center"/>
          </w:tcPr>
          <w:p w14:paraId="51ED8173">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5.6</w:t>
            </w:r>
          </w:p>
        </w:tc>
        <w:tc>
          <w:tcPr>
            <w:tcW w:w="300" w:type="pct"/>
            <w:shd w:val="clear" w:color="auto" w:fill="auto"/>
            <w:noWrap w:val="0"/>
            <w:vAlign w:val="center"/>
          </w:tcPr>
          <w:p w14:paraId="0C618A0B">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w:t>
            </w:r>
          </w:p>
        </w:tc>
      </w:tr>
      <w:tr w14:paraId="31DB4A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vMerge w:val="continue"/>
            <w:noWrap w:val="0"/>
            <w:vAlign w:val="center"/>
          </w:tcPr>
          <w:p w14:paraId="32119BA7">
            <w:pPr>
              <w:pStyle w:val="40"/>
              <w:bidi w:val="0"/>
              <w:rPr>
                <w:rFonts w:hint="eastAsia"/>
                <w:color w:val="auto"/>
                <w:highlight w:val="none"/>
              </w:rPr>
            </w:pPr>
          </w:p>
        </w:tc>
        <w:tc>
          <w:tcPr>
            <w:tcW w:w="766" w:type="pct"/>
            <w:gridSpan w:val="2"/>
            <w:shd w:val="clear" w:color="auto" w:fill="auto"/>
            <w:noWrap w:val="0"/>
            <w:vAlign w:val="center"/>
          </w:tcPr>
          <w:p w14:paraId="7C4B1256">
            <w:pPr>
              <w:pStyle w:val="40"/>
              <w:bidi w:val="0"/>
              <w:rPr>
                <w:rFonts w:hint="default"/>
                <w:color w:val="auto"/>
                <w:highlight w:val="none"/>
                <w:lang w:val="en-US" w:eastAsia="zh-CN"/>
              </w:rPr>
            </w:pPr>
            <w:r>
              <w:rPr>
                <w:rFonts w:hint="eastAsia"/>
                <w:color w:val="auto"/>
                <w:highlight w:val="none"/>
                <w:lang w:val="en-US" w:eastAsia="zh-CN"/>
              </w:rPr>
              <w:t>灰渣</w:t>
            </w:r>
          </w:p>
        </w:tc>
        <w:tc>
          <w:tcPr>
            <w:tcW w:w="606" w:type="pct"/>
            <w:shd w:val="clear" w:color="auto" w:fill="auto"/>
            <w:noWrap w:val="0"/>
            <w:vAlign w:val="center"/>
          </w:tcPr>
          <w:p w14:paraId="33E9CE20">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w:t>
            </w:r>
          </w:p>
        </w:tc>
        <w:tc>
          <w:tcPr>
            <w:tcW w:w="569" w:type="pct"/>
            <w:shd w:val="clear" w:color="auto" w:fill="auto"/>
            <w:noWrap w:val="0"/>
            <w:vAlign w:val="center"/>
          </w:tcPr>
          <w:p w14:paraId="62A41260">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w:t>
            </w:r>
          </w:p>
        </w:tc>
        <w:tc>
          <w:tcPr>
            <w:tcW w:w="544" w:type="pct"/>
            <w:shd w:val="clear" w:color="auto" w:fill="auto"/>
            <w:noWrap w:val="0"/>
            <w:vAlign w:val="center"/>
          </w:tcPr>
          <w:p w14:paraId="65D933B3">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w:t>
            </w:r>
          </w:p>
        </w:tc>
        <w:tc>
          <w:tcPr>
            <w:tcW w:w="569" w:type="pct"/>
            <w:shd w:val="clear" w:color="auto" w:fill="auto"/>
            <w:noWrap w:val="0"/>
            <w:vAlign w:val="center"/>
          </w:tcPr>
          <w:p w14:paraId="4F326422">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1902.5</w:t>
            </w:r>
          </w:p>
        </w:tc>
        <w:tc>
          <w:tcPr>
            <w:tcW w:w="556" w:type="pct"/>
            <w:shd w:val="clear" w:color="auto" w:fill="auto"/>
            <w:noWrap w:val="0"/>
            <w:vAlign w:val="center"/>
          </w:tcPr>
          <w:p w14:paraId="434CE442">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w:t>
            </w:r>
          </w:p>
        </w:tc>
        <w:tc>
          <w:tcPr>
            <w:tcW w:w="1836" w:type="dxa"/>
            <w:shd w:val="clear" w:color="auto" w:fill="auto"/>
            <w:noWrap w:val="0"/>
            <w:vAlign w:val="center"/>
          </w:tcPr>
          <w:p w14:paraId="7817CED8">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1902.5</w:t>
            </w:r>
          </w:p>
        </w:tc>
        <w:tc>
          <w:tcPr>
            <w:tcW w:w="300" w:type="pct"/>
            <w:shd w:val="clear" w:color="auto" w:fill="auto"/>
            <w:noWrap w:val="0"/>
            <w:vAlign w:val="center"/>
          </w:tcPr>
          <w:p w14:paraId="1EEACBB2">
            <w:pPr>
              <w:pStyle w:val="40"/>
              <w:bidi w:val="0"/>
              <w:ind w:firstLine="0" w:firstLineChars="0"/>
              <w:rPr>
                <w:rFonts w:hint="eastAsia"/>
                <w:color w:val="auto"/>
                <w:highlight w:val="none"/>
                <w:lang w:val="en-US" w:eastAsia="zh-CN"/>
              </w:rPr>
            </w:pPr>
            <w:r>
              <w:rPr>
                <w:rFonts w:hint="eastAsia"/>
                <w:color w:val="auto"/>
                <w:highlight w:val="none"/>
                <w:lang w:val="en-US" w:eastAsia="zh-CN"/>
              </w:rPr>
              <w:t>/</w:t>
            </w:r>
          </w:p>
        </w:tc>
      </w:tr>
      <w:tr w14:paraId="665B54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vMerge w:val="continue"/>
            <w:noWrap w:val="0"/>
            <w:vAlign w:val="center"/>
          </w:tcPr>
          <w:p w14:paraId="1EE02F98">
            <w:pPr>
              <w:pStyle w:val="40"/>
              <w:bidi w:val="0"/>
              <w:rPr>
                <w:color w:val="auto"/>
                <w:highlight w:val="none"/>
              </w:rPr>
            </w:pPr>
          </w:p>
        </w:tc>
        <w:tc>
          <w:tcPr>
            <w:tcW w:w="766" w:type="pct"/>
            <w:gridSpan w:val="2"/>
            <w:shd w:val="clear" w:color="auto" w:fill="auto"/>
            <w:noWrap w:val="0"/>
            <w:vAlign w:val="center"/>
          </w:tcPr>
          <w:p w14:paraId="626968BC">
            <w:pPr>
              <w:pStyle w:val="40"/>
              <w:bidi w:val="0"/>
              <w:rPr>
                <w:rFonts w:hint="default"/>
                <w:color w:val="auto"/>
                <w:highlight w:val="none"/>
                <w:lang w:val="en-US" w:eastAsia="zh-CN"/>
              </w:rPr>
            </w:pPr>
            <w:r>
              <w:rPr>
                <w:rFonts w:hint="eastAsia"/>
                <w:color w:val="auto"/>
                <w:highlight w:val="none"/>
                <w:lang w:val="en-US" w:eastAsia="zh-CN"/>
              </w:rPr>
              <w:t>烟气除尘灰</w:t>
            </w:r>
          </w:p>
        </w:tc>
        <w:tc>
          <w:tcPr>
            <w:tcW w:w="606" w:type="pct"/>
            <w:shd w:val="clear" w:color="auto" w:fill="auto"/>
            <w:noWrap w:val="0"/>
            <w:vAlign w:val="center"/>
          </w:tcPr>
          <w:p w14:paraId="6C46DE32">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w:t>
            </w:r>
          </w:p>
        </w:tc>
        <w:tc>
          <w:tcPr>
            <w:tcW w:w="569" w:type="pct"/>
            <w:shd w:val="clear" w:color="auto" w:fill="auto"/>
            <w:noWrap w:val="0"/>
            <w:vAlign w:val="center"/>
          </w:tcPr>
          <w:p w14:paraId="53DC69E2">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w:t>
            </w:r>
          </w:p>
        </w:tc>
        <w:tc>
          <w:tcPr>
            <w:tcW w:w="544" w:type="pct"/>
            <w:shd w:val="clear" w:color="auto" w:fill="auto"/>
            <w:noWrap w:val="0"/>
            <w:vAlign w:val="center"/>
          </w:tcPr>
          <w:p w14:paraId="227A0E22">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w:t>
            </w:r>
          </w:p>
        </w:tc>
        <w:tc>
          <w:tcPr>
            <w:tcW w:w="569" w:type="pct"/>
            <w:shd w:val="clear" w:color="auto" w:fill="auto"/>
            <w:noWrap w:val="0"/>
            <w:vAlign w:val="center"/>
          </w:tcPr>
          <w:p w14:paraId="11F0BAA5">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8.22</w:t>
            </w:r>
          </w:p>
        </w:tc>
        <w:tc>
          <w:tcPr>
            <w:tcW w:w="556" w:type="pct"/>
            <w:shd w:val="clear" w:color="auto" w:fill="auto"/>
            <w:noWrap w:val="0"/>
            <w:vAlign w:val="center"/>
          </w:tcPr>
          <w:p w14:paraId="243928A0">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w:t>
            </w:r>
          </w:p>
        </w:tc>
        <w:tc>
          <w:tcPr>
            <w:tcW w:w="1836" w:type="dxa"/>
            <w:shd w:val="clear" w:color="auto" w:fill="auto"/>
            <w:noWrap w:val="0"/>
            <w:vAlign w:val="center"/>
          </w:tcPr>
          <w:p w14:paraId="1096D429">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8.22</w:t>
            </w:r>
          </w:p>
        </w:tc>
        <w:tc>
          <w:tcPr>
            <w:tcW w:w="300" w:type="pct"/>
            <w:shd w:val="clear" w:color="auto" w:fill="auto"/>
            <w:noWrap w:val="0"/>
            <w:vAlign w:val="center"/>
          </w:tcPr>
          <w:p w14:paraId="54CEBDF2">
            <w:pPr>
              <w:pStyle w:val="40"/>
              <w:bidi w:val="0"/>
              <w:ind w:firstLine="0" w:firstLineChars="0"/>
              <w:rPr>
                <w:rFonts w:hint="eastAsia"/>
                <w:color w:val="auto"/>
                <w:highlight w:val="none"/>
                <w:lang w:val="en-US" w:eastAsia="zh-CN"/>
              </w:rPr>
            </w:pPr>
            <w:r>
              <w:rPr>
                <w:rFonts w:hint="eastAsia"/>
                <w:color w:val="auto"/>
                <w:highlight w:val="none"/>
                <w:lang w:val="en-US" w:eastAsia="zh-CN"/>
              </w:rPr>
              <w:t>/</w:t>
            </w:r>
          </w:p>
        </w:tc>
      </w:tr>
      <w:tr w14:paraId="67A77B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vMerge w:val="continue"/>
            <w:noWrap w:val="0"/>
            <w:vAlign w:val="center"/>
          </w:tcPr>
          <w:p w14:paraId="6729B614">
            <w:pPr>
              <w:pStyle w:val="40"/>
              <w:bidi w:val="0"/>
              <w:rPr>
                <w:color w:val="auto"/>
                <w:highlight w:val="none"/>
              </w:rPr>
            </w:pPr>
          </w:p>
        </w:tc>
        <w:tc>
          <w:tcPr>
            <w:tcW w:w="766" w:type="pct"/>
            <w:gridSpan w:val="2"/>
            <w:shd w:val="clear" w:color="auto" w:fill="auto"/>
            <w:noWrap w:val="0"/>
            <w:vAlign w:val="center"/>
          </w:tcPr>
          <w:p w14:paraId="2D44F3CD">
            <w:pPr>
              <w:pStyle w:val="40"/>
              <w:bidi w:val="0"/>
              <w:rPr>
                <w:rFonts w:hint="eastAsia"/>
                <w:color w:val="auto"/>
                <w:highlight w:val="none"/>
                <w:lang w:val="en-US" w:eastAsia="zh-CN"/>
              </w:rPr>
            </w:pPr>
            <w:r>
              <w:rPr>
                <w:rFonts w:hint="eastAsia"/>
                <w:color w:val="auto"/>
                <w:highlight w:val="none"/>
                <w:lang w:val="en-US" w:eastAsia="zh-CN"/>
              </w:rPr>
              <w:t>废离子交换树脂</w:t>
            </w:r>
          </w:p>
        </w:tc>
        <w:tc>
          <w:tcPr>
            <w:tcW w:w="606" w:type="pct"/>
            <w:shd w:val="clear" w:color="auto" w:fill="auto"/>
            <w:noWrap w:val="0"/>
            <w:vAlign w:val="center"/>
          </w:tcPr>
          <w:p w14:paraId="27BB634C">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w:t>
            </w:r>
          </w:p>
        </w:tc>
        <w:tc>
          <w:tcPr>
            <w:tcW w:w="569" w:type="pct"/>
            <w:noWrap w:val="0"/>
            <w:vAlign w:val="center"/>
          </w:tcPr>
          <w:p w14:paraId="70005840">
            <w:pPr>
              <w:pStyle w:val="40"/>
              <w:bidi w:val="0"/>
              <w:rPr>
                <w:rFonts w:hint="eastAsia" w:eastAsia="宋体"/>
                <w:color w:val="auto"/>
                <w:highlight w:val="none"/>
                <w:lang w:val="en-US" w:eastAsia="zh-CN"/>
              </w:rPr>
            </w:pPr>
            <w:r>
              <w:rPr>
                <w:rFonts w:hint="eastAsia"/>
                <w:color w:val="auto"/>
                <w:highlight w:val="none"/>
                <w:lang w:val="en-US" w:eastAsia="zh-CN"/>
              </w:rPr>
              <w:t>/</w:t>
            </w:r>
          </w:p>
        </w:tc>
        <w:tc>
          <w:tcPr>
            <w:tcW w:w="544" w:type="pct"/>
            <w:noWrap w:val="0"/>
            <w:vAlign w:val="center"/>
          </w:tcPr>
          <w:p w14:paraId="10ED6872">
            <w:pPr>
              <w:pStyle w:val="40"/>
              <w:bidi w:val="0"/>
              <w:rPr>
                <w:rFonts w:hint="eastAsia" w:eastAsia="宋体"/>
                <w:color w:val="auto"/>
                <w:highlight w:val="none"/>
                <w:lang w:val="en-US" w:eastAsia="zh-CN"/>
              </w:rPr>
            </w:pPr>
            <w:r>
              <w:rPr>
                <w:rFonts w:hint="eastAsia"/>
                <w:color w:val="auto"/>
                <w:highlight w:val="none"/>
                <w:lang w:val="en-US" w:eastAsia="zh-CN"/>
              </w:rPr>
              <w:t>/</w:t>
            </w:r>
          </w:p>
        </w:tc>
        <w:tc>
          <w:tcPr>
            <w:tcW w:w="569" w:type="pct"/>
            <w:shd w:val="clear" w:color="auto" w:fill="auto"/>
            <w:noWrap w:val="0"/>
            <w:vAlign w:val="center"/>
          </w:tcPr>
          <w:p w14:paraId="4A01BF71">
            <w:pPr>
              <w:pStyle w:val="40"/>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0.58</w:t>
            </w:r>
          </w:p>
        </w:tc>
        <w:tc>
          <w:tcPr>
            <w:tcW w:w="556" w:type="pct"/>
            <w:shd w:val="clear" w:color="auto" w:fill="auto"/>
            <w:noWrap w:val="0"/>
            <w:vAlign w:val="center"/>
          </w:tcPr>
          <w:p w14:paraId="6316E9BB">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w:t>
            </w:r>
          </w:p>
        </w:tc>
        <w:tc>
          <w:tcPr>
            <w:tcW w:w="1836" w:type="dxa"/>
            <w:shd w:val="clear" w:color="auto" w:fill="auto"/>
            <w:noWrap w:val="0"/>
            <w:vAlign w:val="center"/>
          </w:tcPr>
          <w:p w14:paraId="75DEEC8D">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0.58</w:t>
            </w:r>
          </w:p>
        </w:tc>
        <w:tc>
          <w:tcPr>
            <w:tcW w:w="300" w:type="pct"/>
            <w:shd w:val="clear" w:color="auto" w:fill="auto"/>
            <w:noWrap w:val="0"/>
            <w:vAlign w:val="center"/>
          </w:tcPr>
          <w:p w14:paraId="0872544E">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w:t>
            </w:r>
          </w:p>
        </w:tc>
      </w:tr>
      <w:tr w14:paraId="40E35A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noWrap w:val="0"/>
            <w:vAlign w:val="center"/>
          </w:tcPr>
          <w:p w14:paraId="763C5143">
            <w:pPr>
              <w:pStyle w:val="40"/>
              <w:bidi w:val="0"/>
              <w:rPr>
                <w:rFonts w:hint="eastAsia"/>
                <w:color w:val="auto"/>
                <w:highlight w:val="none"/>
              </w:rPr>
            </w:pPr>
            <w:r>
              <w:rPr>
                <w:rFonts w:hint="eastAsia"/>
                <w:color w:val="auto"/>
                <w:highlight w:val="none"/>
              </w:rPr>
              <w:t>危险废物</w:t>
            </w:r>
          </w:p>
        </w:tc>
        <w:tc>
          <w:tcPr>
            <w:tcW w:w="766" w:type="pct"/>
            <w:gridSpan w:val="2"/>
            <w:noWrap w:val="0"/>
            <w:vAlign w:val="center"/>
          </w:tcPr>
          <w:p w14:paraId="6719948E">
            <w:pPr>
              <w:pStyle w:val="40"/>
              <w:bidi w:val="0"/>
              <w:rPr>
                <w:rFonts w:hint="eastAsia" w:eastAsia="宋体"/>
                <w:color w:val="auto"/>
                <w:highlight w:val="none"/>
                <w:lang w:val="en-US" w:eastAsia="zh-CN"/>
              </w:rPr>
            </w:pPr>
            <w:r>
              <w:rPr>
                <w:rFonts w:hint="eastAsia"/>
                <w:color w:val="auto"/>
                <w:highlight w:val="none"/>
                <w:lang w:val="en-US" w:eastAsia="zh-CN"/>
              </w:rPr>
              <w:t>废机油</w:t>
            </w:r>
          </w:p>
        </w:tc>
        <w:tc>
          <w:tcPr>
            <w:tcW w:w="606" w:type="pct"/>
            <w:noWrap w:val="0"/>
            <w:vAlign w:val="center"/>
          </w:tcPr>
          <w:p w14:paraId="54035352">
            <w:pPr>
              <w:pStyle w:val="40"/>
              <w:bidi w:val="0"/>
              <w:rPr>
                <w:rFonts w:hint="eastAsia" w:eastAsia="宋体"/>
                <w:color w:val="auto"/>
                <w:highlight w:val="none"/>
                <w:lang w:val="en-US" w:eastAsia="zh-CN"/>
              </w:rPr>
            </w:pPr>
            <w:r>
              <w:rPr>
                <w:rFonts w:hint="eastAsia"/>
                <w:color w:val="auto"/>
                <w:highlight w:val="none"/>
                <w:lang w:val="en-US" w:eastAsia="zh-CN"/>
              </w:rPr>
              <w:t>/</w:t>
            </w:r>
          </w:p>
        </w:tc>
        <w:tc>
          <w:tcPr>
            <w:tcW w:w="569" w:type="pct"/>
            <w:noWrap w:val="0"/>
            <w:vAlign w:val="center"/>
          </w:tcPr>
          <w:p w14:paraId="55AC0E30">
            <w:pPr>
              <w:pStyle w:val="40"/>
              <w:bidi w:val="0"/>
              <w:rPr>
                <w:rFonts w:hint="eastAsia" w:eastAsia="宋体"/>
                <w:color w:val="auto"/>
                <w:highlight w:val="none"/>
                <w:lang w:val="en-US" w:eastAsia="zh-CN"/>
              </w:rPr>
            </w:pPr>
            <w:r>
              <w:rPr>
                <w:rFonts w:hint="eastAsia"/>
                <w:color w:val="auto"/>
                <w:highlight w:val="none"/>
                <w:lang w:val="en-US" w:eastAsia="zh-CN"/>
              </w:rPr>
              <w:t>/</w:t>
            </w:r>
          </w:p>
        </w:tc>
        <w:tc>
          <w:tcPr>
            <w:tcW w:w="544" w:type="pct"/>
            <w:noWrap w:val="0"/>
            <w:vAlign w:val="center"/>
          </w:tcPr>
          <w:p w14:paraId="50C87A7B">
            <w:pPr>
              <w:pStyle w:val="40"/>
              <w:bidi w:val="0"/>
              <w:rPr>
                <w:rFonts w:hint="eastAsia" w:eastAsia="宋体"/>
                <w:color w:val="auto"/>
                <w:highlight w:val="none"/>
                <w:lang w:val="en-US" w:eastAsia="zh-CN"/>
              </w:rPr>
            </w:pPr>
            <w:r>
              <w:rPr>
                <w:rFonts w:hint="eastAsia"/>
                <w:color w:val="auto"/>
                <w:highlight w:val="none"/>
                <w:lang w:val="en-US" w:eastAsia="zh-CN"/>
              </w:rPr>
              <w:t>/</w:t>
            </w:r>
          </w:p>
        </w:tc>
        <w:tc>
          <w:tcPr>
            <w:tcW w:w="569" w:type="pct"/>
            <w:noWrap w:val="0"/>
            <w:vAlign w:val="center"/>
          </w:tcPr>
          <w:p w14:paraId="63BF2CEE">
            <w:pPr>
              <w:pStyle w:val="40"/>
              <w:bidi w:val="0"/>
              <w:rPr>
                <w:rFonts w:hint="default" w:eastAsia="宋体"/>
                <w:color w:val="auto"/>
                <w:highlight w:val="none"/>
                <w:lang w:val="en-US" w:eastAsia="zh-CN"/>
              </w:rPr>
            </w:pPr>
            <w:r>
              <w:rPr>
                <w:rFonts w:hint="eastAsia"/>
                <w:color w:val="auto"/>
                <w:highlight w:val="none"/>
                <w:lang w:val="en-US" w:eastAsia="zh-CN"/>
              </w:rPr>
              <w:t>0.5</w:t>
            </w:r>
          </w:p>
        </w:tc>
        <w:tc>
          <w:tcPr>
            <w:tcW w:w="556" w:type="pct"/>
            <w:shd w:val="clear" w:color="auto" w:fill="auto"/>
            <w:noWrap w:val="0"/>
            <w:vAlign w:val="center"/>
          </w:tcPr>
          <w:p w14:paraId="3884B3CE">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w:t>
            </w:r>
          </w:p>
        </w:tc>
        <w:tc>
          <w:tcPr>
            <w:tcW w:w="656" w:type="pct"/>
            <w:shd w:val="clear" w:color="auto" w:fill="auto"/>
            <w:noWrap w:val="0"/>
            <w:vAlign w:val="center"/>
          </w:tcPr>
          <w:p w14:paraId="66204CD5">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0.5</w:t>
            </w:r>
          </w:p>
        </w:tc>
        <w:tc>
          <w:tcPr>
            <w:tcW w:w="300" w:type="pct"/>
            <w:shd w:val="clear" w:color="auto" w:fill="auto"/>
            <w:noWrap w:val="0"/>
            <w:vAlign w:val="center"/>
          </w:tcPr>
          <w:p w14:paraId="421E957A">
            <w:pPr>
              <w:pStyle w:val="40"/>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highlight w:val="none"/>
                <w:lang w:val="en-US" w:eastAsia="zh-CN"/>
              </w:rPr>
              <w:t>/</w:t>
            </w:r>
          </w:p>
        </w:tc>
      </w:tr>
    </w:tbl>
    <w:p w14:paraId="3842C10F">
      <w:pPr>
        <w:spacing w:before="192" w:beforeLines="80" w:after="24"/>
        <w:jc w:val="left"/>
        <w:rPr>
          <w:rFonts w:hint="eastAsia"/>
          <w:color w:val="auto"/>
          <w:highlight w:val="none"/>
        </w:rPr>
      </w:pPr>
      <w:r>
        <w:rPr>
          <w:rFonts w:hAnsi="宋体"/>
          <w:snapToGrid w:val="0"/>
          <w:color w:val="auto"/>
          <w:kern w:val="21"/>
          <w:szCs w:val="21"/>
          <w:highlight w:val="none"/>
        </w:rPr>
        <w:t>注：</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3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③</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4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④</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5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⑤</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7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⑦</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p>
    <w:p w14:paraId="2F41035E">
      <w:pPr>
        <w:jc w:val="center"/>
        <w:rPr>
          <w:rFonts w:hint="eastAsia" w:ascii="黑体" w:hAnsi="黑体" w:eastAsia="黑体"/>
          <w:snapToGrid w:val="0"/>
          <w:color w:val="auto"/>
          <w:sz w:val="30"/>
          <w:szCs w:val="30"/>
          <w:highlight w:val="none"/>
          <w:lang w:val="en-US" w:eastAsia="zh-CN"/>
        </w:rPr>
        <w:sectPr>
          <w:footerReference r:id="rId8" w:type="default"/>
          <w:pgSz w:w="16838" w:h="11906" w:orient="landscape"/>
          <w:pgMar w:top="1080" w:right="1440" w:bottom="1080" w:left="1440" w:header="851" w:footer="851" w:gutter="0"/>
          <w:pgBorders>
            <w:top w:val="none" w:sz="0" w:space="0"/>
            <w:left w:val="none" w:sz="0" w:space="0"/>
            <w:bottom w:val="none" w:sz="0" w:space="0"/>
            <w:right w:val="none" w:sz="0" w:space="0"/>
          </w:pgBorders>
          <w:cols w:space="720" w:num="1"/>
          <w:docGrid w:linePitch="312" w:charSpace="0"/>
        </w:sectPr>
      </w:pPr>
    </w:p>
    <w:p w14:paraId="3718D120">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eastAsia" w:ascii="方正小标宋_GBK" w:hAnsi="黑体" w:eastAsia="方正小标宋_GBK"/>
          <w:snapToGrid w:val="0"/>
          <w:color w:val="auto"/>
          <w:sz w:val="38"/>
          <w:szCs w:val="38"/>
          <w:highlight w:val="none"/>
        </w:rPr>
      </w:pPr>
      <w:r>
        <w:rPr>
          <w:rFonts w:hint="eastAsia" w:ascii="黑体" w:hAnsi="黑体" w:eastAsia="黑体"/>
          <w:snapToGrid w:val="0"/>
          <w:color w:val="auto"/>
          <w:sz w:val="30"/>
          <w:szCs w:val="30"/>
          <w:highlight w:val="none"/>
          <w:lang w:val="en-US" w:eastAsia="zh-CN"/>
        </w:rPr>
        <w:t>七、</w:t>
      </w:r>
      <w:r>
        <w:rPr>
          <w:rFonts w:hint="eastAsia" w:ascii="黑体" w:hAnsi="黑体" w:eastAsia="黑体"/>
          <w:snapToGrid w:val="0"/>
          <w:color w:val="auto"/>
          <w:sz w:val="30"/>
          <w:szCs w:val="30"/>
          <w:highlight w:val="none"/>
        </w:rPr>
        <w:t>附图与附件</w:t>
      </w:r>
    </w:p>
    <w:p w14:paraId="49666AA1">
      <w:pPr>
        <w:pStyle w:val="41"/>
        <w:bidi w:val="0"/>
        <w:rPr>
          <w:rFonts w:hint="eastAsia"/>
          <w:color w:val="auto"/>
          <w:highlight w:val="none"/>
          <w:lang w:val="en-US" w:eastAsia="zh-CN"/>
        </w:rPr>
      </w:pPr>
      <w:r>
        <w:rPr>
          <w:rFonts w:hint="eastAsia"/>
          <w:color w:val="auto"/>
          <w:highlight w:val="none"/>
          <w:lang w:val="en-US" w:eastAsia="zh-CN"/>
        </w:rPr>
        <w:t>附件</w:t>
      </w:r>
    </w:p>
    <w:p w14:paraId="20BC8A00">
      <w:pPr>
        <w:bidi w:val="0"/>
        <w:rPr>
          <w:rFonts w:hint="eastAsia"/>
          <w:color w:val="auto"/>
          <w:highlight w:val="none"/>
        </w:rPr>
      </w:pPr>
      <w:r>
        <w:rPr>
          <w:rFonts w:hint="eastAsia"/>
          <w:color w:val="auto"/>
          <w:highlight w:val="none"/>
        </w:rPr>
        <w:t>附件1</w:t>
      </w:r>
      <w:r>
        <w:rPr>
          <w:rFonts w:hint="eastAsia"/>
          <w:color w:val="auto"/>
          <w:highlight w:val="none"/>
          <w:lang w:val="en-US" w:eastAsia="zh-CN"/>
        </w:rPr>
        <w:t xml:space="preserve">  </w:t>
      </w:r>
      <w:r>
        <w:rPr>
          <w:rFonts w:hint="eastAsia"/>
          <w:color w:val="auto"/>
          <w:highlight w:val="none"/>
        </w:rPr>
        <w:t>项目委托书</w:t>
      </w:r>
    </w:p>
    <w:p w14:paraId="78F8A9F2">
      <w:pPr>
        <w:bidi w:val="0"/>
        <w:rPr>
          <w:rFonts w:hint="default" w:eastAsia="宋体"/>
          <w:color w:val="auto"/>
          <w:highlight w:val="none"/>
          <w:lang w:val="en-US" w:eastAsia="zh-CN"/>
        </w:rPr>
      </w:pPr>
      <w:r>
        <w:rPr>
          <w:rFonts w:hint="eastAsia"/>
          <w:color w:val="auto"/>
          <w:highlight w:val="none"/>
          <w:lang w:val="en-US" w:eastAsia="zh-CN"/>
        </w:rPr>
        <w:t>附件2  项目入园许可</w:t>
      </w:r>
    </w:p>
    <w:p w14:paraId="6FA180DC">
      <w:pPr>
        <w:bidi w:val="0"/>
        <w:rPr>
          <w:rFonts w:hint="eastAsia"/>
          <w:color w:val="auto"/>
          <w:highlight w:val="none"/>
        </w:rPr>
      </w:pPr>
      <w:r>
        <w:rPr>
          <w:rFonts w:hint="eastAsia"/>
          <w:color w:val="auto"/>
          <w:highlight w:val="none"/>
        </w:rPr>
        <w:t>附件</w:t>
      </w:r>
      <w:r>
        <w:rPr>
          <w:rFonts w:hint="eastAsia"/>
          <w:color w:val="auto"/>
          <w:highlight w:val="none"/>
          <w:lang w:val="en-US" w:eastAsia="zh-CN"/>
        </w:rPr>
        <w:t>3</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项目备案</w:t>
      </w:r>
    </w:p>
    <w:p w14:paraId="12FFB48E">
      <w:pPr>
        <w:bidi w:val="0"/>
        <w:rPr>
          <w:rFonts w:hint="eastAsia"/>
          <w:color w:val="auto"/>
          <w:highlight w:val="none"/>
        </w:rPr>
      </w:pPr>
      <w:r>
        <w:rPr>
          <w:rFonts w:hint="eastAsia"/>
          <w:color w:val="auto"/>
          <w:highlight w:val="none"/>
        </w:rPr>
        <w:t>附件</w:t>
      </w:r>
      <w:r>
        <w:rPr>
          <w:rFonts w:hint="eastAsia"/>
          <w:color w:val="auto"/>
          <w:highlight w:val="none"/>
          <w:lang w:val="en-US" w:eastAsia="zh-CN"/>
        </w:rPr>
        <w:t>4</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陕西省“三线一单”生态环境管控单元对照分析报告</w:t>
      </w:r>
    </w:p>
    <w:p w14:paraId="5B79EAE2">
      <w:pPr>
        <w:bidi w:val="0"/>
        <w:rPr>
          <w:rFonts w:hint="eastAsia"/>
          <w:color w:val="auto"/>
          <w:highlight w:val="none"/>
        </w:rPr>
      </w:pPr>
      <w:r>
        <w:rPr>
          <w:rFonts w:hint="eastAsia"/>
          <w:color w:val="auto"/>
          <w:highlight w:val="none"/>
        </w:rPr>
        <w:t>附件</w:t>
      </w:r>
      <w:r>
        <w:rPr>
          <w:rFonts w:hint="eastAsia"/>
          <w:color w:val="auto"/>
          <w:highlight w:val="none"/>
          <w:lang w:val="en-US" w:eastAsia="zh-CN"/>
        </w:rPr>
        <w:t>5</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项目控制线检测报告</w:t>
      </w:r>
    </w:p>
    <w:p w14:paraId="275A0F16">
      <w:pPr>
        <w:bidi w:val="0"/>
        <w:rPr>
          <w:rFonts w:hint="default"/>
          <w:color w:val="auto"/>
          <w:highlight w:val="none"/>
          <w:lang w:val="en-US" w:eastAsia="zh-CN"/>
        </w:rPr>
      </w:pPr>
      <w:r>
        <w:rPr>
          <w:rFonts w:hint="eastAsia"/>
          <w:color w:val="auto"/>
          <w:highlight w:val="none"/>
          <w:lang w:val="en-US" w:eastAsia="zh-CN"/>
        </w:rPr>
        <w:t>附件6  蒸压硅酸盐功能骨料检测报告</w:t>
      </w:r>
    </w:p>
    <w:p w14:paraId="10BAD421">
      <w:pPr>
        <w:bidi w:val="0"/>
        <w:rPr>
          <w:rFonts w:hint="default" w:eastAsia="宋体"/>
          <w:color w:val="auto"/>
          <w:highlight w:val="none"/>
          <w:lang w:val="en-US" w:eastAsia="zh-CN"/>
        </w:rPr>
      </w:pPr>
      <w:r>
        <w:rPr>
          <w:rFonts w:hint="eastAsia"/>
          <w:color w:val="auto"/>
          <w:highlight w:val="none"/>
          <w:lang w:val="en-US" w:eastAsia="zh-CN"/>
        </w:rPr>
        <w:t>附件7  生物质颗粒检测报告</w:t>
      </w:r>
    </w:p>
    <w:p w14:paraId="23F57DC4">
      <w:pPr>
        <w:bidi w:val="0"/>
        <w:rPr>
          <w:rFonts w:hint="eastAsia"/>
          <w:color w:val="auto"/>
          <w:highlight w:val="none"/>
        </w:rPr>
      </w:pPr>
      <w:r>
        <w:rPr>
          <w:rFonts w:hint="eastAsia"/>
          <w:color w:val="auto"/>
          <w:highlight w:val="none"/>
        </w:rPr>
        <w:t>附件</w:t>
      </w:r>
      <w:r>
        <w:rPr>
          <w:rFonts w:hint="eastAsia"/>
          <w:color w:val="auto"/>
          <w:highlight w:val="none"/>
          <w:lang w:val="en-US" w:eastAsia="zh-CN"/>
        </w:rPr>
        <w:t>8</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现状监测报告</w:t>
      </w:r>
    </w:p>
    <w:p w14:paraId="54598778">
      <w:pPr>
        <w:bidi w:val="0"/>
        <w:rPr>
          <w:rFonts w:hint="eastAsia"/>
          <w:color w:val="auto"/>
          <w:highlight w:val="none"/>
        </w:rPr>
      </w:pPr>
    </w:p>
    <w:p w14:paraId="5FE0C81C">
      <w:pPr>
        <w:pStyle w:val="41"/>
        <w:bidi w:val="0"/>
        <w:rPr>
          <w:rFonts w:hint="eastAsia"/>
          <w:color w:val="auto"/>
          <w:highlight w:val="none"/>
          <w:lang w:val="en-US" w:eastAsia="zh-CN"/>
        </w:rPr>
      </w:pPr>
      <w:r>
        <w:rPr>
          <w:rFonts w:hint="eastAsia"/>
          <w:color w:val="auto"/>
          <w:highlight w:val="none"/>
          <w:lang w:val="en-US" w:eastAsia="zh-CN"/>
        </w:rPr>
        <w:t>附图</w:t>
      </w:r>
    </w:p>
    <w:p w14:paraId="3B3A0B73">
      <w:pPr>
        <w:bidi w:val="0"/>
        <w:rPr>
          <w:rFonts w:hint="default"/>
          <w:color w:val="auto"/>
          <w:highlight w:val="none"/>
          <w:lang w:val="en-US" w:eastAsia="zh-CN"/>
        </w:rPr>
      </w:pPr>
      <w:r>
        <w:rPr>
          <w:rFonts w:hint="eastAsia"/>
          <w:color w:val="auto"/>
          <w:highlight w:val="none"/>
          <w:lang w:val="en-US" w:eastAsia="zh-CN"/>
        </w:rPr>
        <w:t>附图1  项目与规划相对位置关系图</w:t>
      </w:r>
    </w:p>
    <w:p w14:paraId="053B6E0A">
      <w:pPr>
        <w:bidi w:val="0"/>
        <w:rPr>
          <w:rFonts w:hint="default"/>
          <w:color w:val="auto"/>
          <w:highlight w:val="none"/>
          <w:lang w:val="en-US" w:eastAsia="zh-CN"/>
        </w:rPr>
      </w:pPr>
      <w:r>
        <w:rPr>
          <w:rFonts w:hint="eastAsia"/>
          <w:color w:val="auto"/>
          <w:highlight w:val="none"/>
          <w:lang w:val="en-US" w:eastAsia="zh-CN"/>
        </w:rPr>
        <w:t>附图2  项目地理位置图</w:t>
      </w:r>
    </w:p>
    <w:p w14:paraId="4A723274">
      <w:pPr>
        <w:bidi w:val="0"/>
        <w:rPr>
          <w:rFonts w:hint="eastAsia"/>
          <w:color w:val="auto"/>
          <w:highlight w:val="none"/>
          <w:lang w:eastAsia="zh-CN"/>
        </w:rPr>
      </w:pPr>
      <w:r>
        <w:rPr>
          <w:rFonts w:hint="eastAsia"/>
          <w:color w:val="auto"/>
          <w:highlight w:val="none"/>
          <w:lang w:val="en-US" w:eastAsia="zh-CN"/>
        </w:rPr>
        <w:t xml:space="preserve">附图3  </w:t>
      </w:r>
      <w:r>
        <w:rPr>
          <w:rFonts w:hint="default"/>
          <w:color w:val="auto"/>
          <w:highlight w:val="none"/>
          <w:lang w:eastAsia="zh-CN"/>
        </w:rPr>
        <w:t>项目四邻关系</w:t>
      </w:r>
      <w:r>
        <w:rPr>
          <w:rFonts w:hint="eastAsia"/>
          <w:color w:val="auto"/>
          <w:highlight w:val="none"/>
          <w:lang w:eastAsia="zh-CN"/>
        </w:rPr>
        <w:t>图</w:t>
      </w:r>
    </w:p>
    <w:p w14:paraId="08985E06">
      <w:pPr>
        <w:bidi w:val="0"/>
        <w:rPr>
          <w:rFonts w:hint="default"/>
          <w:color w:val="auto"/>
          <w:highlight w:val="none"/>
          <w:lang w:val="en-US" w:eastAsia="zh-CN"/>
        </w:rPr>
      </w:pPr>
      <w:r>
        <w:rPr>
          <w:rFonts w:hint="default"/>
          <w:color w:val="auto"/>
          <w:highlight w:val="none"/>
          <w:lang w:val="en-US" w:eastAsia="zh-CN"/>
        </w:rPr>
        <w:t xml:space="preserve">附图4 </w:t>
      </w:r>
      <w:r>
        <w:rPr>
          <w:rFonts w:hint="eastAsia"/>
          <w:color w:val="auto"/>
          <w:highlight w:val="none"/>
          <w:lang w:val="en-US" w:eastAsia="zh-CN"/>
        </w:rPr>
        <w:t xml:space="preserve"> </w:t>
      </w:r>
      <w:r>
        <w:rPr>
          <w:rFonts w:hint="default"/>
          <w:color w:val="auto"/>
          <w:highlight w:val="none"/>
          <w:lang w:val="en-US" w:eastAsia="zh-CN"/>
        </w:rPr>
        <w:t>蒸压硅酸盐功能骨料产品及其应用</w:t>
      </w:r>
    </w:p>
    <w:p w14:paraId="696AB450">
      <w:pPr>
        <w:bidi w:val="0"/>
        <w:rPr>
          <w:rFonts w:hint="default"/>
          <w:color w:val="auto"/>
          <w:highlight w:val="none"/>
          <w:lang w:val="en-US" w:eastAsia="zh-CN"/>
        </w:rPr>
      </w:pPr>
      <w:r>
        <w:rPr>
          <w:rFonts w:hint="default"/>
          <w:color w:val="auto"/>
          <w:highlight w:val="none"/>
          <w:lang w:val="en-US" w:eastAsia="zh-CN"/>
        </w:rPr>
        <w:t>附图</w:t>
      </w:r>
      <w:r>
        <w:rPr>
          <w:rFonts w:hint="eastAsia"/>
          <w:color w:val="auto"/>
          <w:highlight w:val="none"/>
          <w:lang w:val="en-US" w:eastAsia="zh-CN"/>
        </w:rPr>
        <w:t>5</w:t>
      </w:r>
      <w:r>
        <w:rPr>
          <w:rFonts w:hint="default"/>
          <w:color w:val="auto"/>
          <w:highlight w:val="none"/>
          <w:lang w:val="en-US" w:eastAsia="zh-CN"/>
        </w:rPr>
        <w:t xml:space="preserve">  </w:t>
      </w:r>
      <w:r>
        <w:rPr>
          <w:rFonts w:hint="eastAsia"/>
          <w:color w:val="auto"/>
          <w:highlight w:val="none"/>
          <w:lang w:val="en-US" w:eastAsia="zh-CN"/>
        </w:rPr>
        <w:t>项目平面布置图</w:t>
      </w:r>
    </w:p>
    <w:p w14:paraId="06735D1F">
      <w:pPr>
        <w:bidi w:val="0"/>
        <w:rPr>
          <w:rFonts w:hint="default"/>
          <w:color w:val="auto"/>
          <w:highlight w:val="none"/>
        </w:rPr>
      </w:pPr>
      <w:r>
        <w:rPr>
          <w:rFonts w:hint="eastAsia"/>
          <w:color w:val="auto"/>
          <w:highlight w:val="none"/>
          <w:lang w:val="en-US" w:eastAsia="zh-CN"/>
        </w:rPr>
        <w:t xml:space="preserve">附图6  </w:t>
      </w:r>
      <w:r>
        <w:rPr>
          <w:rFonts w:hint="default"/>
          <w:color w:val="auto"/>
          <w:highlight w:val="none"/>
        </w:rPr>
        <w:t>现状监测点位图</w:t>
      </w:r>
    </w:p>
    <w:p w14:paraId="0079D131">
      <w:pPr>
        <w:bidi w:val="0"/>
        <w:rPr>
          <w:rFonts w:hint="default" w:ascii="宋体" w:hAnsi="宋体" w:eastAsia="黑体"/>
          <w:color w:val="auto"/>
          <w:highlight w:val="none"/>
          <w:lang w:val="en-US"/>
        </w:rPr>
      </w:pPr>
      <w:r>
        <w:rPr>
          <w:rFonts w:hint="default"/>
          <w:color w:val="auto"/>
          <w:highlight w:val="none"/>
          <w:lang w:val="en-US" w:eastAsia="zh-CN"/>
        </w:rPr>
        <w:t>附图</w:t>
      </w:r>
      <w:r>
        <w:rPr>
          <w:rFonts w:hint="eastAsia"/>
          <w:color w:val="auto"/>
          <w:highlight w:val="none"/>
          <w:lang w:val="en-US" w:eastAsia="zh-CN"/>
        </w:rPr>
        <w:t>7</w:t>
      </w:r>
      <w:r>
        <w:rPr>
          <w:rFonts w:hint="default"/>
          <w:color w:val="auto"/>
          <w:highlight w:val="none"/>
          <w:lang w:val="en-US" w:eastAsia="zh-CN"/>
        </w:rPr>
        <w:t xml:space="preserve">  环境保护目标</w:t>
      </w:r>
      <w:r>
        <w:rPr>
          <w:rFonts w:hint="eastAsia"/>
          <w:color w:val="auto"/>
          <w:highlight w:val="none"/>
          <w:lang w:val="en-US" w:eastAsia="zh-CN"/>
        </w:rPr>
        <w:t>图</w:t>
      </w:r>
    </w:p>
    <w:sectPr>
      <w:type w:val="oddPage"/>
      <w:pgSz w:w="11906" w:h="16838"/>
      <w:pgMar w:top="1440" w:right="1080" w:bottom="1440" w:left="1080" w:header="851" w:footer="851" w:gutter="0"/>
      <w:pgBorders>
        <w:top w:val="none" w:sz="0" w:space="0"/>
        <w:left w:val="none" w:sz="0" w:space="0"/>
        <w:bottom w:val="none" w:sz="0" w:space="0"/>
        <w:right w:val="none" w:sz="0" w:space="0"/>
      </w:pgBorders>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Cambria Math">
    <w:panose1 w:val="02040503050406030204"/>
    <w:charset w:val="00"/>
    <w:family w:val="auto"/>
    <w:pitch w:val="default"/>
    <w:sig w:usb0="E00006FF" w:usb1="420024FF" w:usb2="02000000" w:usb3="00000000" w:csb0="2000019F" w:csb1="00000000"/>
  </w:font>
  <w:font w:name="方正小标宋_GBK">
    <w:altName w:val="Arial Unicode MS"/>
    <w:panose1 w:val="02000000000000000000"/>
    <w:charset w:val="86"/>
    <w:family w:val="script"/>
    <w:pitch w:val="default"/>
    <w:sig w:usb0="00000000" w:usb1="00000000" w:usb2="00082016" w:usb3="00000000" w:csb0="00040001" w:csb1="00000000"/>
  </w:font>
  <w:font w:name="Arial Unicode MS">
    <w:panose1 w:val="020B0604020202020204"/>
    <w:charset w:val="86"/>
    <w:family w:val="auto"/>
    <w:pitch w:val="default"/>
    <w:sig w:usb0="F7FFAEFF" w:usb1="F9DFFFFF" w:usb2="0000007F" w:usb3="00000000" w:csb0="203F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B45E6">
    <w:pPr>
      <w:pStyle w:val="16"/>
      <w:framePr w:wrap="around" w:vAnchor="text" w:hAnchor="margin" w:xAlign="outside" w:y="1"/>
      <w:ind w:left="0" w:leftChars="0" w:firstLine="0" w:firstLineChars="0"/>
      <w:rPr>
        <w:rStyle w:val="28"/>
        <w:rFonts w:ascii="宋体" w:hAnsi="宋体"/>
        <w:sz w:val="28"/>
        <w:szCs w:val="28"/>
      </w:rPr>
    </w:pPr>
    <w:r>
      <w:rPr>
        <w:rStyle w:val="28"/>
        <w:rFonts w:hint="eastAsia" w:ascii="宋体" w:hAnsi="宋体"/>
        <w:sz w:val="28"/>
        <w:szCs w:val="28"/>
      </w:rPr>
      <w:t>—</w:t>
    </w:r>
    <w:r>
      <w:rPr>
        <w:rStyle w:val="28"/>
        <w:rFonts w:hint="eastAsia" w:ascii="宋体" w:hAnsi="宋体"/>
        <w:sz w:val="20"/>
      </w:rPr>
      <w:t xml:space="preserve"> </w:t>
    </w:r>
    <w:r>
      <w:rPr>
        <w:rStyle w:val="28"/>
        <w:rFonts w:hint="eastAsia" w:ascii="宋体" w:hAnsi="宋体"/>
        <w:sz w:val="20"/>
        <w:lang w:val="en-US" w:eastAsia="zh-CN"/>
      </w:rPr>
      <w:t xml:space="preserve"> </w:t>
    </w:r>
    <w:r>
      <w:rPr>
        <w:rFonts w:hint="default" w:ascii="Times New Roman" w:hAnsi="Times New Roman" w:cs="Times New Roman"/>
        <w:sz w:val="24"/>
        <w:szCs w:val="24"/>
      </w:rPr>
      <w:fldChar w:fldCharType="begin"/>
    </w:r>
    <w:r>
      <w:rPr>
        <w:rStyle w:val="28"/>
        <w:rFonts w:hint="default" w:ascii="Times New Roman" w:hAnsi="Times New Roman" w:cs="Times New Roman"/>
        <w:sz w:val="24"/>
        <w:szCs w:val="24"/>
      </w:rPr>
      <w:instrText xml:space="preserve">PAGE  </w:instrText>
    </w:r>
    <w:r>
      <w:rPr>
        <w:rFonts w:hint="default" w:ascii="Times New Roman" w:hAnsi="Times New Roman" w:cs="Times New Roman"/>
        <w:sz w:val="24"/>
        <w:szCs w:val="24"/>
      </w:rPr>
      <w:fldChar w:fldCharType="separate"/>
    </w:r>
    <w:r>
      <w:rPr>
        <w:rStyle w:val="28"/>
        <w:rFonts w:hint="default" w:ascii="Times New Roman" w:hAnsi="Times New Roman" w:cs="Times New Roman"/>
        <w:sz w:val="24"/>
        <w:szCs w:val="24"/>
      </w:rPr>
      <w:t>9</w:t>
    </w:r>
    <w:r>
      <w:rPr>
        <w:rFonts w:hint="default" w:ascii="Times New Roman" w:hAnsi="Times New Roman" w:cs="Times New Roman"/>
        <w:sz w:val="24"/>
        <w:szCs w:val="24"/>
      </w:rPr>
      <w:fldChar w:fldCharType="end"/>
    </w:r>
    <w:r>
      <w:rPr>
        <w:rStyle w:val="28"/>
        <w:rFonts w:hint="eastAsia" w:ascii="宋体" w:hAnsi="宋体"/>
        <w:sz w:val="20"/>
      </w:rPr>
      <w:t xml:space="preserve"> </w:t>
    </w:r>
    <w:r>
      <w:rPr>
        <w:rStyle w:val="28"/>
        <w:rFonts w:hint="eastAsia" w:ascii="宋体" w:hAnsi="宋体"/>
        <w:sz w:val="20"/>
        <w:lang w:val="en-US" w:eastAsia="zh-CN"/>
      </w:rPr>
      <w:t xml:space="preserve"> </w:t>
    </w:r>
    <w:r>
      <w:rPr>
        <w:rStyle w:val="28"/>
        <w:rFonts w:hint="eastAsia" w:ascii="宋体" w:hAnsi="宋体"/>
        <w:sz w:val="28"/>
        <w:szCs w:val="28"/>
      </w:rPr>
      <w:t>—</w:t>
    </w:r>
  </w:p>
  <w:p w14:paraId="43794CD7">
    <w:pPr>
      <w:pStyle w:val="16"/>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5A4622">
    <w:pPr>
      <w:pStyle w:val="16"/>
      <w:framePr w:wrap="around" w:vAnchor="text" w:hAnchor="margin" w:xAlign="outside" w:y="1"/>
      <w:rPr>
        <w:rStyle w:val="28"/>
        <w:rFonts w:ascii="宋体" w:hAnsi="宋体"/>
        <w:sz w:val="28"/>
        <w:szCs w:val="28"/>
      </w:rPr>
    </w:pPr>
    <w:r>
      <w:rPr>
        <w:rStyle w:val="28"/>
        <w:rFonts w:hint="eastAsia" w:ascii="宋体" w:hAnsi="宋体"/>
        <w:sz w:val="28"/>
        <w:szCs w:val="28"/>
      </w:rPr>
      <w:t>—</w:t>
    </w:r>
    <w:r>
      <w:rPr>
        <w:rStyle w:val="28"/>
        <w:rFonts w:hint="eastAsia" w:ascii="宋体" w:hAnsi="宋体"/>
        <w:sz w:val="20"/>
      </w:rPr>
      <w:t xml:space="preserve">  </w:t>
    </w:r>
    <w:r>
      <w:rPr>
        <w:rFonts w:ascii="宋体" w:hAnsi="宋体"/>
        <w:sz w:val="26"/>
        <w:szCs w:val="26"/>
      </w:rPr>
      <w:fldChar w:fldCharType="begin"/>
    </w:r>
    <w:r>
      <w:rPr>
        <w:rStyle w:val="28"/>
        <w:rFonts w:ascii="宋体" w:hAnsi="宋体"/>
        <w:sz w:val="26"/>
        <w:szCs w:val="26"/>
      </w:rPr>
      <w:instrText xml:space="preserve">PAGE  </w:instrText>
    </w:r>
    <w:r>
      <w:rPr>
        <w:rFonts w:ascii="宋体" w:hAnsi="宋体"/>
        <w:sz w:val="26"/>
        <w:szCs w:val="26"/>
      </w:rPr>
      <w:fldChar w:fldCharType="separate"/>
    </w:r>
    <w:r>
      <w:rPr>
        <w:rStyle w:val="28"/>
        <w:rFonts w:ascii="宋体" w:hAnsi="宋体"/>
        <w:sz w:val="26"/>
        <w:szCs w:val="26"/>
      </w:rPr>
      <w:t>11</w:t>
    </w:r>
    <w:r>
      <w:rPr>
        <w:rFonts w:ascii="宋体" w:hAnsi="宋体"/>
        <w:sz w:val="26"/>
        <w:szCs w:val="26"/>
      </w:rPr>
      <w:fldChar w:fldCharType="end"/>
    </w:r>
    <w:r>
      <w:rPr>
        <w:rStyle w:val="28"/>
        <w:rFonts w:hint="eastAsia" w:ascii="宋体" w:hAnsi="宋体"/>
        <w:sz w:val="20"/>
      </w:rPr>
      <w:t xml:space="preserve">  </w:t>
    </w:r>
    <w:r>
      <w:rPr>
        <w:rStyle w:val="28"/>
        <w:rFonts w:hint="eastAsia" w:ascii="宋体" w:hAnsi="宋体"/>
        <w:sz w:val="28"/>
        <w:szCs w:val="28"/>
      </w:rPr>
      <w:t>—</w:t>
    </w:r>
  </w:p>
  <w:p w14:paraId="328B0503">
    <w:pPr>
      <w:pStyle w:val="16"/>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33AA67">
    <w:pPr>
      <w:pStyle w:val="16"/>
      <w:framePr w:wrap="around" w:vAnchor="text" w:hAnchor="margin" w:xAlign="outside" w:y="1"/>
      <w:rPr>
        <w:rStyle w:val="28"/>
        <w:rFonts w:ascii="宋体" w:hAnsi="宋体"/>
        <w:sz w:val="28"/>
        <w:szCs w:val="28"/>
      </w:rPr>
    </w:pPr>
    <w:r>
      <w:rPr>
        <w:rStyle w:val="28"/>
        <w:rFonts w:hint="eastAsia" w:ascii="宋体" w:hAnsi="宋体"/>
        <w:sz w:val="28"/>
        <w:szCs w:val="28"/>
      </w:rPr>
      <w:t>—</w:t>
    </w:r>
    <w:r>
      <w:rPr>
        <w:rStyle w:val="28"/>
        <w:rFonts w:hint="eastAsia" w:ascii="宋体" w:hAnsi="宋体"/>
        <w:sz w:val="20"/>
      </w:rPr>
      <w:t xml:space="preserve">  </w:t>
    </w:r>
    <w:r>
      <w:rPr>
        <w:rFonts w:ascii="宋体" w:hAnsi="宋体"/>
        <w:sz w:val="26"/>
        <w:szCs w:val="26"/>
      </w:rPr>
      <w:fldChar w:fldCharType="begin"/>
    </w:r>
    <w:r>
      <w:rPr>
        <w:rStyle w:val="28"/>
        <w:rFonts w:ascii="宋体" w:hAnsi="宋体"/>
        <w:sz w:val="26"/>
        <w:szCs w:val="26"/>
      </w:rPr>
      <w:instrText xml:space="preserve">PAGE  </w:instrText>
    </w:r>
    <w:r>
      <w:rPr>
        <w:rFonts w:ascii="宋体" w:hAnsi="宋体"/>
        <w:sz w:val="26"/>
        <w:szCs w:val="26"/>
      </w:rPr>
      <w:fldChar w:fldCharType="separate"/>
    </w:r>
    <w:r>
      <w:rPr>
        <w:rStyle w:val="28"/>
        <w:rFonts w:ascii="宋体" w:hAnsi="宋体"/>
        <w:sz w:val="26"/>
        <w:szCs w:val="26"/>
      </w:rPr>
      <w:t>11</w:t>
    </w:r>
    <w:r>
      <w:rPr>
        <w:rFonts w:ascii="宋体" w:hAnsi="宋体"/>
        <w:sz w:val="26"/>
        <w:szCs w:val="26"/>
      </w:rPr>
      <w:fldChar w:fldCharType="end"/>
    </w:r>
    <w:r>
      <w:rPr>
        <w:rStyle w:val="28"/>
        <w:rFonts w:hint="eastAsia" w:ascii="宋体" w:hAnsi="宋体"/>
        <w:sz w:val="20"/>
      </w:rPr>
      <w:t xml:space="preserve">  </w:t>
    </w:r>
    <w:r>
      <w:rPr>
        <w:rStyle w:val="28"/>
        <w:rFonts w:hint="eastAsia" w:ascii="宋体" w:hAnsi="宋体"/>
        <w:sz w:val="28"/>
        <w:szCs w:val="28"/>
      </w:rPr>
      <w:t>—</w:t>
    </w:r>
  </w:p>
  <w:p w14:paraId="65954A2E">
    <w:pPr>
      <w:pStyle w:val="16"/>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E7096">
    <w:pPr>
      <w:pStyle w:val="16"/>
      <w:framePr w:wrap="around" w:vAnchor="text" w:hAnchor="margin" w:xAlign="outside" w:y="1"/>
      <w:rPr>
        <w:rStyle w:val="28"/>
        <w:rFonts w:ascii="宋体" w:hAnsi="宋体"/>
        <w:sz w:val="28"/>
        <w:szCs w:val="28"/>
      </w:rPr>
    </w:pPr>
    <w:r>
      <w:rPr>
        <w:rStyle w:val="28"/>
        <w:rFonts w:hint="eastAsia" w:ascii="宋体" w:hAnsi="宋体"/>
        <w:sz w:val="28"/>
        <w:szCs w:val="28"/>
      </w:rPr>
      <w:t>—</w:t>
    </w:r>
    <w:r>
      <w:rPr>
        <w:rStyle w:val="28"/>
        <w:rFonts w:hint="eastAsia" w:ascii="宋体" w:hAnsi="宋体"/>
        <w:sz w:val="20"/>
      </w:rPr>
      <w:t xml:space="preserve">  </w:t>
    </w:r>
    <w:r>
      <w:rPr>
        <w:rFonts w:ascii="宋体" w:hAnsi="宋体"/>
        <w:sz w:val="26"/>
        <w:szCs w:val="26"/>
      </w:rPr>
      <w:fldChar w:fldCharType="begin"/>
    </w:r>
    <w:r>
      <w:rPr>
        <w:rStyle w:val="28"/>
        <w:rFonts w:ascii="宋体" w:hAnsi="宋体"/>
        <w:sz w:val="26"/>
        <w:szCs w:val="26"/>
      </w:rPr>
      <w:instrText xml:space="preserve">PAGE  </w:instrText>
    </w:r>
    <w:r>
      <w:rPr>
        <w:rFonts w:ascii="宋体" w:hAnsi="宋体"/>
        <w:sz w:val="26"/>
        <w:szCs w:val="26"/>
      </w:rPr>
      <w:fldChar w:fldCharType="separate"/>
    </w:r>
    <w:r>
      <w:rPr>
        <w:rStyle w:val="28"/>
        <w:rFonts w:ascii="宋体" w:hAnsi="宋体"/>
        <w:sz w:val="26"/>
        <w:szCs w:val="26"/>
      </w:rPr>
      <w:t>11</w:t>
    </w:r>
    <w:r>
      <w:rPr>
        <w:rFonts w:ascii="宋体" w:hAnsi="宋体"/>
        <w:sz w:val="26"/>
        <w:szCs w:val="26"/>
      </w:rPr>
      <w:fldChar w:fldCharType="end"/>
    </w:r>
    <w:r>
      <w:rPr>
        <w:rStyle w:val="28"/>
        <w:rFonts w:hint="eastAsia" w:ascii="宋体" w:hAnsi="宋体"/>
        <w:sz w:val="20"/>
      </w:rPr>
      <w:t xml:space="preserve">  </w:t>
    </w:r>
    <w:r>
      <w:rPr>
        <w:rStyle w:val="28"/>
        <w:rFonts w:hint="eastAsia" w:ascii="宋体" w:hAnsi="宋体"/>
        <w:sz w:val="28"/>
        <w:szCs w:val="28"/>
      </w:rPr>
      <w:t>—</w:t>
    </w:r>
  </w:p>
  <w:p w14:paraId="62E079EB">
    <w:pPr>
      <w:pStyle w:val="16"/>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EE81B14"/>
    <w:multiLevelType w:val="multilevel"/>
    <w:tmpl w:val="EEE81B14"/>
    <w:lvl w:ilvl="0" w:tentative="0">
      <w:start w:val="1"/>
      <w:numFmt w:val="chineseCounting"/>
      <w:suff w:val="nothing"/>
      <w:lvlText w:val="%1、"/>
      <w:lvlJc w:val="left"/>
      <w:pPr>
        <w:ind w:left="0" w:firstLine="0"/>
      </w:pPr>
      <w:rPr>
        <w:rFonts w:hint="eastAsia"/>
      </w:rPr>
    </w:lvl>
    <w:lvl w:ilvl="1" w:tentative="0">
      <w:start w:val="1"/>
      <w:numFmt w:val="chineseCounting"/>
      <w:suff w:val="nothing"/>
      <w:lvlText w:val="（%2）"/>
      <w:lvlJc w:val="left"/>
      <w:pPr>
        <w:ind w:left="0" w:firstLine="0"/>
      </w:pPr>
      <w:rPr>
        <w:rFonts w:hint="eastAsia"/>
      </w:rPr>
    </w:lvl>
    <w:lvl w:ilvl="2" w:tentative="0">
      <w:start w:val="1"/>
      <w:numFmt w:val="decimal"/>
      <w:suff w:val="nothing"/>
      <w:lvlText w:val="%3．"/>
      <w:lvlJc w:val="left"/>
      <w:pPr>
        <w:ind w:left="0" w:firstLine="400"/>
      </w:pPr>
      <w:rPr>
        <w:rFonts w:hint="eastAsia"/>
      </w:rPr>
    </w:lvl>
    <w:lvl w:ilvl="3" w:tentative="0">
      <w:start w:val="1"/>
      <w:numFmt w:val="decimal"/>
      <w:pStyle w:val="5"/>
      <w:suff w:val="nothing"/>
      <w:lvlText w:val="（%4）"/>
      <w:lvlJc w:val="left"/>
      <w:pPr>
        <w:ind w:left="0" w:firstLine="402"/>
      </w:pPr>
      <w:rPr>
        <w:rFonts w:hint="eastAsia"/>
      </w:rPr>
    </w:lvl>
    <w:lvl w:ilvl="4" w:tentative="0">
      <w:start w:val="1"/>
      <w:numFmt w:val="decimalEnclosedCircleChinese"/>
      <w:suff w:val="nothing"/>
      <w:lvlText w:val="%5"/>
      <w:lvlJc w:val="left"/>
      <w:pPr>
        <w:ind w:left="18"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lhZWI3MWRlNTBjZjMzNWM0MDU5YjlmNmYxYzJlZGUifQ=="/>
  </w:docVars>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27F"/>
    <w:rsid w:val="00177422"/>
    <w:rsid w:val="00184590"/>
    <w:rsid w:val="001870D1"/>
    <w:rsid w:val="0018781E"/>
    <w:rsid w:val="0019262D"/>
    <w:rsid w:val="001A1B35"/>
    <w:rsid w:val="001A48A2"/>
    <w:rsid w:val="001A6F61"/>
    <w:rsid w:val="001B72B8"/>
    <w:rsid w:val="001C69B3"/>
    <w:rsid w:val="001D2535"/>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57D8"/>
    <w:rsid w:val="0033684D"/>
    <w:rsid w:val="00337B42"/>
    <w:rsid w:val="00341B42"/>
    <w:rsid w:val="0034348F"/>
    <w:rsid w:val="00356653"/>
    <w:rsid w:val="0035743F"/>
    <w:rsid w:val="00357BE2"/>
    <w:rsid w:val="0036170C"/>
    <w:rsid w:val="00366E0F"/>
    <w:rsid w:val="00381A72"/>
    <w:rsid w:val="00384676"/>
    <w:rsid w:val="00390857"/>
    <w:rsid w:val="00396CDA"/>
    <w:rsid w:val="003A4BF3"/>
    <w:rsid w:val="003B420D"/>
    <w:rsid w:val="003C6C16"/>
    <w:rsid w:val="003D794D"/>
    <w:rsid w:val="003E2E74"/>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1FEC"/>
    <w:rsid w:val="00452738"/>
    <w:rsid w:val="00456091"/>
    <w:rsid w:val="004637C6"/>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4870"/>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6F5543"/>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7CB"/>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361"/>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56CB1"/>
    <w:rsid w:val="00A5789B"/>
    <w:rsid w:val="00A8713F"/>
    <w:rsid w:val="00A90BA1"/>
    <w:rsid w:val="00A97A9A"/>
    <w:rsid w:val="00AA0671"/>
    <w:rsid w:val="00AA2531"/>
    <w:rsid w:val="00AA32B3"/>
    <w:rsid w:val="00AB1E09"/>
    <w:rsid w:val="00AB5330"/>
    <w:rsid w:val="00AB62B6"/>
    <w:rsid w:val="00AB7747"/>
    <w:rsid w:val="00AC14CE"/>
    <w:rsid w:val="00AC2A56"/>
    <w:rsid w:val="00AD055E"/>
    <w:rsid w:val="00AD47A7"/>
    <w:rsid w:val="00AE1085"/>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2DE3"/>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D79DA"/>
    <w:rsid w:val="00CE10E9"/>
    <w:rsid w:val="00CE2910"/>
    <w:rsid w:val="00CE5393"/>
    <w:rsid w:val="00CF36BE"/>
    <w:rsid w:val="00CF6000"/>
    <w:rsid w:val="00D003F3"/>
    <w:rsid w:val="00D0364F"/>
    <w:rsid w:val="00D06834"/>
    <w:rsid w:val="00D308ED"/>
    <w:rsid w:val="00D36D86"/>
    <w:rsid w:val="00D428AA"/>
    <w:rsid w:val="00D50A34"/>
    <w:rsid w:val="00D53EFA"/>
    <w:rsid w:val="00D55822"/>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014F"/>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101675"/>
    <w:rsid w:val="01176E27"/>
    <w:rsid w:val="012810B4"/>
    <w:rsid w:val="01282E62"/>
    <w:rsid w:val="01290F7E"/>
    <w:rsid w:val="01311D17"/>
    <w:rsid w:val="014B0CCD"/>
    <w:rsid w:val="01573B13"/>
    <w:rsid w:val="01575445"/>
    <w:rsid w:val="015B3238"/>
    <w:rsid w:val="015C3E7B"/>
    <w:rsid w:val="015D1E09"/>
    <w:rsid w:val="0168333A"/>
    <w:rsid w:val="01765AA6"/>
    <w:rsid w:val="017C6D0A"/>
    <w:rsid w:val="017E34AF"/>
    <w:rsid w:val="018F2D93"/>
    <w:rsid w:val="01907957"/>
    <w:rsid w:val="01A050EF"/>
    <w:rsid w:val="01A31FA8"/>
    <w:rsid w:val="01D04833"/>
    <w:rsid w:val="01D45666"/>
    <w:rsid w:val="01D95E82"/>
    <w:rsid w:val="01DB1C83"/>
    <w:rsid w:val="01EC5C3E"/>
    <w:rsid w:val="01F64D0F"/>
    <w:rsid w:val="01FB42FA"/>
    <w:rsid w:val="01FD7E4B"/>
    <w:rsid w:val="0213141D"/>
    <w:rsid w:val="02300C23"/>
    <w:rsid w:val="02447B02"/>
    <w:rsid w:val="02511314"/>
    <w:rsid w:val="025739FF"/>
    <w:rsid w:val="0257765C"/>
    <w:rsid w:val="025A6260"/>
    <w:rsid w:val="02697903"/>
    <w:rsid w:val="026C4FBF"/>
    <w:rsid w:val="027A5940"/>
    <w:rsid w:val="027C3F86"/>
    <w:rsid w:val="02881E0B"/>
    <w:rsid w:val="02963DFC"/>
    <w:rsid w:val="02B644C7"/>
    <w:rsid w:val="02CC1191"/>
    <w:rsid w:val="02D00075"/>
    <w:rsid w:val="02D45050"/>
    <w:rsid w:val="02DB4C72"/>
    <w:rsid w:val="02F96569"/>
    <w:rsid w:val="030663D5"/>
    <w:rsid w:val="03140F5D"/>
    <w:rsid w:val="0321400D"/>
    <w:rsid w:val="033923C2"/>
    <w:rsid w:val="033A0640"/>
    <w:rsid w:val="03406F06"/>
    <w:rsid w:val="034B02C4"/>
    <w:rsid w:val="03814D1D"/>
    <w:rsid w:val="038D3451"/>
    <w:rsid w:val="038D51FF"/>
    <w:rsid w:val="03931826"/>
    <w:rsid w:val="03983141"/>
    <w:rsid w:val="039B4135"/>
    <w:rsid w:val="03AD764F"/>
    <w:rsid w:val="03B32290"/>
    <w:rsid w:val="03BE7AAE"/>
    <w:rsid w:val="03C20E03"/>
    <w:rsid w:val="03C54999"/>
    <w:rsid w:val="03CA1FAF"/>
    <w:rsid w:val="03D63FB1"/>
    <w:rsid w:val="03E9380C"/>
    <w:rsid w:val="03EA7B21"/>
    <w:rsid w:val="03F66F0F"/>
    <w:rsid w:val="03FA23A1"/>
    <w:rsid w:val="03FA360A"/>
    <w:rsid w:val="03FC4ABB"/>
    <w:rsid w:val="04043713"/>
    <w:rsid w:val="041653E0"/>
    <w:rsid w:val="04185410"/>
    <w:rsid w:val="042E69E2"/>
    <w:rsid w:val="04304467"/>
    <w:rsid w:val="0432773A"/>
    <w:rsid w:val="0433055C"/>
    <w:rsid w:val="04333468"/>
    <w:rsid w:val="04390EE3"/>
    <w:rsid w:val="04465071"/>
    <w:rsid w:val="044C50BA"/>
    <w:rsid w:val="04531FA4"/>
    <w:rsid w:val="04622336"/>
    <w:rsid w:val="04635FDA"/>
    <w:rsid w:val="04694F7F"/>
    <w:rsid w:val="04763EE5"/>
    <w:rsid w:val="048760F2"/>
    <w:rsid w:val="048D0870"/>
    <w:rsid w:val="04AE6738"/>
    <w:rsid w:val="0506170D"/>
    <w:rsid w:val="05121E5F"/>
    <w:rsid w:val="051A6F66"/>
    <w:rsid w:val="051E25B2"/>
    <w:rsid w:val="05265ACC"/>
    <w:rsid w:val="053C512E"/>
    <w:rsid w:val="054A34C3"/>
    <w:rsid w:val="05575AC4"/>
    <w:rsid w:val="056F72B2"/>
    <w:rsid w:val="05776166"/>
    <w:rsid w:val="057B7B58"/>
    <w:rsid w:val="057F5000"/>
    <w:rsid w:val="05925ECA"/>
    <w:rsid w:val="05A10DC6"/>
    <w:rsid w:val="05AB468A"/>
    <w:rsid w:val="05BA4024"/>
    <w:rsid w:val="05E76E48"/>
    <w:rsid w:val="05EA2DDC"/>
    <w:rsid w:val="05EE467B"/>
    <w:rsid w:val="05EF714B"/>
    <w:rsid w:val="05F83EAE"/>
    <w:rsid w:val="06033F82"/>
    <w:rsid w:val="0620235A"/>
    <w:rsid w:val="06314567"/>
    <w:rsid w:val="063858F6"/>
    <w:rsid w:val="063E7D85"/>
    <w:rsid w:val="06513245"/>
    <w:rsid w:val="065554E0"/>
    <w:rsid w:val="0672181B"/>
    <w:rsid w:val="06793AA5"/>
    <w:rsid w:val="06A905C3"/>
    <w:rsid w:val="06B116D0"/>
    <w:rsid w:val="06B3733F"/>
    <w:rsid w:val="06C453FF"/>
    <w:rsid w:val="06C863F9"/>
    <w:rsid w:val="06C929F2"/>
    <w:rsid w:val="06CC571C"/>
    <w:rsid w:val="06DA6393"/>
    <w:rsid w:val="06DC67A2"/>
    <w:rsid w:val="06EB5BE5"/>
    <w:rsid w:val="06FA2BAB"/>
    <w:rsid w:val="070E2AFA"/>
    <w:rsid w:val="07117EF5"/>
    <w:rsid w:val="071F2F9A"/>
    <w:rsid w:val="071F6AB6"/>
    <w:rsid w:val="07293586"/>
    <w:rsid w:val="07295285"/>
    <w:rsid w:val="072D2F81"/>
    <w:rsid w:val="073C7FDB"/>
    <w:rsid w:val="074E4E7E"/>
    <w:rsid w:val="0753050D"/>
    <w:rsid w:val="07614A6C"/>
    <w:rsid w:val="07636392"/>
    <w:rsid w:val="07686EEB"/>
    <w:rsid w:val="07770C56"/>
    <w:rsid w:val="07836B68"/>
    <w:rsid w:val="07906CD7"/>
    <w:rsid w:val="07BA75A7"/>
    <w:rsid w:val="07CD6512"/>
    <w:rsid w:val="07D16D6C"/>
    <w:rsid w:val="07D8288D"/>
    <w:rsid w:val="07D95BE6"/>
    <w:rsid w:val="07E13D6B"/>
    <w:rsid w:val="07F4584C"/>
    <w:rsid w:val="07F57F2A"/>
    <w:rsid w:val="080D382E"/>
    <w:rsid w:val="08177B36"/>
    <w:rsid w:val="08253C58"/>
    <w:rsid w:val="082719E0"/>
    <w:rsid w:val="082B35A8"/>
    <w:rsid w:val="082F4AD6"/>
    <w:rsid w:val="084534A5"/>
    <w:rsid w:val="084560A8"/>
    <w:rsid w:val="08640C24"/>
    <w:rsid w:val="087E5BF8"/>
    <w:rsid w:val="08874912"/>
    <w:rsid w:val="08940DDD"/>
    <w:rsid w:val="08A234FA"/>
    <w:rsid w:val="08B009AA"/>
    <w:rsid w:val="08B6248C"/>
    <w:rsid w:val="08DC4C5E"/>
    <w:rsid w:val="08E24B22"/>
    <w:rsid w:val="08E40179"/>
    <w:rsid w:val="08E41E51"/>
    <w:rsid w:val="08F85810"/>
    <w:rsid w:val="08FD4BD5"/>
    <w:rsid w:val="08FF0187"/>
    <w:rsid w:val="092217DD"/>
    <w:rsid w:val="0927622F"/>
    <w:rsid w:val="092959CA"/>
    <w:rsid w:val="093631B3"/>
    <w:rsid w:val="09391199"/>
    <w:rsid w:val="093A7294"/>
    <w:rsid w:val="093B27BA"/>
    <w:rsid w:val="093E4B21"/>
    <w:rsid w:val="094648A7"/>
    <w:rsid w:val="094A004E"/>
    <w:rsid w:val="09A95B25"/>
    <w:rsid w:val="09AE08F9"/>
    <w:rsid w:val="09AE5A43"/>
    <w:rsid w:val="09B70648"/>
    <w:rsid w:val="09B72FD5"/>
    <w:rsid w:val="09C3710A"/>
    <w:rsid w:val="09E91187"/>
    <w:rsid w:val="09EC7123"/>
    <w:rsid w:val="09EC7A57"/>
    <w:rsid w:val="09ED345E"/>
    <w:rsid w:val="09F558AC"/>
    <w:rsid w:val="0A145522"/>
    <w:rsid w:val="0A187F18"/>
    <w:rsid w:val="0A1D1769"/>
    <w:rsid w:val="0A200B7B"/>
    <w:rsid w:val="0A2166A1"/>
    <w:rsid w:val="0A263993"/>
    <w:rsid w:val="0A2D3AC2"/>
    <w:rsid w:val="0A312D88"/>
    <w:rsid w:val="0A4754F2"/>
    <w:rsid w:val="0A5A755B"/>
    <w:rsid w:val="0A6213E6"/>
    <w:rsid w:val="0A6E3900"/>
    <w:rsid w:val="0A6F6D72"/>
    <w:rsid w:val="0A871A11"/>
    <w:rsid w:val="0AA755DF"/>
    <w:rsid w:val="0AB63BB5"/>
    <w:rsid w:val="0AB91F2A"/>
    <w:rsid w:val="0ACA6019"/>
    <w:rsid w:val="0AD80D95"/>
    <w:rsid w:val="0AFF2C5A"/>
    <w:rsid w:val="0B120D44"/>
    <w:rsid w:val="0B1D330C"/>
    <w:rsid w:val="0B213DAC"/>
    <w:rsid w:val="0B297111"/>
    <w:rsid w:val="0B61769D"/>
    <w:rsid w:val="0B642EBE"/>
    <w:rsid w:val="0B846ECF"/>
    <w:rsid w:val="0B85559E"/>
    <w:rsid w:val="0B8D2240"/>
    <w:rsid w:val="0B9176F8"/>
    <w:rsid w:val="0B9457D2"/>
    <w:rsid w:val="0B9D7C05"/>
    <w:rsid w:val="0B9E444D"/>
    <w:rsid w:val="0BA1324C"/>
    <w:rsid w:val="0BAF70CA"/>
    <w:rsid w:val="0BD27BF6"/>
    <w:rsid w:val="0BDC4F75"/>
    <w:rsid w:val="0BE34556"/>
    <w:rsid w:val="0BE72E0F"/>
    <w:rsid w:val="0BEC34A2"/>
    <w:rsid w:val="0C0149DC"/>
    <w:rsid w:val="0C0575B4"/>
    <w:rsid w:val="0C063DA0"/>
    <w:rsid w:val="0C105F3D"/>
    <w:rsid w:val="0C134F7E"/>
    <w:rsid w:val="0C1440D1"/>
    <w:rsid w:val="0C1464BD"/>
    <w:rsid w:val="0C1E558E"/>
    <w:rsid w:val="0C3923C8"/>
    <w:rsid w:val="0C3B3C7D"/>
    <w:rsid w:val="0C5D61FE"/>
    <w:rsid w:val="0C7D1A8D"/>
    <w:rsid w:val="0C8510A9"/>
    <w:rsid w:val="0CAB2EAE"/>
    <w:rsid w:val="0CAF268A"/>
    <w:rsid w:val="0CAF4438"/>
    <w:rsid w:val="0CAF7295"/>
    <w:rsid w:val="0CB56FDE"/>
    <w:rsid w:val="0CBF21FC"/>
    <w:rsid w:val="0CC003F3"/>
    <w:rsid w:val="0CD35A52"/>
    <w:rsid w:val="0CDE6ACB"/>
    <w:rsid w:val="0CF06F2A"/>
    <w:rsid w:val="0CF11873"/>
    <w:rsid w:val="0CF32576"/>
    <w:rsid w:val="0D0275AD"/>
    <w:rsid w:val="0D1424ED"/>
    <w:rsid w:val="0D1D3133"/>
    <w:rsid w:val="0D251F9D"/>
    <w:rsid w:val="0D3606B5"/>
    <w:rsid w:val="0D411534"/>
    <w:rsid w:val="0D466B4A"/>
    <w:rsid w:val="0D584970"/>
    <w:rsid w:val="0D621C7D"/>
    <w:rsid w:val="0D682F64"/>
    <w:rsid w:val="0D9350E4"/>
    <w:rsid w:val="0D963781"/>
    <w:rsid w:val="0DB13F55"/>
    <w:rsid w:val="0DC8201B"/>
    <w:rsid w:val="0DC83A03"/>
    <w:rsid w:val="0DCD35B3"/>
    <w:rsid w:val="0DDA7292"/>
    <w:rsid w:val="0DF50280"/>
    <w:rsid w:val="0E0A401C"/>
    <w:rsid w:val="0E2932E6"/>
    <w:rsid w:val="0E296BDA"/>
    <w:rsid w:val="0E2C532C"/>
    <w:rsid w:val="0E2F75DE"/>
    <w:rsid w:val="0E342556"/>
    <w:rsid w:val="0E423A0B"/>
    <w:rsid w:val="0E622648"/>
    <w:rsid w:val="0E682AF0"/>
    <w:rsid w:val="0E73034D"/>
    <w:rsid w:val="0E83792A"/>
    <w:rsid w:val="0E8603A2"/>
    <w:rsid w:val="0E950463"/>
    <w:rsid w:val="0EB06E60"/>
    <w:rsid w:val="0EBA4906"/>
    <w:rsid w:val="0EC77ED6"/>
    <w:rsid w:val="0EC95C60"/>
    <w:rsid w:val="0ED14B39"/>
    <w:rsid w:val="0ED24AE7"/>
    <w:rsid w:val="0EDA1B9D"/>
    <w:rsid w:val="0EDB1514"/>
    <w:rsid w:val="0EFF4547"/>
    <w:rsid w:val="0F136F00"/>
    <w:rsid w:val="0F13775A"/>
    <w:rsid w:val="0F20117F"/>
    <w:rsid w:val="0F4C5F6E"/>
    <w:rsid w:val="0F5F45FE"/>
    <w:rsid w:val="0F615EBD"/>
    <w:rsid w:val="0F6B0AEA"/>
    <w:rsid w:val="0F6B1D96"/>
    <w:rsid w:val="0F8266D9"/>
    <w:rsid w:val="0F94699A"/>
    <w:rsid w:val="0F9A112B"/>
    <w:rsid w:val="0FA83AEC"/>
    <w:rsid w:val="0FAE09D7"/>
    <w:rsid w:val="0FB56209"/>
    <w:rsid w:val="0FC4644C"/>
    <w:rsid w:val="0FC621C4"/>
    <w:rsid w:val="0FE73EE9"/>
    <w:rsid w:val="0FFC725A"/>
    <w:rsid w:val="0FFD5900"/>
    <w:rsid w:val="10142F30"/>
    <w:rsid w:val="1025513D"/>
    <w:rsid w:val="10274A79"/>
    <w:rsid w:val="1032785A"/>
    <w:rsid w:val="103F5AD3"/>
    <w:rsid w:val="10441A33"/>
    <w:rsid w:val="10473351"/>
    <w:rsid w:val="10611EED"/>
    <w:rsid w:val="10667503"/>
    <w:rsid w:val="106D2F64"/>
    <w:rsid w:val="107B4D5D"/>
    <w:rsid w:val="108159E5"/>
    <w:rsid w:val="108A1444"/>
    <w:rsid w:val="1094120F"/>
    <w:rsid w:val="10A865C2"/>
    <w:rsid w:val="10B63710"/>
    <w:rsid w:val="10BC5CF0"/>
    <w:rsid w:val="10BE733F"/>
    <w:rsid w:val="10C52DD5"/>
    <w:rsid w:val="10C61D50"/>
    <w:rsid w:val="10CD30DE"/>
    <w:rsid w:val="10D26947"/>
    <w:rsid w:val="10F10820"/>
    <w:rsid w:val="11001706"/>
    <w:rsid w:val="11010308"/>
    <w:rsid w:val="110525CA"/>
    <w:rsid w:val="110831BA"/>
    <w:rsid w:val="1108445A"/>
    <w:rsid w:val="111C2F7A"/>
    <w:rsid w:val="112E7CD6"/>
    <w:rsid w:val="11440159"/>
    <w:rsid w:val="11513438"/>
    <w:rsid w:val="11526D5A"/>
    <w:rsid w:val="11592BC4"/>
    <w:rsid w:val="115E7667"/>
    <w:rsid w:val="11665CA1"/>
    <w:rsid w:val="11784CE0"/>
    <w:rsid w:val="11873A40"/>
    <w:rsid w:val="118B7221"/>
    <w:rsid w:val="11904838"/>
    <w:rsid w:val="119360D6"/>
    <w:rsid w:val="119365ED"/>
    <w:rsid w:val="11A02AA9"/>
    <w:rsid w:val="11A84713"/>
    <w:rsid w:val="11A93D29"/>
    <w:rsid w:val="11BA18B5"/>
    <w:rsid w:val="11EE5309"/>
    <w:rsid w:val="11F074C1"/>
    <w:rsid w:val="12045226"/>
    <w:rsid w:val="121216F1"/>
    <w:rsid w:val="12137217"/>
    <w:rsid w:val="121E0096"/>
    <w:rsid w:val="122479B3"/>
    <w:rsid w:val="12295A5F"/>
    <w:rsid w:val="122F3121"/>
    <w:rsid w:val="12356E8F"/>
    <w:rsid w:val="12384497"/>
    <w:rsid w:val="1262400F"/>
    <w:rsid w:val="126564CC"/>
    <w:rsid w:val="126C1002"/>
    <w:rsid w:val="12903C47"/>
    <w:rsid w:val="12940358"/>
    <w:rsid w:val="129C6BF2"/>
    <w:rsid w:val="12A36DC9"/>
    <w:rsid w:val="12A46922"/>
    <w:rsid w:val="12AF4946"/>
    <w:rsid w:val="12C16087"/>
    <w:rsid w:val="12C30D08"/>
    <w:rsid w:val="12CF2FF6"/>
    <w:rsid w:val="12FA3FAE"/>
    <w:rsid w:val="130D1D7A"/>
    <w:rsid w:val="130F345E"/>
    <w:rsid w:val="130F6E52"/>
    <w:rsid w:val="13123140"/>
    <w:rsid w:val="131311C4"/>
    <w:rsid w:val="131B781F"/>
    <w:rsid w:val="131F3990"/>
    <w:rsid w:val="13405DEA"/>
    <w:rsid w:val="13482EF0"/>
    <w:rsid w:val="13646026"/>
    <w:rsid w:val="137D0DEC"/>
    <w:rsid w:val="1384559D"/>
    <w:rsid w:val="138C54D3"/>
    <w:rsid w:val="138C7281"/>
    <w:rsid w:val="139221E1"/>
    <w:rsid w:val="13951726"/>
    <w:rsid w:val="13CC0CE8"/>
    <w:rsid w:val="13DC26B0"/>
    <w:rsid w:val="13E36DF3"/>
    <w:rsid w:val="13E7095B"/>
    <w:rsid w:val="13E96481"/>
    <w:rsid w:val="13F7740B"/>
    <w:rsid w:val="141A2ADF"/>
    <w:rsid w:val="141D25CF"/>
    <w:rsid w:val="14333BA0"/>
    <w:rsid w:val="14396509"/>
    <w:rsid w:val="143C4803"/>
    <w:rsid w:val="145B690A"/>
    <w:rsid w:val="145C30F7"/>
    <w:rsid w:val="14661880"/>
    <w:rsid w:val="146B158C"/>
    <w:rsid w:val="14713070"/>
    <w:rsid w:val="147B4BCC"/>
    <w:rsid w:val="1481378E"/>
    <w:rsid w:val="148C3C1A"/>
    <w:rsid w:val="149175CD"/>
    <w:rsid w:val="14A01236"/>
    <w:rsid w:val="14B22D17"/>
    <w:rsid w:val="14B56668"/>
    <w:rsid w:val="14CA0ED3"/>
    <w:rsid w:val="14DD2C3C"/>
    <w:rsid w:val="14FA4B3D"/>
    <w:rsid w:val="150F3CC6"/>
    <w:rsid w:val="15151529"/>
    <w:rsid w:val="15180F75"/>
    <w:rsid w:val="152A6D51"/>
    <w:rsid w:val="152C0D1B"/>
    <w:rsid w:val="15342C3D"/>
    <w:rsid w:val="153B2D0D"/>
    <w:rsid w:val="153F711F"/>
    <w:rsid w:val="15431BC1"/>
    <w:rsid w:val="1559285F"/>
    <w:rsid w:val="155E2E9F"/>
    <w:rsid w:val="156C2EC6"/>
    <w:rsid w:val="156D2573"/>
    <w:rsid w:val="15777E3C"/>
    <w:rsid w:val="15780227"/>
    <w:rsid w:val="157B57FF"/>
    <w:rsid w:val="157D0899"/>
    <w:rsid w:val="15813164"/>
    <w:rsid w:val="15897F1C"/>
    <w:rsid w:val="158C2634"/>
    <w:rsid w:val="158F3058"/>
    <w:rsid w:val="15915022"/>
    <w:rsid w:val="15954E35"/>
    <w:rsid w:val="15992A20"/>
    <w:rsid w:val="15A07014"/>
    <w:rsid w:val="15A616C0"/>
    <w:rsid w:val="15B055A3"/>
    <w:rsid w:val="15B34F99"/>
    <w:rsid w:val="15CB29AD"/>
    <w:rsid w:val="15CE3B81"/>
    <w:rsid w:val="15EE4223"/>
    <w:rsid w:val="15F31839"/>
    <w:rsid w:val="16087E1D"/>
    <w:rsid w:val="16184DFC"/>
    <w:rsid w:val="162163A6"/>
    <w:rsid w:val="16386068"/>
    <w:rsid w:val="1652077C"/>
    <w:rsid w:val="16565924"/>
    <w:rsid w:val="166E0EC0"/>
    <w:rsid w:val="167229C8"/>
    <w:rsid w:val="16785E3E"/>
    <w:rsid w:val="167C0C4A"/>
    <w:rsid w:val="16832492"/>
    <w:rsid w:val="16882E59"/>
    <w:rsid w:val="168A458B"/>
    <w:rsid w:val="16995923"/>
    <w:rsid w:val="169F376F"/>
    <w:rsid w:val="16A4395F"/>
    <w:rsid w:val="16B73C96"/>
    <w:rsid w:val="16BC1C2B"/>
    <w:rsid w:val="16CA259A"/>
    <w:rsid w:val="16D03928"/>
    <w:rsid w:val="16EC63AA"/>
    <w:rsid w:val="170A0BE8"/>
    <w:rsid w:val="17190E2C"/>
    <w:rsid w:val="17271958"/>
    <w:rsid w:val="172D2EFF"/>
    <w:rsid w:val="173073B4"/>
    <w:rsid w:val="17367C2F"/>
    <w:rsid w:val="173A2565"/>
    <w:rsid w:val="174D0F0F"/>
    <w:rsid w:val="174F0F7F"/>
    <w:rsid w:val="175045F4"/>
    <w:rsid w:val="17515193"/>
    <w:rsid w:val="175A64CD"/>
    <w:rsid w:val="175D5E07"/>
    <w:rsid w:val="175D7F4F"/>
    <w:rsid w:val="176538DB"/>
    <w:rsid w:val="17701D14"/>
    <w:rsid w:val="17715A5A"/>
    <w:rsid w:val="17735226"/>
    <w:rsid w:val="177F1151"/>
    <w:rsid w:val="178F10EE"/>
    <w:rsid w:val="17A821AF"/>
    <w:rsid w:val="17AA23CB"/>
    <w:rsid w:val="17C0528B"/>
    <w:rsid w:val="17C0574B"/>
    <w:rsid w:val="17C4348D"/>
    <w:rsid w:val="17C4413B"/>
    <w:rsid w:val="180E4C32"/>
    <w:rsid w:val="183121A5"/>
    <w:rsid w:val="183351F1"/>
    <w:rsid w:val="18353A35"/>
    <w:rsid w:val="183879D7"/>
    <w:rsid w:val="18425057"/>
    <w:rsid w:val="18585984"/>
    <w:rsid w:val="185C5324"/>
    <w:rsid w:val="1864257A"/>
    <w:rsid w:val="18765A49"/>
    <w:rsid w:val="18787DD4"/>
    <w:rsid w:val="18887074"/>
    <w:rsid w:val="189F624C"/>
    <w:rsid w:val="18AD6BE6"/>
    <w:rsid w:val="18C0248B"/>
    <w:rsid w:val="18E831AB"/>
    <w:rsid w:val="1902730E"/>
    <w:rsid w:val="190A3122"/>
    <w:rsid w:val="19137AFC"/>
    <w:rsid w:val="19140EF5"/>
    <w:rsid w:val="19241D0A"/>
    <w:rsid w:val="1927005A"/>
    <w:rsid w:val="194B54E8"/>
    <w:rsid w:val="196547FC"/>
    <w:rsid w:val="196A7184"/>
    <w:rsid w:val="19732CC4"/>
    <w:rsid w:val="197B053C"/>
    <w:rsid w:val="198B3B37"/>
    <w:rsid w:val="19A1335A"/>
    <w:rsid w:val="19B25567"/>
    <w:rsid w:val="19BF4733"/>
    <w:rsid w:val="19BF7295"/>
    <w:rsid w:val="19C57049"/>
    <w:rsid w:val="19CD180A"/>
    <w:rsid w:val="19D11E91"/>
    <w:rsid w:val="19DB686C"/>
    <w:rsid w:val="19E85D24"/>
    <w:rsid w:val="1A053239"/>
    <w:rsid w:val="1A18361C"/>
    <w:rsid w:val="1A1A55E6"/>
    <w:rsid w:val="1A1C66C0"/>
    <w:rsid w:val="1A1D1086"/>
    <w:rsid w:val="1A227C7A"/>
    <w:rsid w:val="1A2308F8"/>
    <w:rsid w:val="1A42393B"/>
    <w:rsid w:val="1A424B3D"/>
    <w:rsid w:val="1A5605E9"/>
    <w:rsid w:val="1A747462"/>
    <w:rsid w:val="1A7975BC"/>
    <w:rsid w:val="1A9D397B"/>
    <w:rsid w:val="1AAD45DE"/>
    <w:rsid w:val="1AC62F30"/>
    <w:rsid w:val="1ACA59D4"/>
    <w:rsid w:val="1ADF676A"/>
    <w:rsid w:val="1AE14356"/>
    <w:rsid w:val="1AE2545C"/>
    <w:rsid w:val="1AE923ED"/>
    <w:rsid w:val="1AEE0F9B"/>
    <w:rsid w:val="1AF11129"/>
    <w:rsid w:val="1AF84F97"/>
    <w:rsid w:val="1B001DD6"/>
    <w:rsid w:val="1B046F80"/>
    <w:rsid w:val="1B102545"/>
    <w:rsid w:val="1B1A7868"/>
    <w:rsid w:val="1B3267B5"/>
    <w:rsid w:val="1B40161D"/>
    <w:rsid w:val="1B414DF5"/>
    <w:rsid w:val="1B4346C9"/>
    <w:rsid w:val="1B441859"/>
    <w:rsid w:val="1B4D379A"/>
    <w:rsid w:val="1B4E306E"/>
    <w:rsid w:val="1B4F12C0"/>
    <w:rsid w:val="1B5468D6"/>
    <w:rsid w:val="1B572953"/>
    <w:rsid w:val="1B656D35"/>
    <w:rsid w:val="1B6606B1"/>
    <w:rsid w:val="1B837A2C"/>
    <w:rsid w:val="1B8F77C6"/>
    <w:rsid w:val="1B9470E0"/>
    <w:rsid w:val="1B970EB9"/>
    <w:rsid w:val="1B972C67"/>
    <w:rsid w:val="1BA51472"/>
    <w:rsid w:val="1BB13D28"/>
    <w:rsid w:val="1BB235FD"/>
    <w:rsid w:val="1BC50DCD"/>
    <w:rsid w:val="1BCB46BE"/>
    <w:rsid w:val="1BD21EF1"/>
    <w:rsid w:val="1BE834C2"/>
    <w:rsid w:val="1BEA0FE8"/>
    <w:rsid w:val="1BEF4F26"/>
    <w:rsid w:val="1BF55316"/>
    <w:rsid w:val="1BF81957"/>
    <w:rsid w:val="1C006A5E"/>
    <w:rsid w:val="1C03166F"/>
    <w:rsid w:val="1C220CF4"/>
    <w:rsid w:val="1C234F0C"/>
    <w:rsid w:val="1C357243"/>
    <w:rsid w:val="1C4A264F"/>
    <w:rsid w:val="1C4F709D"/>
    <w:rsid w:val="1C5A43C0"/>
    <w:rsid w:val="1C5E7925"/>
    <w:rsid w:val="1C667728"/>
    <w:rsid w:val="1C897E65"/>
    <w:rsid w:val="1C9F42B5"/>
    <w:rsid w:val="1CB11B06"/>
    <w:rsid w:val="1CC231C1"/>
    <w:rsid w:val="1CCE3380"/>
    <w:rsid w:val="1CE41EDC"/>
    <w:rsid w:val="1CEF7619"/>
    <w:rsid w:val="1CFC7225"/>
    <w:rsid w:val="1CFD070F"/>
    <w:rsid w:val="1D03270B"/>
    <w:rsid w:val="1D045A88"/>
    <w:rsid w:val="1D0936F0"/>
    <w:rsid w:val="1D1C1676"/>
    <w:rsid w:val="1D1E1F15"/>
    <w:rsid w:val="1D4053CC"/>
    <w:rsid w:val="1D522C5B"/>
    <w:rsid w:val="1D5F1562"/>
    <w:rsid w:val="1D5F6196"/>
    <w:rsid w:val="1D6132A5"/>
    <w:rsid w:val="1D6F37FE"/>
    <w:rsid w:val="1D7266F6"/>
    <w:rsid w:val="1D7962C2"/>
    <w:rsid w:val="1D7F786A"/>
    <w:rsid w:val="1D8D6D2E"/>
    <w:rsid w:val="1D8E56D5"/>
    <w:rsid w:val="1D905BC0"/>
    <w:rsid w:val="1D984C91"/>
    <w:rsid w:val="1D9D7B56"/>
    <w:rsid w:val="1DB15E45"/>
    <w:rsid w:val="1DD65CC8"/>
    <w:rsid w:val="1DD737EE"/>
    <w:rsid w:val="1DDA6E3B"/>
    <w:rsid w:val="1DDC177F"/>
    <w:rsid w:val="1DE4416E"/>
    <w:rsid w:val="1DF321EA"/>
    <w:rsid w:val="1DF83E91"/>
    <w:rsid w:val="1DFA3B50"/>
    <w:rsid w:val="1DFA659E"/>
    <w:rsid w:val="1E1578D9"/>
    <w:rsid w:val="1E25455A"/>
    <w:rsid w:val="1E3F65B7"/>
    <w:rsid w:val="1E7228D5"/>
    <w:rsid w:val="1E736872"/>
    <w:rsid w:val="1E7A43DA"/>
    <w:rsid w:val="1EAA1A19"/>
    <w:rsid w:val="1EAC5077"/>
    <w:rsid w:val="1EAD794C"/>
    <w:rsid w:val="1EB12B88"/>
    <w:rsid w:val="1EC2785D"/>
    <w:rsid w:val="1EC91F8E"/>
    <w:rsid w:val="1EC93137"/>
    <w:rsid w:val="1ED3045A"/>
    <w:rsid w:val="1ED55F80"/>
    <w:rsid w:val="1EDA0675"/>
    <w:rsid w:val="1EDA15DD"/>
    <w:rsid w:val="1EE01213"/>
    <w:rsid w:val="1EF06916"/>
    <w:rsid w:val="1EF503D0"/>
    <w:rsid w:val="1EF84579"/>
    <w:rsid w:val="1F06729F"/>
    <w:rsid w:val="1F310769"/>
    <w:rsid w:val="1F417171"/>
    <w:rsid w:val="1F464788"/>
    <w:rsid w:val="1F4B48B0"/>
    <w:rsid w:val="1F51312D"/>
    <w:rsid w:val="1F5F16CB"/>
    <w:rsid w:val="1F6F41A5"/>
    <w:rsid w:val="1F7479AC"/>
    <w:rsid w:val="1F7A2683"/>
    <w:rsid w:val="1F7D3F22"/>
    <w:rsid w:val="1F7E6617"/>
    <w:rsid w:val="1F8654CC"/>
    <w:rsid w:val="1F9749C9"/>
    <w:rsid w:val="1F9B49C4"/>
    <w:rsid w:val="1F9E533F"/>
    <w:rsid w:val="1FB5382B"/>
    <w:rsid w:val="1FCC70E2"/>
    <w:rsid w:val="1FD44489"/>
    <w:rsid w:val="1FD47FE6"/>
    <w:rsid w:val="1FD61FB0"/>
    <w:rsid w:val="1FE7539E"/>
    <w:rsid w:val="203E49EC"/>
    <w:rsid w:val="205127A7"/>
    <w:rsid w:val="20671BE0"/>
    <w:rsid w:val="206770AC"/>
    <w:rsid w:val="206912C3"/>
    <w:rsid w:val="207417C9"/>
    <w:rsid w:val="20784E15"/>
    <w:rsid w:val="20943AB3"/>
    <w:rsid w:val="20963CB8"/>
    <w:rsid w:val="2099122F"/>
    <w:rsid w:val="209B4928"/>
    <w:rsid w:val="209C256B"/>
    <w:rsid w:val="20A81A1B"/>
    <w:rsid w:val="20B07FB6"/>
    <w:rsid w:val="20B646FB"/>
    <w:rsid w:val="20C626AD"/>
    <w:rsid w:val="20C801A8"/>
    <w:rsid w:val="20CA3197"/>
    <w:rsid w:val="20CD7E55"/>
    <w:rsid w:val="20DA787E"/>
    <w:rsid w:val="20DE6DFD"/>
    <w:rsid w:val="20DF4E94"/>
    <w:rsid w:val="20E13B3C"/>
    <w:rsid w:val="20F269E7"/>
    <w:rsid w:val="20F546B7"/>
    <w:rsid w:val="20F63F8C"/>
    <w:rsid w:val="21054285"/>
    <w:rsid w:val="210C7C53"/>
    <w:rsid w:val="21170D20"/>
    <w:rsid w:val="211D59BC"/>
    <w:rsid w:val="212136FE"/>
    <w:rsid w:val="2134416F"/>
    <w:rsid w:val="213B74B1"/>
    <w:rsid w:val="2148354C"/>
    <w:rsid w:val="2148796D"/>
    <w:rsid w:val="214F1B62"/>
    <w:rsid w:val="21577120"/>
    <w:rsid w:val="215A2310"/>
    <w:rsid w:val="215F70AE"/>
    <w:rsid w:val="217001E2"/>
    <w:rsid w:val="217852F4"/>
    <w:rsid w:val="217E14A6"/>
    <w:rsid w:val="2189118C"/>
    <w:rsid w:val="219043E0"/>
    <w:rsid w:val="21976550"/>
    <w:rsid w:val="21A55BAC"/>
    <w:rsid w:val="21AD4F92"/>
    <w:rsid w:val="21B87493"/>
    <w:rsid w:val="21C75447"/>
    <w:rsid w:val="21C81DCC"/>
    <w:rsid w:val="21D50045"/>
    <w:rsid w:val="21DE318A"/>
    <w:rsid w:val="21EF5B80"/>
    <w:rsid w:val="2205092A"/>
    <w:rsid w:val="224C01BF"/>
    <w:rsid w:val="224E326E"/>
    <w:rsid w:val="22576990"/>
    <w:rsid w:val="22590C76"/>
    <w:rsid w:val="225B2C40"/>
    <w:rsid w:val="228C3A98"/>
    <w:rsid w:val="22B47D46"/>
    <w:rsid w:val="22B858FD"/>
    <w:rsid w:val="22D71A68"/>
    <w:rsid w:val="22E82349"/>
    <w:rsid w:val="22EC7DFB"/>
    <w:rsid w:val="22F15352"/>
    <w:rsid w:val="22F47480"/>
    <w:rsid w:val="22FA599B"/>
    <w:rsid w:val="230308EE"/>
    <w:rsid w:val="23035B1D"/>
    <w:rsid w:val="23076924"/>
    <w:rsid w:val="2313193E"/>
    <w:rsid w:val="232079E6"/>
    <w:rsid w:val="23323A19"/>
    <w:rsid w:val="233D2346"/>
    <w:rsid w:val="23490CEA"/>
    <w:rsid w:val="23493846"/>
    <w:rsid w:val="234A44CD"/>
    <w:rsid w:val="23575EA4"/>
    <w:rsid w:val="23582CDC"/>
    <w:rsid w:val="235C2C83"/>
    <w:rsid w:val="235F050E"/>
    <w:rsid w:val="236977DC"/>
    <w:rsid w:val="23700025"/>
    <w:rsid w:val="237D208A"/>
    <w:rsid w:val="23813BD0"/>
    <w:rsid w:val="238564FF"/>
    <w:rsid w:val="23903035"/>
    <w:rsid w:val="23933F1C"/>
    <w:rsid w:val="23955CDE"/>
    <w:rsid w:val="239678B1"/>
    <w:rsid w:val="23A46E10"/>
    <w:rsid w:val="23B00D6A"/>
    <w:rsid w:val="23B56380"/>
    <w:rsid w:val="23B95E70"/>
    <w:rsid w:val="23D9206E"/>
    <w:rsid w:val="23DA757B"/>
    <w:rsid w:val="23DE1C48"/>
    <w:rsid w:val="23EC37DD"/>
    <w:rsid w:val="23F90CF2"/>
    <w:rsid w:val="23FC5944"/>
    <w:rsid w:val="240210CD"/>
    <w:rsid w:val="24084702"/>
    <w:rsid w:val="24156E1F"/>
    <w:rsid w:val="24170DE9"/>
    <w:rsid w:val="241A5753"/>
    <w:rsid w:val="243112C3"/>
    <w:rsid w:val="24343749"/>
    <w:rsid w:val="2437353F"/>
    <w:rsid w:val="245F16CB"/>
    <w:rsid w:val="24617421"/>
    <w:rsid w:val="247D6F59"/>
    <w:rsid w:val="247F624D"/>
    <w:rsid w:val="24835002"/>
    <w:rsid w:val="24A169F0"/>
    <w:rsid w:val="24A55AF6"/>
    <w:rsid w:val="24A94248"/>
    <w:rsid w:val="24AC7783"/>
    <w:rsid w:val="24B54399"/>
    <w:rsid w:val="24B71305"/>
    <w:rsid w:val="24BF09F7"/>
    <w:rsid w:val="24CA5E5B"/>
    <w:rsid w:val="24CE12B5"/>
    <w:rsid w:val="24CE371A"/>
    <w:rsid w:val="24E573D7"/>
    <w:rsid w:val="24F4696F"/>
    <w:rsid w:val="24FA6740"/>
    <w:rsid w:val="24FE78B3"/>
    <w:rsid w:val="25006DA5"/>
    <w:rsid w:val="251B6E21"/>
    <w:rsid w:val="252C0E14"/>
    <w:rsid w:val="252D53FE"/>
    <w:rsid w:val="25341526"/>
    <w:rsid w:val="25502F27"/>
    <w:rsid w:val="257F3FCC"/>
    <w:rsid w:val="25803786"/>
    <w:rsid w:val="258223FB"/>
    <w:rsid w:val="258A1146"/>
    <w:rsid w:val="25A047B1"/>
    <w:rsid w:val="25A2609B"/>
    <w:rsid w:val="25B932FA"/>
    <w:rsid w:val="25C2635B"/>
    <w:rsid w:val="25CF5657"/>
    <w:rsid w:val="25CF7050"/>
    <w:rsid w:val="25D3159F"/>
    <w:rsid w:val="25D725DE"/>
    <w:rsid w:val="25DF76E4"/>
    <w:rsid w:val="25E25630"/>
    <w:rsid w:val="25E310F1"/>
    <w:rsid w:val="25EC2D81"/>
    <w:rsid w:val="25EF7007"/>
    <w:rsid w:val="25F62C69"/>
    <w:rsid w:val="25FC33D9"/>
    <w:rsid w:val="25FE400E"/>
    <w:rsid w:val="26054D70"/>
    <w:rsid w:val="261817FD"/>
    <w:rsid w:val="261F5D33"/>
    <w:rsid w:val="26275453"/>
    <w:rsid w:val="2635298F"/>
    <w:rsid w:val="263F60ED"/>
    <w:rsid w:val="26412005"/>
    <w:rsid w:val="264E03C6"/>
    <w:rsid w:val="267511C1"/>
    <w:rsid w:val="268418C0"/>
    <w:rsid w:val="268A7650"/>
    <w:rsid w:val="26990E20"/>
    <w:rsid w:val="26A15224"/>
    <w:rsid w:val="26A266DA"/>
    <w:rsid w:val="26F67333"/>
    <w:rsid w:val="27022491"/>
    <w:rsid w:val="271A2793"/>
    <w:rsid w:val="27224DDC"/>
    <w:rsid w:val="274016E3"/>
    <w:rsid w:val="2748699C"/>
    <w:rsid w:val="27534744"/>
    <w:rsid w:val="2753612D"/>
    <w:rsid w:val="275B19AE"/>
    <w:rsid w:val="275F53B8"/>
    <w:rsid w:val="27683F0C"/>
    <w:rsid w:val="276D6723"/>
    <w:rsid w:val="276E6F72"/>
    <w:rsid w:val="277057A2"/>
    <w:rsid w:val="278B285E"/>
    <w:rsid w:val="27937CC8"/>
    <w:rsid w:val="27942E59"/>
    <w:rsid w:val="27A03CB7"/>
    <w:rsid w:val="27A5171E"/>
    <w:rsid w:val="27A57585"/>
    <w:rsid w:val="27C76682"/>
    <w:rsid w:val="27D172E0"/>
    <w:rsid w:val="27D35027"/>
    <w:rsid w:val="27D8263D"/>
    <w:rsid w:val="27DD0330"/>
    <w:rsid w:val="27E12C26"/>
    <w:rsid w:val="27E2691F"/>
    <w:rsid w:val="27F220D3"/>
    <w:rsid w:val="28013942"/>
    <w:rsid w:val="281E7AC8"/>
    <w:rsid w:val="28352155"/>
    <w:rsid w:val="28390070"/>
    <w:rsid w:val="283E2FB3"/>
    <w:rsid w:val="28531034"/>
    <w:rsid w:val="285C14C0"/>
    <w:rsid w:val="28767CDC"/>
    <w:rsid w:val="287700A8"/>
    <w:rsid w:val="288B3B53"/>
    <w:rsid w:val="288D3427"/>
    <w:rsid w:val="289724F8"/>
    <w:rsid w:val="28975A8F"/>
    <w:rsid w:val="28A36429"/>
    <w:rsid w:val="28C57065"/>
    <w:rsid w:val="28C72DDD"/>
    <w:rsid w:val="28FC4B76"/>
    <w:rsid w:val="29037B8D"/>
    <w:rsid w:val="290D6316"/>
    <w:rsid w:val="290F45A9"/>
    <w:rsid w:val="29206EB8"/>
    <w:rsid w:val="29263DA2"/>
    <w:rsid w:val="29341449"/>
    <w:rsid w:val="294139FF"/>
    <w:rsid w:val="29445A1E"/>
    <w:rsid w:val="294A6240"/>
    <w:rsid w:val="29542B12"/>
    <w:rsid w:val="29595666"/>
    <w:rsid w:val="29693E94"/>
    <w:rsid w:val="296C5733"/>
    <w:rsid w:val="297542CD"/>
    <w:rsid w:val="2975638C"/>
    <w:rsid w:val="29874881"/>
    <w:rsid w:val="29880E5B"/>
    <w:rsid w:val="298F0842"/>
    <w:rsid w:val="29A9603F"/>
    <w:rsid w:val="29B570DA"/>
    <w:rsid w:val="29E325E0"/>
    <w:rsid w:val="29EE6148"/>
    <w:rsid w:val="29F37C02"/>
    <w:rsid w:val="29FB1B3D"/>
    <w:rsid w:val="2A16744D"/>
    <w:rsid w:val="2A186EBC"/>
    <w:rsid w:val="2A1A19DE"/>
    <w:rsid w:val="2A25002F"/>
    <w:rsid w:val="2A387627"/>
    <w:rsid w:val="2A3A138D"/>
    <w:rsid w:val="2A452503"/>
    <w:rsid w:val="2A481CFC"/>
    <w:rsid w:val="2A4B4090"/>
    <w:rsid w:val="2A4D6EA1"/>
    <w:rsid w:val="2A536800"/>
    <w:rsid w:val="2A6603D4"/>
    <w:rsid w:val="2A944919"/>
    <w:rsid w:val="2AAE4D1A"/>
    <w:rsid w:val="2AAE58D7"/>
    <w:rsid w:val="2AB02639"/>
    <w:rsid w:val="2ADE61BC"/>
    <w:rsid w:val="2AEA2DB3"/>
    <w:rsid w:val="2AED4651"/>
    <w:rsid w:val="2AF552B4"/>
    <w:rsid w:val="2AF72431"/>
    <w:rsid w:val="2AFF0583"/>
    <w:rsid w:val="2B111D6F"/>
    <w:rsid w:val="2B2161B2"/>
    <w:rsid w:val="2B3C601B"/>
    <w:rsid w:val="2B4A3852"/>
    <w:rsid w:val="2B4F2D00"/>
    <w:rsid w:val="2B52247C"/>
    <w:rsid w:val="2B585684"/>
    <w:rsid w:val="2B613049"/>
    <w:rsid w:val="2B622801"/>
    <w:rsid w:val="2B72734D"/>
    <w:rsid w:val="2B741E2A"/>
    <w:rsid w:val="2B7A44EF"/>
    <w:rsid w:val="2B8054C5"/>
    <w:rsid w:val="2BA358E0"/>
    <w:rsid w:val="2BA61030"/>
    <w:rsid w:val="2BA936A8"/>
    <w:rsid w:val="2BC0774F"/>
    <w:rsid w:val="2BD963E6"/>
    <w:rsid w:val="2BDF21EC"/>
    <w:rsid w:val="2BEE0681"/>
    <w:rsid w:val="2BEE60E5"/>
    <w:rsid w:val="2C02412C"/>
    <w:rsid w:val="2C250D85"/>
    <w:rsid w:val="2C315A5A"/>
    <w:rsid w:val="2C335F5A"/>
    <w:rsid w:val="2C3D33B6"/>
    <w:rsid w:val="2C491D5B"/>
    <w:rsid w:val="2C4B1C25"/>
    <w:rsid w:val="2C531066"/>
    <w:rsid w:val="2C536608"/>
    <w:rsid w:val="2C5F3D9D"/>
    <w:rsid w:val="2C7F577D"/>
    <w:rsid w:val="2C9215E2"/>
    <w:rsid w:val="2CBC252D"/>
    <w:rsid w:val="2CD877C8"/>
    <w:rsid w:val="2CDF0AFD"/>
    <w:rsid w:val="2CFF066C"/>
    <w:rsid w:val="2D07796A"/>
    <w:rsid w:val="2D2518FE"/>
    <w:rsid w:val="2D316C87"/>
    <w:rsid w:val="2D3F09FC"/>
    <w:rsid w:val="2D414068"/>
    <w:rsid w:val="2D55028C"/>
    <w:rsid w:val="2D65712B"/>
    <w:rsid w:val="2D720854"/>
    <w:rsid w:val="2D7626DC"/>
    <w:rsid w:val="2D7F400A"/>
    <w:rsid w:val="2D9C5EBB"/>
    <w:rsid w:val="2D9E007B"/>
    <w:rsid w:val="2D9E56F5"/>
    <w:rsid w:val="2DA14432"/>
    <w:rsid w:val="2DA1449A"/>
    <w:rsid w:val="2DBE22D5"/>
    <w:rsid w:val="2DC0292D"/>
    <w:rsid w:val="2DD37B2E"/>
    <w:rsid w:val="2DD613CD"/>
    <w:rsid w:val="2DD6761F"/>
    <w:rsid w:val="2DEF248E"/>
    <w:rsid w:val="2DF823FE"/>
    <w:rsid w:val="2DF857E7"/>
    <w:rsid w:val="2E0A72C8"/>
    <w:rsid w:val="2E100D83"/>
    <w:rsid w:val="2E114AFB"/>
    <w:rsid w:val="2E2C1D2C"/>
    <w:rsid w:val="2E310CF9"/>
    <w:rsid w:val="2E3C21B3"/>
    <w:rsid w:val="2E440655"/>
    <w:rsid w:val="2E47502F"/>
    <w:rsid w:val="2E4D75EA"/>
    <w:rsid w:val="2E667F96"/>
    <w:rsid w:val="2E693FEF"/>
    <w:rsid w:val="2E813A2E"/>
    <w:rsid w:val="2E8226AB"/>
    <w:rsid w:val="2E840E29"/>
    <w:rsid w:val="2E8A7C81"/>
    <w:rsid w:val="2E913C85"/>
    <w:rsid w:val="2E991BE6"/>
    <w:rsid w:val="2EA25753"/>
    <w:rsid w:val="2EA60E05"/>
    <w:rsid w:val="2EB07E70"/>
    <w:rsid w:val="2EC60A0D"/>
    <w:rsid w:val="2EC92CDF"/>
    <w:rsid w:val="2ED13DAA"/>
    <w:rsid w:val="2F04224B"/>
    <w:rsid w:val="2F1321AD"/>
    <w:rsid w:val="2F143E28"/>
    <w:rsid w:val="2F211997"/>
    <w:rsid w:val="2F291A8D"/>
    <w:rsid w:val="2F2D4028"/>
    <w:rsid w:val="2F6A2B94"/>
    <w:rsid w:val="2F7075FF"/>
    <w:rsid w:val="2F76515D"/>
    <w:rsid w:val="2F86253F"/>
    <w:rsid w:val="2F86491C"/>
    <w:rsid w:val="2F9B0B20"/>
    <w:rsid w:val="2FA06136"/>
    <w:rsid w:val="2FA44427"/>
    <w:rsid w:val="2FAD0853"/>
    <w:rsid w:val="2FAE7142"/>
    <w:rsid w:val="2FB15D03"/>
    <w:rsid w:val="2FB32848"/>
    <w:rsid w:val="2FC75471"/>
    <w:rsid w:val="2FD065E6"/>
    <w:rsid w:val="2FD96870"/>
    <w:rsid w:val="2FDB5E24"/>
    <w:rsid w:val="2FF43D8C"/>
    <w:rsid w:val="2FF9300E"/>
    <w:rsid w:val="2FFD7EE2"/>
    <w:rsid w:val="2FFF61F5"/>
    <w:rsid w:val="301B5AE8"/>
    <w:rsid w:val="301E1E22"/>
    <w:rsid w:val="30360848"/>
    <w:rsid w:val="30444D13"/>
    <w:rsid w:val="305331A8"/>
    <w:rsid w:val="30580BC9"/>
    <w:rsid w:val="307574BA"/>
    <w:rsid w:val="307A6987"/>
    <w:rsid w:val="307B625B"/>
    <w:rsid w:val="307C2727"/>
    <w:rsid w:val="309B7042"/>
    <w:rsid w:val="309E2DC2"/>
    <w:rsid w:val="30AB1882"/>
    <w:rsid w:val="30BC0D4E"/>
    <w:rsid w:val="30D51E0F"/>
    <w:rsid w:val="30DF4C0F"/>
    <w:rsid w:val="30E35CC1"/>
    <w:rsid w:val="30F36E3B"/>
    <w:rsid w:val="30FC25A0"/>
    <w:rsid w:val="30FF50DE"/>
    <w:rsid w:val="311A4144"/>
    <w:rsid w:val="311D34DE"/>
    <w:rsid w:val="311E2ED7"/>
    <w:rsid w:val="31216E03"/>
    <w:rsid w:val="312F2E53"/>
    <w:rsid w:val="313071E9"/>
    <w:rsid w:val="313F0ADA"/>
    <w:rsid w:val="31501496"/>
    <w:rsid w:val="315619EE"/>
    <w:rsid w:val="315C449C"/>
    <w:rsid w:val="315E727F"/>
    <w:rsid w:val="315F1ED8"/>
    <w:rsid w:val="316157B6"/>
    <w:rsid w:val="317F1D7B"/>
    <w:rsid w:val="318B1086"/>
    <w:rsid w:val="318B5E58"/>
    <w:rsid w:val="3198037C"/>
    <w:rsid w:val="31A41E31"/>
    <w:rsid w:val="31A67308"/>
    <w:rsid w:val="31B1462B"/>
    <w:rsid w:val="31B477CD"/>
    <w:rsid w:val="31B82709"/>
    <w:rsid w:val="31BA6C25"/>
    <w:rsid w:val="31BF4EDE"/>
    <w:rsid w:val="31C73854"/>
    <w:rsid w:val="31D05482"/>
    <w:rsid w:val="31D21F97"/>
    <w:rsid w:val="31DD6A4B"/>
    <w:rsid w:val="31E00383"/>
    <w:rsid w:val="31F60C40"/>
    <w:rsid w:val="321D4C62"/>
    <w:rsid w:val="3220355E"/>
    <w:rsid w:val="32253768"/>
    <w:rsid w:val="322B4AD8"/>
    <w:rsid w:val="32313075"/>
    <w:rsid w:val="323973F1"/>
    <w:rsid w:val="323B2146"/>
    <w:rsid w:val="32400B34"/>
    <w:rsid w:val="328437BE"/>
    <w:rsid w:val="32891103"/>
    <w:rsid w:val="328B4712"/>
    <w:rsid w:val="328C7252"/>
    <w:rsid w:val="329E6876"/>
    <w:rsid w:val="32B37F2E"/>
    <w:rsid w:val="32B75F21"/>
    <w:rsid w:val="32CC2D9E"/>
    <w:rsid w:val="32D56AD0"/>
    <w:rsid w:val="32D83E39"/>
    <w:rsid w:val="32DA76CD"/>
    <w:rsid w:val="32DF5A2B"/>
    <w:rsid w:val="32F5021B"/>
    <w:rsid w:val="32F860CE"/>
    <w:rsid w:val="331935FC"/>
    <w:rsid w:val="332C1A8F"/>
    <w:rsid w:val="333015F2"/>
    <w:rsid w:val="333472C1"/>
    <w:rsid w:val="334757D7"/>
    <w:rsid w:val="334B6320"/>
    <w:rsid w:val="33664FA1"/>
    <w:rsid w:val="336C3DD3"/>
    <w:rsid w:val="33743B62"/>
    <w:rsid w:val="33774058"/>
    <w:rsid w:val="337E4E2C"/>
    <w:rsid w:val="33837901"/>
    <w:rsid w:val="338674D1"/>
    <w:rsid w:val="33945FB2"/>
    <w:rsid w:val="33B169E4"/>
    <w:rsid w:val="33BB0DED"/>
    <w:rsid w:val="33BB2208"/>
    <w:rsid w:val="33C2512E"/>
    <w:rsid w:val="33D509D3"/>
    <w:rsid w:val="33D934D4"/>
    <w:rsid w:val="33DB598F"/>
    <w:rsid w:val="33FE2F6A"/>
    <w:rsid w:val="34017AE4"/>
    <w:rsid w:val="340D366E"/>
    <w:rsid w:val="340E07E5"/>
    <w:rsid w:val="34151734"/>
    <w:rsid w:val="341547EA"/>
    <w:rsid w:val="34201EB1"/>
    <w:rsid w:val="34235BF7"/>
    <w:rsid w:val="34246CC3"/>
    <w:rsid w:val="342D5B8B"/>
    <w:rsid w:val="342F6D70"/>
    <w:rsid w:val="34541E89"/>
    <w:rsid w:val="34610414"/>
    <w:rsid w:val="34675474"/>
    <w:rsid w:val="346905BD"/>
    <w:rsid w:val="34814E5E"/>
    <w:rsid w:val="348B70ED"/>
    <w:rsid w:val="348E7542"/>
    <w:rsid w:val="3492329A"/>
    <w:rsid w:val="34966451"/>
    <w:rsid w:val="349B2BDB"/>
    <w:rsid w:val="34B9173E"/>
    <w:rsid w:val="34D0301A"/>
    <w:rsid w:val="34D10B40"/>
    <w:rsid w:val="34DA79F4"/>
    <w:rsid w:val="34DB376C"/>
    <w:rsid w:val="34DC1F38"/>
    <w:rsid w:val="34EA39B0"/>
    <w:rsid w:val="34FF5436"/>
    <w:rsid w:val="35034550"/>
    <w:rsid w:val="35101B13"/>
    <w:rsid w:val="351C48EA"/>
    <w:rsid w:val="351F18AB"/>
    <w:rsid w:val="35245DAF"/>
    <w:rsid w:val="352B4654"/>
    <w:rsid w:val="35441312"/>
    <w:rsid w:val="354E3B8F"/>
    <w:rsid w:val="355377A7"/>
    <w:rsid w:val="35632953"/>
    <w:rsid w:val="356D341C"/>
    <w:rsid w:val="3575771D"/>
    <w:rsid w:val="3578720D"/>
    <w:rsid w:val="358636D8"/>
    <w:rsid w:val="358B6F41"/>
    <w:rsid w:val="358C5FA8"/>
    <w:rsid w:val="359738B6"/>
    <w:rsid w:val="35A973C7"/>
    <w:rsid w:val="35A974D6"/>
    <w:rsid w:val="35B244CD"/>
    <w:rsid w:val="35C15DF1"/>
    <w:rsid w:val="36033316"/>
    <w:rsid w:val="36061167"/>
    <w:rsid w:val="36074A7F"/>
    <w:rsid w:val="36177C25"/>
    <w:rsid w:val="361B60AD"/>
    <w:rsid w:val="361E1B63"/>
    <w:rsid w:val="3628478F"/>
    <w:rsid w:val="3632102E"/>
    <w:rsid w:val="366163F1"/>
    <w:rsid w:val="36655019"/>
    <w:rsid w:val="36657792"/>
    <w:rsid w:val="368C4D1E"/>
    <w:rsid w:val="36923549"/>
    <w:rsid w:val="36985028"/>
    <w:rsid w:val="36AA5AEC"/>
    <w:rsid w:val="36AF6C5F"/>
    <w:rsid w:val="36B75FBF"/>
    <w:rsid w:val="36BD0C45"/>
    <w:rsid w:val="370130B6"/>
    <w:rsid w:val="370D6FB9"/>
    <w:rsid w:val="37272C99"/>
    <w:rsid w:val="37287C96"/>
    <w:rsid w:val="37343D3E"/>
    <w:rsid w:val="373A4AB8"/>
    <w:rsid w:val="37411FAD"/>
    <w:rsid w:val="37465530"/>
    <w:rsid w:val="374C5AAC"/>
    <w:rsid w:val="374F7AC7"/>
    <w:rsid w:val="37522CCA"/>
    <w:rsid w:val="37691503"/>
    <w:rsid w:val="37692E75"/>
    <w:rsid w:val="376D0B29"/>
    <w:rsid w:val="376E6505"/>
    <w:rsid w:val="376F6EDF"/>
    <w:rsid w:val="377309D7"/>
    <w:rsid w:val="377759CE"/>
    <w:rsid w:val="377F4883"/>
    <w:rsid w:val="379F0A81"/>
    <w:rsid w:val="37B43B3B"/>
    <w:rsid w:val="37B869C2"/>
    <w:rsid w:val="37C36E66"/>
    <w:rsid w:val="37C91E32"/>
    <w:rsid w:val="37DF3763"/>
    <w:rsid w:val="37E00298"/>
    <w:rsid w:val="37E42938"/>
    <w:rsid w:val="37F53506"/>
    <w:rsid w:val="37F54FE4"/>
    <w:rsid w:val="37FA03AE"/>
    <w:rsid w:val="38051346"/>
    <w:rsid w:val="380A4A95"/>
    <w:rsid w:val="38160C7F"/>
    <w:rsid w:val="38193C21"/>
    <w:rsid w:val="381E18E9"/>
    <w:rsid w:val="381E23DA"/>
    <w:rsid w:val="3821204D"/>
    <w:rsid w:val="38233460"/>
    <w:rsid w:val="383B0710"/>
    <w:rsid w:val="38422B1D"/>
    <w:rsid w:val="3842422E"/>
    <w:rsid w:val="385E6B8E"/>
    <w:rsid w:val="387737AC"/>
    <w:rsid w:val="38782879"/>
    <w:rsid w:val="38881A8D"/>
    <w:rsid w:val="388C53DA"/>
    <w:rsid w:val="389600D6"/>
    <w:rsid w:val="38B302F9"/>
    <w:rsid w:val="38B64CF2"/>
    <w:rsid w:val="38B92017"/>
    <w:rsid w:val="38BB416C"/>
    <w:rsid w:val="38C86807"/>
    <w:rsid w:val="38CA4224"/>
    <w:rsid w:val="38F12CD3"/>
    <w:rsid w:val="38F765F5"/>
    <w:rsid w:val="38F94775"/>
    <w:rsid w:val="390E5EBF"/>
    <w:rsid w:val="39110928"/>
    <w:rsid w:val="39191AD0"/>
    <w:rsid w:val="392971ED"/>
    <w:rsid w:val="39325651"/>
    <w:rsid w:val="393B560D"/>
    <w:rsid w:val="394368AB"/>
    <w:rsid w:val="394871E4"/>
    <w:rsid w:val="396401D4"/>
    <w:rsid w:val="39730417"/>
    <w:rsid w:val="398825EF"/>
    <w:rsid w:val="39897C3B"/>
    <w:rsid w:val="399B1F2E"/>
    <w:rsid w:val="39A22AAB"/>
    <w:rsid w:val="39A95BE7"/>
    <w:rsid w:val="39BD1052"/>
    <w:rsid w:val="39C56956"/>
    <w:rsid w:val="39D21FFE"/>
    <w:rsid w:val="3A0B4C95"/>
    <w:rsid w:val="3A0C17C8"/>
    <w:rsid w:val="3A0D43C8"/>
    <w:rsid w:val="3A10210A"/>
    <w:rsid w:val="3A103EB8"/>
    <w:rsid w:val="3A141A1A"/>
    <w:rsid w:val="3A4452F6"/>
    <w:rsid w:val="3A5006E6"/>
    <w:rsid w:val="3A511DFF"/>
    <w:rsid w:val="3A687850"/>
    <w:rsid w:val="3A780A78"/>
    <w:rsid w:val="3A7D77A0"/>
    <w:rsid w:val="3A872856"/>
    <w:rsid w:val="3A8D4D42"/>
    <w:rsid w:val="3A9A3ECB"/>
    <w:rsid w:val="3AA577FD"/>
    <w:rsid w:val="3AAD2378"/>
    <w:rsid w:val="3ABE56C2"/>
    <w:rsid w:val="3AC058DE"/>
    <w:rsid w:val="3AC802EF"/>
    <w:rsid w:val="3AD034B4"/>
    <w:rsid w:val="3ADD1FEC"/>
    <w:rsid w:val="3ADE02F2"/>
    <w:rsid w:val="3AE0388B"/>
    <w:rsid w:val="3AEB3C92"/>
    <w:rsid w:val="3AF31810"/>
    <w:rsid w:val="3B0045E5"/>
    <w:rsid w:val="3B0C0DCE"/>
    <w:rsid w:val="3B2714BA"/>
    <w:rsid w:val="3B2F65C0"/>
    <w:rsid w:val="3B3749D7"/>
    <w:rsid w:val="3B3763D1"/>
    <w:rsid w:val="3B434AF0"/>
    <w:rsid w:val="3B566601"/>
    <w:rsid w:val="3B5B2830"/>
    <w:rsid w:val="3B5F7A63"/>
    <w:rsid w:val="3B6E533A"/>
    <w:rsid w:val="3B7364AD"/>
    <w:rsid w:val="3B844B55"/>
    <w:rsid w:val="3B853F89"/>
    <w:rsid w:val="3BA0301A"/>
    <w:rsid w:val="3BA75FDB"/>
    <w:rsid w:val="3BAA2EB3"/>
    <w:rsid w:val="3BB16FD5"/>
    <w:rsid w:val="3BB84807"/>
    <w:rsid w:val="3BC06454"/>
    <w:rsid w:val="3BC44F5A"/>
    <w:rsid w:val="3BD17704"/>
    <w:rsid w:val="3BED32CC"/>
    <w:rsid w:val="3BF375EE"/>
    <w:rsid w:val="3C101F4E"/>
    <w:rsid w:val="3C1063F2"/>
    <w:rsid w:val="3C294B40"/>
    <w:rsid w:val="3C2E550F"/>
    <w:rsid w:val="3C2F6E1E"/>
    <w:rsid w:val="3C3C0F95"/>
    <w:rsid w:val="3C432C25"/>
    <w:rsid w:val="3C4E0CC8"/>
    <w:rsid w:val="3C4F64BA"/>
    <w:rsid w:val="3C5417B3"/>
    <w:rsid w:val="3C5F299E"/>
    <w:rsid w:val="3C634773"/>
    <w:rsid w:val="3C6F3118"/>
    <w:rsid w:val="3C74072E"/>
    <w:rsid w:val="3C806F8B"/>
    <w:rsid w:val="3C960F19"/>
    <w:rsid w:val="3C9613C2"/>
    <w:rsid w:val="3CA332BD"/>
    <w:rsid w:val="3CB37D85"/>
    <w:rsid w:val="3CC176EC"/>
    <w:rsid w:val="3CCF5F1D"/>
    <w:rsid w:val="3CD02A9E"/>
    <w:rsid w:val="3CD553C5"/>
    <w:rsid w:val="3CDA245A"/>
    <w:rsid w:val="3CF4361D"/>
    <w:rsid w:val="3CF7310E"/>
    <w:rsid w:val="3CF77F53"/>
    <w:rsid w:val="3D005720"/>
    <w:rsid w:val="3D006466"/>
    <w:rsid w:val="3D185B3B"/>
    <w:rsid w:val="3D1A13B6"/>
    <w:rsid w:val="3D1E06B7"/>
    <w:rsid w:val="3D2F0AF9"/>
    <w:rsid w:val="3D2F69E2"/>
    <w:rsid w:val="3D346110"/>
    <w:rsid w:val="3D3F4383"/>
    <w:rsid w:val="3D416546"/>
    <w:rsid w:val="3D4272D7"/>
    <w:rsid w:val="3D4E3D12"/>
    <w:rsid w:val="3D557CEA"/>
    <w:rsid w:val="3D5F1E6E"/>
    <w:rsid w:val="3D6A38DF"/>
    <w:rsid w:val="3D6E33D0"/>
    <w:rsid w:val="3D735C57"/>
    <w:rsid w:val="3D827DBA"/>
    <w:rsid w:val="3D99232C"/>
    <w:rsid w:val="3DB044FD"/>
    <w:rsid w:val="3DC21977"/>
    <w:rsid w:val="3DCA0014"/>
    <w:rsid w:val="3DED766D"/>
    <w:rsid w:val="3DEE4511"/>
    <w:rsid w:val="3DFA202C"/>
    <w:rsid w:val="3DFD4754"/>
    <w:rsid w:val="3E0B27ED"/>
    <w:rsid w:val="3E0E56D1"/>
    <w:rsid w:val="3E114195"/>
    <w:rsid w:val="3E2717D1"/>
    <w:rsid w:val="3E2B405E"/>
    <w:rsid w:val="3E44389C"/>
    <w:rsid w:val="3E4800C5"/>
    <w:rsid w:val="3E545826"/>
    <w:rsid w:val="3E5638B9"/>
    <w:rsid w:val="3E642A25"/>
    <w:rsid w:val="3E65064E"/>
    <w:rsid w:val="3E846C23"/>
    <w:rsid w:val="3E863D64"/>
    <w:rsid w:val="3E886684"/>
    <w:rsid w:val="3E8F1850"/>
    <w:rsid w:val="3E8F2632"/>
    <w:rsid w:val="3E9F14AA"/>
    <w:rsid w:val="3E9F5ED8"/>
    <w:rsid w:val="3EAC4704"/>
    <w:rsid w:val="3EB968CD"/>
    <w:rsid w:val="3EBD1952"/>
    <w:rsid w:val="3ECC4D42"/>
    <w:rsid w:val="3ECD3CAE"/>
    <w:rsid w:val="3ED324B7"/>
    <w:rsid w:val="3EDA0523"/>
    <w:rsid w:val="3EDE5D3C"/>
    <w:rsid w:val="3EEB27FE"/>
    <w:rsid w:val="3EFC62F4"/>
    <w:rsid w:val="3F1831BA"/>
    <w:rsid w:val="3F2008D9"/>
    <w:rsid w:val="3F380E29"/>
    <w:rsid w:val="3F42403B"/>
    <w:rsid w:val="3F4A5777"/>
    <w:rsid w:val="3F512FA9"/>
    <w:rsid w:val="3F570499"/>
    <w:rsid w:val="3F5930FD"/>
    <w:rsid w:val="3F5A2E5F"/>
    <w:rsid w:val="3F7153F9"/>
    <w:rsid w:val="3F744EE9"/>
    <w:rsid w:val="3F9F3D14"/>
    <w:rsid w:val="3FB17A24"/>
    <w:rsid w:val="3FCA73F2"/>
    <w:rsid w:val="3FCE0156"/>
    <w:rsid w:val="3FF10BD5"/>
    <w:rsid w:val="40012978"/>
    <w:rsid w:val="401179B9"/>
    <w:rsid w:val="401B6F43"/>
    <w:rsid w:val="401E1143"/>
    <w:rsid w:val="401F0869"/>
    <w:rsid w:val="402638F8"/>
    <w:rsid w:val="402C30CE"/>
    <w:rsid w:val="4032635D"/>
    <w:rsid w:val="403D244D"/>
    <w:rsid w:val="404A344A"/>
    <w:rsid w:val="4066051A"/>
    <w:rsid w:val="406811F6"/>
    <w:rsid w:val="406C39F0"/>
    <w:rsid w:val="406E346F"/>
    <w:rsid w:val="40736F4F"/>
    <w:rsid w:val="407A6407"/>
    <w:rsid w:val="408A0E51"/>
    <w:rsid w:val="408E004E"/>
    <w:rsid w:val="409273D5"/>
    <w:rsid w:val="4097664F"/>
    <w:rsid w:val="40B9414B"/>
    <w:rsid w:val="40C07908"/>
    <w:rsid w:val="41104677"/>
    <w:rsid w:val="41230975"/>
    <w:rsid w:val="414204C5"/>
    <w:rsid w:val="414441EE"/>
    <w:rsid w:val="414A5F02"/>
    <w:rsid w:val="4151103E"/>
    <w:rsid w:val="416C6C93"/>
    <w:rsid w:val="41736A08"/>
    <w:rsid w:val="417942BA"/>
    <w:rsid w:val="418F600A"/>
    <w:rsid w:val="41A2530D"/>
    <w:rsid w:val="41B96BE3"/>
    <w:rsid w:val="41C04416"/>
    <w:rsid w:val="41C07F72"/>
    <w:rsid w:val="41F07146"/>
    <w:rsid w:val="41FA176A"/>
    <w:rsid w:val="41FF1B86"/>
    <w:rsid w:val="4200449D"/>
    <w:rsid w:val="42156510"/>
    <w:rsid w:val="42192EA9"/>
    <w:rsid w:val="42200CDD"/>
    <w:rsid w:val="422277C3"/>
    <w:rsid w:val="42295B17"/>
    <w:rsid w:val="42320F6F"/>
    <w:rsid w:val="423A3BCC"/>
    <w:rsid w:val="42401DA4"/>
    <w:rsid w:val="424E57D2"/>
    <w:rsid w:val="426302F7"/>
    <w:rsid w:val="42672AE3"/>
    <w:rsid w:val="42764A3E"/>
    <w:rsid w:val="427C633D"/>
    <w:rsid w:val="427E6E48"/>
    <w:rsid w:val="42804718"/>
    <w:rsid w:val="42A95370"/>
    <w:rsid w:val="42B26C49"/>
    <w:rsid w:val="42B9333F"/>
    <w:rsid w:val="42BB1B2E"/>
    <w:rsid w:val="42BE6BA7"/>
    <w:rsid w:val="42C83B8D"/>
    <w:rsid w:val="42DE1E2E"/>
    <w:rsid w:val="42EB54C2"/>
    <w:rsid w:val="430A3A52"/>
    <w:rsid w:val="430B50EF"/>
    <w:rsid w:val="43362BE2"/>
    <w:rsid w:val="433A6FE6"/>
    <w:rsid w:val="43480868"/>
    <w:rsid w:val="434F10A4"/>
    <w:rsid w:val="4350713C"/>
    <w:rsid w:val="43655275"/>
    <w:rsid w:val="436653E0"/>
    <w:rsid w:val="4372739F"/>
    <w:rsid w:val="437454B8"/>
    <w:rsid w:val="43841AE2"/>
    <w:rsid w:val="43905A6F"/>
    <w:rsid w:val="439A3B5D"/>
    <w:rsid w:val="43A45017"/>
    <w:rsid w:val="43AC6A00"/>
    <w:rsid w:val="43B72C56"/>
    <w:rsid w:val="43B75649"/>
    <w:rsid w:val="43C04259"/>
    <w:rsid w:val="43C27FD1"/>
    <w:rsid w:val="43C4431A"/>
    <w:rsid w:val="43C534C7"/>
    <w:rsid w:val="43CD3837"/>
    <w:rsid w:val="43DA6CD7"/>
    <w:rsid w:val="43DB1093"/>
    <w:rsid w:val="43DC2AA5"/>
    <w:rsid w:val="440054AD"/>
    <w:rsid w:val="44054362"/>
    <w:rsid w:val="440A2603"/>
    <w:rsid w:val="440E3217"/>
    <w:rsid w:val="442073EE"/>
    <w:rsid w:val="442944F4"/>
    <w:rsid w:val="442E47F0"/>
    <w:rsid w:val="44314E59"/>
    <w:rsid w:val="444255B6"/>
    <w:rsid w:val="44775260"/>
    <w:rsid w:val="44786980"/>
    <w:rsid w:val="44827761"/>
    <w:rsid w:val="44872606"/>
    <w:rsid w:val="448B2AB9"/>
    <w:rsid w:val="449E44D6"/>
    <w:rsid w:val="44A1408B"/>
    <w:rsid w:val="44A9269E"/>
    <w:rsid w:val="44B951CC"/>
    <w:rsid w:val="44C1571E"/>
    <w:rsid w:val="44CD14E0"/>
    <w:rsid w:val="44D02BC2"/>
    <w:rsid w:val="44F20B0B"/>
    <w:rsid w:val="450D34CE"/>
    <w:rsid w:val="450F36EA"/>
    <w:rsid w:val="45102FBE"/>
    <w:rsid w:val="45125661"/>
    <w:rsid w:val="45157236"/>
    <w:rsid w:val="45190F2D"/>
    <w:rsid w:val="45291F17"/>
    <w:rsid w:val="452C4AA6"/>
    <w:rsid w:val="452E5F4C"/>
    <w:rsid w:val="45301215"/>
    <w:rsid w:val="453B7D3B"/>
    <w:rsid w:val="453C2774"/>
    <w:rsid w:val="453C3DB3"/>
    <w:rsid w:val="4541177A"/>
    <w:rsid w:val="454F7F8B"/>
    <w:rsid w:val="455F6B40"/>
    <w:rsid w:val="45603F46"/>
    <w:rsid w:val="45612018"/>
    <w:rsid w:val="4561381A"/>
    <w:rsid w:val="45655845"/>
    <w:rsid w:val="45667082"/>
    <w:rsid w:val="456B4699"/>
    <w:rsid w:val="456D6663"/>
    <w:rsid w:val="457412D9"/>
    <w:rsid w:val="45752DD7"/>
    <w:rsid w:val="45831A1B"/>
    <w:rsid w:val="458614D2"/>
    <w:rsid w:val="458946E9"/>
    <w:rsid w:val="458D0AB3"/>
    <w:rsid w:val="459252E4"/>
    <w:rsid w:val="459656C5"/>
    <w:rsid w:val="459736E0"/>
    <w:rsid w:val="45A04342"/>
    <w:rsid w:val="45A47C0E"/>
    <w:rsid w:val="45B942CE"/>
    <w:rsid w:val="45C53DA9"/>
    <w:rsid w:val="46010231"/>
    <w:rsid w:val="460279A5"/>
    <w:rsid w:val="460421F7"/>
    <w:rsid w:val="460736A2"/>
    <w:rsid w:val="460F1DC2"/>
    <w:rsid w:val="46167F02"/>
    <w:rsid w:val="46207219"/>
    <w:rsid w:val="46263727"/>
    <w:rsid w:val="463332C0"/>
    <w:rsid w:val="4647246D"/>
    <w:rsid w:val="46577FD6"/>
    <w:rsid w:val="466B1A75"/>
    <w:rsid w:val="466B25F0"/>
    <w:rsid w:val="466F74C7"/>
    <w:rsid w:val="4672778F"/>
    <w:rsid w:val="46780E1B"/>
    <w:rsid w:val="46854511"/>
    <w:rsid w:val="468A4F4F"/>
    <w:rsid w:val="4691012F"/>
    <w:rsid w:val="46A2058E"/>
    <w:rsid w:val="46B42069"/>
    <w:rsid w:val="46BF200C"/>
    <w:rsid w:val="46D955A7"/>
    <w:rsid w:val="46E26BDC"/>
    <w:rsid w:val="46ED5570"/>
    <w:rsid w:val="46F165C5"/>
    <w:rsid w:val="46F506BE"/>
    <w:rsid w:val="46FC1A4C"/>
    <w:rsid w:val="470628CB"/>
    <w:rsid w:val="470703F1"/>
    <w:rsid w:val="47133957"/>
    <w:rsid w:val="47282841"/>
    <w:rsid w:val="472F2B00"/>
    <w:rsid w:val="473E02B7"/>
    <w:rsid w:val="474927B8"/>
    <w:rsid w:val="474C59F4"/>
    <w:rsid w:val="47546E11"/>
    <w:rsid w:val="47573126"/>
    <w:rsid w:val="475C4EC1"/>
    <w:rsid w:val="475E23DB"/>
    <w:rsid w:val="47A07E0C"/>
    <w:rsid w:val="47AA04C8"/>
    <w:rsid w:val="47AA258B"/>
    <w:rsid w:val="47AF6ABF"/>
    <w:rsid w:val="47B06E63"/>
    <w:rsid w:val="47B93D6C"/>
    <w:rsid w:val="47CF1F7E"/>
    <w:rsid w:val="47F72214"/>
    <w:rsid w:val="47F96B0E"/>
    <w:rsid w:val="480B235C"/>
    <w:rsid w:val="48272AF9"/>
    <w:rsid w:val="482A424F"/>
    <w:rsid w:val="482C7219"/>
    <w:rsid w:val="484C07B1"/>
    <w:rsid w:val="48531B40"/>
    <w:rsid w:val="4870272E"/>
    <w:rsid w:val="4885796F"/>
    <w:rsid w:val="488C6CCD"/>
    <w:rsid w:val="4891762D"/>
    <w:rsid w:val="48B968FC"/>
    <w:rsid w:val="48D10CB7"/>
    <w:rsid w:val="48E35A95"/>
    <w:rsid w:val="48EA3B26"/>
    <w:rsid w:val="48F50E49"/>
    <w:rsid w:val="490A5384"/>
    <w:rsid w:val="49105031"/>
    <w:rsid w:val="492D2391"/>
    <w:rsid w:val="492D438E"/>
    <w:rsid w:val="49303C2F"/>
    <w:rsid w:val="4934660C"/>
    <w:rsid w:val="49362DF6"/>
    <w:rsid w:val="494476DB"/>
    <w:rsid w:val="494B2817"/>
    <w:rsid w:val="494C5ED5"/>
    <w:rsid w:val="495913D8"/>
    <w:rsid w:val="495C7CDB"/>
    <w:rsid w:val="496B110B"/>
    <w:rsid w:val="496F29A9"/>
    <w:rsid w:val="497D7101"/>
    <w:rsid w:val="498B7341"/>
    <w:rsid w:val="498E1F7F"/>
    <w:rsid w:val="49920446"/>
    <w:rsid w:val="49A342B9"/>
    <w:rsid w:val="49A63EF1"/>
    <w:rsid w:val="49B01DF8"/>
    <w:rsid w:val="49D66013"/>
    <w:rsid w:val="49DC7715"/>
    <w:rsid w:val="4A023139"/>
    <w:rsid w:val="4A02579B"/>
    <w:rsid w:val="4A2512BA"/>
    <w:rsid w:val="4A2B014A"/>
    <w:rsid w:val="4A2D00C5"/>
    <w:rsid w:val="4A3724C0"/>
    <w:rsid w:val="4A3F72C9"/>
    <w:rsid w:val="4A403958"/>
    <w:rsid w:val="4A435BE4"/>
    <w:rsid w:val="4A5C1AC1"/>
    <w:rsid w:val="4A647E39"/>
    <w:rsid w:val="4A6C027D"/>
    <w:rsid w:val="4A7B576F"/>
    <w:rsid w:val="4A8F0730"/>
    <w:rsid w:val="4AA30732"/>
    <w:rsid w:val="4AA46683"/>
    <w:rsid w:val="4AB3476E"/>
    <w:rsid w:val="4AB80380"/>
    <w:rsid w:val="4ABE526B"/>
    <w:rsid w:val="4AC63003"/>
    <w:rsid w:val="4ACC252F"/>
    <w:rsid w:val="4ADA1349"/>
    <w:rsid w:val="4ADF0E72"/>
    <w:rsid w:val="4AE023EC"/>
    <w:rsid w:val="4AF561A9"/>
    <w:rsid w:val="4AF851BC"/>
    <w:rsid w:val="4B2C4A12"/>
    <w:rsid w:val="4B2D07D6"/>
    <w:rsid w:val="4B4C0AC8"/>
    <w:rsid w:val="4B4D6C62"/>
    <w:rsid w:val="4B501DBF"/>
    <w:rsid w:val="4B577B99"/>
    <w:rsid w:val="4B5A0EBE"/>
    <w:rsid w:val="4B5D34DF"/>
    <w:rsid w:val="4B6814D6"/>
    <w:rsid w:val="4B7D6ED4"/>
    <w:rsid w:val="4B824C4E"/>
    <w:rsid w:val="4B84756E"/>
    <w:rsid w:val="4B870BE3"/>
    <w:rsid w:val="4B991F60"/>
    <w:rsid w:val="4BA12BC2"/>
    <w:rsid w:val="4BBA1ED6"/>
    <w:rsid w:val="4BCB7C3F"/>
    <w:rsid w:val="4BCF1B14"/>
    <w:rsid w:val="4BD44051"/>
    <w:rsid w:val="4BE56F53"/>
    <w:rsid w:val="4BF4363A"/>
    <w:rsid w:val="4BFB6776"/>
    <w:rsid w:val="4BFE0015"/>
    <w:rsid w:val="4C00538E"/>
    <w:rsid w:val="4C0D46FC"/>
    <w:rsid w:val="4C110E27"/>
    <w:rsid w:val="4C156681"/>
    <w:rsid w:val="4C2F0B56"/>
    <w:rsid w:val="4C32539B"/>
    <w:rsid w:val="4C35155C"/>
    <w:rsid w:val="4C495820"/>
    <w:rsid w:val="4C4A0649"/>
    <w:rsid w:val="4C651E42"/>
    <w:rsid w:val="4C6C0104"/>
    <w:rsid w:val="4C6C1422"/>
    <w:rsid w:val="4C6C50A2"/>
    <w:rsid w:val="4C700260"/>
    <w:rsid w:val="4C746F8D"/>
    <w:rsid w:val="4C7C718B"/>
    <w:rsid w:val="4C7E5ECA"/>
    <w:rsid w:val="4C876AA5"/>
    <w:rsid w:val="4C885B30"/>
    <w:rsid w:val="4C8905CC"/>
    <w:rsid w:val="4C8C12EC"/>
    <w:rsid w:val="4C9B1D07"/>
    <w:rsid w:val="4C9E00FF"/>
    <w:rsid w:val="4CAB05FD"/>
    <w:rsid w:val="4CB22BAD"/>
    <w:rsid w:val="4CB608EF"/>
    <w:rsid w:val="4CD67FC5"/>
    <w:rsid w:val="4CF60CEC"/>
    <w:rsid w:val="4D0E00FB"/>
    <w:rsid w:val="4D155616"/>
    <w:rsid w:val="4D176606"/>
    <w:rsid w:val="4D1C174E"/>
    <w:rsid w:val="4D335EC0"/>
    <w:rsid w:val="4D3D7270"/>
    <w:rsid w:val="4D4075C6"/>
    <w:rsid w:val="4D4D193A"/>
    <w:rsid w:val="4D516E94"/>
    <w:rsid w:val="4D5A7B6D"/>
    <w:rsid w:val="4D5F0F87"/>
    <w:rsid w:val="4D7311B2"/>
    <w:rsid w:val="4D897DB2"/>
    <w:rsid w:val="4DB45D49"/>
    <w:rsid w:val="4DBE1D31"/>
    <w:rsid w:val="4DC2487A"/>
    <w:rsid w:val="4DC84B11"/>
    <w:rsid w:val="4DCD5791"/>
    <w:rsid w:val="4DD27D5A"/>
    <w:rsid w:val="4DD57B85"/>
    <w:rsid w:val="4DD81300"/>
    <w:rsid w:val="4DD84EE0"/>
    <w:rsid w:val="4DDA41C1"/>
    <w:rsid w:val="4DE374C2"/>
    <w:rsid w:val="4DEC4FB0"/>
    <w:rsid w:val="4DF557FD"/>
    <w:rsid w:val="4DF82FB8"/>
    <w:rsid w:val="4E075D8A"/>
    <w:rsid w:val="4E105DDD"/>
    <w:rsid w:val="4E131761"/>
    <w:rsid w:val="4E2D2E33"/>
    <w:rsid w:val="4E2E4DC7"/>
    <w:rsid w:val="4E4F6905"/>
    <w:rsid w:val="4E622297"/>
    <w:rsid w:val="4E6A64FB"/>
    <w:rsid w:val="4E8A2033"/>
    <w:rsid w:val="4E9C092A"/>
    <w:rsid w:val="4EA74993"/>
    <w:rsid w:val="4EAA735F"/>
    <w:rsid w:val="4EB07E91"/>
    <w:rsid w:val="4EB73EFC"/>
    <w:rsid w:val="4EBC7D13"/>
    <w:rsid w:val="4EC00FAD"/>
    <w:rsid w:val="4EC27ACC"/>
    <w:rsid w:val="4EC40427"/>
    <w:rsid w:val="4EFC59F8"/>
    <w:rsid w:val="4F11005F"/>
    <w:rsid w:val="4F1704A2"/>
    <w:rsid w:val="4F2C4E99"/>
    <w:rsid w:val="4F3D245A"/>
    <w:rsid w:val="4F477F24"/>
    <w:rsid w:val="4F652159"/>
    <w:rsid w:val="4F714A28"/>
    <w:rsid w:val="4F732AC8"/>
    <w:rsid w:val="4F734876"/>
    <w:rsid w:val="4F7725B8"/>
    <w:rsid w:val="4F811D25"/>
    <w:rsid w:val="4F87230D"/>
    <w:rsid w:val="4F876573"/>
    <w:rsid w:val="4F8C6801"/>
    <w:rsid w:val="4F9843DC"/>
    <w:rsid w:val="4F9A5C09"/>
    <w:rsid w:val="4F9D5D96"/>
    <w:rsid w:val="4F9F566B"/>
    <w:rsid w:val="4FA25887"/>
    <w:rsid w:val="4FAC1EB3"/>
    <w:rsid w:val="4FC62A8C"/>
    <w:rsid w:val="4FC77B7E"/>
    <w:rsid w:val="4FC80E3C"/>
    <w:rsid w:val="4FCE41A2"/>
    <w:rsid w:val="4FD468D6"/>
    <w:rsid w:val="4FE20F0D"/>
    <w:rsid w:val="4FE51552"/>
    <w:rsid w:val="4FEA3D6F"/>
    <w:rsid w:val="50016325"/>
    <w:rsid w:val="50074D25"/>
    <w:rsid w:val="500864ED"/>
    <w:rsid w:val="50097910"/>
    <w:rsid w:val="500F3F71"/>
    <w:rsid w:val="50110472"/>
    <w:rsid w:val="50146059"/>
    <w:rsid w:val="501D17FB"/>
    <w:rsid w:val="5021632A"/>
    <w:rsid w:val="503264DF"/>
    <w:rsid w:val="5038161B"/>
    <w:rsid w:val="50405171"/>
    <w:rsid w:val="50446212"/>
    <w:rsid w:val="504B134F"/>
    <w:rsid w:val="50504C4B"/>
    <w:rsid w:val="5052440E"/>
    <w:rsid w:val="505F20AC"/>
    <w:rsid w:val="50722D7F"/>
    <w:rsid w:val="50727FCD"/>
    <w:rsid w:val="507B22BA"/>
    <w:rsid w:val="50812FC2"/>
    <w:rsid w:val="50851B2C"/>
    <w:rsid w:val="508605D9"/>
    <w:rsid w:val="50937B14"/>
    <w:rsid w:val="50947199"/>
    <w:rsid w:val="50970A38"/>
    <w:rsid w:val="5098034D"/>
    <w:rsid w:val="509A5B6D"/>
    <w:rsid w:val="509C6E7C"/>
    <w:rsid w:val="509E0D0C"/>
    <w:rsid w:val="509E79D2"/>
    <w:rsid w:val="50A24244"/>
    <w:rsid w:val="50CA2BBB"/>
    <w:rsid w:val="50CC6933"/>
    <w:rsid w:val="50CC6E56"/>
    <w:rsid w:val="50CD1EFF"/>
    <w:rsid w:val="50DF436B"/>
    <w:rsid w:val="50E1732D"/>
    <w:rsid w:val="50EA0B67"/>
    <w:rsid w:val="50F43794"/>
    <w:rsid w:val="5100291D"/>
    <w:rsid w:val="51134FF2"/>
    <w:rsid w:val="51167059"/>
    <w:rsid w:val="512F2929"/>
    <w:rsid w:val="51330899"/>
    <w:rsid w:val="51510BE7"/>
    <w:rsid w:val="51574F62"/>
    <w:rsid w:val="5162104E"/>
    <w:rsid w:val="51727BFB"/>
    <w:rsid w:val="5196484B"/>
    <w:rsid w:val="51B55619"/>
    <w:rsid w:val="51EA3CB4"/>
    <w:rsid w:val="51F7178E"/>
    <w:rsid w:val="51FA77A2"/>
    <w:rsid w:val="520E2F00"/>
    <w:rsid w:val="52140592"/>
    <w:rsid w:val="52171E30"/>
    <w:rsid w:val="521C5892"/>
    <w:rsid w:val="52276DA3"/>
    <w:rsid w:val="523F6E00"/>
    <w:rsid w:val="524B3888"/>
    <w:rsid w:val="52575082"/>
    <w:rsid w:val="526130AB"/>
    <w:rsid w:val="526A01B2"/>
    <w:rsid w:val="52833022"/>
    <w:rsid w:val="52AE3C0D"/>
    <w:rsid w:val="52C809D2"/>
    <w:rsid w:val="52D95337"/>
    <w:rsid w:val="52E40A77"/>
    <w:rsid w:val="52EA30A1"/>
    <w:rsid w:val="52F42171"/>
    <w:rsid w:val="52F67C97"/>
    <w:rsid w:val="53061BE0"/>
    <w:rsid w:val="5307473E"/>
    <w:rsid w:val="53322BCE"/>
    <w:rsid w:val="533A42D3"/>
    <w:rsid w:val="533C1422"/>
    <w:rsid w:val="533E519B"/>
    <w:rsid w:val="533E573E"/>
    <w:rsid w:val="53424C8B"/>
    <w:rsid w:val="53425B98"/>
    <w:rsid w:val="537607FD"/>
    <w:rsid w:val="539F4757"/>
    <w:rsid w:val="53A039CC"/>
    <w:rsid w:val="53A1505A"/>
    <w:rsid w:val="53AC47FA"/>
    <w:rsid w:val="53B8319F"/>
    <w:rsid w:val="53B92A73"/>
    <w:rsid w:val="53C26D59"/>
    <w:rsid w:val="53C27B7A"/>
    <w:rsid w:val="53D1600F"/>
    <w:rsid w:val="53E36ED5"/>
    <w:rsid w:val="53F3570E"/>
    <w:rsid w:val="54041DF8"/>
    <w:rsid w:val="54063E08"/>
    <w:rsid w:val="540E7263"/>
    <w:rsid w:val="54297BF9"/>
    <w:rsid w:val="542A3C12"/>
    <w:rsid w:val="543437E8"/>
    <w:rsid w:val="545035D7"/>
    <w:rsid w:val="546D3F89"/>
    <w:rsid w:val="547A48F8"/>
    <w:rsid w:val="54834E17"/>
    <w:rsid w:val="54837309"/>
    <w:rsid w:val="54857525"/>
    <w:rsid w:val="549534E0"/>
    <w:rsid w:val="54960F6C"/>
    <w:rsid w:val="54AC316C"/>
    <w:rsid w:val="54B020C8"/>
    <w:rsid w:val="54CB5C85"/>
    <w:rsid w:val="54EE0309"/>
    <w:rsid w:val="54F2623D"/>
    <w:rsid w:val="54F73313"/>
    <w:rsid w:val="54F80955"/>
    <w:rsid w:val="550D1ABE"/>
    <w:rsid w:val="55151345"/>
    <w:rsid w:val="55172147"/>
    <w:rsid w:val="5544222A"/>
    <w:rsid w:val="55450A62"/>
    <w:rsid w:val="555170A7"/>
    <w:rsid w:val="555841D2"/>
    <w:rsid w:val="5563538C"/>
    <w:rsid w:val="557773FB"/>
    <w:rsid w:val="557C657E"/>
    <w:rsid w:val="55850574"/>
    <w:rsid w:val="5587536D"/>
    <w:rsid w:val="558D41B7"/>
    <w:rsid w:val="559B174B"/>
    <w:rsid w:val="559F7E32"/>
    <w:rsid w:val="55A10F81"/>
    <w:rsid w:val="55B02A26"/>
    <w:rsid w:val="55BA31FE"/>
    <w:rsid w:val="55BA66A9"/>
    <w:rsid w:val="55BB6F76"/>
    <w:rsid w:val="55C079FE"/>
    <w:rsid w:val="55C73B6D"/>
    <w:rsid w:val="55CE0CF4"/>
    <w:rsid w:val="55CF7C27"/>
    <w:rsid w:val="55D32ED4"/>
    <w:rsid w:val="56004989"/>
    <w:rsid w:val="56020643"/>
    <w:rsid w:val="5628616D"/>
    <w:rsid w:val="56320207"/>
    <w:rsid w:val="5637484F"/>
    <w:rsid w:val="56382375"/>
    <w:rsid w:val="563F0D76"/>
    <w:rsid w:val="565A678F"/>
    <w:rsid w:val="56775382"/>
    <w:rsid w:val="568832FC"/>
    <w:rsid w:val="568A361E"/>
    <w:rsid w:val="56AF70A0"/>
    <w:rsid w:val="56B22A9C"/>
    <w:rsid w:val="56B9622D"/>
    <w:rsid w:val="56D45B12"/>
    <w:rsid w:val="56D57BC4"/>
    <w:rsid w:val="56E85B49"/>
    <w:rsid w:val="56ED13B1"/>
    <w:rsid w:val="56F05EB7"/>
    <w:rsid w:val="56F956AD"/>
    <w:rsid w:val="56FA587C"/>
    <w:rsid w:val="5711443D"/>
    <w:rsid w:val="57212E09"/>
    <w:rsid w:val="572F3778"/>
    <w:rsid w:val="57376AD1"/>
    <w:rsid w:val="57420D9F"/>
    <w:rsid w:val="574216FD"/>
    <w:rsid w:val="57541431"/>
    <w:rsid w:val="57626923"/>
    <w:rsid w:val="5772234A"/>
    <w:rsid w:val="578C6B37"/>
    <w:rsid w:val="57921CFA"/>
    <w:rsid w:val="57995095"/>
    <w:rsid w:val="57A0638E"/>
    <w:rsid w:val="57AC0592"/>
    <w:rsid w:val="57B72A76"/>
    <w:rsid w:val="57C3426C"/>
    <w:rsid w:val="57C35CE5"/>
    <w:rsid w:val="57CE1F93"/>
    <w:rsid w:val="57DB56AE"/>
    <w:rsid w:val="57E00F16"/>
    <w:rsid w:val="57E36A7B"/>
    <w:rsid w:val="57F73FEF"/>
    <w:rsid w:val="58004F55"/>
    <w:rsid w:val="58044C05"/>
    <w:rsid w:val="58080DD2"/>
    <w:rsid w:val="5809538C"/>
    <w:rsid w:val="580A1AEF"/>
    <w:rsid w:val="580D58E7"/>
    <w:rsid w:val="581A4428"/>
    <w:rsid w:val="5829170D"/>
    <w:rsid w:val="58312587"/>
    <w:rsid w:val="583A23D4"/>
    <w:rsid w:val="58513ED3"/>
    <w:rsid w:val="58647451"/>
    <w:rsid w:val="586D483D"/>
    <w:rsid w:val="587020A4"/>
    <w:rsid w:val="5875165E"/>
    <w:rsid w:val="5875340D"/>
    <w:rsid w:val="588743D1"/>
    <w:rsid w:val="5887701A"/>
    <w:rsid w:val="588953DF"/>
    <w:rsid w:val="589E1663"/>
    <w:rsid w:val="58AB6E2E"/>
    <w:rsid w:val="58B56D36"/>
    <w:rsid w:val="58B73A25"/>
    <w:rsid w:val="58C21ED8"/>
    <w:rsid w:val="58C90A4B"/>
    <w:rsid w:val="58D86E52"/>
    <w:rsid w:val="590475D0"/>
    <w:rsid w:val="59083C67"/>
    <w:rsid w:val="591128F6"/>
    <w:rsid w:val="591D1B7F"/>
    <w:rsid w:val="5929513F"/>
    <w:rsid w:val="59305024"/>
    <w:rsid w:val="59357DDE"/>
    <w:rsid w:val="593645DE"/>
    <w:rsid w:val="59436FE4"/>
    <w:rsid w:val="594A7288"/>
    <w:rsid w:val="594B064B"/>
    <w:rsid w:val="594D25DB"/>
    <w:rsid w:val="59870A5C"/>
    <w:rsid w:val="598C74CC"/>
    <w:rsid w:val="59936A99"/>
    <w:rsid w:val="59937726"/>
    <w:rsid w:val="5994012D"/>
    <w:rsid w:val="59951A30"/>
    <w:rsid w:val="59995821"/>
    <w:rsid w:val="59AA3B65"/>
    <w:rsid w:val="59B368E2"/>
    <w:rsid w:val="59C0439F"/>
    <w:rsid w:val="59C73C4B"/>
    <w:rsid w:val="59D625D1"/>
    <w:rsid w:val="59D93554"/>
    <w:rsid w:val="59E27AEA"/>
    <w:rsid w:val="5A054C64"/>
    <w:rsid w:val="5A0C6A64"/>
    <w:rsid w:val="5A2A393F"/>
    <w:rsid w:val="5A4B28C6"/>
    <w:rsid w:val="5A4F758C"/>
    <w:rsid w:val="5A6031B8"/>
    <w:rsid w:val="5A61633E"/>
    <w:rsid w:val="5A7122F9"/>
    <w:rsid w:val="5A733A5E"/>
    <w:rsid w:val="5A932270"/>
    <w:rsid w:val="5AAE1835"/>
    <w:rsid w:val="5AB67D0C"/>
    <w:rsid w:val="5ABE2233"/>
    <w:rsid w:val="5ABE26EE"/>
    <w:rsid w:val="5AC0315F"/>
    <w:rsid w:val="5AC71F19"/>
    <w:rsid w:val="5ACB4289"/>
    <w:rsid w:val="5AE26D53"/>
    <w:rsid w:val="5AE57128"/>
    <w:rsid w:val="5AF727FF"/>
    <w:rsid w:val="5AFC63F9"/>
    <w:rsid w:val="5AFF3461"/>
    <w:rsid w:val="5B043D7C"/>
    <w:rsid w:val="5B0620E6"/>
    <w:rsid w:val="5B0645E4"/>
    <w:rsid w:val="5B1F7398"/>
    <w:rsid w:val="5B2555BE"/>
    <w:rsid w:val="5B3550D5"/>
    <w:rsid w:val="5B465534"/>
    <w:rsid w:val="5B555354"/>
    <w:rsid w:val="5B5C08B4"/>
    <w:rsid w:val="5B733DF5"/>
    <w:rsid w:val="5B7A1C97"/>
    <w:rsid w:val="5B806ED7"/>
    <w:rsid w:val="5B807489"/>
    <w:rsid w:val="5B9F2091"/>
    <w:rsid w:val="5BA03926"/>
    <w:rsid w:val="5BA04C44"/>
    <w:rsid w:val="5BCA7F13"/>
    <w:rsid w:val="5BCB77E7"/>
    <w:rsid w:val="5BDF5D95"/>
    <w:rsid w:val="5BE70178"/>
    <w:rsid w:val="5BF037E6"/>
    <w:rsid w:val="5BFE7528"/>
    <w:rsid w:val="5C094A71"/>
    <w:rsid w:val="5C0C5732"/>
    <w:rsid w:val="5C0C78EB"/>
    <w:rsid w:val="5C1611FB"/>
    <w:rsid w:val="5C481E95"/>
    <w:rsid w:val="5C564297"/>
    <w:rsid w:val="5C5E5BED"/>
    <w:rsid w:val="5C6429DB"/>
    <w:rsid w:val="5C645C72"/>
    <w:rsid w:val="5C8F2446"/>
    <w:rsid w:val="5C930305"/>
    <w:rsid w:val="5C95407D"/>
    <w:rsid w:val="5C9A1694"/>
    <w:rsid w:val="5CA47D08"/>
    <w:rsid w:val="5CAF11AD"/>
    <w:rsid w:val="5CB00EB7"/>
    <w:rsid w:val="5CB36BF9"/>
    <w:rsid w:val="5CBF10FA"/>
    <w:rsid w:val="5CC6692D"/>
    <w:rsid w:val="5CD11697"/>
    <w:rsid w:val="5CD56B70"/>
    <w:rsid w:val="5CD9620B"/>
    <w:rsid w:val="5CE172C2"/>
    <w:rsid w:val="5CE4447B"/>
    <w:rsid w:val="5CE60D7D"/>
    <w:rsid w:val="5CE73123"/>
    <w:rsid w:val="5CF5094D"/>
    <w:rsid w:val="5CFF1E3E"/>
    <w:rsid w:val="5D0E5BDE"/>
    <w:rsid w:val="5D254ABC"/>
    <w:rsid w:val="5D374438"/>
    <w:rsid w:val="5D413B33"/>
    <w:rsid w:val="5D635F29"/>
    <w:rsid w:val="5D6453EC"/>
    <w:rsid w:val="5D6F0561"/>
    <w:rsid w:val="5D6F1310"/>
    <w:rsid w:val="5D7B09D2"/>
    <w:rsid w:val="5D7E1FE6"/>
    <w:rsid w:val="5D804D2D"/>
    <w:rsid w:val="5D881E34"/>
    <w:rsid w:val="5D8B5480"/>
    <w:rsid w:val="5D8C2B4C"/>
    <w:rsid w:val="5D8D071E"/>
    <w:rsid w:val="5D9A196D"/>
    <w:rsid w:val="5DAF5613"/>
    <w:rsid w:val="5DB42C29"/>
    <w:rsid w:val="5DBA42CC"/>
    <w:rsid w:val="5DCD70AE"/>
    <w:rsid w:val="5DCE01C8"/>
    <w:rsid w:val="5DE32C73"/>
    <w:rsid w:val="5DEA21A7"/>
    <w:rsid w:val="5DFC350C"/>
    <w:rsid w:val="5E0016D0"/>
    <w:rsid w:val="5E0D0017"/>
    <w:rsid w:val="5E1E4546"/>
    <w:rsid w:val="5E2467F1"/>
    <w:rsid w:val="5E262BFB"/>
    <w:rsid w:val="5E2B4BE9"/>
    <w:rsid w:val="5E4A6AF2"/>
    <w:rsid w:val="5E5341F0"/>
    <w:rsid w:val="5E5B12F6"/>
    <w:rsid w:val="5E734892"/>
    <w:rsid w:val="5E8579B2"/>
    <w:rsid w:val="5E8720EC"/>
    <w:rsid w:val="5E99597B"/>
    <w:rsid w:val="5E9B361D"/>
    <w:rsid w:val="5E9D36BD"/>
    <w:rsid w:val="5EA64025"/>
    <w:rsid w:val="5EAA74B3"/>
    <w:rsid w:val="5EB629D1"/>
    <w:rsid w:val="5EBF1885"/>
    <w:rsid w:val="5EC92704"/>
    <w:rsid w:val="5ECE29A1"/>
    <w:rsid w:val="5F125E59"/>
    <w:rsid w:val="5F145F36"/>
    <w:rsid w:val="5F1A2B43"/>
    <w:rsid w:val="5F381638"/>
    <w:rsid w:val="5F5308F0"/>
    <w:rsid w:val="5F5D4168"/>
    <w:rsid w:val="5F635F43"/>
    <w:rsid w:val="5F667F53"/>
    <w:rsid w:val="5F6C57AD"/>
    <w:rsid w:val="5F76780E"/>
    <w:rsid w:val="5F7C579E"/>
    <w:rsid w:val="5F8B1768"/>
    <w:rsid w:val="5F8B6586"/>
    <w:rsid w:val="5F8D54E0"/>
    <w:rsid w:val="5FB276FB"/>
    <w:rsid w:val="5FB37E9E"/>
    <w:rsid w:val="5FB837BB"/>
    <w:rsid w:val="5FC86518"/>
    <w:rsid w:val="5FF60EE9"/>
    <w:rsid w:val="6005151A"/>
    <w:rsid w:val="602133F7"/>
    <w:rsid w:val="602816AC"/>
    <w:rsid w:val="605438A8"/>
    <w:rsid w:val="60615CA8"/>
    <w:rsid w:val="60651741"/>
    <w:rsid w:val="60703B2B"/>
    <w:rsid w:val="607056F8"/>
    <w:rsid w:val="607410F7"/>
    <w:rsid w:val="608C39E9"/>
    <w:rsid w:val="60940AF0"/>
    <w:rsid w:val="60964868"/>
    <w:rsid w:val="60CC405A"/>
    <w:rsid w:val="60D07D7A"/>
    <w:rsid w:val="60D41180"/>
    <w:rsid w:val="60DF620F"/>
    <w:rsid w:val="60F65306"/>
    <w:rsid w:val="60F8107F"/>
    <w:rsid w:val="60FA66B2"/>
    <w:rsid w:val="60FB37A1"/>
    <w:rsid w:val="610E205B"/>
    <w:rsid w:val="61135299"/>
    <w:rsid w:val="611E30B6"/>
    <w:rsid w:val="613D4AA6"/>
    <w:rsid w:val="61453B98"/>
    <w:rsid w:val="61457497"/>
    <w:rsid w:val="6156331E"/>
    <w:rsid w:val="616967CF"/>
    <w:rsid w:val="616A4C51"/>
    <w:rsid w:val="616B4900"/>
    <w:rsid w:val="61830E6B"/>
    <w:rsid w:val="618958F1"/>
    <w:rsid w:val="6189617B"/>
    <w:rsid w:val="618D6D46"/>
    <w:rsid w:val="61A8748D"/>
    <w:rsid w:val="61CA2A1B"/>
    <w:rsid w:val="61CE5201"/>
    <w:rsid w:val="61DA313A"/>
    <w:rsid w:val="61E12FCC"/>
    <w:rsid w:val="61E215D8"/>
    <w:rsid w:val="61F41846"/>
    <w:rsid w:val="61F65D52"/>
    <w:rsid w:val="61FE26C5"/>
    <w:rsid w:val="621A4F92"/>
    <w:rsid w:val="621B3775"/>
    <w:rsid w:val="621E3381"/>
    <w:rsid w:val="622A170C"/>
    <w:rsid w:val="622C52B8"/>
    <w:rsid w:val="622D3487"/>
    <w:rsid w:val="622F0267"/>
    <w:rsid w:val="62364782"/>
    <w:rsid w:val="6244488A"/>
    <w:rsid w:val="62465E1A"/>
    <w:rsid w:val="625800D4"/>
    <w:rsid w:val="62776161"/>
    <w:rsid w:val="62811DE4"/>
    <w:rsid w:val="62A274F4"/>
    <w:rsid w:val="62A82630"/>
    <w:rsid w:val="62B26C52"/>
    <w:rsid w:val="62B86D17"/>
    <w:rsid w:val="62B87124"/>
    <w:rsid w:val="62C57884"/>
    <w:rsid w:val="62C66BE4"/>
    <w:rsid w:val="62D43E53"/>
    <w:rsid w:val="62EA5952"/>
    <w:rsid w:val="63082571"/>
    <w:rsid w:val="630C53F1"/>
    <w:rsid w:val="631F7041"/>
    <w:rsid w:val="63247AA4"/>
    <w:rsid w:val="63302D52"/>
    <w:rsid w:val="636429FB"/>
    <w:rsid w:val="636649C5"/>
    <w:rsid w:val="63674FF9"/>
    <w:rsid w:val="636A03CE"/>
    <w:rsid w:val="63780255"/>
    <w:rsid w:val="6394356A"/>
    <w:rsid w:val="639F3A33"/>
    <w:rsid w:val="63A92B04"/>
    <w:rsid w:val="63AB3CC0"/>
    <w:rsid w:val="63C61B2C"/>
    <w:rsid w:val="63D40BE9"/>
    <w:rsid w:val="63E716F8"/>
    <w:rsid w:val="63EA73A4"/>
    <w:rsid w:val="63ED7F3D"/>
    <w:rsid w:val="63FA3360"/>
    <w:rsid w:val="64070F22"/>
    <w:rsid w:val="640A2284"/>
    <w:rsid w:val="640F4477"/>
    <w:rsid w:val="6410048D"/>
    <w:rsid w:val="64102431"/>
    <w:rsid w:val="64431FF7"/>
    <w:rsid w:val="64520AA6"/>
    <w:rsid w:val="6457430E"/>
    <w:rsid w:val="6477327D"/>
    <w:rsid w:val="64794284"/>
    <w:rsid w:val="64942E6C"/>
    <w:rsid w:val="64956B8A"/>
    <w:rsid w:val="649F6F1F"/>
    <w:rsid w:val="64A5243A"/>
    <w:rsid w:val="64A55ED4"/>
    <w:rsid w:val="64B81251"/>
    <w:rsid w:val="64B85A8B"/>
    <w:rsid w:val="64D01601"/>
    <w:rsid w:val="64DF4C0D"/>
    <w:rsid w:val="64DF6D0B"/>
    <w:rsid w:val="64E45750"/>
    <w:rsid w:val="64F531DE"/>
    <w:rsid w:val="65073373"/>
    <w:rsid w:val="65077AE2"/>
    <w:rsid w:val="650E12AA"/>
    <w:rsid w:val="651144BD"/>
    <w:rsid w:val="65373578"/>
    <w:rsid w:val="656839B7"/>
    <w:rsid w:val="65815AE7"/>
    <w:rsid w:val="65847385"/>
    <w:rsid w:val="65943C08"/>
    <w:rsid w:val="659D3FA3"/>
    <w:rsid w:val="659F7D1B"/>
    <w:rsid w:val="65B55790"/>
    <w:rsid w:val="65BD73A5"/>
    <w:rsid w:val="65C4686E"/>
    <w:rsid w:val="65F00576"/>
    <w:rsid w:val="65F11292"/>
    <w:rsid w:val="66021635"/>
    <w:rsid w:val="6612610A"/>
    <w:rsid w:val="6621372E"/>
    <w:rsid w:val="666D3DDE"/>
    <w:rsid w:val="667967BE"/>
    <w:rsid w:val="668A4527"/>
    <w:rsid w:val="668B029F"/>
    <w:rsid w:val="66A13BA6"/>
    <w:rsid w:val="66B617C0"/>
    <w:rsid w:val="66C11F13"/>
    <w:rsid w:val="66C93420"/>
    <w:rsid w:val="66D25ECE"/>
    <w:rsid w:val="66D659BE"/>
    <w:rsid w:val="66DA3E7F"/>
    <w:rsid w:val="66FA39C2"/>
    <w:rsid w:val="670077E6"/>
    <w:rsid w:val="6703077D"/>
    <w:rsid w:val="67050051"/>
    <w:rsid w:val="671D539B"/>
    <w:rsid w:val="671F124A"/>
    <w:rsid w:val="672121B6"/>
    <w:rsid w:val="672E188A"/>
    <w:rsid w:val="673D3C8F"/>
    <w:rsid w:val="67492634"/>
    <w:rsid w:val="674C5C80"/>
    <w:rsid w:val="674F19AC"/>
    <w:rsid w:val="675114E9"/>
    <w:rsid w:val="67555A5D"/>
    <w:rsid w:val="675B4115"/>
    <w:rsid w:val="676A3084"/>
    <w:rsid w:val="676E209B"/>
    <w:rsid w:val="677510BB"/>
    <w:rsid w:val="6776644A"/>
    <w:rsid w:val="67770DF7"/>
    <w:rsid w:val="677A33C6"/>
    <w:rsid w:val="677D5E3A"/>
    <w:rsid w:val="678057E2"/>
    <w:rsid w:val="67B51A77"/>
    <w:rsid w:val="67B679F1"/>
    <w:rsid w:val="67BB4C0B"/>
    <w:rsid w:val="67BD6B7E"/>
    <w:rsid w:val="67D040A3"/>
    <w:rsid w:val="67D41540"/>
    <w:rsid w:val="67D67714"/>
    <w:rsid w:val="67D72CA3"/>
    <w:rsid w:val="67DF722C"/>
    <w:rsid w:val="67E31343"/>
    <w:rsid w:val="67EE31DB"/>
    <w:rsid w:val="67F76D9C"/>
    <w:rsid w:val="67FD29F7"/>
    <w:rsid w:val="68043A16"/>
    <w:rsid w:val="68122083"/>
    <w:rsid w:val="6814385F"/>
    <w:rsid w:val="681F6961"/>
    <w:rsid w:val="6837706D"/>
    <w:rsid w:val="68534F56"/>
    <w:rsid w:val="685A5206"/>
    <w:rsid w:val="68610A2F"/>
    <w:rsid w:val="68664B20"/>
    <w:rsid w:val="68685154"/>
    <w:rsid w:val="68802085"/>
    <w:rsid w:val="68805514"/>
    <w:rsid w:val="68997F4C"/>
    <w:rsid w:val="689C49E5"/>
    <w:rsid w:val="68A43208"/>
    <w:rsid w:val="68AF4E0D"/>
    <w:rsid w:val="68BE495C"/>
    <w:rsid w:val="68C6079B"/>
    <w:rsid w:val="68DC1286"/>
    <w:rsid w:val="68DC147C"/>
    <w:rsid w:val="68F4269F"/>
    <w:rsid w:val="69087610"/>
    <w:rsid w:val="69216C99"/>
    <w:rsid w:val="69316E2F"/>
    <w:rsid w:val="693469CC"/>
    <w:rsid w:val="693D6F3F"/>
    <w:rsid w:val="694234C3"/>
    <w:rsid w:val="69441EF7"/>
    <w:rsid w:val="694E2071"/>
    <w:rsid w:val="694F3748"/>
    <w:rsid w:val="69620B1A"/>
    <w:rsid w:val="69766163"/>
    <w:rsid w:val="697A2F79"/>
    <w:rsid w:val="697A3B33"/>
    <w:rsid w:val="697B45FB"/>
    <w:rsid w:val="697E2916"/>
    <w:rsid w:val="698C69EE"/>
    <w:rsid w:val="699251BC"/>
    <w:rsid w:val="69A07996"/>
    <w:rsid w:val="69AE677E"/>
    <w:rsid w:val="69B67D29"/>
    <w:rsid w:val="69C441F4"/>
    <w:rsid w:val="69D44760"/>
    <w:rsid w:val="69F27303"/>
    <w:rsid w:val="69FF15EB"/>
    <w:rsid w:val="6A2856D7"/>
    <w:rsid w:val="6A2E06CA"/>
    <w:rsid w:val="6A303637"/>
    <w:rsid w:val="6A314603"/>
    <w:rsid w:val="6A38073E"/>
    <w:rsid w:val="6A3946A7"/>
    <w:rsid w:val="6A464C09"/>
    <w:rsid w:val="6A495D4E"/>
    <w:rsid w:val="6A520EC7"/>
    <w:rsid w:val="6A8F4802"/>
    <w:rsid w:val="6A9B7C0B"/>
    <w:rsid w:val="6AF87E20"/>
    <w:rsid w:val="6AF91C7B"/>
    <w:rsid w:val="6AF96F5E"/>
    <w:rsid w:val="6B052831"/>
    <w:rsid w:val="6B0625EA"/>
    <w:rsid w:val="6B120F8F"/>
    <w:rsid w:val="6B127E69"/>
    <w:rsid w:val="6B1C3BBC"/>
    <w:rsid w:val="6B280A67"/>
    <w:rsid w:val="6B2C2051"/>
    <w:rsid w:val="6B321631"/>
    <w:rsid w:val="6B322639"/>
    <w:rsid w:val="6B3A3AE0"/>
    <w:rsid w:val="6B496B0F"/>
    <w:rsid w:val="6B5748C9"/>
    <w:rsid w:val="6B5B74F1"/>
    <w:rsid w:val="6B6317EA"/>
    <w:rsid w:val="6B7802BF"/>
    <w:rsid w:val="6B7834E8"/>
    <w:rsid w:val="6B8377C8"/>
    <w:rsid w:val="6B8C050E"/>
    <w:rsid w:val="6BAE234B"/>
    <w:rsid w:val="6BB40298"/>
    <w:rsid w:val="6BB410B3"/>
    <w:rsid w:val="6BBD7989"/>
    <w:rsid w:val="6BDA1C3F"/>
    <w:rsid w:val="6BDB458E"/>
    <w:rsid w:val="6C2732D4"/>
    <w:rsid w:val="6C3D203B"/>
    <w:rsid w:val="6C3E3165"/>
    <w:rsid w:val="6C636C38"/>
    <w:rsid w:val="6C822EF6"/>
    <w:rsid w:val="6C83566D"/>
    <w:rsid w:val="6C953C26"/>
    <w:rsid w:val="6CAA6485"/>
    <w:rsid w:val="6CAF1C1B"/>
    <w:rsid w:val="6CB347D0"/>
    <w:rsid w:val="6CBD4F2A"/>
    <w:rsid w:val="6CC60283"/>
    <w:rsid w:val="6CC66396"/>
    <w:rsid w:val="6CCB3AEB"/>
    <w:rsid w:val="6CCE5394"/>
    <w:rsid w:val="6CD01102"/>
    <w:rsid w:val="6CDE482D"/>
    <w:rsid w:val="6CE52B0D"/>
    <w:rsid w:val="6CF21C27"/>
    <w:rsid w:val="6CFC5A53"/>
    <w:rsid w:val="6D003795"/>
    <w:rsid w:val="6D08089B"/>
    <w:rsid w:val="6D0B4D34"/>
    <w:rsid w:val="6D1159A2"/>
    <w:rsid w:val="6D17288C"/>
    <w:rsid w:val="6D194857"/>
    <w:rsid w:val="6D1D2FF7"/>
    <w:rsid w:val="6D2414B0"/>
    <w:rsid w:val="6D2531FB"/>
    <w:rsid w:val="6D35589A"/>
    <w:rsid w:val="6D3E606B"/>
    <w:rsid w:val="6D464CF6"/>
    <w:rsid w:val="6D801A56"/>
    <w:rsid w:val="6DB32117"/>
    <w:rsid w:val="6DB34098"/>
    <w:rsid w:val="6DB545B6"/>
    <w:rsid w:val="6DBA3368"/>
    <w:rsid w:val="6DC31233"/>
    <w:rsid w:val="6DC63D25"/>
    <w:rsid w:val="6DE02FB4"/>
    <w:rsid w:val="6DE24C48"/>
    <w:rsid w:val="6DE848E6"/>
    <w:rsid w:val="6DEC3D19"/>
    <w:rsid w:val="6E0A23F1"/>
    <w:rsid w:val="6E3B07FD"/>
    <w:rsid w:val="6E3D27C7"/>
    <w:rsid w:val="6E514CED"/>
    <w:rsid w:val="6E602011"/>
    <w:rsid w:val="6E6935BC"/>
    <w:rsid w:val="6E855CE3"/>
    <w:rsid w:val="6E880E8E"/>
    <w:rsid w:val="6E930639"/>
    <w:rsid w:val="6E9879FD"/>
    <w:rsid w:val="6EAB3BD4"/>
    <w:rsid w:val="6EB563D5"/>
    <w:rsid w:val="6ECE473D"/>
    <w:rsid w:val="6ED92677"/>
    <w:rsid w:val="6EDF73DA"/>
    <w:rsid w:val="6EF472F7"/>
    <w:rsid w:val="6F0269E8"/>
    <w:rsid w:val="6F1C23DC"/>
    <w:rsid w:val="6F1F1ECC"/>
    <w:rsid w:val="6F225983"/>
    <w:rsid w:val="6F2E640E"/>
    <w:rsid w:val="6F360062"/>
    <w:rsid w:val="6F3D69C0"/>
    <w:rsid w:val="6F55769C"/>
    <w:rsid w:val="6F5D6BA5"/>
    <w:rsid w:val="6F6618A9"/>
    <w:rsid w:val="6F6C1C5D"/>
    <w:rsid w:val="6F7E4E45"/>
    <w:rsid w:val="6F80296B"/>
    <w:rsid w:val="6F870BA9"/>
    <w:rsid w:val="6F8C7562"/>
    <w:rsid w:val="6F9465FA"/>
    <w:rsid w:val="6F993A2D"/>
    <w:rsid w:val="6F9C52CB"/>
    <w:rsid w:val="6F9E54E7"/>
    <w:rsid w:val="6FA81EC2"/>
    <w:rsid w:val="6FC41D71"/>
    <w:rsid w:val="6FC42448"/>
    <w:rsid w:val="6FC47DD9"/>
    <w:rsid w:val="6FC76E39"/>
    <w:rsid w:val="6FCF25B2"/>
    <w:rsid w:val="6FD11419"/>
    <w:rsid w:val="6FD3454E"/>
    <w:rsid w:val="6FF375E1"/>
    <w:rsid w:val="6FF70753"/>
    <w:rsid w:val="6FFC5590"/>
    <w:rsid w:val="70061EAD"/>
    <w:rsid w:val="700B47E2"/>
    <w:rsid w:val="700F5C99"/>
    <w:rsid w:val="701831F4"/>
    <w:rsid w:val="701A2631"/>
    <w:rsid w:val="702A0B29"/>
    <w:rsid w:val="702C2AF3"/>
    <w:rsid w:val="70310436"/>
    <w:rsid w:val="703769B2"/>
    <w:rsid w:val="703B2D36"/>
    <w:rsid w:val="703E5658"/>
    <w:rsid w:val="704103EA"/>
    <w:rsid w:val="70477893"/>
    <w:rsid w:val="704901D4"/>
    <w:rsid w:val="704A2F79"/>
    <w:rsid w:val="70542A5F"/>
    <w:rsid w:val="70560738"/>
    <w:rsid w:val="706D1DD0"/>
    <w:rsid w:val="70704448"/>
    <w:rsid w:val="707C4117"/>
    <w:rsid w:val="70856B87"/>
    <w:rsid w:val="70882239"/>
    <w:rsid w:val="7091168B"/>
    <w:rsid w:val="709701BB"/>
    <w:rsid w:val="709F62F9"/>
    <w:rsid w:val="70B225EB"/>
    <w:rsid w:val="70B24431"/>
    <w:rsid w:val="70BB7469"/>
    <w:rsid w:val="70D24C45"/>
    <w:rsid w:val="70D527EE"/>
    <w:rsid w:val="70E21403"/>
    <w:rsid w:val="70E24F2A"/>
    <w:rsid w:val="70E70EE7"/>
    <w:rsid w:val="70FE448F"/>
    <w:rsid w:val="71062461"/>
    <w:rsid w:val="71114C52"/>
    <w:rsid w:val="7115665E"/>
    <w:rsid w:val="71246DF1"/>
    <w:rsid w:val="712F166D"/>
    <w:rsid w:val="71353C29"/>
    <w:rsid w:val="713E2440"/>
    <w:rsid w:val="71542301"/>
    <w:rsid w:val="715B5300"/>
    <w:rsid w:val="71752277"/>
    <w:rsid w:val="7181563D"/>
    <w:rsid w:val="71883D59"/>
    <w:rsid w:val="71974F1E"/>
    <w:rsid w:val="71AD26E3"/>
    <w:rsid w:val="71B374B1"/>
    <w:rsid w:val="71C1591B"/>
    <w:rsid w:val="71D27F8A"/>
    <w:rsid w:val="71E35433"/>
    <w:rsid w:val="71F853B6"/>
    <w:rsid w:val="71FE3596"/>
    <w:rsid w:val="72001B41"/>
    <w:rsid w:val="720553A9"/>
    <w:rsid w:val="720C2CE4"/>
    <w:rsid w:val="722437C0"/>
    <w:rsid w:val="72553024"/>
    <w:rsid w:val="725620A9"/>
    <w:rsid w:val="725B11DB"/>
    <w:rsid w:val="726F754F"/>
    <w:rsid w:val="72701D1A"/>
    <w:rsid w:val="7275749B"/>
    <w:rsid w:val="72872262"/>
    <w:rsid w:val="728C1627"/>
    <w:rsid w:val="72B57A07"/>
    <w:rsid w:val="72BF19FC"/>
    <w:rsid w:val="72C501E8"/>
    <w:rsid w:val="72EE408F"/>
    <w:rsid w:val="73122968"/>
    <w:rsid w:val="73176323"/>
    <w:rsid w:val="731F5D5E"/>
    <w:rsid w:val="73217DC5"/>
    <w:rsid w:val="73236665"/>
    <w:rsid w:val="7327492D"/>
    <w:rsid w:val="733B0D61"/>
    <w:rsid w:val="73444FE8"/>
    <w:rsid w:val="73506AF8"/>
    <w:rsid w:val="73695575"/>
    <w:rsid w:val="736A1820"/>
    <w:rsid w:val="73794C1A"/>
    <w:rsid w:val="737B1EB3"/>
    <w:rsid w:val="73974727"/>
    <w:rsid w:val="73A2285A"/>
    <w:rsid w:val="73C51AD5"/>
    <w:rsid w:val="73DF49D8"/>
    <w:rsid w:val="73F05BE5"/>
    <w:rsid w:val="74037FEF"/>
    <w:rsid w:val="74046569"/>
    <w:rsid w:val="74122000"/>
    <w:rsid w:val="74124F92"/>
    <w:rsid w:val="741915E0"/>
    <w:rsid w:val="741E41C9"/>
    <w:rsid w:val="741E793C"/>
    <w:rsid w:val="74253694"/>
    <w:rsid w:val="74422EB3"/>
    <w:rsid w:val="74490459"/>
    <w:rsid w:val="745A2263"/>
    <w:rsid w:val="745E3944"/>
    <w:rsid w:val="746F1200"/>
    <w:rsid w:val="747B1953"/>
    <w:rsid w:val="74802BD2"/>
    <w:rsid w:val="749173C8"/>
    <w:rsid w:val="74A82DB5"/>
    <w:rsid w:val="74BC05DA"/>
    <w:rsid w:val="74C021A2"/>
    <w:rsid w:val="74C23A26"/>
    <w:rsid w:val="74C57072"/>
    <w:rsid w:val="74CA3F6B"/>
    <w:rsid w:val="74CD6397"/>
    <w:rsid w:val="74D13C69"/>
    <w:rsid w:val="74DD3CE1"/>
    <w:rsid w:val="74E219D2"/>
    <w:rsid w:val="74E454BD"/>
    <w:rsid w:val="74F87447"/>
    <w:rsid w:val="751479C7"/>
    <w:rsid w:val="752160B8"/>
    <w:rsid w:val="75243D99"/>
    <w:rsid w:val="7537210A"/>
    <w:rsid w:val="75471220"/>
    <w:rsid w:val="754B3A1B"/>
    <w:rsid w:val="7560128A"/>
    <w:rsid w:val="75630D65"/>
    <w:rsid w:val="75662603"/>
    <w:rsid w:val="75774810"/>
    <w:rsid w:val="757F36C5"/>
    <w:rsid w:val="758F0F22"/>
    <w:rsid w:val="75915293"/>
    <w:rsid w:val="75991889"/>
    <w:rsid w:val="75A51A61"/>
    <w:rsid w:val="75AA5542"/>
    <w:rsid w:val="75B94E29"/>
    <w:rsid w:val="75C12BF5"/>
    <w:rsid w:val="75C4732A"/>
    <w:rsid w:val="75C86E1A"/>
    <w:rsid w:val="75D35646"/>
    <w:rsid w:val="75EB3DED"/>
    <w:rsid w:val="75FB71EF"/>
    <w:rsid w:val="76045DAB"/>
    <w:rsid w:val="76086F57"/>
    <w:rsid w:val="760874BC"/>
    <w:rsid w:val="7635099D"/>
    <w:rsid w:val="7644634D"/>
    <w:rsid w:val="76467535"/>
    <w:rsid w:val="764A3CD3"/>
    <w:rsid w:val="765C57B4"/>
    <w:rsid w:val="76667107"/>
    <w:rsid w:val="76AA29C3"/>
    <w:rsid w:val="76AC2297"/>
    <w:rsid w:val="76AE6010"/>
    <w:rsid w:val="76B455F0"/>
    <w:rsid w:val="76BA1F01"/>
    <w:rsid w:val="76C61C0F"/>
    <w:rsid w:val="76E653D5"/>
    <w:rsid w:val="76ED3566"/>
    <w:rsid w:val="771A3517"/>
    <w:rsid w:val="771C4ACB"/>
    <w:rsid w:val="77204A34"/>
    <w:rsid w:val="77277A28"/>
    <w:rsid w:val="772E53A2"/>
    <w:rsid w:val="772F5E32"/>
    <w:rsid w:val="774B56D2"/>
    <w:rsid w:val="7762504C"/>
    <w:rsid w:val="77672FDD"/>
    <w:rsid w:val="77762421"/>
    <w:rsid w:val="777C1AB3"/>
    <w:rsid w:val="77825447"/>
    <w:rsid w:val="7783749C"/>
    <w:rsid w:val="778925D9"/>
    <w:rsid w:val="779852C0"/>
    <w:rsid w:val="77A6318B"/>
    <w:rsid w:val="77B56B1F"/>
    <w:rsid w:val="77BC29AE"/>
    <w:rsid w:val="77D2768B"/>
    <w:rsid w:val="77D843AC"/>
    <w:rsid w:val="77E12415"/>
    <w:rsid w:val="77E616E5"/>
    <w:rsid w:val="77F24784"/>
    <w:rsid w:val="780037E6"/>
    <w:rsid w:val="780E2ADE"/>
    <w:rsid w:val="780F09F4"/>
    <w:rsid w:val="781F4CEB"/>
    <w:rsid w:val="782B5AA5"/>
    <w:rsid w:val="783445F7"/>
    <w:rsid w:val="78402C6D"/>
    <w:rsid w:val="78571BF1"/>
    <w:rsid w:val="786646C8"/>
    <w:rsid w:val="78727511"/>
    <w:rsid w:val="78774B27"/>
    <w:rsid w:val="7883171E"/>
    <w:rsid w:val="788904CB"/>
    <w:rsid w:val="788D7EA7"/>
    <w:rsid w:val="789E3E62"/>
    <w:rsid w:val="789E5569"/>
    <w:rsid w:val="78A17DE3"/>
    <w:rsid w:val="78A376CA"/>
    <w:rsid w:val="78A90480"/>
    <w:rsid w:val="78AA0A59"/>
    <w:rsid w:val="78B13B95"/>
    <w:rsid w:val="78B35B5F"/>
    <w:rsid w:val="78C53AE4"/>
    <w:rsid w:val="78C57641"/>
    <w:rsid w:val="78CB776D"/>
    <w:rsid w:val="78D37FAF"/>
    <w:rsid w:val="78E364DE"/>
    <w:rsid w:val="790C34C1"/>
    <w:rsid w:val="79206F6D"/>
    <w:rsid w:val="792955CC"/>
    <w:rsid w:val="792E51E6"/>
    <w:rsid w:val="79323DB3"/>
    <w:rsid w:val="795D1F5B"/>
    <w:rsid w:val="797C1F00"/>
    <w:rsid w:val="79846FC4"/>
    <w:rsid w:val="79947FEC"/>
    <w:rsid w:val="79996ACA"/>
    <w:rsid w:val="79A67472"/>
    <w:rsid w:val="79AB0912"/>
    <w:rsid w:val="79AF6575"/>
    <w:rsid w:val="79B55907"/>
    <w:rsid w:val="79CD0EA3"/>
    <w:rsid w:val="79CF0F79"/>
    <w:rsid w:val="79D97847"/>
    <w:rsid w:val="79DA2FAF"/>
    <w:rsid w:val="79E82D9A"/>
    <w:rsid w:val="79EF706B"/>
    <w:rsid w:val="79F77CCE"/>
    <w:rsid w:val="7A2D0C57"/>
    <w:rsid w:val="7A336AD3"/>
    <w:rsid w:val="7A364017"/>
    <w:rsid w:val="7A3800AC"/>
    <w:rsid w:val="7A4642E6"/>
    <w:rsid w:val="7A8265E1"/>
    <w:rsid w:val="7A8544FB"/>
    <w:rsid w:val="7A895D53"/>
    <w:rsid w:val="7A9674E6"/>
    <w:rsid w:val="7AA0012F"/>
    <w:rsid w:val="7AA070D6"/>
    <w:rsid w:val="7AAA2F95"/>
    <w:rsid w:val="7AB76F18"/>
    <w:rsid w:val="7AE02276"/>
    <w:rsid w:val="7AE33D34"/>
    <w:rsid w:val="7AEE27E8"/>
    <w:rsid w:val="7AEF4441"/>
    <w:rsid w:val="7AF36105"/>
    <w:rsid w:val="7B14394D"/>
    <w:rsid w:val="7B1D7274"/>
    <w:rsid w:val="7B2E3BB5"/>
    <w:rsid w:val="7B5F3BD2"/>
    <w:rsid w:val="7B686D42"/>
    <w:rsid w:val="7B6E2C8D"/>
    <w:rsid w:val="7B841746"/>
    <w:rsid w:val="7B8E6410"/>
    <w:rsid w:val="7B960695"/>
    <w:rsid w:val="7B9A30C1"/>
    <w:rsid w:val="7B9E325B"/>
    <w:rsid w:val="7BA75723"/>
    <w:rsid w:val="7BAC2023"/>
    <w:rsid w:val="7BAD392C"/>
    <w:rsid w:val="7BB03195"/>
    <w:rsid w:val="7BB06525"/>
    <w:rsid w:val="7BBC5B9A"/>
    <w:rsid w:val="7BCC6F06"/>
    <w:rsid w:val="7BD209F2"/>
    <w:rsid w:val="7BE424D4"/>
    <w:rsid w:val="7C154B4A"/>
    <w:rsid w:val="7C1C1C6D"/>
    <w:rsid w:val="7C1E59E5"/>
    <w:rsid w:val="7C330D65"/>
    <w:rsid w:val="7C603EF2"/>
    <w:rsid w:val="7C6C5AC7"/>
    <w:rsid w:val="7C75563C"/>
    <w:rsid w:val="7C8141C6"/>
    <w:rsid w:val="7C907EE9"/>
    <w:rsid w:val="7CA91E7F"/>
    <w:rsid w:val="7CB22522"/>
    <w:rsid w:val="7CBD5DF1"/>
    <w:rsid w:val="7CC15684"/>
    <w:rsid w:val="7CC6544B"/>
    <w:rsid w:val="7CCB09DA"/>
    <w:rsid w:val="7CDB4E59"/>
    <w:rsid w:val="7CF315EA"/>
    <w:rsid w:val="7CF31DC0"/>
    <w:rsid w:val="7D00333D"/>
    <w:rsid w:val="7D0239FF"/>
    <w:rsid w:val="7D221505"/>
    <w:rsid w:val="7D227B02"/>
    <w:rsid w:val="7D3038A0"/>
    <w:rsid w:val="7D315490"/>
    <w:rsid w:val="7D3A5CA3"/>
    <w:rsid w:val="7D3F0F24"/>
    <w:rsid w:val="7D407BDD"/>
    <w:rsid w:val="7D595F68"/>
    <w:rsid w:val="7D5E40CD"/>
    <w:rsid w:val="7D625DA6"/>
    <w:rsid w:val="7D697134"/>
    <w:rsid w:val="7D6C5A84"/>
    <w:rsid w:val="7D787377"/>
    <w:rsid w:val="7D9121E7"/>
    <w:rsid w:val="7DB12889"/>
    <w:rsid w:val="7DB33BFC"/>
    <w:rsid w:val="7DC211FB"/>
    <w:rsid w:val="7DC61D49"/>
    <w:rsid w:val="7DCC76C3"/>
    <w:rsid w:val="7DCD56F2"/>
    <w:rsid w:val="7DD547CA"/>
    <w:rsid w:val="7DE62533"/>
    <w:rsid w:val="7DEC0996"/>
    <w:rsid w:val="7E032CD9"/>
    <w:rsid w:val="7E0B1F99"/>
    <w:rsid w:val="7E17093E"/>
    <w:rsid w:val="7E1D21B3"/>
    <w:rsid w:val="7E20746B"/>
    <w:rsid w:val="7E5316BF"/>
    <w:rsid w:val="7E5C33F3"/>
    <w:rsid w:val="7E6F077A"/>
    <w:rsid w:val="7E7E6C0F"/>
    <w:rsid w:val="7E81717B"/>
    <w:rsid w:val="7E8B4D40"/>
    <w:rsid w:val="7E9243E4"/>
    <w:rsid w:val="7EB0611A"/>
    <w:rsid w:val="7EB379BE"/>
    <w:rsid w:val="7EB72B4D"/>
    <w:rsid w:val="7EC6258E"/>
    <w:rsid w:val="7EC7590C"/>
    <w:rsid w:val="7ECE3FBA"/>
    <w:rsid w:val="7ED05D5A"/>
    <w:rsid w:val="7ED64DE8"/>
    <w:rsid w:val="7ED94253"/>
    <w:rsid w:val="7EDD3067"/>
    <w:rsid w:val="7EE767C9"/>
    <w:rsid w:val="7EF46ED2"/>
    <w:rsid w:val="7EF63680"/>
    <w:rsid w:val="7F001CE7"/>
    <w:rsid w:val="7F02284D"/>
    <w:rsid w:val="7F2D4E98"/>
    <w:rsid w:val="7F2F78F0"/>
    <w:rsid w:val="7F3F6810"/>
    <w:rsid w:val="7F4339B5"/>
    <w:rsid w:val="7F721BA4"/>
    <w:rsid w:val="7F780C1C"/>
    <w:rsid w:val="7F806AF7"/>
    <w:rsid w:val="7F833DB1"/>
    <w:rsid w:val="7F905E98"/>
    <w:rsid w:val="7F975393"/>
    <w:rsid w:val="7FBF3D9A"/>
    <w:rsid w:val="7FC137AD"/>
    <w:rsid w:val="7FC97EFB"/>
    <w:rsid w:val="7FCA79FD"/>
    <w:rsid w:val="7FCE14D1"/>
    <w:rsid w:val="7FCF6FF7"/>
    <w:rsid w:val="7FD665D7"/>
    <w:rsid w:val="7FD91C23"/>
    <w:rsid w:val="7FDE4398"/>
    <w:rsid w:val="7FE47E50"/>
    <w:rsid w:val="7FE900B8"/>
    <w:rsid w:val="7FF66FA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unhideWhenUsed="0" w:uiPriority="0" w:semiHidden="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72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47"/>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locked/>
    <w:uiPriority w:val="0"/>
    <w:pPr>
      <w:keepNext/>
      <w:keepLines/>
      <w:adjustRightInd w:val="0"/>
      <w:snapToGrid w:val="0"/>
      <w:spacing w:line="480" w:lineRule="exact"/>
      <w:ind w:firstLine="482" w:firstLineChars="200"/>
      <w:outlineLvl w:val="1"/>
    </w:pPr>
    <w:rPr>
      <w:b/>
      <w:kern w:val="0"/>
      <w:sz w:val="30"/>
      <w:szCs w:val="20"/>
    </w:rPr>
  </w:style>
  <w:style w:type="paragraph" w:styleId="4">
    <w:name w:val="heading 3"/>
    <w:basedOn w:val="1"/>
    <w:next w:val="1"/>
    <w:qFormat/>
    <w:locked/>
    <w:uiPriority w:val="0"/>
    <w:pPr>
      <w:keepNext/>
      <w:keepLines/>
      <w:spacing w:before="260" w:after="260" w:line="416" w:lineRule="auto"/>
      <w:outlineLvl w:val="2"/>
    </w:pPr>
    <w:rPr>
      <w:b/>
      <w:bCs/>
      <w:sz w:val="32"/>
      <w:szCs w:val="32"/>
    </w:rPr>
  </w:style>
  <w:style w:type="paragraph" w:styleId="5">
    <w:name w:val="heading 4"/>
    <w:basedOn w:val="1"/>
    <w:next w:val="1"/>
    <w:unhideWhenUsed/>
    <w:qFormat/>
    <w:locked/>
    <w:uiPriority w:val="0"/>
    <w:pPr>
      <w:keepNext/>
      <w:keepLines/>
      <w:numPr>
        <w:ilvl w:val="3"/>
        <w:numId w:val="1"/>
      </w:numPr>
      <w:autoSpaceDN/>
      <w:spacing w:before="280" w:beforeLines="0" w:beforeAutospacing="0" w:after="290" w:afterLines="0" w:afterAutospacing="0" w:line="360" w:lineRule="auto"/>
      <w:ind w:firstLine="403"/>
      <w:outlineLvl w:val="3"/>
    </w:pPr>
    <w:rPr>
      <w:rFonts w:ascii="Arial" w:hAnsi="Arial" w:eastAsia="宋体"/>
      <w:b/>
      <w:sz w:val="28"/>
    </w:rPr>
  </w:style>
  <w:style w:type="character" w:default="1" w:styleId="26">
    <w:name w:val="Default Paragraph Font"/>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styleId="6">
    <w:name w:val="Normal Indent"/>
    <w:basedOn w:val="1"/>
    <w:qFormat/>
    <w:locked/>
    <w:uiPriority w:val="0"/>
    <w:rPr>
      <w:sz w:val="28"/>
      <w:szCs w:val="20"/>
    </w:rPr>
  </w:style>
  <w:style w:type="paragraph" w:styleId="7">
    <w:name w:val="caption"/>
    <w:basedOn w:val="1"/>
    <w:next w:val="1"/>
    <w:qFormat/>
    <w:locked/>
    <w:uiPriority w:val="0"/>
    <w:pPr>
      <w:spacing w:line="240" w:lineRule="auto"/>
      <w:ind w:firstLine="0" w:firstLineChars="0"/>
      <w:jc w:val="center"/>
    </w:pPr>
    <w:rPr>
      <w:rFonts w:ascii="Times New Roman" w:hAnsi="Times New Roman" w:eastAsia="宋体" w:cs="Arial"/>
      <w:b/>
      <w:sz w:val="21"/>
    </w:rPr>
  </w:style>
  <w:style w:type="paragraph" w:styleId="8">
    <w:name w:val="annotation text"/>
    <w:basedOn w:val="1"/>
    <w:semiHidden/>
    <w:qFormat/>
    <w:uiPriority w:val="0"/>
    <w:pPr>
      <w:jc w:val="left"/>
    </w:pPr>
    <w:rPr>
      <w:kern w:val="0"/>
      <w:sz w:val="24"/>
      <w:szCs w:val="20"/>
    </w:rPr>
  </w:style>
  <w:style w:type="paragraph" w:styleId="9">
    <w:name w:val="Body Text"/>
    <w:basedOn w:val="1"/>
    <w:qFormat/>
    <w:uiPriority w:val="0"/>
    <w:pPr>
      <w:widowControl/>
      <w:snapToGrid w:val="0"/>
      <w:spacing w:before="60" w:after="160" w:line="259" w:lineRule="auto"/>
      <w:ind w:right="113"/>
    </w:pPr>
    <w:rPr>
      <w:kern w:val="0"/>
      <w:sz w:val="18"/>
      <w:szCs w:val="20"/>
    </w:rPr>
  </w:style>
  <w:style w:type="paragraph" w:styleId="10">
    <w:name w:val="Body Text Indent"/>
    <w:basedOn w:val="1"/>
    <w:qFormat/>
    <w:uiPriority w:val="0"/>
    <w:pPr>
      <w:spacing w:after="120"/>
      <w:ind w:left="420" w:leftChars="200"/>
    </w:pPr>
    <w:rPr>
      <w:kern w:val="0"/>
      <w:sz w:val="24"/>
      <w:szCs w:val="20"/>
    </w:rPr>
  </w:style>
  <w:style w:type="paragraph" w:styleId="11">
    <w:name w:val="Block Text"/>
    <w:basedOn w:val="1"/>
    <w:next w:val="1"/>
    <w:qFormat/>
    <w:uiPriority w:val="0"/>
    <w:pPr>
      <w:widowControl/>
      <w:spacing w:line="440" w:lineRule="exact"/>
      <w:ind w:left="113" w:right="113" w:firstLine="567"/>
    </w:pPr>
    <w:rPr>
      <w:rFonts w:ascii="仿宋_GB2312" w:eastAsia="仿宋_GB2312"/>
      <w:kern w:val="0"/>
      <w:sz w:val="28"/>
    </w:rPr>
  </w:style>
  <w:style w:type="paragraph" w:styleId="12">
    <w:name w:val="Plain Text"/>
    <w:basedOn w:val="1"/>
    <w:qFormat/>
    <w:locked/>
    <w:uiPriority w:val="0"/>
    <w:rPr>
      <w:rFonts w:ascii="宋体" w:hAnsi="Courier New" w:cs="Courier New"/>
      <w:sz w:val="21"/>
      <w:szCs w:val="21"/>
    </w:rPr>
  </w:style>
  <w:style w:type="paragraph" w:styleId="13">
    <w:name w:val="Date"/>
    <w:basedOn w:val="1"/>
    <w:next w:val="1"/>
    <w:link w:val="34"/>
    <w:qFormat/>
    <w:uiPriority w:val="0"/>
    <w:pPr>
      <w:ind w:left="100" w:leftChars="2500"/>
    </w:pPr>
    <w:rPr>
      <w:kern w:val="0"/>
      <w:sz w:val="24"/>
      <w:szCs w:val="20"/>
    </w:rPr>
  </w:style>
  <w:style w:type="paragraph" w:styleId="14">
    <w:name w:val="Body Text Indent 2"/>
    <w:basedOn w:val="1"/>
    <w:next w:val="1"/>
    <w:qFormat/>
    <w:uiPriority w:val="0"/>
    <w:pPr>
      <w:spacing w:line="440" w:lineRule="exact"/>
      <w:ind w:firstLine="482"/>
    </w:pPr>
    <w:rPr>
      <w:b/>
      <w:color w:val="FF0000"/>
      <w:spacing w:val="4"/>
      <w:sz w:val="24"/>
    </w:rPr>
  </w:style>
  <w:style w:type="paragraph" w:styleId="15">
    <w:name w:val="Balloon Text"/>
    <w:basedOn w:val="1"/>
    <w:semiHidden/>
    <w:qFormat/>
    <w:uiPriority w:val="0"/>
    <w:rPr>
      <w:kern w:val="0"/>
      <w:sz w:val="18"/>
      <w:szCs w:val="20"/>
    </w:rPr>
  </w:style>
  <w:style w:type="paragraph" w:styleId="16">
    <w:name w:val="footer"/>
    <w:basedOn w:val="1"/>
    <w:link w:val="33"/>
    <w:qFormat/>
    <w:uiPriority w:val="99"/>
    <w:pPr>
      <w:tabs>
        <w:tab w:val="center" w:pos="4153"/>
        <w:tab w:val="right" w:pos="8306"/>
      </w:tabs>
      <w:snapToGrid w:val="0"/>
      <w:jc w:val="left"/>
    </w:pPr>
    <w:rPr>
      <w:kern w:val="0"/>
      <w:sz w:val="18"/>
      <w:szCs w:val="20"/>
    </w:rPr>
  </w:style>
  <w:style w:type="paragraph" w:styleId="17">
    <w:name w:val="header"/>
    <w:basedOn w:val="1"/>
    <w:next w:val="18"/>
    <w:link w:val="32"/>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18">
    <w:name w:val="样式5"/>
    <w:basedOn w:val="19"/>
    <w:next w:val="14"/>
    <w:semiHidden/>
    <w:qFormat/>
    <w:uiPriority w:val="0"/>
    <w:pPr>
      <w:tabs>
        <w:tab w:val="center" w:pos="4153"/>
        <w:tab w:val="right" w:pos="8306"/>
      </w:tabs>
    </w:pPr>
    <w:rPr>
      <w:rFonts w:eastAsia="黑体"/>
    </w:rPr>
  </w:style>
  <w:style w:type="paragraph" w:customStyle="1" w:styleId="19">
    <w:name w:val="样式3"/>
    <w:basedOn w:val="20"/>
    <w:next w:val="9"/>
    <w:qFormat/>
    <w:uiPriority w:val="0"/>
    <w:pPr>
      <w:snapToGrid w:val="0"/>
      <w:ind w:firstLine="539"/>
      <w:jc w:val="center"/>
    </w:pPr>
    <w:rPr>
      <w:rFonts w:ascii="黑体" w:hAnsi="宋体" w:eastAsia="黑体"/>
      <w:color w:val="000000"/>
    </w:rPr>
  </w:style>
  <w:style w:type="paragraph" w:styleId="20">
    <w:name w:val="List"/>
    <w:basedOn w:val="1"/>
    <w:qFormat/>
    <w:locked/>
    <w:uiPriority w:val="0"/>
    <w:pPr>
      <w:spacing w:line="320" w:lineRule="exact"/>
      <w:jc w:val="center"/>
    </w:pPr>
    <w:rPr>
      <w:sz w:val="22"/>
      <w:szCs w:val="24"/>
    </w:rPr>
  </w:style>
  <w:style w:type="paragraph" w:styleId="21">
    <w:name w:val="Normal (Web)"/>
    <w:basedOn w:val="1"/>
    <w:qFormat/>
    <w:uiPriority w:val="99"/>
    <w:pPr>
      <w:widowControl/>
      <w:spacing w:before="100" w:beforeAutospacing="1" w:after="100" w:afterAutospacing="1" w:line="240" w:lineRule="auto"/>
      <w:ind w:firstLine="0" w:firstLineChars="0"/>
      <w:jc w:val="left"/>
    </w:pPr>
    <w:rPr>
      <w:rFonts w:ascii="宋体" w:hAnsi="宋体"/>
      <w:kern w:val="0"/>
      <w:szCs w:val="20"/>
    </w:rPr>
  </w:style>
  <w:style w:type="paragraph" w:styleId="22">
    <w:name w:val="Body Text First Indent"/>
    <w:basedOn w:val="9"/>
    <w:qFormat/>
    <w:uiPriority w:val="0"/>
    <w:pPr>
      <w:spacing w:after="120"/>
      <w:ind w:firstLine="420" w:firstLineChars="100"/>
    </w:pPr>
  </w:style>
  <w:style w:type="paragraph" w:styleId="23">
    <w:name w:val="Body Text First Indent 2"/>
    <w:basedOn w:val="10"/>
    <w:next w:val="22"/>
    <w:qFormat/>
    <w:uiPriority w:val="0"/>
    <w:pPr>
      <w:ind w:firstLine="420" w:firstLineChars="200"/>
    </w:pPr>
    <w:rPr>
      <w:szCs w:val="24"/>
    </w:rPr>
  </w:style>
  <w:style w:type="table" w:styleId="25">
    <w:name w:val="Table Grid"/>
    <w:basedOn w:val="24"/>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qFormat/>
    <w:locked/>
    <w:uiPriority w:val="0"/>
    <w:rPr>
      <w:b/>
    </w:rPr>
  </w:style>
  <w:style w:type="character" w:styleId="28">
    <w:name w:val="page number"/>
    <w:basedOn w:val="26"/>
    <w:qFormat/>
    <w:locked/>
    <w:uiPriority w:val="0"/>
  </w:style>
  <w:style w:type="character" w:styleId="29">
    <w:name w:val="Hyperlink"/>
    <w:qFormat/>
    <w:locked/>
    <w:uiPriority w:val="0"/>
    <w:rPr>
      <w:color w:val="0000FF"/>
      <w:u w:val="none"/>
    </w:rPr>
  </w:style>
  <w:style w:type="character" w:styleId="30">
    <w:name w:val="annotation reference"/>
    <w:semiHidden/>
    <w:qFormat/>
    <w:uiPriority w:val="0"/>
    <w:rPr>
      <w:sz w:val="21"/>
    </w:rPr>
  </w:style>
  <w:style w:type="character" w:customStyle="1" w:styleId="31">
    <w:name w:val="页脚 字符"/>
    <w:basedOn w:val="26"/>
    <w:qFormat/>
    <w:uiPriority w:val="99"/>
  </w:style>
  <w:style w:type="character" w:customStyle="1" w:styleId="32">
    <w:name w:val="页眉 Char"/>
    <w:link w:val="17"/>
    <w:qFormat/>
    <w:locked/>
    <w:uiPriority w:val="0"/>
    <w:rPr>
      <w:sz w:val="18"/>
    </w:rPr>
  </w:style>
  <w:style w:type="character" w:customStyle="1" w:styleId="33">
    <w:name w:val="页脚 Char"/>
    <w:link w:val="16"/>
    <w:qFormat/>
    <w:locked/>
    <w:uiPriority w:val="99"/>
    <w:rPr>
      <w:sz w:val="18"/>
    </w:rPr>
  </w:style>
  <w:style w:type="character" w:customStyle="1" w:styleId="34">
    <w:name w:val="日期 Char"/>
    <w:link w:val="13"/>
    <w:qFormat/>
    <w:locked/>
    <w:uiPriority w:val="0"/>
    <w:rPr>
      <w:rFonts w:ascii="Times New Roman" w:hAnsi="Times New Roman" w:eastAsia="宋体"/>
      <w:sz w:val="24"/>
    </w:rPr>
  </w:style>
  <w:style w:type="paragraph" w:customStyle="1" w:styleId="35">
    <w:name w:val="A我的正文"/>
    <w:basedOn w:val="1"/>
    <w:autoRedefine/>
    <w:qFormat/>
    <w:uiPriority w:val="0"/>
    <w:pPr>
      <w:autoSpaceDE w:val="0"/>
      <w:autoSpaceDN w:val="0"/>
      <w:adjustRightInd w:val="0"/>
      <w:snapToGrid w:val="0"/>
      <w:spacing w:line="360" w:lineRule="auto"/>
      <w:ind w:firstLine="200" w:firstLineChars="200"/>
    </w:pPr>
    <w:rPr>
      <w:color w:val="000000"/>
      <w:kern w:val="0"/>
      <w:sz w:val="24"/>
    </w:rPr>
  </w:style>
  <w:style w:type="table" w:customStyle="1" w:styleId="36">
    <w:name w:val="Table Normal"/>
    <w:autoRedefine/>
    <w:semiHidden/>
    <w:unhideWhenUsed/>
    <w:qFormat/>
    <w:uiPriority w:val="0"/>
    <w:tblPr>
      <w:tblCellMar>
        <w:top w:w="0" w:type="dxa"/>
        <w:left w:w="0" w:type="dxa"/>
        <w:bottom w:w="0" w:type="dxa"/>
        <w:right w:w="0" w:type="dxa"/>
      </w:tblCellMar>
    </w:tblPr>
  </w:style>
  <w:style w:type="paragraph" w:customStyle="1" w:styleId="37">
    <w:name w:val="Table Paragraph"/>
    <w:basedOn w:val="1"/>
    <w:qFormat/>
    <w:uiPriority w:val="1"/>
    <w:pPr>
      <w:autoSpaceDE w:val="0"/>
      <w:autoSpaceDN w:val="0"/>
      <w:adjustRightInd w:val="0"/>
      <w:jc w:val="left"/>
    </w:pPr>
    <w:rPr>
      <w:kern w:val="0"/>
      <w:sz w:val="24"/>
    </w:rPr>
  </w:style>
  <w:style w:type="paragraph" w:customStyle="1" w:styleId="38">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9">
    <w:name w:val="表头"/>
    <w:basedOn w:val="1"/>
    <w:qFormat/>
    <w:uiPriority w:val="0"/>
    <w:pPr>
      <w:spacing w:line="240" w:lineRule="auto"/>
      <w:ind w:firstLine="0" w:firstLineChars="0"/>
      <w:jc w:val="center"/>
    </w:pPr>
    <w:rPr>
      <w:b/>
      <w:bCs/>
    </w:rPr>
  </w:style>
  <w:style w:type="paragraph" w:customStyle="1" w:styleId="40">
    <w:name w:val="表格文字"/>
    <w:basedOn w:val="39"/>
    <w:next w:val="1"/>
    <w:qFormat/>
    <w:uiPriority w:val="0"/>
    <w:rPr>
      <w:rFonts w:ascii="Times New Roman" w:hAnsi="Times New Roman" w:eastAsia="宋体"/>
      <w:b w:val="0"/>
      <w:bCs w:val="0"/>
      <w:sz w:val="21"/>
      <w:szCs w:val="21"/>
    </w:rPr>
  </w:style>
  <w:style w:type="paragraph" w:customStyle="1" w:styleId="41">
    <w:name w:val="小标题"/>
    <w:basedOn w:val="1"/>
    <w:next w:val="1"/>
    <w:qFormat/>
    <w:uiPriority w:val="0"/>
    <w:pPr>
      <w:ind w:firstLine="1440" w:firstLineChars="200"/>
    </w:pPr>
    <w:rPr>
      <w:rFonts w:hint="eastAsia"/>
      <w:b/>
      <w:bCs/>
    </w:rPr>
  </w:style>
  <w:style w:type="paragraph" w:customStyle="1" w:styleId="42">
    <w:name w:val="图"/>
    <w:basedOn w:val="1"/>
    <w:next w:val="1"/>
    <w:link w:val="49"/>
    <w:qFormat/>
    <w:uiPriority w:val="0"/>
    <w:pPr>
      <w:spacing w:line="240" w:lineRule="auto"/>
      <w:ind w:firstLine="0" w:firstLineChars="0"/>
      <w:jc w:val="center"/>
    </w:pPr>
    <w:rPr>
      <w:rFonts w:eastAsia="宋体"/>
      <w:kern w:val="0"/>
      <w:szCs w:val="20"/>
    </w:rPr>
  </w:style>
  <w:style w:type="paragraph" w:customStyle="1" w:styleId="43">
    <w:name w:val="表格"/>
    <w:basedOn w:val="20"/>
    <w:next w:val="1"/>
    <w:qFormat/>
    <w:uiPriority w:val="0"/>
    <w:pPr>
      <w:adjustRightInd w:val="0"/>
      <w:snapToGrid w:val="0"/>
      <w:spacing w:beforeLines="10" w:afterLines="10" w:line="259" w:lineRule="auto"/>
      <w:jc w:val="center"/>
    </w:pPr>
    <w:rPr>
      <w:rFonts w:ascii="宋体"/>
      <w:kern w:val="0"/>
      <w:sz w:val="21"/>
      <w:szCs w:val="20"/>
    </w:rPr>
  </w:style>
  <w:style w:type="character" w:customStyle="1" w:styleId="44">
    <w:name w:val="font61"/>
    <w:qFormat/>
    <w:uiPriority w:val="0"/>
    <w:rPr>
      <w:rFonts w:hint="eastAsia" w:ascii="宋体" w:hAnsi="宋体" w:eastAsia="宋体" w:cs="宋体"/>
      <w:color w:val="000000"/>
      <w:sz w:val="21"/>
      <w:szCs w:val="21"/>
      <w:u w:val="none"/>
    </w:rPr>
  </w:style>
  <w:style w:type="character" w:customStyle="1" w:styleId="45">
    <w:name w:val="font51"/>
    <w:qFormat/>
    <w:uiPriority w:val="0"/>
    <w:rPr>
      <w:rFonts w:hint="default" w:ascii="Times New Roman" w:hAnsi="Times New Roman" w:cs="Times New Roman"/>
      <w:color w:val="000000"/>
      <w:sz w:val="21"/>
      <w:szCs w:val="21"/>
      <w:u w:val="none"/>
    </w:rPr>
  </w:style>
  <w:style w:type="character" w:customStyle="1" w:styleId="46">
    <w:name w:val="font71"/>
    <w:qFormat/>
    <w:uiPriority w:val="0"/>
    <w:rPr>
      <w:rFonts w:hint="default" w:ascii="Times New Roman" w:hAnsi="Times New Roman" w:cs="Times New Roman"/>
      <w:color w:val="000000"/>
      <w:sz w:val="21"/>
      <w:szCs w:val="21"/>
      <w:u w:val="none"/>
    </w:rPr>
  </w:style>
  <w:style w:type="character" w:customStyle="1" w:styleId="47">
    <w:name w:val="标题 1 Char"/>
    <w:link w:val="2"/>
    <w:qFormat/>
    <w:uiPriority w:val="0"/>
    <w:rPr>
      <w:rFonts w:eastAsia="黑体"/>
      <w:b/>
      <w:bCs/>
      <w:color w:val="000000"/>
      <w:kern w:val="44"/>
      <w:sz w:val="30"/>
      <w:szCs w:val="30"/>
    </w:rPr>
  </w:style>
  <w:style w:type="paragraph" w:customStyle="1" w:styleId="48">
    <w:name w:val="表格内容"/>
    <w:basedOn w:val="9"/>
    <w:next w:val="1"/>
    <w:qFormat/>
    <w:uiPriority w:val="0"/>
    <w:pPr>
      <w:adjustRightInd w:val="0"/>
      <w:snapToGrid w:val="0"/>
      <w:jc w:val="center"/>
    </w:pPr>
    <w:rPr>
      <w:rFonts w:ascii="Times New Roman" w:hAnsi="Times New Roman" w:eastAsia="宋体" w:cs="Times New Roman"/>
      <w:sz w:val="21"/>
    </w:rPr>
  </w:style>
  <w:style w:type="character" w:customStyle="1" w:styleId="49">
    <w:name w:val="图 Char"/>
    <w:link w:val="42"/>
    <w:qFormat/>
    <w:uiPriority w:val="0"/>
    <w:rPr>
      <w:rFonts w:eastAsia="宋体"/>
      <w:kern w:val="0"/>
      <w:szCs w:val="20"/>
    </w:rPr>
  </w:style>
  <w:style w:type="paragraph" w:customStyle="1" w:styleId="50">
    <w:name w:val="样式1"/>
    <w:basedOn w:val="1"/>
    <w:next w:val="1"/>
    <w:qFormat/>
    <w:uiPriority w:val="0"/>
    <w:pPr>
      <w:ind w:firstLine="462" w:firstLineChars="200"/>
    </w:pPr>
    <w:rPr>
      <w:rFonts w:ascii="宋体" w:hAnsi="宋体"/>
      <w:color w:val="000000"/>
      <w:kern w:val="0"/>
    </w:rPr>
  </w:style>
  <w:style w:type="paragraph" w:customStyle="1" w:styleId="51">
    <w:name w:val="图名"/>
    <w:qFormat/>
    <w:uiPriority w:val="0"/>
    <w:pPr>
      <w:widowControl w:val="0"/>
      <w:spacing w:after="50" w:afterLines="50"/>
      <w:jc w:val="center"/>
    </w:pPr>
    <w:rPr>
      <w:rFonts w:ascii="Times New Roman" w:hAnsi="Times New Roman" w:eastAsia="宋体" w:cs="Times New Roman"/>
      <w:b/>
      <w:snapToGrid w:val="0"/>
      <w:kern w:val="2"/>
      <w:sz w:val="21"/>
      <w:szCs w:val="24"/>
      <w:lang w:val="en-US" w:eastAsia="zh-CN" w:bidi="ar-SA"/>
    </w:rPr>
  </w:style>
  <w:style w:type="character" w:customStyle="1" w:styleId="52">
    <w:name w:val="font41"/>
    <w:basedOn w:val="26"/>
    <w:qFormat/>
    <w:uiPriority w:val="0"/>
    <w:rPr>
      <w:rFonts w:hint="eastAsia" w:ascii="宋体" w:hAnsi="宋体" w:eastAsia="宋体" w:cs="宋体"/>
      <w:color w:val="000000"/>
      <w:sz w:val="28"/>
      <w:szCs w:val="28"/>
      <w:u w:val="none"/>
    </w:rPr>
  </w:style>
  <w:style w:type="character" w:customStyle="1" w:styleId="53">
    <w:name w:val="font11"/>
    <w:basedOn w:val="26"/>
    <w:qFormat/>
    <w:uiPriority w:val="0"/>
    <w:rPr>
      <w:rFonts w:hint="default" w:ascii="Times New Roman" w:hAnsi="Times New Roman" w:cs="Times New Roman"/>
      <w:color w:val="000000"/>
      <w:sz w:val="28"/>
      <w:szCs w:val="28"/>
      <w:u w:val="none"/>
    </w:rPr>
  </w:style>
  <w:style w:type="paragraph" w:customStyle="1" w:styleId="54">
    <w:name w:val="1-4"/>
    <w:basedOn w:val="1"/>
    <w:qFormat/>
    <w:uiPriority w:val="0"/>
    <w:pPr>
      <w:adjustRightInd w:val="0"/>
      <w:snapToGrid w:val="0"/>
      <w:jc w:val="center"/>
    </w:pPr>
    <w:rPr>
      <w:sz w:val="21"/>
      <w:szCs w:val="28"/>
    </w:rPr>
  </w:style>
  <w:style w:type="paragraph" w:customStyle="1" w:styleId="55">
    <w:name w:val="Normal (Web)"/>
    <w:basedOn w:val="1"/>
    <w:qFormat/>
    <w:uiPriority w:val="0"/>
    <w:pPr>
      <w:widowControl/>
      <w:spacing w:before="100" w:beforeAutospacing="1" w:after="100" w:afterAutospacing="1"/>
      <w:jc w:val="left"/>
    </w:pPr>
    <w:rPr>
      <w:rFonts w:hint="eastAsia" w:ascii="宋体" w:hAnsi="宋体"/>
      <w:sz w:val="24"/>
      <w:szCs w:val="20"/>
    </w:rPr>
  </w:style>
  <w:style w:type="paragraph" w:customStyle="1" w:styleId="56">
    <w:name w:val="List Paragraph"/>
    <w:basedOn w:val="1"/>
    <w:qFormat/>
    <w:uiPriority w:val="34"/>
    <w:pPr>
      <w:adjustRightInd w:val="0"/>
      <w:snapToGrid w:val="0"/>
      <w:ind w:firstLine="0" w:firstLineChars="0"/>
    </w:pPr>
    <w:rPr>
      <w:rFonts w:ascii="Times New Roman" w:hAnsi="Times New Roman" w:eastAsia="宋体"/>
    </w:rPr>
  </w:style>
  <w:style w:type="character" w:customStyle="1" w:styleId="57">
    <w:name w:val="font01"/>
    <w:basedOn w:val="26"/>
    <w:qFormat/>
    <w:uiPriority w:val="0"/>
    <w:rPr>
      <w:rFonts w:hint="eastAsia" w:ascii="宋体" w:hAnsi="宋体" w:eastAsia="宋体" w:cs="宋体"/>
      <w:color w:val="000000"/>
      <w:sz w:val="22"/>
      <w:szCs w:val="22"/>
      <w:u w:val="none"/>
    </w:rPr>
  </w:style>
  <w:style w:type="character" w:customStyle="1" w:styleId="58">
    <w:name w:val="font21"/>
    <w:basedOn w:val="26"/>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wdzx97</Template>
  <Company>微软中国</Company>
  <Pages>81</Pages>
  <Words>27781</Words>
  <Characters>31174</Characters>
  <Lines>13</Lines>
  <Paragraphs>3</Paragraphs>
  <TotalTime>2</TotalTime>
  <ScaleCrop>false</ScaleCrop>
  <LinksUpToDate>false</LinksUpToDate>
  <CharactersWithSpaces>31297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焦糖</cp:lastModifiedBy>
  <cp:lastPrinted>2024-12-23T08:32:00Z</cp:lastPrinted>
  <dcterms:modified xsi:type="dcterms:W3CDTF">2025-01-16T00:16:21Z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9D6A37E9F1324EABAAFA1539E560B946_13</vt:lpwstr>
  </property>
  <property fmtid="{D5CDD505-2E9C-101B-9397-08002B2CF9AE}" pid="4" name="KSOTemplateDocerSaveRecord">
    <vt:lpwstr>eyJoZGlkIjoiMDlhZWI3MWRlNTBjZjMzNWM0MDU5YjlmNmYxYzJlZGUiLCJ1c2VySWQiOiI1NzI1NDI5OTQifQ==</vt:lpwstr>
  </property>
</Properties>
</file>