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3620F">
      <w:pPr>
        <w:keepNext w:val="0"/>
        <w:keepLines w:val="0"/>
        <w:pageBreakBefore w:val="0"/>
        <w:widowControl w:val="0"/>
        <w:tabs>
          <w:tab w:val="left" w:pos="851"/>
        </w:tabs>
        <w:kinsoku/>
        <w:wordWrap/>
        <w:overflowPunct/>
        <w:topLinePunct w:val="0"/>
        <w:autoSpaceDE/>
        <w:autoSpaceDN/>
        <w:bidi w:val="0"/>
        <w:adjustRightInd/>
        <w:snapToGrid/>
        <w:spacing w:line="0" w:lineRule="atLeast"/>
        <w:jc w:val="center"/>
        <w:textAlignment w:val="auto"/>
        <w:rPr>
          <w:rFonts w:hint="eastAsia" w:ascii="方正小标宋简体" w:hAnsi="宋体" w:eastAsia="方正小标宋简体" w:cs="Times New Roman"/>
          <w:color w:val="auto"/>
          <w:sz w:val="44"/>
          <w:szCs w:val="44"/>
          <w:highlight w:val="none"/>
          <w:lang w:val="en-US" w:eastAsia="zh-CN"/>
        </w:rPr>
      </w:pPr>
      <w:r>
        <w:rPr>
          <w:rFonts w:hint="eastAsia" w:ascii="方正小标宋简体" w:hAnsi="宋体" w:eastAsia="方正小标宋简体" w:cs="Times New Roman"/>
          <w:color w:val="auto"/>
          <w:sz w:val="44"/>
          <w:szCs w:val="44"/>
          <w:highlight w:val="none"/>
          <w:lang w:val="en-US" w:eastAsia="zh-CN"/>
        </w:rPr>
        <w:t>府谷县烟草制品</w:t>
      </w:r>
      <w:r>
        <w:rPr>
          <w:rFonts w:hint="eastAsia" w:ascii="方正小标宋简体" w:hAnsi="宋体" w:eastAsia="方正小标宋简体" w:cs="Times New Roman"/>
          <w:color w:val="auto"/>
          <w:sz w:val="44"/>
          <w:szCs w:val="44"/>
          <w:highlight w:val="none"/>
          <w:lang w:eastAsia="zh-CN"/>
        </w:rPr>
        <w:t>零售点</w:t>
      </w:r>
      <w:r>
        <w:rPr>
          <w:rFonts w:hint="eastAsia" w:ascii="方正小标宋简体" w:hAnsi="宋体" w:eastAsia="方正小标宋简体" w:cs="Times New Roman"/>
          <w:color w:val="auto"/>
          <w:sz w:val="44"/>
          <w:szCs w:val="44"/>
          <w:highlight w:val="none"/>
        </w:rPr>
        <w:t>合理布局规</w:t>
      </w:r>
      <w:r>
        <w:rPr>
          <w:rFonts w:hint="eastAsia" w:ascii="方正小标宋简体" w:hAnsi="宋体" w:eastAsia="方正小标宋简体" w:cs="Times New Roman"/>
          <w:color w:val="auto"/>
          <w:sz w:val="44"/>
          <w:szCs w:val="44"/>
          <w:highlight w:val="none"/>
          <w:lang w:val="en-US" w:eastAsia="zh-CN"/>
        </w:rPr>
        <w:t>定</w:t>
      </w:r>
    </w:p>
    <w:p w14:paraId="1CA81AE1">
      <w:pPr>
        <w:spacing w:line="600" w:lineRule="exact"/>
        <w:rPr>
          <w:rFonts w:ascii="仿宋_GB2312" w:hAnsi="宋体" w:eastAsia="仿宋_GB2312" w:cs="Times New Roman"/>
          <w:b/>
          <w:color w:val="000000"/>
          <w:sz w:val="32"/>
          <w:szCs w:val="32"/>
        </w:rPr>
      </w:pPr>
    </w:p>
    <w:p w14:paraId="22D71670">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第一章  总则</w:t>
      </w:r>
    </w:p>
    <w:p w14:paraId="6AFE5D66">
      <w:pPr>
        <w:spacing w:line="600" w:lineRule="exact"/>
        <w:jc w:val="center"/>
        <w:rPr>
          <w:rFonts w:ascii="黑体" w:hAnsi="黑体" w:eastAsia="黑体" w:cs="Times New Roman"/>
          <w:sz w:val="32"/>
          <w:szCs w:val="32"/>
        </w:rPr>
      </w:pPr>
    </w:p>
    <w:p w14:paraId="612EC83F">
      <w:pPr>
        <w:spacing w:line="600" w:lineRule="exact"/>
        <w:ind w:firstLine="643" w:firstLineChars="200"/>
        <w:rPr>
          <w:rFonts w:ascii="仿宋_GB2312" w:hAnsi="Times New Roman" w:eastAsia="仿宋_GB2312" w:cs="Times New Roman"/>
          <w:sz w:val="32"/>
          <w:szCs w:val="32"/>
        </w:rPr>
      </w:pPr>
      <w:r>
        <w:rPr>
          <w:rFonts w:ascii="仿宋" w:hAnsi="仿宋" w:eastAsia="仿宋" w:cs="Times New Roman"/>
          <w:b/>
          <w:sz w:val="32"/>
          <w:szCs w:val="32"/>
        </w:rPr>
        <w:t>第一条</w:t>
      </w:r>
      <w:r>
        <w:rPr>
          <w:rFonts w:hint="eastAsia" w:ascii="仿宋" w:hAnsi="仿宋" w:eastAsia="仿宋" w:cs="Times New Roman"/>
          <w:b/>
          <w:sz w:val="32"/>
          <w:szCs w:val="32"/>
        </w:rPr>
        <w:t xml:space="preserve"> </w:t>
      </w:r>
      <w:r>
        <w:rPr>
          <w:rFonts w:hint="eastAsia" w:ascii="仿宋_GB2312" w:hAnsi="Times New Roman" w:eastAsia="仿宋_GB2312" w:cs="Times New Roman"/>
          <w:sz w:val="32"/>
          <w:szCs w:val="32"/>
        </w:rPr>
        <w:t>为了维护烟草专卖制度，规范烟草制品零售市场秩序，合理配置烟草制品零售点市场资源，促进烟草市场健康发展，保障国家利益，维护烟草制品零售经营者、消费者和未成年人的合法权益，根据《中华人民共和国行政许可法</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中华人民共和国未成年人保护法》《中华人民共和国烟草专卖法》《中华人民共和国烟草专卖法实施条例》《烟草专卖许可证管理办法》《烟草专卖许可证管理办法实施细则》等法律法规规章和规范性文件，结合本辖区实际，制定本规定。</w:t>
      </w:r>
    </w:p>
    <w:p w14:paraId="6CAEF4A0">
      <w:pPr>
        <w:spacing w:line="60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 xml:space="preserve">第二条 </w:t>
      </w:r>
      <w:r>
        <w:rPr>
          <w:rFonts w:hint="eastAsia" w:ascii="仿宋_GB2312" w:hAnsi="Times New Roman" w:eastAsia="仿宋_GB2312" w:cs="Times New Roman"/>
          <w:color w:val="auto"/>
          <w:sz w:val="32"/>
          <w:szCs w:val="32"/>
          <w:highlight w:val="none"/>
          <w:lang w:val="en-US" w:eastAsia="zh-CN"/>
        </w:rPr>
        <w:t>府谷县烟草专卖局负责制定和解释本行政区域内的烟草制品零售点合理布局规定。</w:t>
      </w:r>
      <w:r>
        <w:rPr>
          <w:rFonts w:hint="eastAsia" w:ascii="仿宋_GB2312" w:hAnsi="Times New Roman" w:eastAsia="仿宋_GB2312" w:cs="Times New Roman"/>
          <w:sz w:val="32"/>
          <w:szCs w:val="32"/>
        </w:rPr>
        <w:t>本规定适用于府谷县行政区域范围内烟草制品零售点的布局管理。</w:t>
      </w:r>
    </w:p>
    <w:p w14:paraId="2A91D87F">
      <w:pPr>
        <w:spacing w:line="60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 xml:space="preserve">第三条 </w:t>
      </w:r>
      <w:r>
        <w:rPr>
          <w:rFonts w:hint="eastAsia" w:ascii="仿宋_GB2312" w:hAnsi="Times New Roman" w:eastAsia="仿宋_GB2312" w:cs="Times New Roman"/>
          <w:sz w:val="32"/>
          <w:szCs w:val="32"/>
        </w:rPr>
        <w:t>本规定所称烟草制品零售点（以下简称零售点）是指依法取得烟草专卖零售许可证的公民、法人或者其他组织从事烟草制品零售业务的经营场所。</w:t>
      </w:r>
    </w:p>
    <w:p w14:paraId="0339D2E9">
      <w:pPr>
        <w:spacing w:line="600" w:lineRule="exact"/>
        <w:ind w:firstLine="643" w:firstLineChars="200"/>
        <w:rPr>
          <w:rFonts w:hint="eastAsia" w:ascii="仿宋_GB2312" w:hAnsi="Times New Roman" w:eastAsia="仿宋_GB2312" w:cs="Times New Roman"/>
          <w:sz w:val="32"/>
          <w:szCs w:val="32"/>
        </w:rPr>
      </w:pPr>
      <w:r>
        <w:rPr>
          <w:rFonts w:hint="eastAsia" w:ascii="仿宋" w:hAnsi="仿宋" w:eastAsia="仿宋" w:cs="Times New Roman"/>
          <w:b/>
          <w:sz w:val="32"/>
          <w:szCs w:val="32"/>
        </w:rPr>
        <w:t xml:space="preserve">第四条 </w:t>
      </w:r>
      <w:r>
        <w:rPr>
          <w:rFonts w:hint="eastAsia" w:ascii="仿宋_GB2312" w:hAnsi="Times New Roman" w:eastAsia="仿宋_GB2312" w:cs="Times New Roman"/>
          <w:sz w:val="32"/>
          <w:szCs w:val="32"/>
        </w:rPr>
        <w:t>本规定所称的合理布局是遵循依法依规、尊重市场，综合考虑辖区内的人口数量、地理条件、经济发展水平、交通状况、消费需求等因素管理，按需设置烟草制品零售点布局规划。</w:t>
      </w:r>
    </w:p>
    <w:p w14:paraId="328481F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b/>
          <w:bCs/>
          <w:color w:val="auto"/>
          <w:sz w:val="32"/>
          <w:szCs w:val="32"/>
          <w:highlight w:val="none"/>
          <w:lang w:val="en-US" w:eastAsia="zh-CN"/>
        </w:rPr>
        <w:t>第五条</w:t>
      </w:r>
      <w:r>
        <w:rPr>
          <w:rFonts w:hint="eastAsia" w:ascii="仿宋_GB2312" w:hAnsi="Times New Roman" w:eastAsia="仿宋_GB2312" w:cs="Times New Roman"/>
          <w:color w:val="auto"/>
          <w:sz w:val="32"/>
          <w:szCs w:val="32"/>
          <w:highlight w:val="none"/>
          <w:lang w:val="en-US" w:eastAsia="zh-CN"/>
        </w:rPr>
        <w:t xml:space="preserve"> 根据府谷县域实际情况，申请人在所申请的最小市场单元现存零售点数量达到零售点规划数量上限的情况下，实行轮候排队机制。</w:t>
      </w:r>
    </w:p>
    <w:p w14:paraId="4864B2AE">
      <w:pPr>
        <w:spacing w:line="600" w:lineRule="exact"/>
        <w:ind w:firstLine="640" w:firstLineChars="200"/>
        <w:rPr>
          <w:rFonts w:ascii="仿宋" w:hAnsi="仿宋" w:eastAsia="仿宋" w:cs="Times New Roman"/>
          <w:sz w:val="32"/>
          <w:szCs w:val="32"/>
        </w:rPr>
      </w:pPr>
    </w:p>
    <w:p w14:paraId="1522C1C7">
      <w:pPr>
        <w:spacing w:line="600" w:lineRule="exact"/>
        <w:ind w:firstLine="640" w:firstLineChars="200"/>
        <w:jc w:val="center"/>
        <w:rPr>
          <w:rFonts w:ascii="黑体" w:hAnsi="黑体" w:eastAsia="黑体" w:cs="Times New Roman"/>
          <w:sz w:val="32"/>
          <w:szCs w:val="32"/>
        </w:rPr>
      </w:pPr>
      <w:r>
        <w:rPr>
          <w:rFonts w:hint="eastAsia" w:ascii="黑体" w:hAnsi="黑体" w:eastAsia="黑体" w:cs="Times New Roman"/>
          <w:sz w:val="32"/>
          <w:szCs w:val="32"/>
        </w:rPr>
        <w:t>第二章  基本原则</w:t>
      </w:r>
    </w:p>
    <w:p w14:paraId="420AE2B6">
      <w:pPr>
        <w:spacing w:line="600" w:lineRule="exact"/>
        <w:jc w:val="center"/>
        <w:rPr>
          <w:rFonts w:ascii="黑体" w:hAnsi="黑体" w:eastAsia="黑体" w:cs="Times New Roman"/>
          <w:sz w:val="32"/>
          <w:szCs w:val="32"/>
        </w:rPr>
      </w:pPr>
    </w:p>
    <w:p w14:paraId="5714E017">
      <w:pPr>
        <w:spacing w:line="600" w:lineRule="exact"/>
        <w:ind w:firstLine="643" w:firstLineChars="200"/>
        <w:rPr>
          <w:rFonts w:ascii="仿宋_GB2312" w:hAnsi="宋体" w:eastAsia="仿宋_GB2312" w:cs="Times New Roman"/>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 xml:space="preserve">条 </w:t>
      </w:r>
      <w:r>
        <w:rPr>
          <w:rFonts w:hint="eastAsia" w:ascii="仿宋_GB2312" w:hAnsi="Times New Roman" w:eastAsia="仿宋_GB2312" w:cs="Times New Roman"/>
          <w:sz w:val="32"/>
          <w:szCs w:val="32"/>
        </w:rPr>
        <w:t>制定烟草制品零售点合理布局遵循以下原则：</w:t>
      </w:r>
    </w:p>
    <w:p w14:paraId="5F46136F">
      <w:pPr>
        <w:spacing w:line="600" w:lineRule="exact"/>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（一）依法行政原则。</w:t>
      </w:r>
    </w:p>
    <w:p w14:paraId="2389558C">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zh-CN"/>
        </w:rPr>
        <w:t>零售点合理布局规定以法律法规规章和国家烟草专卖局规范性文件为依据，保证符合法定条件的行政相对人有依法取得烟草专卖零售许可证的平等权利。零售点布局经过深入调研，广泛听取意见，依法履行听证、备案等程序，按照相关规定及时公示，并向社会公布，其执行情况接受社会监督，做到公开、公平、公正。</w:t>
      </w:r>
    </w:p>
    <w:p w14:paraId="49E2CE64">
      <w:pPr>
        <w:spacing w:line="600" w:lineRule="exact"/>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（二）科学规定原则。</w:t>
      </w:r>
    </w:p>
    <w:p w14:paraId="1F1F7B36">
      <w:pPr>
        <w:spacing w:line="600" w:lineRule="exact"/>
        <w:ind w:firstLine="640" w:firstLineChars="200"/>
        <w:contextualSpacing/>
        <w:rPr>
          <w:rFonts w:ascii="仿宋_GB2312" w:hAnsi="宋体" w:eastAsia="仿宋_GB2312" w:cs="Times New Roman"/>
          <w:sz w:val="32"/>
          <w:szCs w:val="32"/>
        </w:rPr>
      </w:pPr>
      <w:r>
        <w:rPr>
          <w:rFonts w:hint="eastAsia" w:ascii="仿宋_GB2312" w:hAnsi="Times New Roman" w:eastAsia="仿宋_GB2312" w:cs="Times New Roman"/>
          <w:sz w:val="32"/>
          <w:szCs w:val="32"/>
          <w:lang w:val="zh-CN"/>
        </w:rPr>
        <w:t>零售点合理布局规定以市场单元为基准，量化分析单元内与烟草制品零售相关的人口数量、地理位置、交通状况、经济发展水平、消费需求等因素，尊重客观事实，遵循市场规律，预测发展趋势，合理测算市场单元内零售点的数量范围与间距标准，既便于消费者购买，又保护零售户的经营利益，</w:t>
      </w:r>
      <w:r>
        <w:rPr>
          <w:rFonts w:hint="eastAsia" w:ascii="仿宋_GB2312" w:hAnsi="Times New Roman" w:eastAsia="仿宋_GB2312" w:cs="Times New Roman"/>
          <w:sz w:val="32"/>
          <w:szCs w:val="32"/>
        </w:rPr>
        <w:t>防止零售点之间无序竞争</w:t>
      </w:r>
      <w:r>
        <w:rPr>
          <w:rFonts w:hint="eastAsia" w:ascii="仿宋_GB2312" w:hAnsi="Times New Roman" w:eastAsia="仿宋_GB2312" w:cs="Times New Roman"/>
          <w:sz w:val="32"/>
          <w:szCs w:val="32"/>
          <w:lang w:val="zh-CN"/>
        </w:rPr>
        <w:t>。</w:t>
      </w:r>
    </w:p>
    <w:p w14:paraId="66CB26C6">
      <w:pPr>
        <w:autoSpaceDE w:val="0"/>
        <w:autoSpaceDN w:val="0"/>
        <w:adjustRightInd w:val="0"/>
        <w:spacing w:line="600" w:lineRule="exact"/>
        <w:ind w:firstLine="640" w:firstLineChars="200"/>
        <w:rPr>
          <w:rFonts w:ascii="楷体_GB2312" w:hAnsi="Times New Roman" w:eastAsia="楷体_GB2312" w:cs="Times New Roman"/>
          <w:sz w:val="32"/>
          <w:szCs w:val="32"/>
          <w:lang w:val="zh-CN"/>
        </w:rPr>
      </w:pPr>
      <w:r>
        <w:rPr>
          <w:rFonts w:hint="eastAsia" w:ascii="楷体_GB2312" w:hAnsi="Times New Roman" w:eastAsia="楷体_GB2312" w:cs="Times New Roman"/>
          <w:sz w:val="32"/>
          <w:szCs w:val="32"/>
          <w:lang w:val="zh-CN"/>
        </w:rPr>
        <w:t>（三）服务社会原则。</w:t>
      </w:r>
    </w:p>
    <w:p w14:paraId="17C4BD08">
      <w:pPr>
        <w:spacing w:line="600" w:lineRule="exact"/>
        <w:ind w:firstLine="640" w:firstLineChars="200"/>
        <w:contextualSpacing/>
        <w:rPr>
          <w:rFonts w:ascii="仿宋" w:hAnsi="仿宋" w:eastAsia="仿宋" w:cs="仿宋"/>
          <w:sz w:val="32"/>
          <w:szCs w:val="32"/>
          <w:lang w:val="zh-CN"/>
        </w:rPr>
      </w:pPr>
      <w:r>
        <w:rPr>
          <w:rFonts w:hint="eastAsia" w:ascii="仿宋_GB2312" w:hAnsi="Times New Roman" w:eastAsia="仿宋_GB2312" w:cs="Times New Roman"/>
          <w:sz w:val="32"/>
          <w:szCs w:val="32"/>
          <w:lang w:val="zh-CN"/>
        </w:rPr>
        <w:t>零售点合理布局规定</w:t>
      </w:r>
      <w:r>
        <w:rPr>
          <w:rFonts w:hint="eastAsia" w:ascii="仿宋_GB2312" w:hAnsi="Times New Roman" w:eastAsia="仿宋_GB2312" w:cs="Times New Roman"/>
          <w:sz w:val="32"/>
          <w:szCs w:val="32"/>
        </w:rPr>
        <w:t>关系公共利益，</w:t>
      </w:r>
      <w:r>
        <w:rPr>
          <w:rFonts w:hint="eastAsia" w:ascii="仿宋_GB2312" w:hAnsi="Times New Roman" w:eastAsia="仿宋_GB2312" w:cs="Times New Roman"/>
          <w:sz w:val="32"/>
          <w:szCs w:val="32"/>
          <w:lang w:val="zh-CN"/>
        </w:rPr>
        <w:t>以服务社会为主，统筹考虑控烟履约、未成年人保护、便利消费者和零售户经营利益等因素，</w:t>
      </w:r>
      <w:r>
        <w:rPr>
          <w:rFonts w:hint="eastAsia" w:ascii="仿宋_GB2312" w:hAnsi="Times New Roman" w:eastAsia="仿宋_GB2312" w:cs="Times New Roman"/>
          <w:sz w:val="32"/>
          <w:szCs w:val="32"/>
        </w:rPr>
        <w:t>服务消费者，稳定市场</w:t>
      </w:r>
      <w:r>
        <w:rPr>
          <w:rFonts w:hint="eastAsia" w:ascii="仿宋_GB2312" w:hAnsi="Times New Roman" w:eastAsia="仿宋_GB2312" w:cs="Times New Roman"/>
          <w:sz w:val="32"/>
          <w:szCs w:val="32"/>
          <w:lang w:val="zh-CN"/>
        </w:rPr>
        <w:t>，对社会弱势群体予以</w:t>
      </w:r>
      <w:r>
        <w:rPr>
          <w:rFonts w:hint="eastAsia" w:ascii="仿宋_GB2312" w:hAnsi="Times New Roman" w:eastAsia="仿宋_GB2312" w:cs="Times New Roman"/>
          <w:sz w:val="32"/>
          <w:szCs w:val="32"/>
        </w:rPr>
        <w:t>一定的政策倾斜，</w:t>
      </w:r>
      <w:r>
        <w:rPr>
          <w:rFonts w:hint="eastAsia" w:ascii="仿宋_GB2312" w:hAnsi="Times New Roman" w:eastAsia="仿宋_GB2312" w:cs="Times New Roman"/>
          <w:sz w:val="32"/>
          <w:szCs w:val="32"/>
          <w:lang w:val="zh-CN"/>
        </w:rPr>
        <w:t>不断提升行政服务效能。</w:t>
      </w:r>
    </w:p>
    <w:p w14:paraId="6BDB5565">
      <w:pPr>
        <w:autoSpaceDE w:val="0"/>
        <w:autoSpaceDN w:val="0"/>
        <w:adjustRightInd w:val="0"/>
        <w:spacing w:line="600" w:lineRule="exact"/>
        <w:ind w:firstLine="640" w:firstLineChars="200"/>
        <w:rPr>
          <w:rFonts w:ascii="楷体_GB2312" w:hAnsi="Times New Roman" w:eastAsia="楷体_GB2312" w:cs="Times New Roman"/>
          <w:sz w:val="32"/>
          <w:szCs w:val="32"/>
          <w:lang w:val="zh-CN"/>
        </w:rPr>
      </w:pPr>
      <w:r>
        <w:rPr>
          <w:rFonts w:hint="eastAsia" w:ascii="楷体_GB2312" w:hAnsi="Times New Roman" w:eastAsia="楷体_GB2312" w:cs="Times New Roman"/>
          <w:sz w:val="32"/>
          <w:szCs w:val="32"/>
          <w:lang w:val="zh-CN"/>
        </w:rPr>
        <w:t>（四）均衡发展原则。</w:t>
      </w:r>
    </w:p>
    <w:p w14:paraId="67926E28">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zh-CN"/>
        </w:rPr>
        <w:t>零售点合理布局规定体现前瞻性，坚持均衡发展，保持零售点数量与</w:t>
      </w:r>
      <w:r>
        <w:rPr>
          <w:rFonts w:hint="eastAsia" w:ascii="仿宋_GB2312" w:hAnsi="Times New Roman" w:eastAsia="仿宋_GB2312" w:cs="Times New Roman"/>
          <w:sz w:val="32"/>
          <w:szCs w:val="32"/>
        </w:rPr>
        <w:t>市场需求</w:t>
      </w:r>
      <w:r>
        <w:rPr>
          <w:rFonts w:hint="eastAsia" w:ascii="仿宋_GB2312" w:hAnsi="Times New Roman" w:eastAsia="仿宋_GB2312" w:cs="Times New Roman"/>
          <w:sz w:val="32"/>
          <w:szCs w:val="32"/>
          <w:lang w:val="zh-CN"/>
        </w:rPr>
        <w:t>相适应、零售点分布与卷烟市场区位相</w:t>
      </w:r>
      <w:r>
        <w:rPr>
          <w:rFonts w:hint="eastAsia" w:ascii="仿宋_GB2312" w:hAnsi="Times New Roman" w:eastAsia="仿宋_GB2312" w:cs="Times New Roman"/>
          <w:sz w:val="32"/>
          <w:szCs w:val="32"/>
        </w:rPr>
        <w:t>匹配</w:t>
      </w:r>
      <w:r>
        <w:rPr>
          <w:rFonts w:hint="eastAsia" w:ascii="仿宋_GB2312" w:hAnsi="Times New Roman" w:eastAsia="仿宋_GB2312" w:cs="Times New Roman"/>
          <w:sz w:val="32"/>
          <w:szCs w:val="32"/>
          <w:lang w:val="zh-CN"/>
        </w:rPr>
        <w:t>，维持零售户数量的合理稳定。</w:t>
      </w:r>
    </w:p>
    <w:p w14:paraId="03A64272">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ascii="仿宋" w:hAnsi="仿宋" w:eastAsia="仿宋" w:cs="仿宋"/>
          <w:sz w:val="32"/>
          <w:szCs w:val="32"/>
        </w:rPr>
      </w:pPr>
      <w:r>
        <w:rPr>
          <w:rFonts w:hint="eastAsia" w:ascii="仿宋_GB2312" w:hAnsi="宋体" w:eastAsia="仿宋_GB2312" w:cs="Times New Roman"/>
          <w:b/>
          <w:bCs/>
          <w:sz w:val="32"/>
          <w:szCs w:val="32"/>
        </w:rPr>
        <w:t>第</w:t>
      </w:r>
      <w:r>
        <w:rPr>
          <w:rFonts w:hint="eastAsia" w:ascii="仿宋_GB2312" w:hAnsi="宋体" w:eastAsia="仿宋_GB2312" w:cs="Times New Roman"/>
          <w:b/>
          <w:bCs/>
          <w:sz w:val="32"/>
          <w:szCs w:val="32"/>
          <w:lang w:val="en-US" w:eastAsia="zh-CN"/>
        </w:rPr>
        <w:t>七</w:t>
      </w:r>
      <w:r>
        <w:rPr>
          <w:rFonts w:hint="eastAsia" w:ascii="仿宋_GB2312" w:hAnsi="宋体" w:eastAsia="仿宋_GB2312" w:cs="Times New Roman"/>
          <w:b/>
          <w:bCs/>
          <w:sz w:val="32"/>
          <w:szCs w:val="32"/>
        </w:rPr>
        <w:t>条</w:t>
      </w:r>
      <w:r>
        <w:rPr>
          <w:rFonts w:hint="eastAsia" w:ascii="仿宋_GB2312" w:hAnsi="宋体" w:eastAsia="仿宋_GB2312" w:cs="Times New Roman"/>
          <w:sz w:val="32"/>
          <w:szCs w:val="32"/>
        </w:rPr>
        <w:t xml:space="preserve"> </w:t>
      </w:r>
      <w:r>
        <w:rPr>
          <w:rFonts w:hint="eastAsia" w:ascii="仿宋_GB2312" w:hAnsi="Times New Roman" w:eastAsia="仿宋_GB2312" w:cs="Times New Roman"/>
          <w:sz w:val="32"/>
          <w:szCs w:val="32"/>
          <w:lang w:val="zh-CN"/>
        </w:rPr>
        <w:t>零售点合理布局实行定期评价、</w:t>
      </w:r>
      <w:r>
        <w:rPr>
          <w:rFonts w:hint="eastAsia" w:ascii="仿宋_GB2312" w:hAnsi="Times New Roman" w:eastAsia="仿宋_GB2312" w:cs="Times New Roman"/>
          <w:sz w:val="32"/>
          <w:szCs w:val="32"/>
        </w:rPr>
        <w:t>视市场需求状态变化情况进行</w:t>
      </w:r>
      <w:r>
        <w:rPr>
          <w:rFonts w:hint="eastAsia" w:ascii="仿宋_GB2312" w:hAnsi="Times New Roman" w:eastAsia="仿宋_GB2312" w:cs="Times New Roman"/>
          <w:sz w:val="32"/>
          <w:szCs w:val="32"/>
          <w:lang w:val="zh-CN"/>
        </w:rPr>
        <w:t>动态管理，由府谷县烟草专卖局动态调整市场单元内零售点规划数量，通过公示栏、网站等方式公布所调整的规划数量表标准，新标准发布实施后旧标准自动废止。</w:t>
      </w:r>
    </w:p>
    <w:p w14:paraId="23F6F912">
      <w:pPr>
        <w:autoSpaceDE w:val="0"/>
        <w:autoSpaceDN w:val="0"/>
        <w:adjustRightInd w:val="0"/>
        <w:spacing w:line="600" w:lineRule="exact"/>
        <w:rPr>
          <w:rFonts w:ascii="仿宋_GB2312" w:hAnsi="宋体" w:eastAsia="仿宋_GB2312" w:cs="Times New Roman"/>
          <w:sz w:val="32"/>
          <w:szCs w:val="32"/>
        </w:rPr>
      </w:pPr>
    </w:p>
    <w:p w14:paraId="76CDE224">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第三章 合理布局设置</w:t>
      </w:r>
    </w:p>
    <w:p w14:paraId="516611F7">
      <w:pPr>
        <w:spacing w:line="600" w:lineRule="exact"/>
        <w:rPr>
          <w:rFonts w:ascii="黑体" w:hAnsi="黑体" w:eastAsia="黑体" w:cs="Times New Roman"/>
          <w:sz w:val="32"/>
          <w:szCs w:val="32"/>
        </w:rPr>
      </w:pPr>
    </w:p>
    <w:p w14:paraId="24C8E7B5">
      <w:pPr>
        <w:spacing w:line="600" w:lineRule="exact"/>
        <w:ind w:firstLine="643" w:firstLineChars="200"/>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b/>
          <w:bCs/>
          <w:sz w:val="32"/>
          <w:szCs w:val="32"/>
          <w:highlight w:val="none"/>
        </w:rPr>
        <w:t>第</w:t>
      </w:r>
      <w:r>
        <w:rPr>
          <w:rFonts w:hint="eastAsia" w:ascii="仿宋_GB2312" w:hAnsi="Times New Roman" w:eastAsia="仿宋_GB2312" w:cs="Times New Roman"/>
          <w:b/>
          <w:bCs/>
          <w:sz w:val="32"/>
          <w:szCs w:val="32"/>
          <w:highlight w:val="none"/>
          <w:lang w:val="en-US" w:eastAsia="zh-CN"/>
        </w:rPr>
        <w:t>八</w:t>
      </w:r>
      <w:r>
        <w:rPr>
          <w:rFonts w:hint="eastAsia" w:ascii="仿宋_GB2312" w:hAnsi="Times New Roman" w:eastAsia="仿宋_GB2312" w:cs="Times New Roman"/>
          <w:b/>
          <w:bCs/>
          <w:sz w:val="32"/>
          <w:szCs w:val="32"/>
          <w:highlight w:val="none"/>
        </w:rPr>
        <w:t>条</w:t>
      </w:r>
      <w:r>
        <w:rPr>
          <w:rFonts w:hint="eastAsia" w:ascii="仿宋_GB2312" w:hAnsi="Times New Roman" w:eastAsia="仿宋_GB2312" w:cs="Times New Roman"/>
          <w:b/>
          <w:bCs/>
          <w:sz w:val="32"/>
          <w:szCs w:val="32"/>
          <w:highlight w:val="none"/>
          <w:lang w:val="en-US" w:eastAsia="zh-CN"/>
        </w:rPr>
        <w:t xml:space="preserve"> </w:t>
      </w:r>
      <w:r>
        <w:rPr>
          <w:rFonts w:hint="eastAsia" w:ascii="仿宋_GB2312" w:hAnsi="Times New Roman" w:eastAsia="仿宋_GB2312" w:cs="Times New Roman"/>
          <w:sz w:val="32"/>
          <w:szCs w:val="32"/>
        </w:rPr>
        <w:t>烟草制品零售点合理布局</w:t>
      </w:r>
      <w:r>
        <w:rPr>
          <w:rFonts w:hint="eastAsia" w:ascii="仿宋_GB2312" w:hAnsi="Times New Roman" w:eastAsia="仿宋_GB2312" w:cs="Times New Roman"/>
          <w:b w:val="0"/>
          <w:bCs w:val="0"/>
          <w:sz w:val="32"/>
          <w:szCs w:val="32"/>
          <w:highlight w:val="none"/>
          <w:lang w:val="en-US" w:eastAsia="zh-CN"/>
        </w:rPr>
        <w:t>设置</w:t>
      </w:r>
    </w:p>
    <w:p w14:paraId="211D9F07">
      <w:pPr>
        <w:spacing w:line="600" w:lineRule="exact"/>
        <w:ind w:firstLine="640" w:firstLineChars="200"/>
        <w:contextualSpacing/>
        <w:rPr>
          <w:rFonts w:ascii="楷体_GB2312" w:hAnsi="宋体" w:eastAsia="楷体_GB2312" w:cs="Times New Roman"/>
          <w:sz w:val="32"/>
          <w:szCs w:val="32"/>
        </w:rPr>
      </w:pPr>
      <w:r>
        <w:rPr>
          <w:rFonts w:hint="eastAsia" w:ascii="楷体_GB2312" w:hAnsi="楷体_GB2312" w:eastAsia="楷体_GB2312" w:cs="楷体_GB2312"/>
          <w:sz w:val="32"/>
          <w:szCs w:val="32"/>
        </w:rPr>
        <w:t>（一）</w:t>
      </w:r>
      <w:r>
        <w:rPr>
          <w:rFonts w:hint="eastAsia" w:ascii="楷体_GB2312" w:hAnsi="宋体" w:eastAsia="楷体_GB2312" w:cs="Times New Roman"/>
          <w:sz w:val="32"/>
          <w:szCs w:val="32"/>
        </w:rPr>
        <w:t>市场单元划分</w:t>
      </w:r>
    </w:p>
    <w:p w14:paraId="4CE2620A">
      <w:pPr>
        <w:keepNext w:val="0"/>
        <w:keepLines w:val="0"/>
        <w:pageBreakBefore w:val="0"/>
        <w:kinsoku/>
        <w:wordWrap/>
        <w:overflowPunct/>
        <w:topLinePunct w:val="0"/>
        <w:bidi w:val="0"/>
        <w:snapToGrid/>
        <w:spacing w:line="600" w:lineRule="exact"/>
        <w:ind w:firstLine="640" w:firstLineChars="200"/>
        <w:textAlignment w:val="auto"/>
        <w:rPr>
          <w:rFonts w:ascii="仿宋_GB2312" w:hAnsi="华文仿宋" w:eastAsia="仿宋_GB2312" w:cs="Times New Roman"/>
          <w:sz w:val="32"/>
          <w:szCs w:val="32"/>
          <w:highlight w:val="yellow"/>
        </w:rPr>
      </w:pPr>
      <w:r>
        <w:rPr>
          <w:rFonts w:hint="eastAsia" w:ascii="仿宋_GB2312" w:hAnsi="华文仿宋" w:eastAsia="仿宋_GB2312" w:cs="Times New Roman"/>
          <w:sz w:val="32"/>
          <w:szCs w:val="32"/>
        </w:rPr>
        <w:t>依据自然行政区域和经济功能区、道路交通状况</w:t>
      </w:r>
      <w:r>
        <w:rPr>
          <w:rFonts w:hint="eastAsia" w:ascii="仿宋_GB2312" w:hAnsi="华文仿宋" w:eastAsia="仿宋_GB2312" w:cs="Times New Roman"/>
          <w:sz w:val="32"/>
          <w:szCs w:val="32"/>
          <w:lang w:val="en-US" w:eastAsia="zh-CN"/>
        </w:rPr>
        <w:t>将</w:t>
      </w:r>
      <w:r>
        <w:rPr>
          <w:rFonts w:hint="eastAsia" w:ascii="仿宋_GB2312" w:hAnsi="Times New Roman" w:eastAsia="仿宋_GB2312" w:cs="Times New Roman"/>
          <w:color w:val="auto"/>
          <w:sz w:val="32"/>
          <w:szCs w:val="32"/>
          <w:highlight w:val="none"/>
          <w:lang w:val="en-US" w:eastAsia="zh-CN"/>
        </w:rPr>
        <w:t>烟草制品零售市场分为一级市场单元（府谷县域市场）、二级市场单元（以城区、农村区划进行划分）、三级市场单元（以最小市场单元（社区网格）进行划分）。</w:t>
      </w:r>
    </w:p>
    <w:p w14:paraId="7781FF27">
      <w:pPr>
        <w:spacing w:line="600" w:lineRule="exact"/>
        <w:ind w:firstLine="640" w:firstLineChars="200"/>
        <w:contextualSpacing/>
        <w:rPr>
          <w:rFonts w:ascii="楷体_GB2312" w:hAnsi="宋体" w:eastAsia="楷体_GB2312" w:cs="Times New Roman"/>
          <w:sz w:val="32"/>
          <w:szCs w:val="32"/>
        </w:rPr>
      </w:pPr>
      <w:r>
        <w:rPr>
          <w:rFonts w:hint="eastAsia" w:ascii="楷体_GB2312" w:hAnsi="宋体" w:eastAsia="楷体_GB2312" w:cs="Times New Roman"/>
          <w:sz w:val="32"/>
          <w:szCs w:val="32"/>
        </w:rPr>
        <w:t>（二）零售点布局模式</w:t>
      </w:r>
    </w:p>
    <w:p w14:paraId="3CC64E11">
      <w:pPr>
        <w:spacing w:line="600" w:lineRule="exact"/>
        <w:ind w:firstLine="640" w:firstLineChars="200"/>
        <w:contextualSpacing/>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本规定合理布局采用“总量+</w:t>
      </w:r>
      <w:r>
        <w:rPr>
          <w:rFonts w:hint="eastAsia" w:ascii="仿宋_GB2312" w:hAnsi="Times New Roman" w:eastAsia="仿宋_GB2312" w:cs="Times New Roman"/>
          <w:sz w:val="32"/>
          <w:szCs w:val="32"/>
          <w:lang w:val="en-US" w:eastAsia="zh-CN"/>
        </w:rPr>
        <w:t>距离”</w:t>
      </w:r>
      <w:r>
        <w:rPr>
          <w:rFonts w:hint="eastAsia" w:ascii="仿宋_GB2312" w:hAnsi="Times New Roman" w:eastAsia="仿宋_GB2312" w:cs="Times New Roman"/>
          <w:sz w:val="32"/>
          <w:szCs w:val="32"/>
        </w:rPr>
        <w:t>控制的</w:t>
      </w:r>
      <w:r>
        <w:rPr>
          <w:rFonts w:hint="eastAsia" w:ascii="仿宋_GB2312" w:hAnsi="Times New Roman" w:eastAsia="仿宋_GB2312" w:cs="Times New Roman"/>
          <w:sz w:val="32"/>
          <w:szCs w:val="32"/>
          <w:lang w:val="en-US" w:eastAsia="zh-CN"/>
        </w:rPr>
        <w:t>布局</w:t>
      </w:r>
      <w:r>
        <w:rPr>
          <w:rFonts w:hint="eastAsia" w:ascii="仿宋_GB2312" w:hAnsi="Times New Roman" w:eastAsia="仿宋_GB2312" w:cs="Times New Roman"/>
          <w:sz w:val="32"/>
          <w:szCs w:val="32"/>
        </w:rPr>
        <w:t>模式。</w:t>
      </w:r>
    </w:p>
    <w:p w14:paraId="1172BD0F">
      <w:pPr>
        <w:spacing w:line="600" w:lineRule="exact"/>
        <w:ind w:firstLine="640" w:firstLineChars="200"/>
        <w:contextualSpacing/>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总量+距离</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控制指采取该控制方式区域内的持证户数不得超过规定的零售户规划户数，新办申请或重新申领申请零售点与已设的相邻零售点之间应符合规定的距离标准的综合控制标准。</w:t>
      </w:r>
    </w:p>
    <w:p w14:paraId="2F6506EF">
      <w:pPr>
        <w:spacing w:line="600" w:lineRule="exact"/>
        <w:ind w:firstLine="640" w:firstLineChars="200"/>
        <w:contextualSpacing/>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府谷县烟草专卖局根据地理位置、经济发展、人口数量、辖区面积、消费需求等因素进行测算，确定三级市场单元内零售点数量。</w:t>
      </w:r>
    </w:p>
    <w:p w14:paraId="51A7F34F">
      <w:pPr>
        <w:spacing w:line="600" w:lineRule="exact"/>
        <w:ind w:firstLine="640" w:firstLineChars="200"/>
        <w:contextualSpacing/>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网格单元的距离标准为新办申请或重新申领申请零售点与已设的相邻零售点之间的直线距离不低于25米。</w:t>
      </w:r>
    </w:p>
    <w:p w14:paraId="42ACB90B">
      <w:pPr>
        <w:spacing w:line="600" w:lineRule="exact"/>
        <w:ind w:firstLine="640" w:firstLineChars="200"/>
        <w:contextualSpacing/>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对不以经营烟酒糖茶及预包装食品为主业，主营业务为餐饮娱乐住宿、五金建材、美容美发、化妆品店、按摩推拿、药妆医械、中草药售卖、宠物店、文化体育用品、音像制品、家电家具、通信器材、移动业务服务、网吧、金融证券、仪器仪表、金银珠宝、修理修配、寄递配送、物流企业、洗涤护理、服装制售、鞋帽箱包、中介劳服、寄卖典当、古董店、汽车相关(维修、销售、美容等)、传真打印、照相馆、成人用品店等专业性较强，与烟草制品零售业务没有直接或间接互补营销关系的业态类型，与其他已设的相邻零售点之间的直线距离不低于300米。</w:t>
      </w:r>
    </w:p>
    <w:p w14:paraId="1594EC40">
      <w:pPr>
        <w:spacing w:line="600" w:lineRule="exact"/>
        <w:ind w:firstLine="640" w:firstLineChars="200"/>
        <w:contextualSpacing/>
        <w:rPr>
          <w:rFonts w:hint="default" w:ascii="楷体_GB2312" w:hAnsi="宋体" w:eastAsia="楷体_GB2312" w:cs="Times New Roman"/>
          <w:sz w:val="32"/>
          <w:szCs w:val="32"/>
          <w:lang w:val="en-US" w:eastAsia="zh-CN"/>
        </w:rPr>
      </w:pPr>
      <w:r>
        <w:rPr>
          <w:rFonts w:hint="eastAsia" w:ascii="楷体_GB2312" w:hAnsi="宋体" w:eastAsia="楷体_GB2312" w:cs="Times New Roman"/>
          <w:sz w:val="32"/>
          <w:szCs w:val="32"/>
        </w:rPr>
        <w:t>（三）</w:t>
      </w:r>
      <w:r>
        <w:rPr>
          <w:rFonts w:hint="eastAsia" w:ascii="楷体_GB2312" w:hAnsi="宋体" w:eastAsia="楷体_GB2312" w:cs="Times New Roman"/>
          <w:sz w:val="32"/>
          <w:szCs w:val="32"/>
          <w:lang w:val="en-US" w:eastAsia="zh-CN"/>
        </w:rPr>
        <w:t>触控机制</w:t>
      </w:r>
    </w:p>
    <w:p w14:paraId="3C0F9546">
      <w:pPr>
        <w:spacing w:line="600" w:lineRule="exact"/>
        <w:ind w:firstLine="640" w:firstLineChars="200"/>
        <w:contextualSpacing/>
        <w:rPr>
          <w:rFonts w:hint="eastAsia" w:ascii="仿宋_GB2312" w:hAnsi="华文仿宋" w:eastAsia="仿宋_GB2312" w:cs="Times New Roman"/>
          <w:sz w:val="32"/>
          <w:szCs w:val="32"/>
        </w:rPr>
      </w:pPr>
      <w:r>
        <w:rPr>
          <w:rFonts w:hint="eastAsia" w:ascii="仿宋_GB2312" w:hAnsi="Times New Roman" w:eastAsia="仿宋_GB2312" w:cs="Times New Roman"/>
          <w:sz w:val="32"/>
          <w:szCs w:val="32"/>
          <w:lang w:val="en-US" w:eastAsia="zh-CN"/>
        </w:rPr>
        <w:t>在尊重现况的原则下，现存零售户数量大于市场单元零售点规划数量的，不予办理烟草专卖零售许可证。通过公平竞争、自然淘汰、依法注销等综合调控手段，现存零售户数量等于市场单元内零售点规划数量后，实行“退一进一”，逐步调整优化。</w:t>
      </w:r>
    </w:p>
    <w:p w14:paraId="119868D0">
      <w:pPr>
        <w:widowControl/>
        <w:spacing w:line="600" w:lineRule="exact"/>
        <w:ind w:firstLine="643" w:firstLineChars="200"/>
        <w:jc w:val="left"/>
        <w:rPr>
          <w:rFonts w:ascii="仿宋_GB2312" w:hAnsi="华文仿宋" w:eastAsia="仿宋_GB2312" w:cs="Times New Roman"/>
          <w:sz w:val="32"/>
          <w:szCs w:val="32"/>
        </w:rPr>
      </w:pPr>
      <w:r>
        <w:rPr>
          <w:rFonts w:hint="eastAsia" w:ascii="仿宋_GB2312" w:hAnsi="华文仿宋" w:eastAsia="仿宋_GB2312" w:cs="Times New Roman"/>
          <w:b/>
          <w:bCs/>
          <w:sz w:val="32"/>
          <w:szCs w:val="32"/>
        </w:rPr>
        <w:t>第</w:t>
      </w:r>
      <w:r>
        <w:rPr>
          <w:rFonts w:hint="eastAsia" w:ascii="仿宋_GB2312" w:hAnsi="华文仿宋" w:eastAsia="仿宋_GB2312" w:cs="Times New Roman"/>
          <w:b/>
          <w:bCs/>
          <w:sz w:val="32"/>
          <w:szCs w:val="32"/>
          <w:lang w:val="en-US" w:eastAsia="zh-CN"/>
        </w:rPr>
        <w:t>九</w:t>
      </w:r>
      <w:r>
        <w:rPr>
          <w:rFonts w:hint="eastAsia" w:ascii="仿宋_GB2312" w:hAnsi="华文仿宋" w:eastAsia="仿宋_GB2312" w:cs="Times New Roman"/>
          <w:b/>
          <w:bCs/>
          <w:sz w:val="32"/>
          <w:szCs w:val="32"/>
        </w:rPr>
        <w:t>条</w:t>
      </w:r>
      <w:r>
        <w:rPr>
          <w:rFonts w:hint="eastAsia" w:ascii="仿宋_GB2312" w:hAnsi="华文仿宋" w:eastAsia="仿宋_GB2312" w:cs="Times New Roman"/>
          <w:sz w:val="32"/>
          <w:szCs w:val="32"/>
        </w:rPr>
        <w:t xml:space="preserve"> 社会特殊群体</w:t>
      </w:r>
    </w:p>
    <w:p w14:paraId="00D0408D">
      <w:pPr>
        <w:spacing w:line="600" w:lineRule="exact"/>
        <w:ind w:firstLine="640" w:firstLineChars="200"/>
        <w:contextualSpacing/>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属于下列社会特殊群体，其办理烟草专卖零售许可证时，放宽部分办证条件，仍受本规定最小市场单元规划数量限制，但间距标准按照本规定所在区域或所属业态间距标准的50%执行：</w:t>
      </w:r>
    </w:p>
    <w:p w14:paraId="3C65A1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contextualSpacing/>
        <w:textAlignment w:val="auto"/>
        <w:rPr>
          <w:rFonts w:ascii="仿宋_GB2312" w:hAnsi="仿宋_GB2312" w:eastAsia="仿宋_GB2312" w:cs="仿宋_GB2312"/>
          <w:sz w:val="32"/>
          <w:szCs w:val="32"/>
        </w:rPr>
      </w:pPr>
      <w:r>
        <w:rPr>
          <w:rFonts w:hint="eastAsia" w:ascii="仿宋_GB2312" w:hAnsi="Times New Roman" w:eastAsia="仿宋_GB2312" w:cs="Times New Roman"/>
          <w:sz w:val="32"/>
          <w:szCs w:val="32"/>
          <w:lang w:val="en-US" w:eastAsia="zh-CN" w:bidi="ar-SA"/>
        </w:rPr>
        <w:t>1.具有以下级别的残疾人员且确属家庭经济困难(相关部门出具书面证明材料)的:</w:t>
      </w:r>
    </w:p>
    <w:p w14:paraId="1A9AEF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（1）视力残疾：一级盲、二级盲</w:t>
      </w:r>
      <w:r>
        <w:rPr>
          <w:rFonts w:hint="eastAsia" w:ascii="仿宋_GB2312" w:hAnsi="仿宋_GB2312" w:eastAsia="仿宋_GB2312" w:cs="仿宋_GB2312"/>
          <w:sz w:val="32"/>
          <w:szCs w:val="32"/>
          <w:lang w:eastAsia="zh-CN"/>
        </w:rPr>
        <w:t>；</w:t>
      </w:r>
    </w:p>
    <w:p w14:paraId="285126DD">
      <w:pPr>
        <w:autoSpaceDE w:val="0"/>
        <w:autoSpaceDN w:val="0"/>
        <w:adjustRightIn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（2）听力残疾：一、二、三级</w:t>
      </w:r>
      <w:r>
        <w:rPr>
          <w:rFonts w:hint="eastAsia" w:ascii="仿宋_GB2312" w:hAnsi="仿宋_GB2312" w:eastAsia="仿宋_GB2312" w:cs="仿宋_GB2312"/>
          <w:sz w:val="32"/>
          <w:szCs w:val="32"/>
          <w:lang w:eastAsia="zh-CN"/>
        </w:rPr>
        <w:t>；</w:t>
      </w:r>
    </w:p>
    <w:p w14:paraId="6FDD200C">
      <w:pPr>
        <w:autoSpaceDE w:val="0"/>
        <w:autoSpaceDN w:val="0"/>
        <w:adjustRightIn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（3）言语残疾：一、二、三级</w:t>
      </w:r>
      <w:r>
        <w:rPr>
          <w:rFonts w:hint="eastAsia" w:ascii="仿宋_GB2312" w:hAnsi="仿宋_GB2312" w:eastAsia="仿宋_GB2312" w:cs="仿宋_GB2312"/>
          <w:sz w:val="32"/>
          <w:szCs w:val="32"/>
          <w:lang w:eastAsia="zh-CN"/>
        </w:rPr>
        <w:t>；</w:t>
      </w:r>
    </w:p>
    <w:p w14:paraId="3DDDEBFC">
      <w:pPr>
        <w:autoSpaceDE w:val="0"/>
        <w:autoSpaceDN w:val="0"/>
        <w:adjustRightIn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（4）肢体残疾：重度（一级）、中度（二级）</w:t>
      </w:r>
      <w:r>
        <w:rPr>
          <w:rFonts w:hint="eastAsia" w:ascii="仿宋_GB2312" w:hAnsi="仿宋_GB2312" w:eastAsia="仿宋_GB2312" w:cs="仿宋_GB2312"/>
          <w:sz w:val="32"/>
          <w:szCs w:val="32"/>
          <w:lang w:eastAsia="zh-CN"/>
        </w:rPr>
        <w:t>。</w:t>
      </w:r>
    </w:p>
    <w:p w14:paraId="20E0E854">
      <w:pPr>
        <w:spacing w:line="600" w:lineRule="exact"/>
        <w:ind w:firstLine="640" w:firstLineChars="200"/>
        <w:contextualSpacing/>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2.军烈属(持烈士证的父母、配偶、子女，仅限一名成员，凭烈士证和相关证明材料);</w:t>
      </w:r>
    </w:p>
    <w:p w14:paraId="0BFE7D0A">
      <w:pPr>
        <w:spacing w:line="600" w:lineRule="exact"/>
        <w:ind w:firstLine="640" w:firstLineChars="200"/>
        <w:contextualSpacing/>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3.国家明文给予政策扶持，属地烟草专卖行政主管部门根据本地实际，经集体研究，认为可以扶持照顾的对象。</w:t>
      </w:r>
    </w:p>
    <w:p w14:paraId="07437F31">
      <w:pPr>
        <w:autoSpaceDE w:val="0"/>
        <w:autoSpaceDN w:val="0"/>
        <w:adjustRightInd w:val="0"/>
        <w:spacing w:line="60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 xml:space="preserve">条 </w:t>
      </w:r>
      <w:r>
        <w:rPr>
          <w:rFonts w:hint="eastAsia" w:ascii="仿宋_GB2312" w:hAnsi="仿宋_GB2312" w:eastAsia="仿宋_GB2312" w:cs="仿宋_GB2312"/>
          <w:sz w:val="32"/>
          <w:szCs w:val="32"/>
        </w:rPr>
        <w:t>属于本规定第九条规定的社会特殊群体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有下列情形之一的，依法不予放宽办证条件：</w:t>
      </w:r>
    </w:p>
    <w:p w14:paraId="529F1E3D">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1.有固定职业及稳定收入来源的；</w:t>
      </w:r>
    </w:p>
    <w:p w14:paraId="5EC7F26E">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2.享受退休、退职、退养待遇具有稳定生活保障的；</w:t>
      </w:r>
    </w:p>
    <w:p w14:paraId="35A6C0DB">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3.非本人或直系亲属（仅限配偶、父母、子女）经营的；</w:t>
      </w:r>
    </w:p>
    <w:p w14:paraId="72416999">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4.较低级别的视力残疾、听力残疾、言语残疾和肢体残疾且可以从事一般社会工作的；</w:t>
      </w:r>
    </w:p>
    <w:p w14:paraId="2D4B943A">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5.已在本行政区域或在</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rPr>
        <w:t>市县内享受过一次放宽办证政策的；</w:t>
      </w:r>
    </w:p>
    <w:p w14:paraId="287ACCDB">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6.法律法规及其他规范性文件规定的不予放宽的情形。</w:t>
      </w:r>
    </w:p>
    <w:p w14:paraId="30141308">
      <w:pPr>
        <w:autoSpaceDE w:val="0"/>
        <w:autoSpaceDN w:val="0"/>
        <w:adjustRightInd w:val="0"/>
        <w:spacing w:line="600" w:lineRule="exact"/>
        <w:ind w:firstLine="643" w:firstLineChars="200"/>
        <w:rPr>
          <w:rFonts w:ascii="仿宋_GB2312" w:hAnsi="Times New Roman" w:eastAsia="仿宋_GB2312" w:cs="Times New Roman"/>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黑体" w:hAnsi="黑体" w:eastAsia="黑体" w:cs="黑体"/>
          <w:sz w:val="32"/>
          <w:szCs w:val="32"/>
        </w:rPr>
        <w:t xml:space="preserve"> </w:t>
      </w:r>
      <w:r>
        <w:rPr>
          <w:rFonts w:hint="eastAsia" w:ascii="仿宋_GB2312" w:hAnsi="Times New Roman" w:eastAsia="仿宋_GB2312" w:cs="Times New Roman"/>
          <w:sz w:val="32"/>
          <w:szCs w:val="32"/>
        </w:rPr>
        <w:t>有下列情形之一的，依法不予核发烟草专卖零售许可证：</w:t>
      </w:r>
    </w:p>
    <w:p w14:paraId="1AB6B4B4">
      <w:pPr>
        <w:spacing w:line="600" w:lineRule="exact"/>
        <w:ind w:firstLine="640" w:firstLineChars="200"/>
        <w:rPr>
          <w:rFonts w:ascii="楷体_GB2312" w:hAnsi="楷体" w:eastAsia="楷体_GB2312" w:cs="楷体"/>
          <w:sz w:val="32"/>
          <w:szCs w:val="32"/>
          <w:lang w:val="zh-CN"/>
        </w:rPr>
      </w:pPr>
      <w:r>
        <w:rPr>
          <w:rFonts w:hint="eastAsia" w:ascii="仿宋_GB2312" w:hAnsi="仿宋_GB2312" w:eastAsia="仿宋_GB2312" w:cs="仿宋_GB2312"/>
          <w:sz w:val="32"/>
          <w:szCs w:val="32"/>
        </w:rPr>
        <w:t>（一）</w:t>
      </w:r>
      <w:r>
        <w:rPr>
          <w:rFonts w:hint="eastAsia" w:ascii="楷体_GB2312" w:hAnsi="楷体" w:eastAsia="楷体_GB2312" w:cs="楷体"/>
          <w:sz w:val="32"/>
          <w:szCs w:val="32"/>
          <w:lang w:val="zh-CN"/>
        </w:rPr>
        <w:t>申请主体资格方面</w:t>
      </w:r>
    </w:p>
    <w:p w14:paraId="30117EFA">
      <w:pPr>
        <w:autoSpaceDE w:val="0"/>
        <w:autoSpaceDN w:val="0"/>
        <w:adjustRightIn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申请人为未成年人、无民事行为能力人及限制民事行为能力人（含残疾人中智力残疾以及精神残疾的限制民事行为能力人或无民事行为能力人）</w:t>
      </w:r>
      <w:r>
        <w:rPr>
          <w:rFonts w:hint="eastAsia" w:ascii="仿宋_GB2312" w:hAnsi="仿宋_GB2312" w:eastAsia="仿宋_GB2312" w:cs="仿宋_GB2312"/>
          <w:sz w:val="32"/>
          <w:szCs w:val="32"/>
          <w:lang w:eastAsia="zh-CN"/>
        </w:rPr>
        <w:t>；</w:t>
      </w:r>
    </w:p>
    <w:p w14:paraId="4F0FD98A">
      <w:pPr>
        <w:spacing w:line="600" w:lineRule="exact"/>
        <w:ind w:firstLine="640" w:firstLineChars="200"/>
        <w:jc w:val="left"/>
        <w:rPr>
          <w:rFonts w:ascii="仿宋_GB2312" w:hAnsi="Times New Roman" w:eastAsia="仿宋_GB2312" w:cs="Times New Roman"/>
          <w:sz w:val="32"/>
          <w:szCs w:val="32"/>
          <w:highlight w:val="yellow"/>
        </w:rPr>
      </w:pPr>
      <w:r>
        <w:rPr>
          <w:rFonts w:hint="eastAsia" w:ascii="仿宋_GB2312" w:hAnsi="仿宋_GB2312" w:eastAsia="仿宋_GB2312" w:cs="仿宋_GB2312"/>
          <w:sz w:val="32"/>
          <w:szCs w:val="32"/>
          <w:lang w:val="en-US" w:eastAsia="zh-CN"/>
        </w:rPr>
        <w:t>2.</w:t>
      </w:r>
      <w:r>
        <w:rPr>
          <w:rFonts w:hint="eastAsia" w:ascii="仿宋_GB2312" w:hAnsi="Times New Roman" w:eastAsia="仿宋_GB2312" w:cs="Times New Roman"/>
          <w:sz w:val="32"/>
          <w:szCs w:val="32"/>
        </w:rPr>
        <w:t>外商投资的商业企业或者个体工商户，或者外商投资的商业企业或者个体工商户以特许、吸纳加盟店及其他再投资等形式变相从事烟草专卖品经营业务的；</w:t>
      </w:r>
    </w:p>
    <w:p w14:paraId="41C9CCAA">
      <w:pPr>
        <w:autoSpaceDE w:val="0"/>
        <w:autoSpaceDN w:val="0"/>
        <w:adjustRightIn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申请人隐瞒有关情况或者提供虚假材料的；</w:t>
      </w:r>
    </w:p>
    <w:p w14:paraId="6BF24CEB">
      <w:pPr>
        <w:autoSpaceDE w:val="0"/>
        <w:autoSpaceDN w:val="0"/>
        <w:adjustRightIn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因申请人隐瞒有关情况或者提供虚假材料，烟草专卖行政主管部门作出不予受理或者不予发证决定后，申请人一年内再次提出申请的；</w:t>
      </w:r>
    </w:p>
    <w:p w14:paraId="53A0C043">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申请人以欺骗、贿赂等不正当手段取得的烟草专卖零售许可证被撤销后，申请人三年内再次提出申请的；</w:t>
      </w:r>
    </w:p>
    <w:p w14:paraId="4A7264B5">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未领取烟草专卖零售许可证经营烟草制品业务，并且一年内被执法机关处罚两次以上，在三年内申请领取烟草专卖零售许可证的；</w:t>
      </w:r>
    </w:p>
    <w:p w14:paraId="7145E46D">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 xml:space="preserve">取消从事烟草专卖业务资格不满三年的； </w:t>
      </w:r>
    </w:p>
    <w:p w14:paraId="34744285">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未取得工商营业执照的；</w:t>
      </w:r>
    </w:p>
    <w:p w14:paraId="1CA26D24">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进入国家企业信用信息公示系统违法失信黑名单的；</w:t>
      </w:r>
    </w:p>
    <w:p w14:paraId="4857AE6F">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未领取烟草专卖零售许可证经营烟草制品业务被追究刑事责任，在3年内申请领取烟草专卖零售许可证的。</w:t>
      </w:r>
    </w:p>
    <w:p w14:paraId="35FF0444">
      <w:pPr>
        <w:spacing w:line="600" w:lineRule="exact"/>
        <w:ind w:firstLine="640" w:firstLineChars="200"/>
        <w:rPr>
          <w:rFonts w:ascii="楷体_GB2312" w:hAnsi="楷体" w:eastAsia="楷体_GB2312" w:cs="楷体"/>
          <w:sz w:val="32"/>
          <w:szCs w:val="32"/>
          <w:lang w:val="zh-CN"/>
        </w:rPr>
      </w:pPr>
      <w:r>
        <w:rPr>
          <w:rFonts w:hint="eastAsia" w:ascii="仿宋_GB2312" w:hAnsi="Times New Roman" w:eastAsia="仿宋_GB2312" w:cs="Times New Roman"/>
          <w:sz w:val="32"/>
          <w:szCs w:val="32"/>
        </w:rPr>
        <w:t>（二）</w:t>
      </w:r>
      <w:r>
        <w:rPr>
          <w:rFonts w:hint="eastAsia" w:ascii="楷体_GB2312" w:hAnsi="楷体" w:eastAsia="楷体_GB2312" w:cs="楷体"/>
          <w:sz w:val="32"/>
          <w:szCs w:val="32"/>
          <w:lang w:val="zh-CN"/>
        </w:rPr>
        <w:t>经营场所方面</w:t>
      </w:r>
    </w:p>
    <w:p w14:paraId="24E72DE3">
      <w:pPr>
        <w:spacing w:line="600" w:lineRule="exact"/>
        <w:ind w:firstLine="640" w:firstLineChars="200"/>
        <w:jc w:val="left"/>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无固定经营场所的，</w:t>
      </w:r>
      <w:r>
        <w:rPr>
          <w:rFonts w:hint="eastAsia" w:ascii="仿宋_GB2312" w:hAnsi="Times New Roman" w:eastAsia="仿宋_GB2312" w:cs="Times New Roman"/>
          <w:sz w:val="32"/>
          <w:szCs w:val="32"/>
          <w:lang w:val="zh-CN"/>
        </w:rPr>
        <w:t>如</w:t>
      </w:r>
      <w:r>
        <w:rPr>
          <w:rFonts w:hint="eastAsia" w:ascii="仿宋_GB2312" w:hAnsi="Times New Roman" w:eastAsia="仿宋_GB2312" w:cs="Times New Roman"/>
          <w:sz w:val="32"/>
          <w:szCs w:val="32"/>
        </w:rPr>
        <w:t>流动摊点（车、棚）、简易搭盖、活动板房、违章建筑、临时建筑、待拆建筑、集装箱屋、</w:t>
      </w:r>
      <w:r>
        <w:rPr>
          <w:rFonts w:hint="eastAsia" w:ascii="仿宋_GB2312" w:hAnsi="Times New Roman" w:eastAsia="仿宋_GB2312" w:cs="Times New Roman"/>
          <w:sz w:val="32"/>
          <w:szCs w:val="32"/>
          <w:highlight w:val="none"/>
        </w:rPr>
        <w:t>报刊亭、电话亭以及尚未竣工或未交付使用的场所等</w:t>
      </w:r>
      <w:r>
        <w:rPr>
          <w:rFonts w:hint="eastAsia" w:ascii="仿宋_GB2312" w:hAnsi="Times New Roman" w:eastAsia="仿宋_GB2312" w:cs="Times New Roman"/>
          <w:sz w:val="32"/>
          <w:szCs w:val="32"/>
          <w:highlight w:val="none"/>
          <w:lang w:eastAsia="zh-CN"/>
        </w:rPr>
        <w:t>；</w:t>
      </w:r>
    </w:p>
    <w:p w14:paraId="26C6D268">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val="zh-CN"/>
        </w:rPr>
        <w:t>无与住所相独立的固定经营场所，如</w:t>
      </w:r>
      <w:r>
        <w:rPr>
          <w:rFonts w:hint="eastAsia" w:ascii="仿宋_GB2312" w:hAnsi="Times New Roman" w:eastAsia="仿宋_GB2312" w:cs="Times New Roman"/>
          <w:sz w:val="32"/>
          <w:szCs w:val="32"/>
        </w:rPr>
        <w:t>住宅公寓、办公场所、仓库、生活住所的车库、地下室、储藏室以及地面二层及以上未对消费者全开放的场所等</w:t>
      </w:r>
      <w:r>
        <w:rPr>
          <w:rFonts w:hint="eastAsia" w:ascii="仿宋_GB2312" w:hAnsi="Times New Roman" w:eastAsia="仿宋_GB2312" w:cs="Times New Roman"/>
          <w:sz w:val="32"/>
          <w:szCs w:val="32"/>
          <w:lang w:val="zh-CN"/>
        </w:rPr>
        <w:t>；</w:t>
      </w:r>
    </w:p>
    <w:p w14:paraId="3BBA6F54">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经营场所存在安全隐患，且不具备安全措施保障，不适宜经营烟草制品的，如危房</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主营业务为</w:t>
      </w:r>
      <w:r>
        <w:rPr>
          <w:rFonts w:hint="eastAsia" w:ascii="仿宋_GB2312" w:hAnsi="仿宋_GB2312" w:eastAsia="仿宋_GB2312" w:cs="仿宋_GB2312"/>
          <w:sz w:val="32"/>
          <w:szCs w:val="32"/>
        </w:rPr>
        <w:t>化工、农药、化肥、鞭炮、燃气或</w:t>
      </w:r>
      <w:r>
        <w:rPr>
          <w:rFonts w:hint="eastAsia" w:ascii="仿宋_GB2312" w:hAnsi="Times New Roman" w:eastAsia="仿宋_GB2312" w:cs="Times New Roman"/>
          <w:sz w:val="32"/>
          <w:szCs w:val="32"/>
        </w:rPr>
        <w:t>生产、销售、经营、储存有毒有害、易挥发类物质、易燃易爆等，不符合食品安全标准，容易造成卷烟污染的。</w:t>
      </w:r>
    </w:p>
    <w:p w14:paraId="67173C84">
      <w:pPr>
        <w:spacing w:line="600" w:lineRule="exact"/>
        <w:ind w:firstLine="640" w:firstLineChars="200"/>
        <w:rPr>
          <w:rFonts w:ascii="楷体_GB2312" w:hAnsi="楷体" w:eastAsia="楷体_GB2312" w:cs="楷体"/>
          <w:sz w:val="32"/>
          <w:szCs w:val="32"/>
          <w:lang w:val="zh-CN"/>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楷体_GB2312" w:hAnsi="楷体" w:eastAsia="楷体_GB2312" w:cs="楷体"/>
          <w:sz w:val="32"/>
          <w:szCs w:val="32"/>
          <w:lang w:val="zh-CN"/>
        </w:rPr>
        <w:t>经营模式方面</w:t>
      </w:r>
    </w:p>
    <w:p w14:paraId="691B89E1">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zh-CN"/>
        </w:rPr>
        <w:t>利用</w:t>
      </w:r>
      <w:r>
        <w:rPr>
          <w:rFonts w:hint="eastAsia" w:ascii="仿宋_GB2312" w:hAnsi="Times New Roman" w:eastAsia="仿宋_GB2312" w:cs="Times New Roman"/>
          <w:sz w:val="32"/>
          <w:szCs w:val="32"/>
        </w:rPr>
        <w:t>自动售货机（柜）、电玩游戏机及</w:t>
      </w:r>
      <w:r>
        <w:rPr>
          <w:rFonts w:hint="eastAsia" w:ascii="仿宋_GB2312" w:hAnsi="Times New Roman" w:eastAsia="仿宋_GB2312" w:cs="Times New Roman"/>
          <w:sz w:val="32"/>
          <w:szCs w:val="32"/>
          <w:lang w:val="zh-CN"/>
        </w:rPr>
        <w:t>无人超市或者其他自动</w:t>
      </w:r>
      <w:r>
        <w:rPr>
          <w:rFonts w:hint="eastAsia" w:ascii="仿宋_GB2312" w:hAnsi="Times New Roman" w:eastAsia="仿宋_GB2312" w:cs="Times New Roman"/>
          <w:sz w:val="32"/>
          <w:szCs w:val="32"/>
        </w:rPr>
        <w:t>售货形式的；</w:t>
      </w:r>
    </w:p>
    <w:p w14:paraId="381163C6">
      <w:pPr>
        <w:spacing w:line="600" w:lineRule="exact"/>
        <w:ind w:firstLine="640" w:firstLineChars="200"/>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利用信息网络经营烟草制品的</w:t>
      </w:r>
      <w:r>
        <w:rPr>
          <w:rFonts w:hint="eastAsia" w:ascii="仿宋_GB2312" w:hAnsi="Times New Roman" w:eastAsia="仿宋_GB2312" w:cs="Times New Roman"/>
          <w:sz w:val="32"/>
          <w:szCs w:val="32"/>
          <w:lang w:eastAsia="zh-CN"/>
        </w:rPr>
        <w:t>。</w:t>
      </w:r>
    </w:p>
    <w:p w14:paraId="7D84367C">
      <w:pPr>
        <w:spacing w:line="600" w:lineRule="exact"/>
        <w:ind w:firstLine="640" w:firstLineChars="200"/>
        <w:rPr>
          <w:rFonts w:ascii="楷体_GB2312" w:hAnsi="楷体" w:eastAsia="楷体_GB2312" w:cs="楷体"/>
          <w:sz w:val="32"/>
          <w:szCs w:val="32"/>
          <w:lang w:val="zh-CN"/>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四</w:t>
      </w:r>
      <w:r>
        <w:rPr>
          <w:rFonts w:hint="eastAsia" w:ascii="仿宋_GB2312" w:hAnsi="Times New Roman" w:eastAsia="仿宋_GB2312" w:cs="Times New Roman"/>
          <w:sz w:val="32"/>
          <w:szCs w:val="32"/>
        </w:rPr>
        <w:t>）</w:t>
      </w:r>
      <w:r>
        <w:rPr>
          <w:rFonts w:hint="eastAsia" w:ascii="楷体_GB2312" w:hAnsi="楷体" w:eastAsia="楷体_GB2312" w:cs="楷体"/>
          <w:sz w:val="32"/>
          <w:szCs w:val="32"/>
          <w:lang w:val="zh-CN"/>
        </w:rPr>
        <w:t>特殊区域方面</w:t>
      </w:r>
    </w:p>
    <w:p w14:paraId="0DAA2DD4">
      <w:pPr>
        <w:widowControl/>
        <w:spacing w:line="600" w:lineRule="exact"/>
        <w:ind w:firstLine="640" w:firstLineChars="200"/>
        <w:jc w:val="both"/>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1.幼儿园、中小学校内部；</w:t>
      </w:r>
    </w:p>
    <w:p w14:paraId="217899A8">
      <w:pPr>
        <w:widowControl/>
        <w:spacing w:line="600" w:lineRule="exact"/>
        <w:ind w:firstLine="640" w:firstLineChars="200"/>
        <w:jc w:val="both"/>
        <w:rPr>
          <w:rFonts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2.中小学校、幼儿园与烟草制品零售点的距离不得低于50米。测量方法为：以幼儿园、中小学校日常可通行的出入口中间点为圆心，50米为半径的距离；</w:t>
      </w:r>
    </w:p>
    <w:p w14:paraId="21AE930F">
      <w:pPr>
        <w:widowControl/>
        <w:spacing w:line="600" w:lineRule="exact"/>
        <w:ind w:firstLine="640" w:firstLineChars="200"/>
        <w:jc w:val="both"/>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3.以未成年人为服务对象的经营场所内部，如：</w:t>
      </w:r>
      <w:r>
        <w:rPr>
          <w:rFonts w:hint="eastAsia" w:ascii="仿宋_GB2312" w:hAnsi="仿宋" w:eastAsia="仿宋_GB2312" w:cs="仿宋"/>
          <w:kern w:val="0"/>
          <w:sz w:val="32"/>
          <w:szCs w:val="32"/>
          <w:lang w:val="en-US" w:eastAsia="zh-CN" w:bidi="ar-SA"/>
        </w:rPr>
        <w:t>托幼机构、少年宫</w:t>
      </w:r>
      <w:r>
        <w:rPr>
          <w:rFonts w:hint="eastAsia" w:ascii="仿宋_GB2312" w:hAnsi="仿宋_GB2312" w:eastAsia="仿宋_GB2312" w:cs="仿宋_GB2312"/>
          <w:kern w:val="0"/>
          <w:sz w:val="32"/>
          <w:szCs w:val="32"/>
          <w:lang w:val="en-US" w:eastAsia="zh-CN" w:bidi="ar-SA"/>
        </w:rPr>
        <w:t>；</w:t>
      </w:r>
    </w:p>
    <w:p w14:paraId="0E07BFEC">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党政机关内部；</w:t>
      </w:r>
    </w:p>
    <w:p w14:paraId="1FDD7AB8">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政府明令禁止经营卷烟类商品的区域；</w:t>
      </w:r>
    </w:p>
    <w:p w14:paraId="3AF2E8BE">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lang w:val="zh-CN"/>
        </w:rPr>
        <w:t>违章建筑或</w:t>
      </w:r>
      <w:r>
        <w:rPr>
          <w:rFonts w:hint="eastAsia" w:ascii="仿宋_GB2312" w:hAnsi="Times New Roman" w:eastAsia="仿宋_GB2312" w:cs="Times New Roman"/>
          <w:sz w:val="32"/>
          <w:szCs w:val="32"/>
        </w:rPr>
        <w:t>在政府城市建设、规定拆迁或有关执法机关查封范围内的经营场所（以相关文件、通知为准）；</w:t>
      </w:r>
    </w:p>
    <w:p w14:paraId="188DA74E">
      <w:pPr>
        <w:autoSpaceDE w:val="0"/>
        <w:autoSpaceDN w:val="0"/>
        <w:adjustRightInd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法律、法规、规章规定的不予发放烟草专卖零售许可证的其他情形。</w:t>
      </w:r>
    </w:p>
    <w:p w14:paraId="189E69A6">
      <w:pPr>
        <w:ind w:firstLine="643" w:firstLineChars="200"/>
        <w:jc w:val="left"/>
        <w:rPr>
          <w:rFonts w:hint="eastAsia" w:ascii="仿宋_GB2312" w:hAnsi="Times New Roman" w:eastAsia="仿宋_GB2312" w:cs="Times New Roman"/>
          <w:sz w:val="32"/>
          <w:szCs w:val="32"/>
          <w:lang w:val="en-US" w:eastAsia="zh-CN"/>
        </w:rPr>
      </w:pPr>
      <w:r>
        <w:rPr>
          <w:rFonts w:hint="eastAsia" w:ascii="仿宋" w:hAnsi="仿宋" w:eastAsia="仿宋" w:cs="仿宋"/>
          <w:b/>
          <w:bCs/>
          <w:kern w:val="0"/>
          <w:sz w:val="32"/>
          <w:szCs w:val="32"/>
          <w:highlight w:val="none"/>
          <w:lang w:val="en-US" w:eastAsia="zh-CN" w:bidi="ar-SA"/>
        </w:rPr>
        <w:t>第十二条</w:t>
      </w:r>
      <w:r>
        <w:rPr>
          <w:rFonts w:hint="eastAsia" w:ascii="黑体" w:hAnsi="黑体" w:eastAsia="黑体" w:cs="宋体"/>
          <w:kern w:val="0"/>
          <w:sz w:val="32"/>
          <w:szCs w:val="32"/>
          <w:highlight w:val="none"/>
          <w:lang w:val="en-US" w:eastAsia="zh-CN" w:bidi="ar-SA"/>
        </w:rPr>
        <w:t xml:space="preserve"> </w:t>
      </w:r>
      <w:r>
        <w:rPr>
          <w:rFonts w:hint="eastAsia" w:ascii="仿宋_GB2312" w:hAnsi="Times New Roman" w:eastAsia="仿宋_GB2312" w:cs="Times New Roman"/>
          <w:sz w:val="32"/>
          <w:szCs w:val="32"/>
          <w:lang w:val="en-US" w:eastAsia="zh-CN"/>
        </w:rPr>
        <w:t>因自然灾害、道路规划、城市建设、中小学校幼儿园设立搬迁等客观原因造成无法在核定经营地址经营，持证人申请变更到府谷县域内其他地址经营的，不受本规定最小市场单元规划数量限制，但间距标准按照本规定所在区域或所属业态间距标准的50%执行。</w:t>
      </w:r>
    </w:p>
    <w:p w14:paraId="54BC5763">
      <w:pPr>
        <w:ind w:firstLine="640" w:firstLineChars="200"/>
        <w:jc w:val="left"/>
        <w:rPr>
          <w:rFonts w:hint="eastAsia" w:ascii="仿宋_GB2312" w:hAnsi="Times New Roman" w:eastAsia="仿宋_GB2312" w:cs="Times New Roman"/>
          <w:sz w:val="32"/>
          <w:szCs w:val="32"/>
          <w:lang w:val="en-US" w:eastAsia="zh-CN"/>
        </w:rPr>
      </w:pPr>
    </w:p>
    <w:p w14:paraId="62DE0AFF">
      <w:pPr>
        <w:numPr>
          <w:ilvl w:val="0"/>
          <w:numId w:val="1"/>
        </w:numPr>
        <w:spacing w:line="600" w:lineRule="exact"/>
        <w:ind w:left="3520" w:firstLine="0"/>
        <w:rPr>
          <w:rFonts w:ascii="黑体" w:hAnsi="黑体" w:eastAsia="黑体" w:cs="Times New Roman"/>
          <w:sz w:val="32"/>
          <w:szCs w:val="32"/>
        </w:rPr>
      </w:pPr>
      <w:r>
        <w:rPr>
          <w:rFonts w:hint="eastAsia" w:ascii="黑体" w:hAnsi="黑体" w:eastAsia="黑体" w:cs="Times New Roman"/>
          <w:sz w:val="32"/>
          <w:szCs w:val="32"/>
        </w:rPr>
        <w:t>附则</w:t>
      </w:r>
    </w:p>
    <w:p w14:paraId="70F745AE">
      <w:pPr>
        <w:spacing w:line="600" w:lineRule="exact"/>
        <w:rPr>
          <w:rFonts w:ascii="黑体" w:hAnsi="黑体" w:eastAsia="黑体" w:cs="Times New Roman"/>
          <w:sz w:val="32"/>
          <w:szCs w:val="32"/>
        </w:rPr>
      </w:pPr>
    </w:p>
    <w:p w14:paraId="319AC3C2">
      <w:pPr>
        <w:spacing w:line="600" w:lineRule="exact"/>
        <w:ind w:firstLine="643" w:firstLineChars="200"/>
        <w:rPr>
          <w:rFonts w:ascii="仿宋_GB2312" w:hAnsi="宋体" w:eastAsia="仿宋_GB2312" w:cs="Times New Roman"/>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_GB2312" w:hAnsi="宋体" w:eastAsia="仿宋_GB2312" w:cs="Times New Roman"/>
          <w:sz w:val="32"/>
          <w:szCs w:val="32"/>
        </w:rPr>
        <w:t xml:space="preserve"> 经营场所条件</w:t>
      </w:r>
    </w:p>
    <w:p w14:paraId="09218229">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有与住所相独立的固定经营场所，有指向明确且唯一性的门牌、地址或者方位表述，具备经营卷烟零售相适应的存储条件，经营场所内其它区域视为辅助经营场所，属监管范围。</w:t>
      </w:r>
    </w:p>
    <w:p w14:paraId="7D40E270">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申请人堆放烟草制品等相关货物的储藏室、仓库与经营门店相分离的，视为经营场所的附属仓库，属监管范围。</w:t>
      </w:r>
    </w:p>
    <w:p w14:paraId="28B5AC76">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与住所相独立”是指经营场所与生活区域相独立，可对消费者全开放（店铺处于完全开放状态，消费者和行政监管部门可不受限进出），不包含住宅公寓、办公场所、仓库、生活住所的车库、地下室、储藏室以及地面二层及以上未对消费者全开放的场所等。</w:t>
      </w:r>
    </w:p>
    <w:p w14:paraId="5B52A08D">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固定经营场所”由砖、木、钢、混等材料建成的封闭且不可移动、具备实物商品展示的经营设施、条件的场所，不包括流动摊点（车、棚）、简易搭盖、活动板房、违章建筑、临时建筑、待拆建筑、集装箱屋、报刊亭、电话亭、危房以及尚未竣工或未交付使用的场所等。</w:t>
      </w:r>
    </w:p>
    <w:p w14:paraId="410D01A4">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“经营场所”指具备对外经营烟草制品的基本设施和条件，如店招、货架、柜台等，不包含无实际烟草制品展卖的场所。</w:t>
      </w:r>
    </w:p>
    <w:p w14:paraId="6AD67AB7">
      <w:pPr>
        <w:spacing w:line="600" w:lineRule="exact"/>
        <w:ind w:firstLine="643" w:firstLineChars="200"/>
        <w:rPr>
          <w:rFonts w:ascii="仿宋_GB2312" w:hAnsi="Times New Roman" w:eastAsia="仿宋_GB2312" w:cs="Times New Roman"/>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_GB2312" w:hAnsi="华文中宋" w:eastAsia="仿宋_GB2312" w:cs="Times New Roman"/>
          <w:sz w:val="32"/>
          <w:szCs w:val="32"/>
        </w:rPr>
        <w:t xml:space="preserve"> 本规定不溯及</w:t>
      </w:r>
      <w:r>
        <w:rPr>
          <w:rFonts w:hint="eastAsia" w:ascii="仿宋_GB2312" w:hAnsi="Times New Roman" w:eastAsia="仿宋_GB2312" w:cs="Times New Roman"/>
          <w:sz w:val="32"/>
          <w:szCs w:val="32"/>
        </w:rPr>
        <w:t>已合法持有烟草专卖零售许可证的零售户，但属于经营场所基于安全因素和幼儿园、中小学周边等特殊区域不予发放零售许可证情形的，许可证有效期届满后不予延续。</w:t>
      </w:r>
    </w:p>
    <w:p w14:paraId="19FE0979">
      <w:pPr>
        <w:spacing w:line="600" w:lineRule="exact"/>
        <w:ind w:firstLine="643" w:firstLineChars="200"/>
        <w:rPr>
          <w:rFonts w:ascii="仿宋_GB2312" w:hAnsi="华文仿宋" w:eastAsia="仿宋_GB2312" w:cs="Times New Roman"/>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黑体" w:hAnsi="黑体" w:eastAsia="黑体" w:cs="Times New Roman"/>
          <w:sz w:val="32"/>
          <w:szCs w:val="32"/>
        </w:rPr>
        <w:t xml:space="preserve"> </w:t>
      </w:r>
      <w:r>
        <w:rPr>
          <w:rFonts w:hint="eastAsia" w:ascii="仿宋_GB2312" w:hAnsi="华文仿宋" w:eastAsia="仿宋_GB2312" w:cs="Times New Roman"/>
          <w:sz w:val="32"/>
          <w:szCs w:val="32"/>
        </w:rPr>
        <w:t>本规定所称中小学校为《烟草专卖许可证管理办法实施细则》第七十六条所规定的“普通中小学、特殊教育学校、中等职业学校、专门学校。”所称幼儿园为依法取得教育部门办园许可证的幼儿园。</w:t>
      </w:r>
    </w:p>
    <w:p w14:paraId="155E80B4">
      <w:pPr>
        <w:spacing w:line="600" w:lineRule="exact"/>
        <w:ind w:firstLine="643" w:firstLineChars="200"/>
        <w:rPr>
          <w:rFonts w:hint="eastAsia" w:ascii="仿宋_GB2312" w:hAnsi="Times New Roman" w:eastAsia="仿宋_GB2312" w:cs="Times New Roman"/>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 xml:space="preserve">条 </w:t>
      </w:r>
      <w:r>
        <w:rPr>
          <w:rFonts w:hint="eastAsia" w:ascii="仿宋_GB2312" w:hAnsi="Times New Roman" w:eastAsia="仿宋_GB2312" w:cs="Times New Roman"/>
          <w:sz w:val="32"/>
          <w:szCs w:val="32"/>
        </w:rPr>
        <w:t>本规定所称“距离”是指两个零售点经营场所营业大门中心点之间的</w:t>
      </w:r>
      <w:r>
        <w:rPr>
          <w:rFonts w:hint="eastAsia" w:ascii="仿宋_GB2312" w:hAnsi="Times New Roman" w:eastAsia="仿宋_GB2312" w:cs="Times New Roman"/>
          <w:sz w:val="32"/>
          <w:szCs w:val="32"/>
          <w:lang w:val="en-US" w:eastAsia="zh-CN"/>
        </w:rPr>
        <w:t>直线</w:t>
      </w:r>
      <w:r>
        <w:rPr>
          <w:rFonts w:hint="eastAsia" w:ascii="仿宋_GB2312" w:hAnsi="Times New Roman" w:eastAsia="仿宋_GB2312" w:cs="Times New Roman"/>
          <w:sz w:val="32"/>
          <w:szCs w:val="32"/>
        </w:rPr>
        <w:t>距离。</w:t>
      </w:r>
    </w:p>
    <w:p w14:paraId="354BC458">
      <w:pPr>
        <w:spacing w:line="600" w:lineRule="exact"/>
        <w:ind w:firstLine="643" w:firstLineChars="200"/>
        <w:rPr>
          <w:rFonts w:ascii="仿宋_GB2312" w:hAnsi="Times New Roman" w:eastAsia="仿宋_GB2312" w:cs="Times New Roman"/>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黑体" w:hAnsi="黑体" w:eastAsia="黑体" w:cs="Times New Roman"/>
          <w:sz w:val="32"/>
          <w:szCs w:val="32"/>
        </w:rPr>
        <w:t xml:space="preserve"> </w:t>
      </w:r>
      <w:r>
        <w:rPr>
          <w:rFonts w:hint="eastAsia" w:ascii="仿宋_GB2312" w:hAnsi="Times New Roman" w:eastAsia="仿宋_GB2312" w:cs="Times New Roman"/>
          <w:sz w:val="32"/>
          <w:szCs w:val="32"/>
        </w:rPr>
        <w:t>本规定所称“以上”“不低于”包含本数。</w:t>
      </w:r>
    </w:p>
    <w:p w14:paraId="6B781805">
      <w:pPr>
        <w:spacing w:line="600" w:lineRule="exact"/>
        <w:ind w:firstLine="643" w:firstLineChars="200"/>
        <w:rPr>
          <w:rFonts w:hint="eastAsia" w:ascii="仿宋_GB2312" w:hAnsi="Times New Roman" w:eastAsia="仿宋_GB2312" w:cs="Times New Roman"/>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本规定</w:t>
      </w:r>
      <w:r>
        <w:rPr>
          <w:rFonts w:hint="eastAsia" w:ascii="仿宋_GB2312" w:hAnsi="Times New Roman" w:eastAsia="仿宋_GB2312" w:cs="Times New Roman"/>
          <w:sz w:val="32"/>
          <w:szCs w:val="32"/>
        </w:rPr>
        <w:t>实施后，如果与相关法律法规抵触的，以法律规定为准；根据社会经济发展状况、城市扩建等情况的变化，需要对相关规定和条款进行修改或者重新规定时，将按有关规定修订。</w:t>
      </w:r>
    </w:p>
    <w:p w14:paraId="75EA78CC">
      <w:pPr>
        <w:spacing w:line="600" w:lineRule="exact"/>
        <w:ind w:firstLine="643"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b/>
          <w:bCs/>
          <w:sz w:val="32"/>
          <w:szCs w:val="32"/>
        </w:rPr>
        <w:t>第十</w:t>
      </w:r>
      <w:r>
        <w:rPr>
          <w:rFonts w:hint="eastAsia" w:ascii="仿宋_GB2312" w:hAnsi="Times New Roman" w:eastAsia="仿宋_GB2312" w:cs="Times New Roman"/>
          <w:b/>
          <w:bCs/>
          <w:sz w:val="32"/>
          <w:szCs w:val="32"/>
          <w:lang w:val="en-US" w:eastAsia="zh-CN"/>
        </w:rPr>
        <w:t>九</w:t>
      </w:r>
      <w:r>
        <w:rPr>
          <w:rFonts w:hint="eastAsia" w:ascii="仿宋_GB2312" w:hAnsi="Times New Roman" w:eastAsia="仿宋_GB2312" w:cs="Times New Roman"/>
          <w:b/>
          <w:bCs/>
          <w:sz w:val="32"/>
          <w:szCs w:val="32"/>
        </w:rPr>
        <w:t>条</w:t>
      </w:r>
      <w:r>
        <w:rPr>
          <w:rFonts w:hint="eastAsia" w:ascii="仿宋_GB2312" w:hAnsi="Times New Roman" w:eastAsia="仿宋_GB2312" w:cs="Times New Roman"/>
          <w:sz w:val="32"/>
          <w:szCs w:val="32"/>
        </w:rPr>
        <w:t xml:space="preserve"> 本规定</w:t>
      </w:r>
      <w:r>
        <w:rPr>
          <w:rFonts w:hint="eastAsia" w:ascii="仿宋_GB2312" w:hAnsi="Times New Roman" w:eastAsia="仿宋_GB2312" w:cs="Times New Roman"/>
          <w:sz w:val="32"/>
          <w:szCs w:val="32"/>
          <w:lang w:val="en-US" w:eastAsia="zh-CN"/>
        </w:rPr>
        <w:t>自2025年5月19日起实施，实施期限为三年，有效期为2025年5月19日至2028年5月18日。2023年12月12日实施</w:t>
      </w:r>
      <w:r>
        <w:rPr>
          <w:rFonts w:hint="eastAsia" w:ascii="仿宋_GB2312" w:hAnsi="Times New Roman" w:eastAsia="仿宋_GB2312" w:cs="Times New Roman"/>
          <w:sz w:val="32"/>
          <w:szCs w:val="32"/>
        </w:rPr>
        <w:t>的《府谷县烟草制品零售点合理布局规定》同时废止</w:t>
      </w:r>
      <w:r>
        <w:rPr>
          <w:rFonts w:hint="eastAsia" w:ascii="仿宋_GB2312" w:hAnsi="Times New Roman" w:eastAsia="仿宋_GB2312" w:cs="Times New Roman"/>
          <w:sz w:val="32"/>
          <w:szCs w:val="32"/>
          <w:lang w:val="zh-CN"/>
        </w:rPr>
        <w:t>。</w:t>
      </w:r>
    </w:p>
    <w:p w14:paraId="76A6BED0">
      <w:pPr>
        <w:spacing w:line="600" w:lineRule="exact"/>
        <w:ind w:firstLine="640" w:firstLineChars="200"/>
        <w:rPr>
          <w:rFonts w:hint="eastAsia" w:ascii="仿宋_GB2312" w:hAnsi="Times New Roman" w:eastAsia="仿宋_GB2312" w:cs="Times New Roman"/>
          <w:sz w:val="32"/>
          <w:szCs w:val="32"/>
          <w:lang w:val="zh-CN"/>
        </w:rPr>
      </w:pPr>
    </w:p>
    <w:p w14:paraId="64B4CD2C">
      <w:pPr>
        <w:spacing w:line="600" w:lineRule="exact"/>
        <w:ind w:firstLine="640" w:firstLineChars="200"/>
        <w:rPr>
          <w:rFonts w:hint="eastAsia" w:ascii="仿宋_GB2312" w:hAnsi="Times New Roman" w:eastAsia="仿宋_GB2312" w:cs="Times New Roman"/>
          <w:sz w:val="32"/>
          <w:szCs w:val="32"/>
          <w:lang w:val="zh-CN"/>
        </w:rPr>
      </w:pPr>
    </w:p>
    <w:p w14:paraId="017B48C0">
      <w:pPr>
        <w:spacing w:line="600" w:lineRule="exact"/>
        <w:ind w:firstLine="640" w:firstLineChars="200"/>
        <w:rPr>
          <w:rFonts w:hint="eastAsia" w:ascii="仿宋_GB2312" w:hAnsi="Times New Roman" w:eastAsia="仿宋_GB2312" w:cs="Times New Roman"/>
          <w:sz w:val="32"/>
          <w:szCs w:val="32"/>
          <w:lang w:val="zh-CN"/>
        </w:rPr>
      </w:pPr>
    </w:p>
    <w:p w14:paraId="515EA90C">
      <w:pPr>
        <w:spacing w:line="600" w:lineRule="exact"/>
        <w:ind w:firstLine="640" w:firstLineChars="200"/>
        <w:rPr>
          <w:rFonts w:hint="eastAsia" w:ascii="仿宋_GB2312" w:hAnsi="Times New Roman" w:eastAsia="仿宋_GB2312" w:cs="Times New Roman"/>
          <w:sz w:val="32"/>
          <w:szCs w:val="32"/>
          <w:lang w:val="zh-CN"/>
        </w:rPr>
      </w:pPr>
    </w:p>
    <w:p w14:paraId="5A6CEFE0">
      <w:pPr>
        <w:spacing w:line="600" w:lineRule="exact"/>
        <w:ind w:firstLine="640" w:firstLineChars="200"/>
        <w:rPr>
          <w:rFonts w:hint="eastAsia" w:ascii="仿宋_GB2312" w:hAnsi="Times New Roman" w:eastAsia="仿宋_GB2312" w:cs="Times New Roman"/>
          <w:sz w:val="32"/>
          <w:szCs w:val="32"/>
          <w:lang w:val="zh-CN"/>
        </w:rPr>
      </w:pPr>
    </w:p>
    <w:p w14:paraId="35A390BD">
      <w:pPr>
        <w:spacing w:line="600" w:lineRule="exact"/>
        <w:ind w:firstLine="640" w:firstLineChars="200"/>
        <w:rPr>
          <w:rFonts w:hint="eastAsia" w:ascii="仿宋_GB2312" w:hAnsi="Times New Roman" w:eastAsia="仿宋_GB2312" w:cs="Times New Roman"/>
          <w:sz w:val="32"/>
          <w:szCs w:val="32"/>
          <w:lang w:val="zh-CN"/>
        </w:rPr>
      </w:pPr>
    </w:p>
    <w:p w14:paraId="754B8A66">
      <w:pPr>
        <w:spacing w:line="600" w:lineRule="exact"/>
        <w:ind w:firstLine="640" w:firstLineChars="200"/>
        <w:rPr>
          <w:rFonts w:hint="eastAsia" w:ascii="仿宋_GB2312" w:hAnsi="Times New Roman" w:eastAsia="仿宋_GB2312" w:cs="Times New Roman"/>
          <w:sz w:val="32"/>
          <w:szCs w:val="32"/>
          <w:lang w:val="zh-CN"/>
        </w:rPr>
      </w:pPr>
    </w:p>
    <w:p w14:paraId="195E9E8A">
      <w:pPr>
        <w:spacing w:line="600" w:lineRule="exact"/>
        <w:ind w:firstLine="640" w:firstLineChars="200"/>
        <w:rPr>
          <w:rFonts w:hint="eastAsia" w:ascii="仿宋_GB2312" w:hAnsi="Times New Roman" w:eastAsia="仿宋_GB2312" w:cs="Times New Roman"/>
          <w:sz w:val="32"/>
          <w:szCs w:val="32"/>
          <w:lang w:val="zh-CN"/>
        </w:rPr>
      </w:pPr>
    </w:p>
    <w:p w14:paraId="3A8BAD5C">
      <w:pPr>
        <w:spacing w:line="600" w:lineRule="exact"/>
        <w:ind w:firstLine="640" w:firstLineChars="200"/>
        <w:rPr>
          <w:rFonts w:hint="eastAsia" w:ascii="仿宋_GB2312" w:hAnsi="Times New Roman" w:eastAsia="仿宋_GB2312" w:cs="Times New Roman"/>
          <w:sz w:val="32"/>
          <w:szCs w:val="32"/>
          <w:lang w:val="zh-CN"/>
        </w:rPr>
      </w:pPr>
    </w:p>
    <w:p w14:paraId="71C9F4F4">
      <w:pPr>
        <w:spacing w:line="600" w:lineRule="exact"/>
        <w:ind w:firstLine="640" w:firstLineChars="200"/>
        <w:rPr>
          <w:rFonts w:hint="eastAsia" w:ascii="仿宋_GB2312" w:hAnsi="Times New Roman" w:eastAsia="仿宋_GB2312" w:cs="Times New Roman"/>
          <w:sz w:val="32"/>
          <w:szCs w:val="32"/>
          <w:lang w:val="zh-CN"/>
        </w:rPr>
      </w:pPr>
    </w:p>
    <w:p w14:paraId="62ED60AC">
      <w:pPr>
        <w:spacing w:line="600" w:lineRule="exact"/>
        <w:rPr>
          <w:rFonts w:hint="eastAsia" w:ascii="仿宋_GB2312" w:hAnsi="Times New Roman" w:eastAsia="仿宋_GB2312" w:cs="Times New Roman"/>
          <w:sz w:val="32"/>
          <w:szCs w:val="32"/>
          <w:lang w:val="zh-CN"/>
        </w:rPr>
      </w:pPr>
    </w:p>
    <w:p w14:paraId="5AE3847D">
      <w:pPr>
        <w:spacing w:line="600" w:lineRule="exac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附件：</w:t>
      </w:r>
    </w:p>
    <w:tbl>
      <w:tblPr>
        <w:tblStyle w:val="5"/>
        <w:tblW w:w="9540" w:type="dxa"/>
        <w:tblInd w:w="93" w:type="dxa"/>
        <w:tblLayout w:type="autofit"/>
        <w:tblCellMar>
          <w:top w:w="0" w:type="dxa"/>
          <w:left w:w="108" w:type="dxa"/>
          <w:bottom w:w="0" w:type="dxa"/>
          <w:right w:w="108" w:type="dxa"/>
        </w:tblCellMar>
      </w:tblPr>
      <w:tblGrid>
        <w:gridCol w:w="1755"/>
        <w:gridCol w:w="2655"/>
        <w:gridCol w:w="2565"/>
        <w:gridCol w:w="2565"/>
      </w:tblGrid>
      <w:tr w14:paraId="68DD8FF1">
        <w:tblPrEx>
          <w:tblCellMar>
            <w:top w:w="0" w:type="dxa"/>
            <w:left w:w="108" w:type="dxa"/>
            <w:bottom w:w="0" w:type="dxa"/>
            <w:right w:w="108" w:type="dxa"/>
          </w:tblCellMar>
        </w:tblPrEx>
        <w:trPr>
          <w:trHeight w:val="520" w:hRule="atLeast"/>
        </w:trPr>
        <w:tc>
          <w:tcPr>
            <w:tcW w:w="9540" w:type="dxa"/>
            <w:gridSpan w:val="4"/>
            <w:tcBorders>
              <w:top w:val="nil"/>
              <w:left w:val="nil"/>
              <w:bottom w:val="nil"/>
              <w:right w:val="nil"/>
            </w:tcBorders>
            <w:shd w:val="clear" w:color="auto" w:fill="auto"/>
            <w:noWrap/>
            <w:vAlign w:val="center"/>
          </w:tcPr>
          <w:p w14:paraId="0C854B04">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府谷县烟草制品零售点合理布局规划</w:t>
            </w:r>
          </w:p>
        </w:tc>
      </w:tr>
      <w:tr w14:paraId="25F6ADDA">
        <w:tblPrEx>
          <w:tblCellMar>
            <w:top w:w="0" w:type="dxa"/>
            <w:left w:w="108" w:type="dxa"/>
            <w:bottom w:w="0" w:type="dxa"/>
            <w:right w:w="108" w:type="dxa"/>
          </w:tblCellMar>
        </w:tblPrEx>
        <w:trPr>
          <w:trHeight w:val="52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D280">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片区划分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7178">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详细区域</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3793">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现有户数</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3386">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规划户数</w:t>
            </w:r>
          </w:p>
        </w:tc>
      </w:tr>
      <w:tr w14:paraId="26C86A2D">
        <w:tblPrEx>
          <w:tblCellMar>
            <w:top w:w="0" w:type="dxa"/>
            <w:left w:w="108" w:type="dxa"/>
            <w:bottom w:w="0" w:type="dxa"/>
            <w:right w:w="108" w:type="dxa"/>
          </w:tblCellMar>
        </w:tblPrEx>
        <w:trPr>
          <w:trHeight w:val="52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48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城区</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ED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新府山社区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E8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3D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r>
      <w:tr w14:paraId="03215628">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145251E4">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9A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东路社区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A2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59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r>
      <w:tr w14:paraId="6164C726">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0EC28B3B">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E5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富昌路社区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0B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FD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53</w:t>
            </w:r>
          </w:p>
        </w:tc>
      </w:tr>
      <w:tr w14:paraId="4B98A1B6">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581D2164">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21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官井社区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89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06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r>
      <w:tr w14:paraId="7304707F">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1D1E2C9D">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03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河滨路社区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7C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F8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110</w:t>
            </w:r>
          </w:p>
        </w:tc>
      </w:tr>
      <w:tr w14:paraId="47A17848">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5816CFBB">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29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石畔路社区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15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75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r>
      <w:tr w14:paraId="36F26D9D">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63C5E003">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0B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新尧渠社区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EC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FE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r>
      <w:tr w14:paraId="7B3189C0">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7866D37C">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4B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赵石尧社区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708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90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r>
      <w:tr w14:paraId="22E90F15">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17D24CBD">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3F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建设路社区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86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41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w:t>
            </w:r>
          </w:p>
        </w:tc>
      </w:tr>
      <w:tr w14:paraId="282265A8">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27AE29A6">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CE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天化路社区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D4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7D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r>
      <w:tr w14:paraId="3BB45532">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29870AB4">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D4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大沙沟社区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46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57</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A9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58</w:t>
            </w:r>
          </w:p>
        </w:tc>
      </w:tr>
      <w:tr w14:paraId="0D01B160">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27B08D7D">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EF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盐沟社区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C9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BC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w:t>
            </w:r>
          </w:p>
        </w:tc>
      </w:tr>
      <w:tr w14:paraId="389700AF">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2CFF4AC4">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40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阳光社区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D5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D5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r>
      <w:tr w14:paraId="3808FCD2">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1F477AD6">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02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营盘路社区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A9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EF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w:t>
            </w:r>
          </w:p>
        </w:tc>
      </w:tr>
      <w:tr w14:paraId="4C2CE139">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076D2A83">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09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高石崖社区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FB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FE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162</w:t>
            </w:r>
          </w:p>
        </w:tc>
      </w:tr>
      <w:tr w14:paraId="77B51927">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655E15BC">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3F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府谷镇社区</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3D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04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r>
      <w:tr w14:paraId="43B4CA37">
        <w:tblPrEx>
          <w:tblCellMar>
            <w:top w:w="0" w:type="dxa"/>
            <w:left w:w="108" w:type="dxa"/>
            <w:bottom w:w="0" w:type="dxa"/>
            <w:right w:w="108" w:type="dxa"/>
          </w:tblCellMar>
        </w:tblPrEx>
        <w:trPr>
          <w:trHeight w:val="52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57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乡镇</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47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南乡</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E9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F1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r>
      <w:tr w14:paraId="3AAB9F2C">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7F44455C">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A1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木瓜</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06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19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r>
      <w:tr w14:paraId="3EFE166E">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5FB7956C">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00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孤山</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85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67</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29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65</w:t>
            </w:r>
          </w:p>
        </w:tc>
      </w:tr>
      <w:tr w14:paraId="1EE0B6EA">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5A4D0434">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35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老高川</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90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6C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r>
      <w:tr w14:paraId="3BF256FB">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705D3D7A">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51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三道沟</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C7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34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r>
      <w:tr w14:paraId="54DB43CD">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63CCDBDD">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50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庙沟门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82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117</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C5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118</w:t>
            </w:r>
          </w:p>
        </w:tc>
      </w:tr>
      <w:tr w14:paraId="655CBF02">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0322E467">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1A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古城</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8E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BD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r>
      <w:tr w14:paraId="201C79D4">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69DDEFFD">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B7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清水</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61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04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r>
      <w:tr w14:paraId="710F9D5E">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6366A0F1">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0F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墙头</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BA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820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r>
      <w:tr w14:paraId="469967D5">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3B5C0EA3">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A9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黄甫</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CD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97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r>
      <w:tr w14:paraId="19534017">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0D129D2C">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1F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麻镇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7B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FD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r>
      <w:tr w14:paraId="2B63B488">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770DFA8F">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8C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哈镇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18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3B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r>
      <w:tr w14:paraId="5158D08F">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4C260C59">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426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大岔</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CD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01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r>
      <w:tr w14:paraId="50014982">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56ED0CFB">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AA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赵五家湾</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A3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13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r>
      <w:tr w14:paraId="188C201C">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702B3F0A">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29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大昌汗</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39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67</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C1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67</w:t>
            </w:r>
          </w:p>
        </w:tc>
      </w:tr>
      <w:tr w14:paraId="6F90C992">
        <w:tblPrEx>
          <w:tblCellMar>
            <w:top w:w="0" w:type="dxa"/>
            <w:left w:w="108" w:type="dxa"/>
            <w:bottom w:w="0" w:type="dxa"/>
            <w:right w:w="108" w:type="dxa"/>
          </w:tblCellMar>
        </w:tblPrEx>
        <w:trPr>
          <w:trHeight w:val="520" w:hRule="atLeast"/>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14:paraId="42CB0F36">
            <w:pPr>
              <w:widowControl/>
              <w:jc w:val="left"/>
              <w:rPr>
                <w:rFonts w:ascii="宋体" w:hAnsi="宋体" w:eastAsia="宋体" w:cs="宋体"/>
                <w:color w:val="000000"/>
                <w:kern w:val="0"/>
                <w:sz w:val="22"/>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92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新民</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FC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97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w:t>
            </w:r>
          </w:p>
        </w:tc>
      </w:tr>
    </w:tbl>
    <w:p w14:paraId="550065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9EAF7"/>
    <w:multiLevelType w:val="singleLevel"/>
    <w:tmpl w:val="9C49EAF7"/>
    <w:lvl w:ilvl="0" w:tentative="0">
      <w:start w:val="4"/>
      <w:numFmt w:val="chineseCounting"/>
      <w:suff w:val="space"/>
      <w:lvlText w:val="第%1章"/>
      <w:lvlJc w:val="left"/>
      <w:pPr>
        <w:ind w:left="35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F4F16"/>
    <w:rsid w:val="08B17BE1"/>
    <w:rsid w:val="09AF1C7D"/>
    <w:rsid w:val="0C7927C4"/>
    <w:rsid w:val="0D0F2714"/>
    <w:rsid w:val="0E1750A6"/>
    <w:rsid w:val="108F1304"/>
    <w:rsid w:val="130D1BB6"/>
    <w:rsid w:val="212E7BC9"/>
    <w:rsid w:val="22A424A4"/>
    <w:rsid w:val="25BC6121"/>
    <w:rsid w:val="265D27E8"/>
    <w:rsid w:val="2DC12D88"/>
    <w:rsid w:val="2F0A7A61"/>
    <w:rsid w:val="314D5E4A"/>
    <w:rsid w:val="376B702A"/>
    <w:rsid w:val="3906585D"/>
    <w:rsid w:val="3B7B5D96"/>
    <w:rsid w:val="3CA408E8"/>
    <w:rsid w:val="3FE62C4E"/>
    <w:rsid w:val="40D53766"/>
    <w:rsid w:val="4248039F"/>
    <w:rsid w:val="429E56E8"/>
    <w:rsid w:val="43207F56"/>
    <w:rsid w:val="43DD305D"/>
    <w:rsid w:val="44512630"/>
    <w:rsid w:val="48BF71D5"/>
    <w:rsid w:val="49F5748B"/>
    <w:rsid w:val="4C0B44E0"/>
    <w:rsid w:val="55C264A7"/>
    <w:rsid w:val="5CA36F37"/>
    <w:rsid w:val="5CCA2D1C"/>
    <w:rsid w:val="5CCA5663"/>
    <w:rsid w:val="5F944AC0"/>
    <w:rsid w:val="6017749F"/>
    <w:rsid w:val="682A7955"/>
    <w:rsid w:val="6ABA6064"/>
    <w:rsid w:val="6B086362"/>
    <w:rsid w:val="6C1F5711"/>
    <w:rsid w:val="6D636186"/>
    <w:rsid w:val="6F455623"/>
    <w:rsid w:val="71A010A2"/>
    <w:rsid w:val="728A018E"/>
    <w:rsid w:val="72951E04"/>
    <w:rsid w:val="75630D65"/>
    <w:rsid w:val="79D3151D"/>
    <w:rsid w:val="7D801A25"/>
    <w:rsid w:val="7E605FBE"/>
    <w:rsid w:val="7E851D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center"/>
      <w:outlineLvl w:val="9"/>
    </w:pPr>
    <w:rPr>
      <w:sz w:val="18"/>
    </w:rPr>
  </w:style>
  <w:style w:type="paragraph" w:styleId="4">
    <w:name w:val="Normal (Web)"/>
    <w:basedOn w:val="1"/>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4468</Words>
  <Characters>4593</Characters>
  <Lines>0</Lines>
  <Paragraphs>0</Paragraphs>
  <TotalTime>0</TotalTime>
  <ScaleCrop>false</ScaleCrop>
  <LinksUpToDate>false</LinksUpToDate>
  <CharactersWithSpaces>4618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2024-10-11T09:42:00Z</dcterms:created>
  <dc:creator>l</dc:creator>
  <cp:lastModifiedBy>l</cp:lastModifiedBy>
  <dcterms:modified xsi:type="dcterms:W3CDTF">2025-05-16T08:36:46Z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FDE1C052C50196537C93FC67153F8175</vt:lpwstr>
  </property>
  <property fmtid="{D5CDD505-2E9C-101B-9397-08002B2CF9AE}" pid="4" name="KSOTemplateDocerSaveRecord">
    <vt:lpwstr>eyJoZGlkIjoiYzY4MThjZWZjOWE2YTFkYTgwOWVjOWM4ZDdmZDFkMjkiLCJ1c2VySWQiOiI0MTIwMzIyNzIifQ==</vt:lpwstr>
  </property>
</Properties>
</file>